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020" w:rsidRPr="0037298A" w:rsidRDefault="007361D6" w:rsidP="007D7F8C">
      <w:pPr>
        <w:pStyle w:val="NotforContentsheading1"/>
        <w:spacing w:before="0"/>
      </w:pPr>
      <w:r w:rsidRPr="0037298A">
        <w:t>Regulatory impact statement</w:t>
      </w:r>
    </w:p>
    <w:p w:rsidR="007361D6" w:rsidRPr="007D4071" w:rsidRDefault="009D7A44" w:rsidP="007D4071">
      <w:pPr>
        <w:pStyle w:val="NotforContentsheading1"/>
        <w:ind w:right="-340"/>
        <w:rPr>
          <w:sz w:val="40"/>
        </w:rPr>
      </w:pPr>
      <w:r w:rsidRPr="007D4071">
        <w:rPr>
          <w:sz w:val="40"/>
        </w:rPr>
        <w:t>Births, Deaths, Marriages, and Relationshi</w:t>
      </w:r>
      <w:r w:rsidR="003E556F" w:rsidRPr="007D4071">
        <w:rPr>
          <w:sz w:val="40"/>
        </w:rPr>
        <w:t>ps Registration Amendment Bill:</w:t>
      </w:r>
    </w:p>
    <w:p w:rsidR="00161D57" w:rsidRDefault="00F13143" w:rsidP="009B0ADA">
      <w:pPr>
        <w:pStyle w:val="NotforContentsheading2"/>
        <w:ind w:left="567" w:right="-340" w:hanging="567"/>
      </w:pPr>
      <w:r>
        <w:t>1</w:t>
      </w:r>
      <w:r>
        <w:tab/>
      </w:r>
      <w:r w:rsidR="00161D57">
        <w:t>BDM access provisions</w:t>
      </w:r>
    </w:p>
    <w:p w:rsidR="00B10ACE" w:rsidRPr="00161D57" w:rsidRDefault="00161D57" w:rsidP="00161D57">
      <w:pPr>
        <w:pStyle w:val="NotforContentsheading2"/>
        <w:ind w:left="1134" w:right="-340" w:hanging="567"/>
        <w:rPr>
          <w:i/>
          <w:sz w:val="30"/>
        </w:rPr>
      </w:pPr>
      <w:r w:rsidRPr="00161D57">
        <w:rPr>
          <w:i/>
          <w:sz w:val="30"/>
        </w:rPr>
        <w:t>1A</w:t>
      </w:r>
      <w:r w:rsidRPr="00161D57">
        <w:rPr>
          <w:i/>
          <w:sz w:val="30"/>
        </w:rPr>
        <w:tab/>
      </w:r>
      <w:r w:rsidR="00B10ACE" w:rsidRPr="00161D57">
        <w:rPr>
          <w:i/>
          <w:sz w:val="30"/>
        </w:rPr>
        <w:t>Publication of index information</w:t>
      </w:r>
      <w:r w:rsidR="00385DB5" w:rsidRPr="00161D57">
        <w:rPr>
          <w:i/>
          <w:sz w:val="30"/>
        </w:rPr>
        <w:t>: search function for non-historical information</w:t>
      </w:r>
    </w:p>
    <w:p w:rsidR="007361D6" w:rsidRPr="00161D57" w:rsidRDefault="006D1B12" w:rsidP="00161D57">
      <w:pPr>
        <w:pStyle w:val="NotforContentsheading2"/>
        <w:ind w:left="567"/>
        <w:rPr>
          <w:i/>
          <w:sz w:val="30"/>
        </w:rPr>
      </w:pPr>
      <w:r w:rsidRPr="00161D57">
        <w:rPr>
          <w:i/>
          <w:sz w:val="30"/>
        </w:rPr>
        <w:t>1B</w:t>
      </w:r>
      <w:r w:rsidRPr="00161D57">
        <w:rPr>
          <w:i/>
          <w:sz w:val="30"/>
        </w:rPr>
        <w:tab/>
      </w:r>
      <w:proofErr w:type="gramStart"/>
      <w:r w:rsidR="0062252C">
        <w:rPr>
          <w:i/>
          <w:sz w:val="30"/>
        </w:rPr>
        <w:t>Online</w:t>
      </w:r>
      <w:proofErr w:type="gramEnd"/>
      <w:r w:rsidR="00B10ACE" w:rsidRPr="00161D57">
        <w:rPr>
          <w:i/>
          <w:sz w:val="30"/>
        </w:rPr>
        <w:t xml:space="preserve"> access to historic</w:t>
      </w:r>
      <w:r w:rsidR="007D7F8C" w:rsidRPr="00161D57">
        <w:rPr>
          <w:i/>
          <w:sz w:val="30"/>
        </w:rPr>
        <w:t>al</w:t>
      </w:r>
      <w:r w:rsidR="00B10ACE" w:rsidRPr="00161D57">
        <w:rPr>
          <w:i/>
          <w:sz w:val="30"/>
        </w:rPr>
        <w:t xml:space="preserve"> registe</w:t>
      </w:r>
      <w:bookmarkStart w:id="0" w:name="_GoBack"/>
      <w:bookmarkEnd w:id="0"/>
      <w:r w:rsidR="00B10ACE" w:rsidRPr="00161D57">
        <w:rPr>
          <w:i/>
          <w:sz w:val="30"/>
        </w:rPr>
        <w:t>r information</w:t>
      </w:r>
    </w:p>
    <w:p w:rsidR="00B10ACE" w:rsidRPr="00B10ACE" w:rsidRDefault="006D1B12" w:rsidP="006D1B12">
      <w:pPr>
        <w:pStyle w:val="NotforContentsheading2"/>
        <w:ind w:left="567" w:right="-427" w:hanging="567"/>
      </w:pPr>
      <w:r>
        <w:t>2</w:t>
      </w:r>
      <w:r>
        <w:tab/>
      </w:r>
      <w:r w:rsidR="00161D57">
        <w:t>Law Commission</w:t>
      </w:r>
      <w:r w:rsidR="00B10ACE">
        <w:t xml:space="preserve"> review of burial and cremation law: preliminary notice of death</w:t>
      </w:r>
    </w:p>
    <w:p w:rsidR="007361D6" w:rsidRPr="00B302E6" w:rsidRDefault="007361D6" w:rsidP="007D7F8C">
      <w:pPr>
        <w:pStyle w:val="NotforContentsheading2"/>
        <w:spacing w:before="360"/>
      </w:pPr>
      <w:r w:rsidRPr="00B302E6">
        <w:t>Agency disclosure statement</w:t>
      </w:r>
    </w:p>
    <w:p w:rsidR="007361D6" w:rsidRPr="001C0C30" w:rsidRDefault="007361D6" w:rsidP="00161D57">
      <w:pPr>
        <w:spacing w:after="200"/>
        <w:ind w:right="-199"/>
      </w:pPr>
      <w:r>
        <w:t xml:space="preserve">This regulatory impact statement </w:t>
      </w:r>
      <w:r w:rsidR="006D1B12">
        <w:t xml:space="preserve">(RIS) </w:t>
      </w:r>
      <w:r>
        <w:t xml:space="preserve">has been prepared by </w:t>
      </w:r>
      <w:r w:rsidR="00662410">
        <w:t xml:space="preserve">the Department of </w:t>
      </w:r>
      <w:r w:rsidR="0088686D">
        <w:t>Internal Affairs</w:t>
      </w:r>
      <w:r>
        <w:t>.</w:t>
      </w:r>
    </w:p>
    <w:p w:rsidR="008A2966" w:rsidRDefault="007361D6" w:rsidP="00161D57">
      <w:pPr>
        <w:spacing w:after="200"/>
        <w:ind w:right="-198"/>
      </w:pPr>
      <w:r>
        <w:t xml:space="preserve">It provides an analysis of </w:t>
      </w:r>
      <w:r w:rsidR="00DB64D7">
        <w:t>optio</w:t>
      </w:r>
      <w:r w:rsidR="002A22EE">
        <w:t xml:space="preserve">ns </w:t>
      </w:r>
      <w:r w:rsidR="009D5555">
        <w:t xml:space="preserve">for (a) </w:t>
      </w:r>
      <w:r w:rsidR="007A50D5">
        <w:t>improving</w:t>
      </w:r>
      <w:r w:rsidR="002A22EE">
        <w:t xml:space="preserve"> public access to </w:t>
      </w:r>
      <w:r w:rsidR="008A2966">
        <w:t>registered information about births, deaths, marriages, civil unions, and name changes (BDM information) held by the Department of Internal Affairs (the Department)</w:t>
      </w:r>
      <w:r w:rsidR="007A50D5">
        <w:t xml:space="preserve">, and </w:t>
      </w:r>
      <w:r w:rsidR="009D5555">
        <w:t>(b) improving the timeliness and accuracy of reported cause of death information.</w:t>
      </w:r>
    </w:p>
    <w:p w:rsidR="00002E7C" w:rsidRDefault="00002E7C" w:rsidP="00700B0D">
      <w:pPr>
        <w:spacing w:after="200"/>
        <w:ind w:right="-340"/>
      </w:pPr>
      <w:r>
        <w:t xml:space="preserve">This RIS assumes solutions to the issues identified need to align with the Government’s Better Public Services objectives, including Result 10 (BPS Result 10) </w:t>
      </w:r>
      <w:r w:rsidRPr="001A78B8">
        <w:t>which the Department is responsible for: New Zealanders can complete their transactions with government ea</w:t>
      </w:r>
      <w:r>
        <w:t>sily in a digital environment.</w:t>
      </w:r>
    </w:p>
    <w:p w:rsidR="00DF6F50" w:rsidRDefault="00F13143" w:rsidP="00DF6F50">
      <w:pPr>
        <w:pStyle w:val="Heading3"/>
      </w:pPr>
      <w:r>
        <w:t>1</w:t>
      </w:r>
      <w:r>
        <w:tab/>
      </w:r>
      <w:r w:rsidR="00A54DFB">
        <w:t>BDM access provisions</w:t>
      </w:r>
    </w:p>
    <w:p w:rsidR="009D5555" w:rsidRDefault="008F1BEF" w:rsidP="00161D57">
      <w:pPr>
        <w:spacing w:after="200"/>
        <w:ind w:right="-482"/>
      </w:pPr>
      <w:r>
        <w:t xml:space="preserve">The Department </w:t>
      </w:r>
      <w:r w:rsidR="005D0AEC">
        <w:t xml:space="preserve">recently </w:t>
      </w:r>
      <w:r>
        <w:t>reviewed the access</w:t>
      </w:r>
      <w:r w:rsidR="008D704B">
        <w:t xml:space="preserve"> provisions in the Births, Deaths, Marriages, and Relationships Regist</w:t>
      </w:r>
      <w:r w:rsidR="002A22EE">
        <w:t>ration Act 1995 (BDMRRA 1995)</w:t>
      </w:r>
      <w:r>
        <w:t xml:space="preserve"> on behalf of the Minister of I</w:t>
      </w:r>
      <w:r w:rsidR="009072D1">
        <w:t>nternal Affai</w:t>
      </w:r>
      <w:r w:rsidR="000124F9">
        <w:t>rs.  The Minister’s October 2016</w:t>
      </w:r>
      <w:r w:rsidR="009072D1">
        <w:t xml:space="preserve"> </w:t>
      </w:r>
      <w:r>
        <w:t xml:space="preserve">report </w:t>
      </w:r>
      <w:r w:rsidR="005D0AEC">
        <w:t>to Parliament proposed a number of discrete amendments to improve public access to BDM information throug</w:t>
      </w:r>
      <w:r w:rsidR="006D1B12">
        <w:t>h digital and online channels, including Proposals 1A and 1B.  A RIS is not required</w:t>
      </w:r>
      <w:r w:rsidR="00E76D8C">
        <w:t xml:space="preserve"> for </w:t>
      </w:r>
      <w:r w:rsidR="00C40A4B">
        <w:t xml:space="preserve">the review’s </w:t>
      </w:r>
      <w:r w:rsidR="00E76D8C">
        <w:t>other recommendations</w:t>
      </w:r>
      <w:r w:rsidR="00C40A4B">
        <w:t xml:space="preserve"> or those arising from the Department’s internal, opera</w:t>
      </w:r>
      <w:r w:rsidR="00E25DAC">
        <w:t>tional review of the BDMRRA 1995</w:t>
      </w:r>
      <w:r w:rsidR="00E23FDA">
        <w:t>.</w:t>
      </w:r>
      <w:r w:rsidR="009D5555" w:rsidRPr="009D5555">
        <w:t xml:space="preserve"> </w:t>
      </w:r>
    </w:p>
    <w:p w:rsidR="009D5555" w:rsidRDefault="009D5555" w:rsidP="00161D57">
      <w:pPr>
        <w:spacing w:after="200"/>
        <w:ind w:right="-482"/>
      </w:pPr>
      <w:r>
        <w:t>The mandate for the review, which did not extend to a first-principles review of the BDMRRA 1995, is the key constraint.</w:t>
      </w:r>
      <w:r>
        <w:rPr>
          <w:rStyle w:val="FootnoteReference"/>
        </w:rPr>
        <w:footnoteReference w:id="1"/>
      </w:r>
      <w:r>
        <w:t xml:space="preserve">  The analysis is limited to options that can be accommodated within the existing principles governing the access provisions, which in turn reflect the public register provisions in the Privacy Act 1993.  A fundamental change to the regulation of third party access to BDM information (</w:t>
      </w:r>
      <w:proofErr w:type="spellStart"/>
      <w:r>
        <w:t>eg</w:t>
      </w:r>
      <w:proofErr w:type="spellEnd"/>
      <w:r>
        <w:t>, through a consent-based information exchange, or opening up access to confidential information) is outside scope.</w:t>
      </w:r>
    </w:p>
    <w:p w:rsidR="00FE70F3" w:rsidRDefault="00002E7C" w:rsidP="00002E7C">
      <w:pPr>
        <w:ind w:right="-482"/>
      </w:pPr>
      <w:r>
        <w:lastRenderedPageBreak/>
        <w:t xml:space="preserve">As noted above, this </w:t>
      </w:r>
      <w:r w:rsidR="00FE70F3">
        <w:t>RIS assumes government and public expectations that New Zealanders should be able to transact</w:t>
      </w:r>
      <w:r w:rsidR="00FE70F3" w:rsidRPr="001A78B8">
        <w:t xml:space="preserve"> with government ea</w:t>
      </w:r>
      <w:r w:rsidR="00FE70F3">
        <w:t>sily in a digital environment will continue to be a key focus for modernising BDM services, including access to BDM information.  This assumption is reflected in the</w:t>
      </w:r>
      <w:r w:rsidR="00AD72D6">
        <w:t xml:space="preserve"> analysis </w:t>
      </w:r>
      <w:r w:rsidR="00FE70F3">
        <w:t xml:space="preserve">of the options, which </w:t>
      </w:r>
      <w:r w:rsidR="00977CA2">
        <w:t>draws</w:t>
      </w:r>
      <w:r w:rsidR="00AD72D6">
        <w:t xml:space="preserve"> heavily on </w:t>
      </w:r>
      <w:r w:rsidR="0052168E">
        <w:t xml:space="preserve">evidence derived from </w:t>
      </w:r>
      <w:r w:rsidR="00AD72D6">
        <w:t>a</w:t>
      </w:r>
      <w:r w:rsidR="00B64B6A">
        <w:t xml:space="preserve"> </w:t>
      </w:r>
      <w:r w:rsidR="00AD72D6">
        <w:t xml:space="preserve">review of the </w:t>
      </w:r>
      <w:proofErr w:type="spellStart"/>
      <w:r w:rsidR="00AD72D6">
        <w:rPr>
          <w:i/>
        </w:rPr>
        <w:t>ScotlandsPeople</w:t>
      </w:r>
      <w:proofErr w:type="spellEnd"/>
      <w:r w:rsidR="00AD72D6">
        <w:rPr>
          <w:i/>
        </w:rPr>
        <w:t xml:space="preserve"> </w:t>
      </w:r>
      <w:r w:rsidR="00AD72D6">
        <w:t>website</w:t>
      </w:r>
      <w:r w:rsidR="000958EA">
        <w:t xml:space="preserve"> (see </w:t>
      </w:r>
      <w:r w:rsidR="000958EA" w:rsidRPr="006A6E34">
        <w:rPr>
          <w:b/>
        </w:rPr>
        <w:t>Appendix A</w:t>
      </w:r>
      <w:r w:rsidR="000958EA">
        <w:t>).</w:t>
      </w:r>
      <w:r w:rsidR="000958EA">
        <w:rPr>
          <w:rStyle w:val="FootnoteReference"/>
        </w:rPr>
        <w:footnoteReference w:id="2"/>
      </w:r>
      <w:r w:rsidR="000958EA">
        <w:t xml:space="preserve"> </w:t>
      </w:r>
    </w:p>
    <w:p w:rsidR="002A22EE" w:rsidRDefault="007D7F8C" w:rsidP="00885D66">
      <w:pPr>
        <w:ind w:right="-624"/>
      </w:pPr>
      <w:r>
        <w:t>Scotland is a pioneer in the provision of large-scale online access to historical records.  It</w:t>
      </w:r>
      <w:r w:rsidR="00710FDB">
        <w:t xml:space="preserve"> has very similar B</w:t>
      </w:r>
      <w:r w:rsidR="00885D66">
        <w:t>DM access rules to New Zealand</w:t>
      </w:r>
      <w:r w:rsidR="00710FDB">
        <w:t xml:space="preserve">, including the time limits used to define historical records.  </w:t>
      </w:r>
      <w:proofErr w:type="spellStart"/>
      <w:r w:rsidR="00B64B6A" w:rsidRPr="00885D66">
        <w:rPr>
          <w:i/>
        </w:rPr>
        <w:t>ScotlandsPeople</w:t>
      </w:r>
      <w:proofErr w:type="spellEnd"/>
      <w:r w:rsidR="0052168E">
        <w:t xml:space="preserve"> </w:t>
      </w:r>
      <w:r w:rsidR="00885D66" w:rsidRPr="00885D66">
        <w:t>has</w:t>
      </w:r>
      <w:r w:rsidR="00885D66">
        <w:t xml:space="preserve"> operated </w:t>
      </w:r>
      <w:r w:rsidR="0052168E">
        <w:t>a successful commercial model for online access to BDM information,</w:t>
      </w:r>
      <w:r w:rsidR="00885D66">
        <w:t xml:space="preserve"> without any reported privacy</w:t>
      </w:r>
      <w:r w:rsidR="0052168E">
        <w:t xml:space="preserve"> breaches, since the late 1990s.</w:t>
      </w:r>
    </w:p>
    <w:p w:rsidR="009B0ADA" w:rsidRDefault="009B0ADA" w:rsidP="009B0ADA">
      <w:pPr>
        <w:pStyle w:val="Heading3"/>
      </w:pPr>
      <w:r>
        <w:t>2</w:t>
      </w:r>
      <w:r w:rsidR="00F13143">
        <w:tab/>
      </w:r>
      <w:r w:rsidR="00A54DFB">
        <w:t>Law Commission review of burial and cremation law</w:t>
      </w:r>
    </w:p>
    <w:p w:rsidR="00E25DAC" w:rsidRDefault="009B0ADA" w:rsidP="00E25DAC">
      <w:pPr>
        <w:ind w:right="-482"/>
      </w:pPr>
      <w:r>
        <w:t>No</w:t>
      </w:r>
      <w:r w:rsidR="00A54DFB">
        <w:t xml:space="preserve"> particular </w:t>
      </w:r>
      <w:r>
        <w:t xml:space="preserve">constraints </w:t>
      </w:r>
      <w:r w:rsidR="00355EBE">
        <w:t>have been</w:t>
      </w:r>
      <w:r>
        <w:t xml:space="preserve"> identified.  </w:t>
      </w:r>
      <w:r w:rsidR="00E25DAC">
        <w:t xml:space="preserve">The options analysis compares the status quo to a system for preliminary notification of death to </w:t>
      </w:r>
      <w:r>
        <w:t xml:space="preserve">a system similar to that </w:t>
      </w:r>
      <w:r w:rsidR="00A54DFB">
        <w:t xml:space="preserve">already operating </w:t>
      </w:r>
      <w:r>
        <w:t>for preliminary notification of births (70 per cent of which are notified electronically)</w:t>
      </w:r>
      <w:r w:rsidR="00382248">
        <w:t xml:space="preserve"> (Law Commission </w:t>
      </w:r>
      <w:r w:rsidR="00382248">
        <w:rPr>
          <w:i/>
        </w:rPr>
        <w:t>Recommendation R.</w:t>
      </w:r>
      <w:r w:rsidR="00382248" w:rsidRPr="00382248">
        <w:t>7</w:t>
      </w:r>
      <w:r w:rsidR="00382248">
        <w:t>)</w:t>
      </w:r>
      <w:r>
        <w:t xml:space="preserve">.  </w:t>
      </w:r>
    </w:p>
    <w:p w:rsidR="00355EBE" w:rsidRDefault="00355EBE" w:rsidP="00355EBE">
      <w:pPr>
        <w:ind w:right="-482"/>
      </w:pPr>
    </w:p>
    <w:tbl>
      <w:tblPr>
        <w:tblStyle w:val="Blanktable"/>
        <w:tblW w:w="0" w:type="auto"/>
        <w:tblLayout w:type="fixed"/>
        <w:tblLook w:val="04A0" w:firstRow="1" w:lastRow="0" w:firstColumn="1" w:lastColumn="0" w:noHBand="0" w:noVBand="1"/>
      </w:tblPr>
      <w:tblGrid>
        <w:gridCol w:w="454"/>
        <w:gridCol w:w="170"/>
        <w:gridCol w:w="454"/>
        <w:gridCol w:w="170"/>
        <w:gridCol w:w="680"/>
        <w:gridCol w:w="6430"/>
      </w:tblGrid>
      <w:tr w:rsidR="007361D6" w:rsidRPr="00934303" w:rsidTr="007D7F8C">
        <w:trPr>
          <w:cantSplit/>
          <w:trHeight w:val="1197"/>
        </w:trPr>
        <w:tc>
          <w:tcPr>
            <w:tcW w:w="8358" w:type="dxa"/>
            <w:gridSpan w:val="6"/>
          </w:tcPr>
          <w:p w:rsidR="007361D6" w:rsidRPr="00934303" w:rsidRDefault="007361D6" w:rsidP="00E52276">
            <w:pPr>
              <w:keepNext/>
            </w:pPr>
          </w:p>
        </w:tc>
      </w:tr>
      <w:tr w:rsidR="007361D6" w:rsidRPr="00934303" w:rsidTr="00FB0E14">
        <w:trPr>
          <w:cantSplit/>
        </w:trPr>
        <w:tc>
          <w:tcPr>
            <w:tcW w:w="8358" w:type="dxa"/>
            <w:gridSpan w:val="6"/>
            <w:tcMar>
              <w:left w:w="0" w:type="dxa"/>
            </w:tcMar>
          </w:tcPr>
          <w:p w:rsidR="007361D6" w:rsidRPr="00934303" w:rsidRDefault="009D7A44" w:rsidP="00FB0E14">
            <w:pPr>
              <w:pStyle w:val="Spacer"/>
            </w:pPr>
            <w:r>
              <w:t>Cameron Sherley</w:t>
            </w:r>
          </w:p>
        </w:tc>
      </w:tr>
      <w:tr w:rsidR="007361D6" w:rsidRPr="00934303" w:rsidTr="00FB0E14">
        <w:trPr>
          <w:cantSplit/>
        </w:trPr>
        <w:tc>
          <w:tcPr>
            <w:tcW w:w="8358" w:type="dxa"/>
            <w:gridSpan w:val="6"/>
            <w:tcMar>
              <w:left w:w="0" w:type="dxa"/>
            </w:tcMar>
          </w:tcPr>
          <w:p w:rsidR="007361D6" w:rsidRPr="00934303" w:rsidRDefault="009D7A44" w:rsidP="00F10D15">
            <w:pPr>
              <w:pStyle w:val="Spacer"/>
            </w:pPr>
            <w:r>
              <w:t>Acting General Manager</w:t>
            </w:r>
          </w:p>
        </w:tc>
      </w:tr>
      <w:tr w:rsidR="007361D6" w:rsidRPr="00934303" w:rsidTr="007D7F8C">
        <w:trPr>
          <w:cantSplit/>
          <w:trHeight w:hRule="exact" w:val="434"/>
        </w:trPr>
        <w:tc>
          <w:tcPr>
            <w:tcW w:w="454" w:type="dxa"/>
            <w:tcBorders>
              <w:bottom w:val="single" w:sz="6" w:space="0" w:color="auto"/>
            </w:tcBorders>
            <w:tcMar>
              <w:left w:w="57" w:type="dxa"/>
              <w:right w:w="57" w:type="dxa"/>
            </w:tcMar>
            <w:vAlign w:val="bottom"/>
          </w:tcPr>
          <w:p w:rsidR="007361D6" w:rsidRPr="00934303" w:rsidRDefault="007361D6" w:rsidP="00B84E9B">
            <w:pPr>
              <w:pStyle w:val="Spacer"/>
            </w:pPr>
          </w:p>
        </w:tc>
        <w:tc>
          <w:tcPr>
            <w:tcW w:w="170" w:type="dxa"/>
            <w:tcBorders>
              <w:bottom w:val="single" w:sz="6" w:space="0" w:color="auto"/>
            </w:tcBorders>
            <w:tcMar>
              <w:left w:w="57" w:type="dxa"/>
              <w:right w:w="57" w:type="dxa"/>
            </w:tcMar>
            <w:vAlign w:val="bottom"/>
          </w:tcPr>
          <w:p w:rsidR="007361D6" w:rsidRPr="00934303" w:rsidRDefault="007361D6" w:rsidP="00B84E9B">
            <w:pPr>
              <w:pStyle w:val="Spacer"/>
            </w:pPr>
            <w:r>
              <w:t>/</w:t>
            </w:r>
          </w:p>
        </w:tc>
        <w:tc>
          <w:tcPr>
            <w:tcW w:w="454" w:type="dxa"/>
            <w:tcBorders>
              <w:bottom w:val="single" w:sz="6" w:space="0" w:color="auto"/>
            </w:tcBorders>
            <w:tcMar>
              <w:left w:w="57" w:type="dxa"/>
              <w:right w:w="57" w:type="dxa"/>
            </w:tcMar>
            <w:vAlign w:val="bottom"/>
          </w:tcPr>
          <w:p w:rsidR="007361D6" w:rsidRPr="00934303" w:rsidRDefault="007361D6" w:rsidP="00B84E9B">
            <w:pPr>
              <w:pStyle w:val="Spacer"/>
            </w:pPr>
          </w:p>
        </w:tc>
        <w:tc>
          <w:tcPr>
            <w:tcW w:w="170" w:type="dxa"/>
            <w:tcBorders>
              <w:bottom w:val="single" w:sz="6" w:space="0" w:color="auto"/>
            </w:tcBorders>
            <w:tcMar>
              <w:left w:w="57" w:type="dxa"/>
              <w:right w:w="57" w:type="dxa"/>
            </w:tcMar>
            <w:vAlign w:val="bottom"/>
          </w:tcPr>
          <w:p w:rsidR="007361D6" w:rsidRPr="00934303" w:rsidRDefault="007361D6" w:rsidP="00B84E9B">
            <w:pPr>
              <w:pStyle w:val="Spacer"/>
            </w:pPr>
            <w:r>
              <w:t>/</w:t>
            </w:r>
          </w:p>
        </w:tc>
        <w:tc>
          <w:tcPr>
            <w:tcW w:w="680" w:type="dxa"/>
            <w:tcBorders>
              <w:bottom w:val="single" w:sz="6" w:space="0" w:color="auto"/>
            </w:tcBorders>
            <w:tcMar>
              <w:left w:w="57" w:type="dxa"/>
              <w:right w:w="57" w:type="dxa"/>
            </w:tcMar>
            <w:vAlign w:val="bottom"/>
          </w:tcPr>
          <w:p w:rsidR="007361D6" w:rsidRPr="00934303" w:rsidRDefault="007361D6" w:rsidP="00B84E9B">
            <w:pPr>
              <w:pStyle w:val="Spacer"/>
            </w:pPr>
          </w:p>
        </w:tc>
        <w:tc>
          <w:tcPr>
            <w:tcW w:w="6430" w:type="dxa"/>
            <w:tcMar>
              <w:left w:w="57" w:type="dxa"/>
              <w:right w:w="57" w:type="dxa"/>
            </w:tcMar>
            <w:vAlign w:val="bottom"/>
          </w:tcPr>
          <w:p w:rsidR="007361D6" w:rsidRPr="00934303" w:rsidRDefault="007361D6" w:rsidP="00B84E9B">
            <w:pPr>
              <w:pStyle w:val="Spacer"/>
            </w:pPr>
          </w:p>
        </w:tc>
      </w:tr>
    </w:tbl>
    <w:p w:rsidR="006D1B12" w:rsidRDefault="006D1B12" w:rsidP="0037298A">
      <w:pPr>
        <w:pStyle w:val="NotforContentsheading2"/>
      </w:pPr>
    </w:p>
    <w:p w:rsidR="00D35A83" w:rsidRDefault="00D35A83" w:rsidP="006D1B12">
      <w:pPr>
        <w:sectPr w:rsidR="00D35A83" w:rsidSect="00700B0D">
          <w:headerReference w:type="default" r:id="rId9"/>
          <w:footerReference w:type="default" r:id="rId10"/>
          <w:headerReference w:type="first" r:id="rId11"/>
          <w:footerReference w:type="first" r:id="rId12"/>
          <w:pgSz w:w="11907" w:h="16840" w:code="9"/>
          <w:pgMar w:top="1276" w:right="1304" w:bottom="851" w:left="1304" w:header="425" w:footer="635" w:gutter="0"/>
          <w:cols w:space="708"/>
          <w:titlePg/>
          <w:docGrid w:linePitch="360"/>
        </w:sectPr>
      </w:pPr>
    </w:p>
    <w:p w:rsidR="0037298A" w:rsidRDefault="0037298A" w:rsidP="00D35A83">
      <w:pPr>
        <w:pStyle w:val="NotforContentsheading2"/>
        <w:tabs>
          <w:tab w:val="left" w:pos="3090"/>
        </w:tabs>
      </w:pPr>
      <w:r>
        <w:t>Contents</w:t>
      </w:r>
    </w:p>
    <w:p w:rsidR="00BC0B07" w:rsidRDefault="00977CA2">
      <w:pPr>
        <w:pStyle w:val="TOC1"/>
        <w:rPr>
          <w:rFonts w:asciiTheme="minorHAnsi" w:eastAsiaTheme="minorEastAsia" w:hAnsiTheme="minorHAnsi" w:cstheme="minorBidi"/>
          <w:noProof/>
          <w:color w:val="auto"/>
          <w:sz w:val="22"/>
          <w:szCs w:val="22"/>
          <w:lang w:eastAsia="en-NZ"/>
        </w:rPr>
      </w:pPr>
      <w:r>
        <w:fldChar w:fldCharType="begin"/>
      </w:r>
      <w:r>
        <w:instrText xml:space="preserve"> TOC \o "1-2" \h \z \u </w:instrText>
      </w:r>
      <w:r>
        <w:fldChar w:fldCharType="separate"/>
      </w:r>
      <w:hyperlink w:anchor="_Toc473799832" w:history="1">
        <w:r w:rsidR="00BC0B07" w:rsidRPr="00151077">
          <w:rPr>
            <w:rStyle w:val="Hyperlink"/>
            <w:noProof/>
          </w:rPr>
          <w:t>Executive summary</w:t>
        </w:r>
        <w:r w:rsidR="00BC0B07">
          <w:rPr>
            <w:noProof/>
            <w:webHidden/>
          </w:rPr>
          <w:tab/>
        </w:r>
        <w:r w:rsidR="00BC0B07">
          <w:rPr>
            <w:noProof/>
            <w:webHidden/>
          </w:rPr>
          <w:fldChar w:fldCharType="begin"/>
        </w:r>
        <w:r w:rsidR="00BC0B07">
          <w:rPr>
            <w:noProof/>
            <w:webHidden/>
          </w:rPr>
          <w:instrText xml:space="preserve"> PAGEREF _Toc473799832 \h </w:instrText>
        </w:r>
        <w:r w:rsidR="00BC0B07">
          <w:rPr>
            <w:noProof/>
            <w:webHidden/>
          </w:rPr>
        </w:r>
        <w:r w:rsidR="00BC0B07">
          <w:rPr>
            <w:noProof/>
            <w:webHidden/>
          </w:rPr>
          <w:fldChar w:fldCharType="separate"/>
        </w:r>
        <w:r w:rsidR="002703EC">
          <w:rPr>
            <w:noProof/>
            <w:webHidden/>
          </w:rPr>
          <w:t>4</w:t>
        </w:r>
        <w:r w:rsidR="00BC0B07">
          <w:rPr>
            <w:noProof/>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33" w:history="1">
        <w:r w:rsidR="00BC0B07" w:rsidRPr="00151077">
          <w:rPr>
            <w:rStyle w:val="Hyperlink"/>
            <w:noProof/>
          </w:rPr>
          <w:t>Background</w:t>
        </w:r>
        <w:r w:rsidR="00BC0B07">
          <w:rPr>
            <w:noProof/>
            <w:webHidden/>
          </w:rPr>
          <w:tab/>
        </w:r>
        <w:r w:rsidR="00BC0B07">
          <w:rPr>
            <w:noProof/>
            <w:webHidden/>
          </w:rPr>
          <w:fldChar w:fldCharType="begin"/>
        </w:r>
        <w:r w:rsidR="00BC0B07">
          <w:rPr>
            <w:noProof/>
            <w:webHidden/>
          </w:rPr>
          <w:instrText xml:space="preserve"> PAGEREF _Toc473799833 \h </w:instrText>
        </w:r>
        <w:r w:rsidR="00BC0B07">
          <w:rPr>
            <w:noProof/>
            <w:webHidden/>
          </w:rPr>
        </w:r>
        <w:r w:rsidR="00BC0B07">
          <w:rPr>
            <w:noProof/>
            <w:webHidden/>
          </w:rPr>
          <w:fldChar w:fldCharType="separate"/>
        </w:r>
        <w:r w:rsidR="002703EC">
          <w:rPr>
            <w:noProof/>
            <w:webHidden/>
          </w:rPr>
          <w:t>5</w:t>
        </w:r>
        <w:r w:rsidR="00BC0B07">
          <w:rPr>
            <w:noProof/>
            <w:webHidden/>
          </w:rPr>
          <w:fldChar w:fldCharType="end"/>
        </w:r>
      </w:hyperlink>
    </w:p>
    <w:p w:rsidR="00BC0B07" w:rsidRDefault="00FF25D3">
      <w:pPr>
        <w:pStyle w:val="TOC2"/>
        <w:tabs>
          <w:tab w:val="left" w:pos="992"/>
        </w:tabs>
        <w:rPr>
          <w:rFonts w:asciiTheme="minorHAnsi" w:eastAsiaTheme="minorEastAsia" w:hAnsiTheme="minorHAnsi" w:cstheme="minorBidi"/>
          <w:sz w:val="22"/>
          <w:szCs w:val="22"/>
          <w:lang w:eastAsia="en-NZ"/>
        </w:rPr>
      </w:pPr>
      <w:hyperlink w:anchor="_Toc473799834" w:history="1">
        <w:r w:rsidR="00BC0B07" w:rsidRPr="00151077">
          <w:rPr>
            <w:rStyle w:val="Hyperlink"/>
          </w:rPr>
          <w:t>1</w:t>
        </w:r>
        <w:r w:rsidR="00BC0B07">
          <w:rPr>
            <w:rFonts w:asciiTheme="minorHAnsi" w:eastAsiaTheme="minorEastAsia" w:hAnsiTheme="minorHAnsi" w:cstheme="minorBidi"/>
            <w:sz w:val="22"/>
            <w:szCs w:val="22"/>
            <w:lang w:eastAsia="en-NZ"/>
          </w:rPr>
          <w:tab/>
        </w:r>
        <w:r w:rsidR="00BC0B07" w:rsidRPr="00151077">
          <w:rPr>
            <w:rStyle w:val="Hyperlink"/>
          </w:rPr>
          <w:t>BDM access provisions</w:t>
        </w:r>
        <w:r w:rsidR="00BC0B07">
          <w:rPr>
            <w:webHidden/>
          </w:rPr>
          <w:tab/>
        </w:r>
        <w:r w:rsidR="00BC0B07">
          <w:rPr>
            <w:webHidden/>
          </w:rPr>
          <w:fldChar w:fldCharType="begin"/>
        </w:r>
        <w:r w:rsidR="00BC0B07">
          <w:rPr>
            <w:webHidden/>
          </w:rPr>
          <w:instrText xml:space="preserve"> PAGEREF _Toc473799834 \h </w:instrText>
        </w:r>
        <w:r w:rsidR="00BC0B07">
          <w:rPr>
            <w:webHidden/>
          </w:rPr>
        </w:r>
        <w:r w:rsidR="00BC0B07">
          <w:rPr>
            <w:webHidden/>
          </w:rPr>
          <w:fldChar w:fldCharType="separate"/>
        </w:r>
        <w:r w:rsidR="002703EC">
          <w:rPr>
            <w:webHidden/>
          </w:rPr>
          <w:t>5</w:t>
        </w:r>
        <w:r w:rsidR="00BC0B07">
          <w:rPr>
            <w:webHidden/>
          </w:rPr>
          <w:fldChar w:fldCharType="end"/>
        </w:r>
      </w:hyperlink>
    </w:p>
    <w:p w:rsidR="00BC0B07" w:rsidRDefault="00FF25D3">
      <w:pPr>
        <w:pStyle w:val="TOC2"/>
        <w:tabs>
          <w:tab w:val="left" w:pos="992"/>
        </w:tabs>
        <w:rPr>
          <w:rFonts w:asciiTheme="minorHAnsi" w:eastAsiaTheme="minorEastAsia" w:hAnsiTheme="minorHAnsi" w:cstheme="minorBidi"/>
          <w:sz w:val="22"/>
          <w:szCs w:val="22"/>
          <w:lang w:eastAsia="en-NZ"/>
        </w:rPr>
      </w:pPr>
      <w:hyperlink w:anchor="_Toc473799835" w:history="1">
        <w:r w:rsidR="00BC0B07" w:rsidRPr="00151077">
          <w:rPr>
            <w:rStyle w:val="Hyperlink"/>
          </w:rPr>
          <w:t>2</w:t>
        </w:r>
        <w:r w:rsidR="00BC0B07">
          <w:rPr>
            <w:rFonts w:asciiTheme="minorHAnsi" w:eastAsiaTheme="minorEastAsia" w:hAnsiTheme="minorHAnsi" w:cstheme="minorBidi"/>
            <w:sz w:val="22"/>
            <w:szCs w:val="22"/>
            <w:lang w:eastAsia="en-NZ"/>
          </w:rPr>
          <w:tab/>
        </w:r>
        <w:r w:rsidR="00BC0B07" w:rsidRPr="00151077">
          <w:rPr>
            <w:rStyle w:val="Hyperlink"/>
          </w:rPr>
          <w:t>Law Commission review of burial and cremation law</w:t>
        </w:r>
        <w:r w:rsidR="00BC0B07">
          <w:rPr>
            <w:webHidden/>
          </w:rPr>
          <w:tab/>
        </w:r>
        <w:r w:rsidR="00BC0B07">
          <w:rPr>
            <w:webHidden/>
          </w:rPr>
          <w:fldChar w:fldCharType="begin"/>
        </w:r>
        <w:r w:rsidR="00BC0B07">
          <w:rPr>
            <w:webHidden/>
          </w:rPr>
          <w:instrText xml:space="preserve"> PAGEREF _Toc473799835 \h </w:instrText>
        </w:r>
        <w:r w:rsidR="00BC0B07">
          <w:rPr>
            <w:webHidden/>
          </w:rPr>
        </w:r>
        <w:r w:rsidR="00BC0B07">
          <w:rPr>
            <w:webHidden/>
          </w:rPr>
          <w:fldChar w:fldCharType="separate"/>
        </w:r>
        <w:r w:rsidR="002703EC">
          <w:rPr>
            <w:webHidden/>
          </w:rPr>
          <w:t>5</w:t>
        </w:r>
        <w:r w:rsidR="00BC0B07">
          <w:rPr>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36" w:history="1">
        <w:r w:rsidR="00BC0B07" w:rsidRPr="00151077">
          <w:rPr>
            <w:rStyle w:val="Hyperlink"/>
            <w:noProof/>
          </w:rPr>
          <w:t>Objectives</w:t>
        </w:r>
        <w:r w:rsidR="00BC0B07">
          <w:rPr>
            <w:noProof/>
            <w:webHidden/>
          </w:rPr>
          <w:tab/>
        </w:r>
        <w:r w:rsidR="00BC0B07">
          <w:rPr>
            <w:noProof/>
            <w:webHidden/>
          </w:rPr>
          <w:fldChar w:fldCharType="begin"/>
        </w:r>
        <w:r w:rsidR="00BC0B07">
          <w:rPr>
            <w:noProof/>
            <w:webHidden/>
          </w:rPr>
          <w:instrText xml:space="preserve"> PAGEREF _Toc473799836 \h </w:instrText>
        </w:r>
        <w:r w:rsidR="00BC0B07">
          <w:rPr>
            <w:noProof/>
            <w:webHidden/>
          </w:rPr>
        </w:r>
        <w:r w:rsidR="00BC0B07">
          <w:rPr>
            <w:noProof/>
            <w:webHidden/>
          </w:rPr>
          <w:fldChar w:fldCharType="separate"/>
        </w:r>
        <w:r w:rsidR="002703EC">
          <w:rPr>
            <w:noProof/>
            <w:webHidden/>
          </w:rPr>
          <w:t>5</w:t>
        </w:r>
        <w:r w:rsidR="00BC0B07">
          <w:rPr>
            <w:noProof/>
            <w:webHidden/>
          </w:rPr>
          <w:fldChar w:fldCharType="end"/>
        </w:r>
      </w:hyperlink>
    </w:p>
    <w:p w:rsidR="00BC0B07" w:rsidRDefault="00FF25D3">
      <w:pPr>
        <w:pStyle w:val="TOC2"/>
        <w:rPr>
          <w:rFonts w:asciiTheme="minorHAnsi" w:eastAsiaTheme="minorEastAsia" w:hAnsiTheme="minorHAnsi" w:cstheme="minorBidi"/>
          <w:sz w:val="22"/>
          <w:szCs w:val="22"/>
          <w:lang w:eastAsia="en-NZ"/>
        </w:rPr>
      </w:pPr>
      <w:hyperlink w:anchor="_Toc473799837" w:history="1">
        <w:r w:rsidR="00BC0B07" w:rsidRPr="00151077">
          <w:rPr>
            <w:rStyle w:val="Hyperlink"/>
          </w:rPr>
          <w:t>Criteria</w:t>
        </w:r>
        <w:r w:rsidR="00BC0B07">
          <w:rPr>
            <w:webHidden/>
          </w:rPr>
          <w:tab/>
        </w:r>
        <w:r w:rsidR="00BC0B07">
          <w:rPr>
            <w:webHidden/>
          </w:rPr>
          <w:fldChar w:fldCharType="begin"/>
        </w:r>
        <w:r w:rsidR="00BC0B07">
          <w:rPr>
            <w:webHidden/>
          </w:rPr>
          <w:instrText xml:space="preserve"> PAGEREF _Toc473799837 \h </w:instrText>
        </w:r>
        <w:r w:rsidR="00BC0B07">
          <w:rPr>
            <w:webHidden/>
          </w:rPr>
        </w:r>
        <w:r w:rsidR="00BC0B07">
          <w:rPr>
            <w:webHidden/>
          </w:rPr>
          <w:fldChar w:fldCharType="separate"/>
        </w:r>
        <w:r w:rsidR="002703EC">
          <w:rPr>
            <w:webHidden/>
          </w:rPr>
          <w:t>6</w:t>
        </w:r>
        <w:r w:rsidR="00BC0B07">
          <w:rPr>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38" w:history="1">
        <w:r w:rsidR="00BC0B07" w:rsidRPr="00151077">
          <w:rPr>
            <w:rStyle w:val="Hyperlink"/>
            <w:noProof/>
          </w:rPr>
          <w:t>Status quo and problem definition—BDM access provisions</w:t>
        </w:r>
        <w:r w:rsidR="00BC0B07">
          <w:rPr>
            <w:noProof/>
            <w:webHidden/>
          </w:rPr>
          <w:tab/>
        </w:r>
        <w:r w:rsidR="00BC0B07">
          <w:rPr>
            <w:noProof/>
            <w:webHidden/>
          </w:rPr>
          <w:fldChar w:fldCharType="begin"/>
        </w:r>
        <w:r w:rsidR="00BC0B07">
          <w:rPr>
            <w:noProof/>
            <w:webHidden/>
          </w:rPr>
          <w:instrText xml:space="preserve"> PAGEREF _Toc473799838 \h </w:instrText>
        </w:r>
        <w:r w:rsidR="00BC0B07">
          <w:rPr>
            <w:noProof/>
            <w:webHidden/>
          </w:rPr>
        </w:r>
        <w:r w:rsidR="00BC0B07">
          <w:rPr>
            <w:noProof/>
            <w:webHidden/>
          </w:rPr>
          <w:fldChar w:fldCharType="separate"/>
        </w:r>
        <w:r w:rsidR="002703EC">
          <w:rPr>
            <w:noProof/>
            <w:webHidden/>
          </w:rPr>
          <w:t>7</w:t>
        </w:r>
        <w:r w:rsidR="00BC0B07">
          <w:rPr>
            <w:noProof/>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39" w:history="1">
        <w:r w:rsidR="00BC0B07" w:rsidRPr="00151077">
          <w:rPr>
            <w:rStyle w:val="Hyperlink"/>
            <w:noProof/>
          </w:rPr>
          <w:t>Options and impact analysis—BDM access provisions</w:t>
        </w:r>
        <w:r w:rsidR="00BC0B07">
          <w:rPr>
            <w:noProof/>
            <w:webHidden/>
          </w:rPr>
          <w:tab/>
        </w:r>
        <w:r w:rsidR="00BC0B07">
          <w:rPr>
            <w:noProof/>
            <w:webHidden/>
          </w:rPr>
          <w:fldChar w:fldCharType="begin"/>
        </w:r>
        <w:r w:rsidR="00BC0B07">
          <w:rPr>
            <w:noProof/>
            <w:webHidden/>
          </w:rPr>
          <w:instrText xml:space="preserve"> PAGEREF _Toc473799839 \h </w:instrText>
        </w:r>
        <w:r w:rsidR="00BC0B07">
          <w:rPr>
            <w:noProof/>
            <w:webHidden/>
          </w:rPr>
        </w:r>
        <w:r w:rsidR="00BC0B07">
          <w:rPr>
            <w:noProof/>
            <w:webHidden/>
          </w:rPr>
          <w:fldChar w:fldCharType="separate"/>
        </w:r>
        <w:r w:rsidR="002703EC">
          <w:rPr>
            <w:noProof/>
            <w:webHidden/>
          </w:rPr>
          <w:t>9</w:t>
        </w:r>
        <w:r w:rsidR="00BC0B07">
          <w:rPr>
            <w:noProof/>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40" w:history="1">
        <w:r w:rsidR="00BC0B07" w:rsidRPr="00151077">
          <w:rPr>
            <w:rStyle w:val="Hyperlink"/>
            <w:noProof/>
          </w:rPr>
          <w:t>Conclusions and recommendations—BDM access provisions</w:t>
        </w:r>
        <w:r w:rsidR="00BC0B07">
          <w:rPr>
            <w:noProof/>
            <w:webHidden/>
          </w:rPr>
          <w:tab/>
        </w:r>
        <w:r w:rsidR="00BC0B07">
          <w:rPr>
            <w:noProof/>
            <w:webHidden/>
          </w:rPr>
          <w:fldChar w:fldCharType="begin"/>
        </w:r>
        <w:r w:rsidR="00BC0B07">
          <w:rPr>
            <w:noProof/>
            <w:webHidden/>
          </w:rPr>
          <w:instrText xml:space="preserve"> PAGEREF _Toc473799840 \h </w:instrText>
        </w:r>
        <w:r w:rsidR="00BC0B07">
          <w:rPr>
            <w:noProof/>
            <w:webHidden/>
          </w:rPr>
        </w:r>
        <w:r w:rsidR="00BC0B07">
          <w:rPr>
            <w:noProof/>
            <w:webHidden/>
          </w:rPr>
          <w:fldChar w:fldCharType="separate"/>
        </w:r>
        <w:r w:rsidR="002703EC">
          <w:rPr>
            <w:noProof/>
            <w:webHidden/>
          </w:rPr>
          <w:t>13</w:t>
        </w:r>
        <w:r w:rsidR="00BC0B07">
          <w:rPr>
            <w:noProof/>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41" w:history="1">
        <w:r w:rsidR="00BC0B07" w:rsidRPr="00151077">
          <w:rPr>
            <w:rStyle w:val="Hyperlink"/>
            <w:noProof/>
          </w:rPr>
          <w:t>Status quo and problem definition—Law Commission review of burial and cremation law: preliminary notice of death</w:t>
        </w:r>
        <w:r w:rsidR="00BC0B07">
          <w:rPr>
            <w:noProof/>
            <w:webHidden/>
          </w:rPr>
          <w:tab/>
        </w:r>
        <w:r w:rsidR="00BC0B07">
          <w:rPr>
            <w:noProof/>
            <w:webHidden/>
          </w:rPr>
          <w:fldChar w:fldCharType="begin"/>
        </w:r>
        <w:r w:rsidR="00BC0B07">
          <w:rPr>
            <w:noProof/>
            <w:webHidden/>
          </w:rPr>
          <w:instrText xml:space="preserve"> PAGEREF _Toc473799841 \h </w:instrText>
        </w:r>
        <w:r w:rsidR="00BC0B07">
          <w:rPr>
            <w:noProof/>
            <w:webHidden/>
          </w:rPr>
        </w:r>
        <w:r w:rsidR="00BC0B07">
          <w:rPr>
            <w:noProof/>
            <w:webHidden/>
          </w:rPr>
          <w:fldChar w:fldCharType="separate"/>
        </w:r>
        <w:r w:rsidR="002703EC">
          <w:rPr>
            <w:noProof/>
            <w:webHidden/>
          </w:rPr>
          <w:t>13</w:t>
        </w:r>
        <w:r w:rsidR="00BC0B07">
          <w:rPr>
            <w:noProof/>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42" w:history="1">
        <w:r w:rsidR="00BC0B07" w:rsidRPr="00151077">
          <w:rPr>
            <w:rStyle w:val="Hyperlink"/>
            <w:noProof/>
          </w:rPr>
          <w:t>Options and impact analysis—Law Commission review of burial and cremation law: preliminary notice of death</w:t>
        </w:r>
        <w:r w:rsidR="00BC0B07">
          <w:rPr>
            <w:noProof/>
            <w:webHidden/>
          </w:rPr>
          <w:tab/>
        </w:r>
        <w:r w:rsidR="00BC0B07">
          <w:rPr>
            <w:noProof/>
            <w:webHidden/>
          </w:rPr>
          <w:fldChar w:fldCharType="begin"/>
        </w:r>
        <w:r w:rsidR="00BC0B07">
          <w:rPr>
            <w:noProof/>
            <w:webHidden/>
          </w:rPr>
          <w:instrText xml:space="preserve"> PAGEREF _Toc473799842 \h </w:instrText>
        </w:r>
        <w:r w:rsidR="00BC0B07">
          <w:rPr>
            <w:noProof/>
            <w:webHidden/>
          </w:rPr>
        </w:r>
        <w:r w:rsidR="00BC0B07">
          <w:rPr>
            <w:noProof/>
            <w:webHidden/>
          </w:rPr>
          <w:fldChar w:fldCharType="separate"/>
        </w:r>
        <w:r w:rsidR="002703EC">
          <w:rPr>
            <w:noProof/>
            <w:webHidden/>
          </w:rPr>
          <w:t>14</w:t>
        </w:r>
        <w:r w:rsidR="00BC0B07">
          <w:rPr>
            <w:noProof/>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43" w:history="1">
        <w:r w:rsidR="00BC0B07" w:rsidRPr="00151077">
          <w:rPr>
            <w:rStyle w:val="Hyperlink"/>
            <w:noProof/>
          </w:rPr>
          <w:t>Conclusion and recommendation—Law Commission review of burial and cremation law: preliminary notice of death</w:t>
        </w:r>
        <w:r w:rsidR="00BC0B07">
          <w:rPr>
            <w:noProof/>
            <w:webHidden/>
          </w:rPr>
          <w:tab/>
        </w:r>
        <w:r w:rsidR="00BC0B07">
          <w:rPr>
            <w:noProof/>
            <w:webHidden/>
          </w:rPr>
          <w:fldChar w:fldCharType="begin"/>
        </w:r>
        <w:r w:rsidR="00BC0B07">
          <w:rPr>
            <w:noProof/>
            <w:webHidden/>
          </w:rPr>
          <w:instrText xml:space="preserve"> PAGEREF _Toc473799843 \h </w:instrText>
        </w:r>
        <w:r w:rsidR="00BC0B07">
          <w:rPr>
            <w:noProof/>
            <w:webHidden/>
          </w:rPr>
        </w:r>
        <w:r w:rsidR="00BC0B07">
          <w:rPr>
            <w:noProof/>
            <w:webHidden/>
          </w:rPr>
          <w:fldChar w:fldCharType="separate"/>
        </w:r>
        <w:r w:rsidR="002703EC">
          <w:rPr>
            <w:noProof/>
            <w:webHidden/>
          </w:rPr>
          <w:t>16</w:t>
        </w:r>
        <w:r w:rsidR="00BC0B07">
          <w:rPr>
            <w:noProof/>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44" w:history="1">
        <w:r w:rsidR="00BC0B07" w:rsidRPr="00151077">
          <w:rPr>
            <w:rStyle w:val="Hyperlink"/>
            <w:noProof/>
          </w:rPr>
          <w:t>Consultation</w:t>
        </w:r>
        <w:r w:rsidR="00BC0B07">
          <w:rPr>
            <w:noProof/>
            <w:webHidden/>
          </w:rPr>
          <w:tab/>
        </w:r>
        <w:r w:rsidR="00BC0B07">
          <w:rPr>
            <w:noProof/>
            <w:webHidden/>
          </w:rPr>
          <w:fldChar w:fldCharType="begin"/>
        </w:r>
        <w:r w:rsidR="00BC0B07">
          <w:rPr>
            <w:noProof/>
            <w:webHidden/>
          </w:rPr>
          <w:instrText xml:space="preserve"> PAGEREF _Toc473799844 \h </w:instrText>
        </w:r>
        <w:r w:rsidR="00BC0B07">
          <w:rPr>
            <w:noProof/>
            <w:webHidden/>
          </w:rPr>
        </w:r>
        <w:r w:rsidR="00BC0B07">
          <w:rPr>
            <w:noProof/>
            <w:webHidden/>
          </w:rPr>
          <w:fldChar w:fldCharType="separate"/>
        </w:r>
        <w:r w:rsidR="002703EC">
          <w:rPr>
            <w:noProof/>
            <w:webHidden/>
          </w:rPr>
          <w:t>16</w:t>
        </w:r>
        <w:r w:rsidR="00BC0B07">
          <w:rPr>
            <w:noProof/>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45" w:history="1">
        <w:r w:rsidR="00BC0B07" w:rsidRPr="00151077">
          <w:rPr>
            <w:rStyle w:val="Hyperlink"/>
            <w:noProof/>
          </w:rPr>
          <w:t>Conclusions and recommendations</w:t>
        </w:r>
        <w:r w:rsidR="00BC0B07">
          <w:rPr>
            <w:noProof/>
            <w:webHidden/>
          </w:rPr>
          <w:tab/>
        </w:r>
        <w:r w:rsidR="00BC0B07">
          <w:rPr>
            <w:noProof/>
            <w:webHidden/>
          </w:rPr>
          <w:fldChar w:fldCharType="begin"/>
        </w:r>
        <w:r w:rsidR="00BC0B07">
          <w:rPr>
            <w:noProof/>
            <w:webHidden/>
          </w:rPr>
          <w:instrText xml:space="preserve"> PAGEREF _Toc473799845 \h </w:instrText>
        </w:r>
        <w:r w:rsidR="00BC0B07">
          <w:rPr>
            <w:noProof/>
            <w:webHidden/>
          </w:rPr>
        </w:r>
        <w:r w:rsidR="00BC0B07">
          <w:rPr>
            <w:noProof/>
            <w:webHidden/>
          </w:rPr>
          <w:fldChar w:fldCharType="separate"/>
        </w:r>
        <w:r w:rsidR="002703EC">
          <w:rPr>
            <w:noProof/>
            <w:webHidden/>
          </w:rPr>
          <w:t>16</w:t>
        </w:r>
        <w:r w:rsidR="00BC0B07">
          <w:rPr>
            <w:noProof/>
            <w:webHidden/>
          </w:rPr>
          <w:fldChar w:fldCharType="end"/>
        </w:r>
      </w:hyperlink>
    </w:p>
    <w:p w:rsidR="00BC0B07" w:rsidRDefault="00FF25D3">
      <w:pPr>
        <w:pStyle w:val="TOC2"/>
        <w:tabs>
          <w:tab w:val="left" w:pos="992"/>
        </w:tabs>
        <w:rPr>
          <w:rFonts w:asciiTheme="minorHAnsi" w:eastAsiaTheme="minorEastAsia" w:hAnsiTheme="minorHAnsi" w:cstheme="minorBidi"/>
          <w:sz w:val="22"/>
          <w:szCs w:val="22"/>
          <w:lang w:eastAsia="en-NZ"/>
        </w:rPr>
      </w:pPr>
      <w:hyperlink w:anchor="_Toc473799846" w:history="1">
        <w:r w:rsidR="00BC0B07" w:rsidRPr="00151077">
          <w:rPr>
            <w:rStyle w:val="Hyperlink"/>
          </w:rPr>
          <w:t>1</w:t>
        </w:r>
        <w:r w:rsidR="00BC0B07">
          <w:rPr>
            <w:rFonts w:asciiTheme="minorHAnsi" w:eastAsiaTheme="minorEastAsia" w:hAnsiTheme="minorHAnsi" w:cstheme="minorBidi"/>
            <w:sz w:val="22"/>
            <w:szCs w:val="22"/>
            <w:lang w:eastAsia="en-NZ"/>
          </w:rPr>
          <w:tab/>
        </w:r>
        <w:r w:rsidR="00BC0B07" w:rsidRPr="00151077">
          <w:rPr>
            <w:rStyle w:val="Hyperlink"/>
          </w:rPr>
          <w:t>BDM access provisions</w:t>
        </w:r>
        <w:r w:rsidR="00BC0B07">
          <w:rPr>
            <w:webHidden/>
          </w:rPr>
          <w:tab/>
        </w:r>
        <w:r w:rsidR="00BC0B07">
          <w:rPr>
            <w:webHidden/>
          </w:rPr>
          <w:fldChar w:fldCharType="begin"/>
        </w:r>
        <w:r w:rsidR="00BC0B07">
          <w:rPr>
            <w:webHidden/>
          </w:rPr>
          <w:instrText xml:space="preserve"> PAGEREF _Toc473799846 \h </w:instrText>
        </w:r>
        <w:r w:rsidR="00BC0B07">
          <w:rPr>
            <w:webHidden/>
          </w:rPr>
        </w:r>
        <w:r w:rsidR="00BC0B07">
          <w:rPr>
            <w:webHidden/>
          </w:rPr>
          <w:fldChar w:fldCharType="separate"/>
        </w:r>
        <w:r w:rsidR="002703EC">
          <w:rPr>
            <w:webHidden/>
          </w:rPr>
          <w:t>16</w:t>
        </w:r>
        <w:r w:rsidR="00BC0B07">
          <w:rPr>
            <w:webHidden/>
          </w:rPr>
          <w:fldChar w:fldCharType="end"/>
        </w:r>
      </w:hyperlink>
    </w:p>
    <w:p w:rsidR="00BC0B07" w:rsidRDefault="00FF25D3">
      <w:pPr>
        <w:pStyle w:val="TOC2"/>
        <w:tabs>
          <w:tab w:val="left" w:pos="992"/>
        </w:tabs>
        <w:rPr>
          <w:rFonts w:asciiTheme="minorHAnsi" w:eastAsiaTheme="minorEastAsia" w:hAnsiTheme="minorHAnsi" w:cstheme="minorBidi"/>
          <w:sz w:val="22"/>
          <w:szCs w:val="22"/>
          <w:lang w:eastAsia="en-NZ"/>
        </w:rPr>
      </w:pPr>
      <w:hyperlink w:anchor="_Toc473799847" w:history="1">
        <w:r w:rsidR="00BC0B07" w:rsidRPr="00151077">
          <w:rPr>
            <w:rStyle w:val="Hyperlink"/>
          </w:rPr>
          <w:t>2</w:t>
        </w:r>
        <w:r w:rsidR="00BC0B07">
          <w:rPr>
            <w:rFonts w:asciiTheme="minorHAnsi" w:eastAsiaTheme="minorEastAsia" w:hAnsiTheme="minorHAnsi" w:cstheme="minorBidi"/>
            <w:sz w:val="22"/>
            <w:szCs w:val="22"/>
            <w:lang w:eastAsia="en-NZ"/>
          </w:rPr>
          <w:tab/>
        </w:r>
        <w:r w:rsidR="00BC0B07" w:rsidRPr="00151077">
          <w:rPr>
            <w:rStyle w:val="Hyperlink"/>
          </w:rPr>
          <w:t>Law Commission review of burial and cremation law: preliminary notice of death</w:t>
        </w:r>
        <w:r w:rsidR="00BC0B07">
          <w:rPr>
            <w:webHidden/>
          </w:rPr>
          <w:tab/>
        </w:r>
        <w:r w:rsidR="00BC0B07">
          <w:rPr>
            <w:webHidden/>
          </w:rPr>
          <w:fldChar w:fldCharType="begin"/>
        </w:r>
        <w:r w:rsidR="00BC0B07">
          <w:rPr>
            <w:webHidden/>
          </w:rPr>
          <w:instrText xml:space="preserve"> PAGEREF _Toc473799847 \h </w:instrText>
        </w:r>
        <w:r w:rsidR="00BC0B07">
          <w:rPr>
            <w:webHidden/>
          </w:rPr>
        </w:r>
        <w:r w:rsidR="00BC0B07">
          <w:rPr>
            <w:webHidden/>
          </w:rPr>
          <w:fldChar w:fldCharType="separate"/>
        </w:r>
        <w:r w:rsidR="002703EC">
          <w:rPr>
            <w:webHidden/>
          </w:rPr>
          <w:t>17</w:t>
        </w:r>
        <w:r w:rsidR="00BC0B07">
          <w:rPr>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48" w:history="1">
        <w:r w:rsidR="00BC0B07" w:rsidRPr="00151077">
          <w:rPr>
            <w:rStyle w:val="Hyperlink"/>
            <w:noProof/>
          </w:rPr>
          <w:t>Implementation plan</w:t>
        </w:r>
        <w:r w:rsidR="00BC0B07">
          <w:rPr>
            <w:noProof/>
            <w:webHidden/>
          </w:rPr>
          <w:tab/>
        </w:r>
        <w:r w:rsidR="00BC0B07">
          <w:rPr>
            <w:noProof/>
            <w:webHidden/>
          </w:rPr>
          <w:fldChar w:fldCharType="begin"/>
        </w:r>
        <w:r w:rsidR="00BC0B07">
          <w:rPr>
            <w:noProof/>
            <w:webHidden/>
          </w:rPr>
          <w:instrText xml:space="preserve"> PAGEREF _Toc473799848 \h </w:instrText>
        </w:r>
        <w:r w:rsidR="00BC0B07">
          <w:rPr>
            <w:noProof/>
            <w:webHidden/>
          </w:rPr>
        </w:r>
        <w:r w:rsidR="00BC0B07">
          <w:rPr>
            <w:noProof/>
            <w:webHidden/>
          </w:rPr>
          <w:fldChar w:fldCharType="separate"/>
        </w:r>
        <w:r w:rsidR="002703EC">
          <w:rPr>
            <w:noProof/>
            <w:webHidden/>
          </w:rPr>
          <w:t>17</w:t>
        </w:r>
        <w:r w:rsidR="00BC0B07">
          <w:rPr>
            <w:noProof/>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49" w:history="1">
        <w:r w:rsidR="00BC0B07" w:rsidRPr="00151077">
          <w:rPr>
            <w:rStyle w:val="Hyperlink"/>
            <w:noProof/>
          </w:rPr>
          <w:t>Monitoring, evaluation, and review</w:t>
        </w:r>
        <w:r w:rsidR="00BC0B07">
          <w:rPr>
            <w:noProof/>
            <w:webHidden/>
          </w:rPr>
          <w:tab/>
        </w:r>
        <w:r w:rsidR="00BC0B07">
          <w:rPr>
            <w:noProof/>
            <w:webHidden/>
          </w:rPr>
          <w:fldChar w:fldCharType="begin"/>
        </w:r>
        <w:r w:rsidR="00BC0B07">
          <w:rPr>
            <w:noProof/>
            <w:webHidden/>
          </w:rPr>
          <w:instrText xml:space="preserve"> PAGEREF _Toc473799849 \h </w:instrText>
        </w:r>
        <w:r w:rsidR="00BC0B07">
          <w:rPr>
            <w:noProof/>
            <w:webHidden/>
          </w:rPr>
        </w:r>
        <w:r w:rsidR="00BC0B07">
          <w:rPr>
            <w:noProof/>
            <w:webHidden/>
          </w:rPr>
          <w:fldChar w:fldCharType="separate"/>
        </w:r>
        <w:r w:rsidR="002703EC">
          <w:rPr>
            <w:noProof/>
            <w:webHidden/>
          </w:rPr>
          <w:t>17</w:t>
        </w:r>
        <w:r w:rsidR="00BC0B07">
          <w:rPr>
            <w:noProof/>
            <w:webHidden/>
          </w:rPr>
          <w:fldChar w:fldCharType="end"/>
        </w:r>
      </w:hyperlink>
    </w:p>
    <w:p w:rsidR="00BC0B07" w:rsidRDefault="00FF25D3">
      <w:pPr>
        <w:pStyle w:val="TOC1"/>
        <w:rPr>
          <w:rFonts w:asciiTheme="minorHAnsi" w:eastAsiaTheme="minorEastAsia" w:hAnsiTheme="minorHAnsi" w:cstheme="minorBidi"/>
          <w:noProof/>
          <w:color w:val="auto"/>
          <w:sz w:val="22"/>
          <w:szCs w:val="22"/>
          <w:lang w:eastAsia="en-NZ"/>
        </w:rPr>
      </w:pPr>
      <w:hyperlink w:anchor="_Toc473799850" w:history="1">
        <w:r w:rsidR="00BC0B07" w:rsidRPr="00151077">
          <w:rPr>
            <w:rStyle w:val="Hyperlink"/>
            <w:b/>
            <w:noProof/>
          </w:rPr>
          <w:t>Appendix A</w:t>
        </w:r>
        <w:r w:rsidR="002E4665">
          <w:rPr>
            <w:rStyle w:val="Hyperlink"/>
            <w:b/>
            <w:noProof/>
          </w:rPr>
          <w:t xml:space="preserve">: </w:t>
        </w:r>
        <w:r w:rsidR="002E4665" w:rsidRPr="002E4665">
          <w:rPr>
            <w:rStyle w:val="Hyperlink"/>
            <w:b/>
            <w:noProof/>
          </w:rPr>
          <w:t>ScotlandsPeople Website overview</w:t>
        </w:r>
        <w:r w:rsidR="002E4665">
          <w:rPr>
            <w:rStyle w:val="Hyperlink"/>
            <w:b/>
            <w:noProof/>
          </w:rPr>
          <w:t xml:space="preserve"> </w:t>
        </w:r>
        <w:r w:rsidR="00BC0B07">
          <w:rPr>
            <w:noProof/>
            <w:webHidden/>
          </w:rPr>
          <w:tab/>
        </w:r>
        <w:r w:rsidR="00BC0B07">
          <w:rPr>
            <w:noProof/>
            <w:webHidden/>
          </w:rPr>
          <w:fldChar w:fldCharType="begin"/>
        </w:r>
        <w:r w:rsidR="00BC0B07">
          <w:rPr>
            <w:noProof/>
            <w:webHidden/>
          </w:rPr>
          <w:instrText xml:space="preserve"> PAGEREF _Toc473799850 \h </w:instrText>
        </w:r>
        <w:r w:rsidR="00BC0B07">
          <w:rPr>
            <w:noProof/>
            <w:webHidden/>
          </w:rPr>
        </w:r>
        <w:r w:rsidR="00BC0B07">
          <w:rPr>
            <w:noProof/>
            <w:webHidden/>
          </w:rPr>
          <w:fldChar w:fldCharType="separate"/>
        </w:r>
        <w:r w:rsidR="002703EC">
          <w:rPr>
            <w:noProof/>
            <w:webHidden/>
          </w:rPr>
          <w:t>18</w:t>
        </w:r>
        <w:r w:rsidR="00BC0B07">
          <w:rPr>
            <w:noProof/>
            <w:webHidden/>
          </w:rPr>
          <w:fldChar w:fldCharType="end"/>
        </w:r>
      </w:hyperlink>
    </w:p>
    <w:p w:rsidR="00D35A83" w:rsidRDefault="00977CA2" w:rsidP="00D35A83">
      <w:pPr>
        <w:tabs>
          <w:tab w:val="right" w:leader="dot" w:pos="9498"/>
        </w:tabs>
        <w:sectPr w:rsidR="00D35A83" w:rsidSect="00D35A83">
          <w:pgSz w:w="11907" w:h="16840" w:code="9"/>
          <w:pgMar w:top="1418" w:right="1021" w:bottom="992" w:left="1304" w:header="425" w:footer="635" w:gutter="0"/>
          <w:cols w:space="708"/>
          <w:titlePg/>
          <w:docGrid w:linePitch="360"/>
        </w:sectPr>
      </w:pPr>
      <w:r>
        <w:fldChar w:fldCharType="end"/>
      </w:r>
    </w:p>
    <w:p w:rsidR="007361D6" w:rsidRDefault="00264E9B" w:rsidP="00D015A1">
      <w:pPr>
        <w:pStyle w:val="Heading1"/>
        <w:tabs>
          <w:tab w:val="center" w:pos="4649"/>
        </w:tabs>
      </w:pPr>
      <w:bookmarkStart w:id="1" w:name="_Toc473799832"/>
      <w:r w:rsidRPr="00B302E6">
        <w:t>Executive summary</w:t>
      </w:r>
      <w:bookmarkEnd w:id="1"/>
    </w:p>
    <w:p w:rsidR="007E7B78" w:rsidRPr="007E7B78" w:rsidRDefault="00700B0D" w:rsidP="00700B0D">
      <w:pPr>
        <w:pStyle w:val="Heading2"/>
      </w:pPr>
      <w:r>
        <w:t>1</w:t>
      </w:r>
      <w:r>
        <w:tab/>
      </w:r>
      <w:r w:rsidR="007E7B78" w:rsidRPr="007E7B78">
        <w:t>BDM access review</w:t>
      </w:r>
    </w:p>
    <w:p w:rsidR="00CC3792" w:rsidRDefault="00CC3792" w:rsidP="00DA5A00">
      <w:pPr>
        <w:pStyle w:val="Numberedpara3level1"/>
        <w:ind w:right="-170"/>
      </w:pPr>
      <w:r>
        <w:t xml:space="preserve">The access provisions in </w:t>
      </w:r>
      <w:r w:rsidR="00F10D15">
        <w:t xml:space="preserve">the </w:t>
      </w:r>
      <w:r>
        <w:t>Births, Deaths, Marriages, and Relationships Registration Act 1995 (BDMRRA 1995) regulate access to registered information about births, deaths, marriages, civil unions, and name changes (BDM information) held by the Department of Internal Affairs (the Department).  The rules aim to balance the public interest in access for legitimate purposes with the protection of at-risk individuals and individuals’ privacy interests.</w:t>
      </w:r>
    </w:p>
    <w:p w:rsidR="00042A13" w:rsidRPr="00042A13" w:rsidRDefault="00042A13" w:rsidP="00042A13">
      <w:pPr>
        <w:pStyle w:val="Numberedpara3level1"/>
        <w:ind w:right="-170"/>
      </w:pPr>
      <w:r>
        <w:t xml:space="preserve">A statutory review of the access provisions (2015–16) confirmed the basic principles underpinning the BDM access regime remain sound, but submitters expressed a clear preference for digital and online access over paper-based access via certificates and printouts (the status quo).  However, </w:t>
      </w:r>
      <w:r>
        <w:rPr>
          <w:szCs w:val="20"/>
        </w:rPr>
        <w:t>c</w:t>
      </w:r>
      <w:r w:rsidRPr="00867223">
        <w:rPr>
          <w:szCs w:val="20"/>
        </w:rPr>
        <w:t>urrent legislative settings limit the Department’s ability to develop end-to-end BDM services, including facilitating pub</w:t>
      </w:r>
      <w:r>
        <w:rPr>
          <w:szCs w:val="20"/>
        </w:rPr>
        <w:t>lic access to BDM information through digital and online channels</w:t>
      </w:r>
      <w:r w:rsidR="00591DD4">
        <w:rPr>
          <w:szCs w:val="20"/>
        </w:rPr>
        <w:t>.</w:t>
      </w:r>
    </w:p>
    <w:p w:rsidR="00D015A1" w:rsidRDefault="00D015A1" w:rsidP="007E7B78">
      <w:pPr>
        <w:pStyle w:val="Numberedpara3level1"/>
        <w:ind w:right="-170"/>
      </w:pPr>
      <w:r>
        <w:t>The Minister of Internal Affairs</w:t>
      </w:r>
      <w:r w:rsidR="00042A13">
        <w:t>’</w:t>
      </w:r>
      <w:r>
        <w:t xml:space="preserve"> </w:t>
      </w:r>
      <w:r w:rsidR="00042A13">
        <w:t xml:space="preserve">October 2016 </w:t>
      </w:r>
      <w:r>
        <w:t xml:space="preserve">report on the review </w:t>
      </w:r>
      <w:r w:rsidR="00042A13">
        <w:t>[EGI 16-Min-0258] included a number of recommendations to facilitate developme</w:t>
      </w:r>
      <w:r w:rsidR="00591DD4">
        <w:t xml:space="preserve">nt of an online, pay-for view, </w:t>
      </w:r>
      <w:r w:rsidR="00042A13">
        <w:t xml:space="preserve">BDM access regime similar to that operating in Scotland. </w:t>
      </w:r>
      <w:r w:rsidR="00591DD4">
        <w:t xml:space="preserve"> This RIS considers two of those recommendations (a limited search function for non-historical information; and providing online access to historical register images, as an alternative to the purchase of a certificate or printout.</w:t>
      </w:r>
    </w:p>
    <w:p w:rsidR="00591DD4" w:rsidRDefault="00591DD4" w:rsidP="00042A13">
      <w:pPr>
        <w:pStyle w:val="Numberedpara3level1"/>
        <w:ind w:right="-170"/>
      </w:pPr>
      <w:r>
        <w:t xml:space="preserve">The recommended options reflect the result of extensive public and agency consultation.  </w:t>
      </w:r>
      <w:r w:rsidR="007E7B78">
        <w:br/>
        <w:t xml:space="preserve">The </w:t>
      </w:r>
      <w:r>
        <w:t xml:space="preserve">Department </w:t>
      </w:r>
      <w:r w:rsidR="007E7B78">
        <w:t>considers</w:t>
      </w:r>
      <w:r>
        <w:t xml:space="preserve"> </w:t>
      </w:r>
      <w:r w:rsidR="007E7B78">
        <w:t>they</w:t>
      </w:r>
      <w:r>
        <w:t xml:space="preserve"> strike the right balance between individual rights and the public interest at a time people expect to be able to interact with government in a digital environment.  </w:t>
      </w:r>
      <w:r w:rsidR="007E7B78">
        <w:t xml:space="preserve">The proposals have broad public and agency support, including the support of the Privacy Commissioner. </w:t>
      </w:r>
    </w:p>
    <w:p w:rsidR="007E7B78" w:rsidRDefault="007E7B78" w:rsidP="00042A13">
      <w:pPr>
        <w:pStyle w:val="Numberedpara3level1"/>
        <w:ind w:right="-170"/>
      </w:pPr>
      <w:r>
        <w:t xml:space="preserve">The RIS is limited to </w:t>
      </w:r>
      <w:r w:rsidR="00136CC1">
        <w:t>amendments</w:t>
      </w:r>
      <w:r>
        <w:t xml:space="preserve"> to the BDMRRA 1995.  Operational implementation </w:t>
      </w:r>
      <w:r>
        <w:br/>
        <w:t>(</w:t>
      </w:r>
      <w:proofErr w:type="spellStart"/>
      <w:r>
        <w:t>eg</w:t>
      </w:r>
      <w:proofErr w:type="spellEnd"/>
      <w:r>
        <w:t xml:space="preserve">, designing new BDM services and access channels) is a separate issue that will be considered as part of the Department’s </w:t>
      </w:r>
      <w:r w:rsidR="00136CC1">
        <w:t>multi-year work programme: Transforming the System of Service Delivery (TSSD).</w:t>
      </w:r>
    </w:p>
    <w:p w:rsidR="00136CC1" w:rsidRPr="00136CC1" w:rsidRDefault="00700B0D" w:rsidP="00700B0D">
      <w:pPr>
        <w:pStyle w:val="Heading2"/>
      </w:pPr>
      <w:r>
        <w:t>2</w:t>
      </w:r>
      <w:r>
        <w:tab/>
      </w:r>
      <w:r w:rsidR="00136CC1" w:rsidRPr="00136CC1">
        <w:t>Law Commission review of burial and cremation law</w:t>
      </w:r>
    </w:p>
    <w:p w:rsidR="00161D57" w:rsidRPr="00136CC1" w:rsidRDefault="000958EA" w:rsidP="00CC3792">
      <w:pPr>
        <w:pStyle w:val="Numberedpara3level1"/>
      </w:pPr>
      <w:r>
        <w:t>Complete, accurate, and verifiable BDM information is important for a wide range of government and public interest purposes.</w:t>
      </w:r>
      <w:r w:rsidR="00161D57" w:rsidRPr="00867223">
        <w:rPr>
          <w:szCs w:val="20"/>
        </w:rPr>
        <w:t xml:space="preserve">  </w:t>
      </w:r>
      <w:r w:rsidR="009122FA">
        <w:t xml:space="preserve">This RIS considers a discrete amendment to the BDMRRA 1995 that responds to an issue raised in the Law Commission’s report to improve the timeliness and accuracy of cause of death information.  The preferred option can be progressed </w:t>
      </w:r>
      <w:r w:rsidR="00A81BF3">
        <w:t xml:space="preserve">independently of the </w:t>
      </w:r>
      <w:r w:rsidR="009122FA">
        <w:t xml:space="preserve">other work underway, including the Ministry of Health-led consideration of a replacement for the Burial and Cremation Act 1964. </w:t>
      </w:r>
    </w:p>
    <w:p w:rsidR="00700B0D" w:rsidRDefault="00700B0D">
      <w:pPr>
        <w:keepLines w:val="0"/>
        <w:rPr>
          <w:b/>
          <w:sz w:val="28"/>
        </w:rPr>
      </w:pPr>
      <w:bookmarkStart w:id="2" w:name="_Toc473799833"/>
      <w:r>
        <w:br w:type="page"/>
      </w:r>
    </w:p>
    <w:p w:rsidR="004F6B7B" w:rsidRDefault="004F6B7B" w:rsidP="00700B0D">
      <w:pPr>
        <w:pStyle w:val="Heading1"/>
        <w:spacing w:before="0"/>
      </w:pPr>
      <w:r>
        <w:t>Background</w:t>
      </w:r>
      <w:bookmarkEnd w:id="2"/>
    </w:p>
    <w:p w:rsidR="004F6B7B" w:rsidRPr="004F6B7B" w:rsidRDefault="00F13143" w:rsidP="004F6B7B">
      <w:pPr>
        <w:pStyle w:val="Heading2"/>
      </w:pPr>
      <w:bookmarkStart w:id="3" w:name="_Toc473799834"/>
      <w:r>
        <w:t>1</w:t>
      </w:r>
      <w:r>
        <w:tab/>
      </w:r>
      <w:r w:rsidR="004F6B7B">
        <w:t>BDM access provisions</w:t>
      </w:r>
      <w:bookmarkEnd w:id="3"/>
    </w:p>
    <w:p w:rsidR="000A0DD7" w:rsidRDefault="000A0DD7" w:rsidP="00700B0D">
      <w:pPr>
        <w:pStyle w:val="Numberedpara3level1"/>
        <w:ind w:right="-170"/>
      </w:pPr>
      <w:r>
        <w:t xml:space="preserve">The BDMRRA 1995 consolidated </w:t>
      </w:r>
      <w:r w:rsidR="0023314D">
        <w:t xml:space="preserve">the </w:t>
      </w:r>
      <w:r>
        <w:t>legislation for the civil registration of life events</w:t>
      </w:r>
      <w:r w:rsidR="0023314D">
        <w:t>, previously found in a number of Acts of Parliament.</w:t>
      </w:r>
      <w:r>
        <w:t xml:space="preserve">  It established the framework for the centralisation of the registration process, and computerisation and digitisation of paper records created before 1998.</w:t>
      </w:r>
    </w:p>
    <w:p w:rsidR="000A0DD7" w:rsidRDefault="000A0DD7" w:rsidP="000A0DD7">
      <w:pPr>
        <w:pStyle w:val="Numberedpara3level1"/>
        <w:ind w:right="-285"/>
      </w:pPr>
      <w:r>
        <w:t xml:space="preserve">The BDMRRA 1995 affirmed the </w:t>
      </w:r>
      <w:r w:rsidR="005D6332">
        <w:t xml:space="preserve">existing </w:t>
      </w:r>
      <w:r>
        <w:t xml:space="preserve">status of BDM registers as public registers.  There were few restrictions on access, no distinction between historical and non-historical records, and no formal record was kept of who accessed whose records.  There </w:t>
      </w:r>
      <w:r w:rsidR="00DD0721">
        <w:t>were no</w:t>
      </w:r>
      <w:r>
        <w:t xml:space="preserve"> restriction</w:t>
      </w:r>
      <w:r w:rsidR="00DD0721">
        <w:t>s</w:t>
      </w:r>
      <w:r>
        <w:t xml:space="preserve"> on either the purpose for or the way in which BDM information could be used.</w:t>
      </w:r>
    </w:p>
    <w:p w:rsidR="004F6B7B" w:rsidRDefault="00144244" w:rsidP="00700B0D">
      <w:pPr>
        <w:pStyle w:val="Numberedpara3level1"/>
        <w:ind w:right="-312"/>
      </w:pPr>
      <w:r>
        <w:t xml:space="preserve">The BDMRR Amendment Act 2008 was in part a response to growing public concern that individuals’ privacy interests were being or could be negatively impacted by unrestricted access to BDM information at a time of rapid technological change.  </w:t>
      </w:r>
      <w:r w:rsidR="003E6BB9">
        <w:t>Key changes relevant to this RIS</w:t>
      </w:r>
      <w:r w:rsidR="00E23FDA">
        <w:t xml:space="preserve"> </w:t>
      </w:r>
      <w:r w:rsidR="003E6BB9">
        <w:t>were new</w:t>
      </w:r>
      <w:r w:rsidR="00E23FDA">
        <w:t xml:space="preserve"> rules distinguishing </w:t>
      </w:r>
      <w:r>
        <w:t>histor</w:t>
      </w:r>
      <w:r w:rsidR="00E23FDA">
        <w:t xml:space="preserve">ical and non-historical records (essentially </w:t>
      </w:r>
      <w:r>
        <w:t>information about living individuals</w:t>
      </w:r>
      <w:r w:rsidR="00E23FDA">
        <w:t>), including</w:t>
      </w:r>
      <w:r>
        <w:t xml:space="preserve"> when and where historical and non-historical information could be published, in what form, and by whom.</w:t>
      </w:r>
    </w:p>
    <w:p w:rsidR="0023314D" w:rsidRDefault="000A0DD7" w:rsidP="0023314D">
      <w:pPr>
        <w:pStyle w:val="Numberedpara3level1"/>
        <w:ind w:right="-340"/>
      </w:pPr>
      <w:r>
        <w:t>As part of changes, which came into force in 2009, Parliament asked the Minister of Internal Affairs to review the operation of the access provisions after five years</w:t>
      </w:r>
      <w:r w:rsidR="006F563E">
        <w:t xml:space="preserve"> (BDM access review)</w:t>
      </w:r>
      <w:r>
        <w:t xml:space="preserve">.  There was a requirement to consult with interested parties, including the Privacy Commissioner and the Chief Archivist. </w:t>
      </w:r>
      <w:r w:rsidRPr="008A5922">
        <w:t xml:space="preserve"> </w:t>
      </w:r>
      <w:r w:rsidR="00E6029C">
        <w:t>The review found the basic principles underpinning the BDM access regime were sound.  However, submitters expressed a clear preference for digital and online access over paper-based access via certificates and printouts.</w:t>
      </w:r>
    </w:p>
    <w:p w:rsidR="000A0DD7" w:rsidRDefault="000D282B" w:rsidP="0023314D">
      <w:pPr>
        <w:pStyle w:val="Numberedpara3level1"/>
        <w:ind w:right="-340"/>
      </w:pPr>
      <w:r>
        <w:t xml:space="preserve">The Minister’s report on the review was presented to the House of Representatives on </w:t>
      </w:r>
      <w:r w:rsidR="00E25DAC">
        <w:br/>
      </w:r>
      <w:r>
        <w:t>20 October 2016 [EGI 16-Min-0258].</w:t>
      </w:r>
      <w:r w:rsidR="00844509">
        <w:t xml:space="preserve">  This RIS </w:t>
      </w:r>
      <w:r w:rsidR="00AB7666">
        <w:t xml:space="preserve">(Proposals 1A and 1B) </w:t>
      </w:r>
      <w:r w:rsidR="00844509">
        <w:t>addresses two of the recommendations in that report.</w:t>
      </w:r>
    </w:p>
    <w:p w:rsidR="004F6B7B" w:rsidRDefault="00F13143" w:rsidP="004F6B7B">
      <w:pPr>
        <w:pStyle w:val="Heading2"/>
      </w:pPr>
      <w:bookmarkStart w:id="4" w:name="_Toc473799835"/>
      <w:r>
        <w:t>2</w:t>
      </w:r>
      <w:r>
        <w:tab/>
      </w:r>
      <w:r w:rsidR="004F6B7B">
        <w:t>Law Commission review of burial and cremation law</w:t>
      </w:r>
      <w:bookmarkEnd w:id="4"/>
    </w:p>
    <w:p w:rsidR="004F6B7B" w:rsidRDefault="005D4A53" w:rsidP="00A938BA">
      <w:pPr>
        <w:pStyle w:val="Numberedpara3level1"/>
        <w:ind w:right="-28"/>
      </w:pPr>
      <w:r>
        <w:t>The Law Commission released its report—</w:t>
      </w:r>
      <w:r>
        <w:rPr>
          <w:i/>
        </w:rPr>
        <w:t>Death, Burial and Cremation: A new law for contemporary New Zealand</w:t>
      </w:r>
      <w:r>
        <w:t xml:space="preserve"> on 27 October 2015.  The Government response presented to the House of Representatives on 20 April 2016 noted the Ministry of Health was undertaking further policy work on Commission recommendations to streamline and clarify the process for death determination, certification, and notification.</w:t>
      </w:r>
    </w:p>
    <w:p w:rsidR="005D4A53" w:rsidRPr="004F6B7B" w:rsidRDefault="005D4A53" w:rsidP="00A938BA">
      <w:pPr>
        <w:pStyle w:val="Numberedpara3level1"/>
        <w:ind w:right="-170"/>
      </w:pPr>
      <w:r>
        <w:t xml:space="preserve">This RIS considers a discrete amendment to the BDMRRA 1995 that responds to an issue raised </w:t>
      </w:r>
      <w:r w:rsidR="00550A6F">
        <w:t xml:space="preserve">in the Law Commission’s report (Proposal 2), </w:t>
      </w:r>
      <w:r>
        <w:t xml:space="preserve">which can be progressed </w:t>
      </w:r>
      <w:r w:rsidR="00A81BF3">
        <w:t xml:space="preserve">independently of the </w:t>
      </w:r>
      <w:r w:rsidR="001D3393">
        <w:t>other work underway, including the Ministry of Health-led consideration of a replacement for the Burial and Cremation Act 1964.</w:t>
      </w:r>
      <w:r w:rsidR="00550A6F">
        <w:t xml:space="preserve"> </w:t>
      </w:r>
    </w:p>
    <w:p w:rsidR="0071033B" w:rsidRDefault="0071033B" w:rsidP="0003505B">
      <w:pPr>
        <w:pStyle w:val="Heading1"/>
        <w:ind w:right="-624"/>
      </w:pPr>
      <w:bookmarkStart w:id="5" w:name="_Toc473799836"/>
      <w:r>
        <w:t>Objectives</w:t>
      </w:r>
      <w:bookmarkEnd w:id="5"/>
    </w:p>
    <w:p w:rsidR="0071033B" w:rsidRDefault="00DB648F" w:rsidP="00700B0D">
      <w:pPr>
        <w:pStyle w:val="Numberedpara3level1"/>
        <w:ind w:right="-312"/>
      </w:pPr>
      <w:r>
        <w:t xml:space="preserve">The </w:t>
      </w:r>
      <w:r w:rsidR="004B0BC6">
        <w:t xml:space="preserve">key </w:t>
      </w:r>
      <w:r w:rsidR="0048349B">
        <w:t>objectives</w:t>
      </w:r>
      <w:r w:rsidR="004B0BC6">
        <w:t xml:space="preserve"> of the </w:t>
      </w:r>
      <w:r w:rsidR="00AF5909">
        <w:t xml:space="preserve">BDMRRA 1995 </w:t>
      </w:r>
      <w:r w:rsidR="0048349B">
        <w:t>are to (a) establish a system of</w:t>
      </w:r>
      <w:r>
        <w:t xml:space="preserve"> civil registration of life events (births, adoptions, name changes, sexual assignment and reassignment, marriages, civil unions, and deaths</w:t>
      </w:r>
      <w:r w:rsidR="004B0BC6">
        <w:t>) (BDM information)</w:t>
      </w:r>
      <w:r w:rsidR="0003505B">
        <w:t xml:space="preserve"> for matters important to government</w:t>
      </w:r>
      <w:r w:rsidR="004B0BC6">
        <w:t xml:space="preserve">, </w:t>
      </w:r>
      <w:r w:rsidR="0048349B">
        <w:t>and (b) regulate</w:t>
      </w:r>
      <w:r w:rsidR="004B0BC6">
        <w:t xml:space="preserve"> </w:t>
      </w:r>
      <w:r w:rsidR="0003505B">
        <w:t xml:space="preserve">third party </w:t>
      </w:r>
      <w:r w:rsidR="004B0BC6">
        <w:t xml:space="preserve">access to </w:t>
      </w:r>
      <w:r w:rsidR="00082F23">
        <w:t>BDM information for authorised purposes</w:t>
      </w:r>
      <w:r w:rsidR="0046167C">
        <w:t xml:space="preserve">, including the provision and effect of certificates that provide an official record of registered BDM information. </w:t>
      </w:r>
    </w:p>
    <w:p w:rsidR="00915893" w:rsidRDefault="008566E8" w:rsidP="00326C3E">
      <w:pPr>
        <w:pStyle w:val="Numberedpara3level1"/>
        <w:ind w:right="-427"/>
      </w:pPr>
      <w:r>
        <w:t>These objectives incorporate a number of elements, which are outlined below as the criteria against which</w:t>
      </w:r>
      <w:r w:rsidR="00562C28">
        <w:t xml:space="preserve"> the options will be assessed. </w:t>
      </w:r>
    </w:p>
    <w:p w:rsidR="00F631CF" w:rsidRDefault="00F631CF" w:rsidP="00F631CF">
      <w:pPr>
        <w:pStyle w:val="Heading2"/>
      </w:pPr>
      <w:bookmarkStart w:id="6" w:name="_Toc473799837"/>
      <w:r>
        <w:t>Criteria</w:t>
      </w:r>
      <w:bookmarkEnd w:id="6"/>
    </w:p>
    <w:p w:rsidR="00543D1E" w:rsidRDefault="00700B0D" w:rsidP="00A938BA">
      <w:pPr>
        <w:pStyle w:val="Numberedpara3level1"/>
        <w:ind w:right="-28"/>
      </w:pPr>
      <w:r>
        <w:t xml:space="preserve">The criteria are interrelated </w:t>
      </w:r>
      <w:r w:rsidR="00FE70F3">
        <w:t xml:space="preserve">and </w:t>
      </w:r>
      <w:r>
        <w:t>conflicts can arise, which requires a careful balancing exercise</w:t>
      </w:r>
      <w:r w:rsidR="006A6E34">
        <w:t xml:space="preserve">.  For example, there is an inherent tension between personal privacy interests and maintaining freedom of information and the right of public access to BDM registers. </w:t>
      </w:r>
      <w:r w:rsidR="00562C28">
        <w:t xml:space="preserve"> </w:t>
      </w:r>
      <w:r w:rsidR="006A6E34">
        <w:t>Both are important</w:t>
      </w:r>
      <w:r w:rsidR="00562C28">
        <w:t xml:space="preserve">. </w:t>
      </w:r>
      <w:r w:rsidR="00562C28" w:rsidRPr="00562C28">
        <w:t xml:space="preserve"> </w:t>
      </w:r>
      <w:r w:rsidR="00562C28">
        <w:t xml:space="preserve">This </w:t>
      </w:r>
      <w:r w:rsidR="008E7F8E">
        <w:t xml:space="preserve">has particular </w:t>
      </w:r>
      <w:r w:rsidR="00562C28">
        <w:t>implications for Proposals 1A and</w:t>
      </w:r>
      <w:r w:rsidR="008E7F8E">
        <w:t xml:space="preserve"> 1B where the options involve </w:t>
      </w:r>
      <w:r w:rsidR="00543D1E">
        <w:t>balancing</w:t>
      </w:r>
      <w:r w:rsidR="008E7F8E">
        <w:t xml:space="preserve"> private rights and the public interest</w:t>
      </w:r>
      <w:r w:rsidR="00562C28">
        <w:t xml:space="preserve">.  </w:t>
      </w:r>
      <w:r w:rsidR="008E7F8E">
        <w:t xml:space="preserve">Similarly, rules intended to improve the </w:t>
      </w:r>
      <w:r w:rsidR="00543D1E">
        <w:t xml:space="preserve">timeliness and </w:t>
      </w:r>
      <w:r w:rsidR="008E7F8E">
        <w:t xml:space="preserve">accuracy of registered information (like Proposal 2) could have the opposite effect if they are difficult to comply with.  </w:t>
      </w:r>
    </w:p>
    <w:p w:rsidR="008E7F8E" w:rsidRPr="006A6E34" w:rsidRDefault="006A6E34" w:rsidP="00543D1E">
      <w:pPr>
        <w:pStyle w:val="Numberedpara3level1"/>
        <w:ind w:right="-340"/>
      </w:pPr>
      <w:r>
        <w:t xml:space="preserve">The </w:t>
      </w:r>
      <w:r w:rsidR="00284A36">
        <w:t xml:space="preserve">options analysis identifies which criteria are relevant to each </w:t>
      </w:r>
      <w:r w:rsidR="00FE70F3">
        <w:t>proposal</w:t>
      </w:r>
      <w:r w:rsidR="00284A36">
        <w:t>.</w:t>
      </w:r>
    </w:p>
    <w:tbl>
      <w:tblPr>
        <w:tblStyle w:val="RIS"/>
        <w:tblW w:w="9639" w:type="dxa"/>
        <w:tblInd w:w="108" w:type="dxa"/>
        <w:tblLook w:val="04A0" w:firstRow="1" w:lastRow="0" w:firstColumn="1" w:lastColumn="0" w:noHBand="0" w:noVBand="1"/>
      </w:tblPr>
      <w:tblGrid>
        <w:gridCol w:w="2127"/>
        <w:gridCol w:w="5953"/>
        <w:gridCol w:w="1559"/>
      </w:tblGrid>
      <w:tr w:rsidR="00002E7C" w:rsidTr="00002E7C">
        <w:trPr>
          <w:cnfStyle w:val="100000000000" w:firstRow="1" w:lastRow="0" w:firstColumn="0" w:lastColumn="0" w:oddVBand="0" w:evenVBand="0" w:oddHBand="0" w:evenHBand="0" w:firstRowFirstColumn="0" w:firstRowLastColumn="0" w:lastRowFirstColumn="0" w:lastRowLastColumn="0"/>
        </w:trPr>
        <w:tc>
          <w:tcPr>
            <w:tcW w:w="2127" w:type="dxa"/>
          </w:tcPr>
          <w:p w:rsidR="00002E7C" w:rsidRDefault="00002E7C" w:rsidP="006A6E34">
            <w:pPr>
              <w:ind w:firstLine="34"/>
            </w:pPr>
            <w:r>
              <w:t>Criteria</w:t>
            </w:r>
          </w:p>
        </w:tc>
        <w:tc>
          <w:tcPr>
            <w:tcW w:w="5953" w:type="dxa"/>
          </w:tcPr>
          <w:p w:rsidR="00002E7C" w:rsidRPr="002E57E9" w:rsidRDefault="00002E7C" w:rsidP="006A6E34">
            <w:r w:rsidRPr="002E57E9">
              <w:t>Description</w:t>
            </w:r>
            <w:r>
              <w:t xml:space="preserve"> and link to objectives</w:t>
            </w:r>
          </w:p>
        </w:tc>
        <w:tc>
          <w:tcPr>
            <w:tcW w:w="1559" w:type="dxa"/>
          </w:tcPr>
          <w:p w:rsidR="00002E7C" w:rsidRPr="002E57E9" w:rsidRDefault="00002E7C" w:rsidP="00002E7C">
            <w:pPr>
              <w:jc w:val="center"/>
            </w:pPr>
            <w:r>
              <w:t>Relevant to …</w:t>
            </w:r>
          </w:p>
        </w:tc>
      </w:tr>
      <w:tr w:rsidR="00002E7C" w:rsidTr="00002E7C">
        <w:tc>
          <w:tcPr>
            <w:tcW w:w="2127" w:type="dxa"/>
          </w:tcPr>
          <w:p w:rsidR="00002E7C" w:rsidRPr="00DB6057" w:rsidRDefault="00002E7C" w:rsidP="00543D1E">
            <w:pPr>
              <w:rPr>
                <w:b/>
              </w:rPr>
            </w:pPr>
            <w:r w:rsidRPr="006A6E34">
              <w:rPr>
                <w:b/>
              </w:rPr>
              <w:t>BDM information is complete</w:t>
            </w:r>
            <w:r>
              <w:rPr>
                <w:b/>
              </w:rPr>
              <w:t>,</w:t>
            </w:r>
            <w:r w:rsidRPr="006A6E34">
              <w:rPr>
                <w:b/>
              </w:rPr>
              <w:t xml:space="preserve"> accurate</w:t>
            </w:r>
            <w:r>
              <w:rPr>
                <w:b/>
              </w:rPr>
              <w:t xml:space="preserve">, and verifiable </w:t>
            </w:r>
            <w:r>
              <w:rPr>
                <w:b/>
              </w:rPr>
              <w:br/>
              <w:t>(see BDMRRA 1995, s 1A)</w:t>
            </w:r>
          </w:p>
        </w:tc>
        <w:tc>
          <w:tcPr>
            <w:tcW w:w="5953" w:type="dxa"/>
          </w:tcPr>
          <w:p w:rsidR="00002E7C" w:rsidRDefault="00002E7C" w:rsidP="006A6E34">
            <w:r>
              <w:t>As the official record of New Zealand life events, members of the public, and private and public sector agencies rely on BDM information for a wide range of purposes including family and public-benefit research, establishing entitlements (</w:t>
            </w:r>
            <w:proofErr w:type="spellStart"/>
            <w:r>
              <w:t>eg</w:t>
            </w:r>
            <w:proofErr w:type="spellEnd"/>
            <w:r>
              <w:t>, to citizenship, income support, public health services, or superannuation), and updating records.  Information that is incomplete or out-of-date undermines public trust and confidence, can increase costs, and can delay access to services.  Government decision-making can also be compromised if BDM information does not form an accurate demographic record.</w:t>
            </w:r>
          </w:p>
        </w:tc>
        <w:tc>
          <w:tcPr>
            <w:tcW w:w="1559" w:type="dxa"/>
          </w:tcPr>
          <w:p w:rsidR="00002E7C" w:rsidRPr="00002E7C" w:rsidRDefault="00002E7C" w:rsidP="006A6E34">
            <w:r w:rsidRPr="00002E7C">
              <w:t>All Proposals</w:t>
            </w:r>
          </w:p>
        </w:tc>
      </w:tr>
      <w:tr w:rsidR="00002E7C" w:rsidTr="00002E7C">
        <w:tc>
          <w:tcPr>
            <w:tcW w:w="2127" w:type="dxa"/>
          </w:tcPr>
          <w:p w:rsidR="00002E7C" w:rsidRPr="00DB6057" w:rsidRDefault="00002E7C" w:rsidP="006A6E34">
            <w:pPr>
              <w:rPr>
                <w:b/>
              </w:rPr>
            </w:pPr>
            <w:r w:rsidRPr="006A6E34">
              <w:rPr>
                <w:b/>
              </w:rPr>
              <w:t>The risk of misuse of BDM information is minimised</w:t>
            </w:r>
          </w:p>
        </w:tc>
        <w:tc>
          <w:tcPr>
            <w:tcW w:w="5953" w:type="dxa"/>
          </w:tcPr>
          <w:p w:rsidR="00002E7C" w:rsidRDefault="00002E7C" w:rsidP="006A6E34">
            <w:r>
              <w:t>Individuals provide a large amount of personal information when they register a life event.  That information has the potential to be used for inappropriate and potentially criminal purposes, including identity theft and the targeting of at-risk individuals.  The government has a duty of care to protect individual rights and interests.</w:t>
            </w:r>
          </w:p>
        </w:tc>
        <w:tc>
          <w:tcPr>
            <w:tcW w:w="1559" w:type="dxa"/>
          </w:tcPr>
          <w:p w:rsidR="00002E7C" w:rsidRPr="00002E7C" w:rsidRDefault="00002E7C" w:rsidP="006A6E34">
            <w:r w:rsidRPr="00002E7C">
              <w:t>All Proposals</w:t>
            </w:r>
          </w:p>
        </w:tc>
      </w:tr>
      <w:tr w:rsidR="00002E7C" w:rsidTr="00002E7C">
        <w:tc>
          <w:tcPr>
            <w:tcW w:w="2127" w:type="dxa"/>
          </w:tcPr>
          <w:p w:rsidR="00002E7C" w:rsidRDefault="00002E7C" w:rsidP="00A230E6">
            <w:pPr>
              <w:rPr>
                <w:b/>
              </w:rPr>
            </w:pPr>
            <w:r w:rsidRPr="006A6E34">
              <w:rPr>
                <w:b/>
              </w:rPr>
              <w:t>The public’s right to access to BDM information is maintained</w:t>
            </w:r>
          </w:p>
          <w:p w:rsidR="00002E7C" w:rsidRPr="0003505B" w:rsidRDefault="00002E7C" w:rsidP="0003505B">
            <w:pPr>
              <w:spacing w:before="240"/>
              <w:rPr>
                <w:i/>
              </w:rPr>
            </w:pPr>
          </w:p>
        </w:tc>
        <w:tc>
          <w:tcPr>
            <w:tcW w:w="5953" w:type="dxa"/>
          </w:tcPr>
          <w:p w:rsidR="00002E7C" w:rsidRDefault="00002E7C" w:rsidP="00897EA1">
            <w:r>
              <w:t>BDM registers have been public registers since the registration of life events began in 1847.  The Registrar-General must ensure that right can be exercise</w:t>
            </w:r>
            <w:r w:rsidR="00F10D15">
              <w:t>d</w:t>
            </w:r>
            <w:r>
              <w:t xml:space="preserve"> in practice as well as theory.  That includes responding to changing public and government expectations about how BDM services, including access to BDM information, are delivered.</w:t>
            </w:r>
          </w:p>
        </w:tc>
        <w:tc>
          <w:tcPr>
            <w:tcW w:w="1559" w:type="dxa"/>
          </w:tcPr>
          <w:p w:rsidR="00002E7C" w:rsidRPr="00002E7C" w:rsidRDefault="00002E7C" w:rsidP="00897EA1">
            <w:r w:rsidRPr="00002E7C">
              <w:t>Proposals 1A and 1B</w:t>
            </w:r>
          </w:p>
        </w:tc>
      </w:tr>
      <w:tr w:rsidR="00002E7C" w:rsidTr="00002E7C">
        <w:tc>
          <w:tcPr>
            <w:tcW w:w="2127" w:type="dxa"/>
          </w:tcPr>
          <w:p w:rsidR="00002E7C" w:rsidRPr="006A6E34" w:rsidRDefault="00002E7C" w:rsidP="00002E7C">
            <w:pPr>
              <w:rPr>
                <w:b/>
              </w:rPr>
            </w:pPr>
            <w:r>
              <w:rPr>
                <w:b/>
              </w:rPr>
              <w:t>The Registrar-General can recover the private benefit element of the costs of providing BDM services</w:t>
            </w:r>
          </w:p>
        </w:tc>
        <w:tc>
          <w:tcPr>
            <w:tcW w:w="5953" w:type="dxa"/>
          </w:tcPr>
          <w:p w:rsidR="00002E7C" w:rsidRDefault="00002E7C" w:rsidP="00002E7C">
            <w:r>
              <w:t xml:space="preserve">While BDM registers are public registers, the Department is obliged to charge fees that maximise cost recovery outcomes in line with Treasury’s </w:t>
            </w:r>
            <w:r>
              <w:rPr>
                <w:i/>
              </w:rPr>
              <w:t xml:space="preserve">Guidelines for Setting Charges in the Public Sector </w:t>
            </w:r>
            <w:r w:rsidRPr="003D7C5A">
              <w:t>2002</w:t>
            </w:r>
            <w:r w:rsidR="00DB6057">
              <w:t>.  Fees</w:t>
            </w:r>
            <w:r>
              <w:t xml:space="preserve"> for access to BDM information support the first three criteria—they help fund the ongoing maintenance and upgrading of essential systems and technology.</w:t>
            </w:r>
          </w:p>
        </w:tc>
        <w:tc>
          <w:tcPr>
            <w:tcW w:w="1559" w:type="dxa"/>
          </w:tcPr>
          <w:p w:rsidR="00002E7C" w:rsidRPr="00002E7C" w:rsidRDefault="00002E7C" w:rsidP="00A970F1">
            <w:r w:rsidRPr="00002E7C">
              <w:t>Proposals 1A and 1B</w:t>
            </w:r>
          </w:p>
        </w:tc>
      </w:tr>
      <w:tr w:rsidR="00002E7C" w:rsidTr="00002E7C">
        <w:tc>
          <w:tcPr>
            <w:tcW w:w="2127" w:type="dxa"/>
          </w:tcPr>
          <w:p w:rsidR="00002E7C" w:rsidRPr="00DB6057" w:rsidRDefault="00002E7C" w:rsidP="00A230E6">
            <w:pPr>
              <w:rPr>
                <w:b/>
              </w:rPr>
            </w:pPr>
            <w:r w:rsidRPr="006A6E34">
              <w:rPr>
                <w:b/>
              </w:rPr>
              <w:t>The compliance burden on individuals and agencies is minimised</w:t>
            </w:r>
          </w:p>
        </w:tc>
        <w:tc>
          <w:tcPr>
            <w:tcW w:w="5953" w:type="dxa"/>
          </w:tcPr>
          <w:p w:rsidR="00002E7C" w:rsidRDefault="00002E7C" w:rsidP="00597964">
            <w:r>
              <w:t xml:space="preserve">Systems and processes should make it easy for individuals and industry professionals (including District Health Boards, medical </w:t>
            </w:r>
            <w:r w:rsidR="002E4665">
              <w:t xml:space="preserve">and nursing </w:t>
            </w:r>
            <w:r>
              <w:t>staff, and funeral directors) to create and update BDM records.  Specific requirements, including when, where, how, and by whom life events should be notified need to balance the benefits (including timely notification, completeness, and accuracy) with the administrative burden and the costs of compliance.</w:t>
            </w:r>
          </w:p>
        </w:tc>
        <w:tc>
          <w:tcPr>
            <w:tcW w:w="1559" w:type="dxa"/>
          </w:tcPr>
          <w:p w:rsidR="00002E7C" w:rsidRPr="00002E7C" w:rsidRDefault="00002E7C" w:rsidP="00597964">
            <w:r w:rsidRPr="00002E7C">
              <w:t>Proposal 2</w:t>
            </w:r>
          </w:p>
        </w:tc>
      </w:tr>
    </w:tbl>
    <w:p w:rsidR="00313CA1" w:rsidRPr="00095FB3" w:rsidRDefault="00313CA1" w:rsidP="00A938BA">
      <w:pPr>
        <w:pStyle w:val="Numberedpara3level1"/>
        <w:ind w:right="-28"/>
      </w:pPr>
      <w:r>
        <w:rPr>
          <w:szCs w:val="20"/>
        </w:rPr>
        <w:t xml:space="preserve">The </w:t>
      </w:r>
      <w:r w:rsidR="00095FB3">
        <w:rPr>
          <w:szCs w:val="20"/>
        </w:rPr>
        <w:t>proposal</w:t>
      </w:r>
      <w:r w:rsidR="00EB196B">
        <w:rPr>
          <w:szCs w:val="20"/>
        </w:rPr>
        <w:t xml:space="preserve"> for a new</w:t>
      </w:r>
      <w:r w:rsidR="007D54E4">
        <w:rPr>
          <w:szCs w:val="20"/>
        </w:rPr>
        <w:t xml:space="preserve"> </w:t>
      </w:r>
      <w:r w:rsidR="00EB196B">
        <w:rPr>
          <w:szCs w:val="20"/>
        </w:rPr>
        <w:t xml:space="preserve">preliminary notice of death, to be completed </w:t>
      </w:r>
      <w:r w:rsidR="00226AC1">
        <w:rPr>
          <w:szCs w:val="20"/>
        </w:rPr>
        <w:t xml:space="preserve">electronically </w:t>
      </w:r>
      <w:r w:rsidR="00EB196B">
        <w:rPr>
          <w:szCs w:val="20"/>
        </w:rPr>
        <w:t xml:space="preserve">by </w:t>
      </w:r>
      <w:r w:rsidR="007D54E4">
        <w:rPr>
          <w:szCs w:val="20"/>
        </w:rPr>
        <w:t xml:space="preserve">the health professional responsible </w:t>
      </w:r>
      <w:r w:rsidR="007D54E4" w:rsidRPr="00C3115D">
        <w:rPr>
          <w:szCs w:val="20"/>
        </w:rPr>
        <w:t>for the Certificate of Cause of Deat</w:t>
      </w:r>
      <w:r w:rsidR="002E4665">
        <w:rPr>
          <w:szCs w:val="20"/>
        </w:rPr>
        <w:t>h (</w:t>
      </w:r>
      <w:r w:rsidR="007D54E4">
        <w:rPr>
          <w:szCs w:val="20"/>
        </w:rPr>
        <w:t>CCD</w:t>
      </w:r>
      <w:r w:rsidR="00EB196B">
        <w:rPr>
          <w:szCs w:val="20"/>
        </w:rPr>
        <w:t>)</w:t>
      </w:r>
      <w:r w:rsidR="007D54E4">
        <w:rPr>
          <w:szCs w:val="20"/>
        </w:rPr>
        <w:t xml:space="preserve">, </w:t>
      </w:r>
      <w:r w:rsidR="00095FB3">
        <w:t xml:space="preserve">responds to </w:t>
      </w:r>
      <w:r w:rsidR="00EB196B">
        <w:t>a recommendation</w:t>
      </w:r>
      <w:r w:rsidR="00095FB3">
        <w:t xml:space="preserve"> in the Law Commission’s report on its review of </w:t>
      </w:r>
      <w:r w:rsidR="00095FB3" w:rsidRPr="000601D6">
        <w:t>burial and cremation law</w:t>
      </w:r>
      <w:r w:rsidR="00095FB3">
        <w:t>, released on 27 October 2015.</w:t>
      </w:r>
      <w:r w:rsidR="00323307">
        <w:rPr>
          <w:rStyle w:val="FootnoteReference"/>
        </w:rPr>
        <w:footnoteReference w:id="3"/>
      </w:r>
    </w:p>
    <w:p w:rsidR="00D70F0D" w:rsidRDefault="00264E9B" w:rsidP="0071033B">
      <w:pPr>
        <w:pStyle w:val="Heading1"/>
      </w:pPr>
      <w:bookmarkStart w:id="7" w:name="_Toc473799838"/>
      <w:r>
        <w:t>Status quo and problem definition</w:t>
      </w:r>
      <w:r w:rsidR="00F24E7B">
        <w:t>—BDM access provisions</w:t>
      </w:r>
      <w:bookmarkEnd w:id="7"/>
    </w:p>
    <w:p w:rsidR="002532ED" w:rsidRDefault="000A6D98" w:rsidP="000A6D98">
      <w:pPr>
        <w:pStyle w:val="Heading3"/>
        <w:ind w:right="-340"/>
        <w:contextualSpacing w:val="0"/>
      </w:pPr>
      <w:r>
        <w:t xml:space="preserve">1A:  </w:t>
      </w:r>
      <w:r w:rsidR="002532ED">
        <w:t xml:space="preserve">Publication of index information: search function for non-historical </w:t>
      </w:r>
      <w:r w:rsidR="00236F59">
        <w:t xml:space="preserve">BDM </w:t>
      </w:r>
      <w:r w:rsidR="002532ED">
        <w:t>information</w:t>
      </w:r>
    </w:p>
    <w:p w:rsidR="00E978D9" w:rsidRPr="00E978D9" w:rsidRDefault="000A6D98" w:rsidP="00D70F0D">
      <w:pPr>
        <w:pStyle w:val="Heading3"/>
      </w:pPr>
      <w:r>
        <w:t xml:space="preserve">1B:  </w:t>
      </w:r>
      <w:r w:rsidR="0062252C">
        <w:t>Online</w:t>
      </w:r>
      <w:r w:rsidR="00E978D9">
        <w:t xml:space="preserve"> access to historic</w:t>
      </w:r>
      <w:r w:rsidR="002A22EE">
        <w:t>al</w:t>
      </w:r>
      <w:r w:rsidR="00E978D9">
        <w:t xml:space="preserve"> register information</w:t>
      </w:r>
    </w:p>
    <w:p w:rsidR="0059293A" w:rsidRDefault="00564D4E" w:rsidP="00A938BA">
      <w:pPr>
        <w:pStyle w:val="Numberedpara3level1"/>
        <w:ind w:right="-170"/>
      </w:pPr>
      <w:r>
        <w:t xml:space="preserve">The 2008 Amendment Act </w:t>
      </w:r>
      <w:r w:rsidR="0093204E">
        <w:t>authorised the Registrar-General to make historical BDM information available to be searched online.</w:t>
      </w:r>
      <w:r w:rsidR="00D477E6">
        <w:t xml:space="preserve"> </w:t>
      </w:r>
      <w:r w:rsidR="0093204E">
        <w:t xml:space="preserve"> </w:t>
      </w:r>
      <w:r w:rsidR="00580CB3">
        <w:t xml:space="preserve">Currently, the historical search function is free but the BDMRRA 1995 allows a fee to be charged.  </w:t>
      </w:r>
      <w:r w:rsidR="0093204E">
        <w:t>However, the Act made it unlawful to</w:t>
      </w:r>
      <w:r w:rsidR="000E44EC">
        <w:t xml:space="preserve"> </w:t>
      </w:r>
      <w:r w:rsidR="0093204E">
        <w:t>publish</w:t>
      </w:r>
      <w:r w:rsidR="000E44EC">
        <w:t xml:space="preserve"> </w:t>
      </w:r>
      <w:r w:rsidR="0093204E">
        <w:t xml:space="preserve">non-historical information </w:t>
      </w:r>
      <w:r w:rsidR="000E44EC">
        <w:t xml:space="preserve">on the Internet </w:t>
      </w:r>
      <w:r w:rsidR="0071482D">
        <w:t>in a form th</w:t>
      </w:r>
      <w:r w:rsidR="002532ED">
        <w:t xml:space="preserve">at could identify an individual.  </w:t>
      </w:r>
      <w:r w:rsidR="0093204E">
        <w:t>That</w:t>
      </w:r>
      <w:r w:rsidR="002532ED">
        <w:t xml:space="preserve"> prohibition</w:t>
      </w:r>
      <w:r>
        <w:t xml:space="preserve"> </w:t>
      </w:r>
      <w:r w:rsidR="00742CE8">
        <w:t>extends to</w:t>
      </w:r>
      <w:r w:rsidR="002532ED">
        <w:t xml:space="preserve"> </w:t>
      </w:r>
      <w:r w:rsidR="0071482D">
        <w:t xml:space="preserve">the </w:t>
      </w:r>
      <w:r w:rsidR="00413D12">
        <w:t xml:space="preserve">BDM </w:t>
      </w:r>
      <w:r w:rsidR="0071482D">
        <w:t>register indexes</w:t>
      </w:r>
      <w:r w:rsidR="002532ED">
        <w:t xml:space="preserve"> (see s 78I)</w:t>
      </w:r>
      <w:r>
        <w:t>.</w:t>
      </w:r>
      <w:r w:rsidR="0071482D">
        <w:rPr>
          <w:rStyle w:val="FootnoteReference"/>
        </w:rPr>
        <w:footnoteReference w:id="4"/>
      </w:r>
      <w:r w:rsidR="00742CE8">
        <w:t xml:space="preserve"> </w:t>
      </w:r>
      <w:r>
        <w:t xml:space="preserve"> It </w:t>
      </w:r>
      <w:r w:rsidR="0071482D" w:rsidRPr="00EB6091">
        <w:t xml:space="preserve">reflected concern </w:t>
      </w:r>
      <w:r w:rsidR="0071482D">
        <w:t>online access to non-historical</w:t>
      </w:r>
      <w:r w:rsidR="0071482D" w:rsidRPr="00EB6091">
        <w:t xml:space="preserve"> indexes would enable computer-based manipulation and cross-matching of core identity information.  This could facilitate identity fraud, as well as publicising personal information (some of which could be sensitive) about a large number of living individuals.</w:t>
      </w:r>
    </w:p>
    <w:p w:rsidR="00E978D9" w:rsidRDefault="00564D4E" w:rsidP="00A938BA">
      <w:pPr>
        <w:pStyle w:val="Numberedpara3level1"/>
        <w:ind w:right="-312"/>
      </w:pPr>
      <w:r>
        <w:t>The 2008 Amendment Act did not change the long-standing “named person” rule</w:t>
      </w:r>
      <w:r w:rsidR="004F1691">
        <w:t>, which requires an access request to be in respect of a specific individual rather than, for example, a class of person, or information categorised by date or place.  The “named person” rule applies to historical and non-historical BDM information.  BDM staff can search historical and non-historical records (charges apply) to help identify a record for a “named person”.</w:t>
      </w:r>
    </w:p>
    <w:p w:rsidR="004F1691" w:rsidRDefault="00765FD1" w:rsidP="00700B0D">
      <w:pPr>
        <w:pStyle w:val="Numberedpara3level1"/>
        <w:ind w:right="-312"/>
      </w:pPr>
      <w:r>
        <w:t xml:space="preserve">Access to </w:t>
      </w:r>
      <w:r w:rsidR="00580CB3">
        <w:t>a “named person’s” registered BDM information</w:t>
      </w:r>
      <w:r>
        <w:t xml:space="preserve"> </w:t>
      </w:r>
      <w:r w:rsidR="00580CB3">
        <w:t>is provided via a certificate or printout.  F</w:t>
      </w:r>
      <w:r w:rsidR="004F1691">
        <w:t>or historical records</w:t>
      </w:r>
      <w:r w:rsidR="00580CB3">
        <w:t>, the certificate or printout</w:t>
      </w:r>
      <w:r w:rsidR="004F1691">
        <w:t xml:space="preserve"> can be ordered and paid for online (and printouts can be delivered by email).</w:t>
      </w:r>
      <w:r w:rsidR="0093204E">
        <w:t xml:space="preserve">  Someone with a verified </w:t>
      </w:r>
      <w:proofErr w:type="spellStart"/>
      <w:r w:rsidR="0093204E">
        <w:t>RealMe</w:t>
      </w:r>
      <w:proofErr w:type="spellEnd"/>
      <w:r w:rsidR="0093204E">
        <w:t xml:space="preserve"> ID can order </w:t>
      </w:r>
      <w:r w:rsidR="00D0514D">
        <w:t xml:space="preserve">and pay for </w:t>
      </w:r>
      <w:r w:rsidR="0093204E">
        <w:t xml:space="preserve">a certificate or printout </w:t>
      </w:r>
      <w:r w:rsidR="00D0514D">
        <w:t xml:space="preserve">for a non-historical “named person” record online.  </w:t>
      </w:r>
      <w:r w:rsidR="00700B0D">
        <w:t>C</w:t>
      </w:r>
      <w:r w:rsidR="00D0514D">
        <w:t xml:space="preserve">ertificates and printouts can be ordered by telephone or by completing a form.  </w:t>
      </w:r>
      <w:r w:rsidR="00700B0D">
        <w:t>T</w:t>
      </w:r>
      <w:r w:rsidR="00D0514D">
        <w:t>here is no refund if the certificate or printout is ordered for the “wrong” record.</w:t>
      </w:r>
    </w:p>
    <w:p w:rsidR="00E6029C" w:rsidRPr="00E6029C" w:rsidRDefault="000A6D98" w:rsidP="00823184">
      <w:pPr>
        <w:pStyle w:val="Numberedpara3level1"/>
        <w:ind w:right="-340"/>
      </w:pPr>
      <w:r>
        <w:t xml:space="preserve">The 2008 Amendment Act </w:t>
      </w:r>
      <w:r w:rsidR="00E6029C">
        <w:t>included a provision (s 89A)</w:t>
      </w:r>
      <w:r w:rsidR="00F10D15">
        <w:t xml:space="preserve"> that</w:t>
      </w:r>
      <w:r w:rsidR="00E6029C">
        <w:t xml:space="preserve"> enables most transactions to be completed electronically.  Section 89A has enabled the</w:t>
      </w:r>
      <w:r w:rsidR="00E6029C" w:rsidRPr="00E6029C">
        <w:t xml:space="preserve"> </w:t>
      </w:r>
      <w:r w:rsidR="00E6029C">
        <w:t>Department to</w:t>
      </w:r>
      <w:r w:rsidR="00F10D15">
        <w:t xml:space="preserve"> make </w:t>
      </w:r>
      <w:r w:rsidR="00E6029C">
        <w:t xml:space="preserve">considerable progress in delivering online, customer-focused, access to BDM services.  </w:t>
      </w:r>
      <w:r w:rsidR="00E6029C" w:rsidRPr="009E2F9A">
        <w:t xml:space="preserve">For example, </w:t>
      </w:r>
      <w:r w:rsidR="00E6029C" w:rsidRPr="009E2F9A">
        <w:rPr>
          <w:rFonts w:asciiTheme="minorHAnsi" w:hAnsiTheme="minorHAnsi"/>
        </w:rPr>
        <w:t>parents have been able register their child’s birth</w:t>
      </w:r>
      <w:r w:rsidR="00E6029C">
        <w:rPr>
          <w:rFonts w:asciiTheme="minorHAnsi" w:hAnsiTheme="minorHAnsi"/>
        </w:rPr>
        <w:t xml:space="preserve"> online since 23 March 2015; over 90 percent</w:t>
      </w:r>
      <w:r w:rsidR="00E6029C" w:rsidRPr="009E2F9A">
        <w:rPr>
          <w:rFonts w:asciiTheme="minorHAnsi" w:hAnsiTheme="minorHAnsi"/>
        </w:rPr>
        <w:t xml:space="preserve"> of bir</w:t>
      </w:r>
      <w:r w:rsidR="00E6029C">
        <w:rPr>
          <w:rFonts w:asciiTheme="minorHAnsi" w:hAnsiTheme="minorHAnsi"/>
        </w:rPr>
        <w:t xml:space="preserve">ths are now registered online. </w:t>
      </w:r>
    </w:p>
    <w:p w:rsidR="000A6D98" w:rsidRDefault="00E6029C" w:rsidP="00A938BA">
      <w:pPr>
        <w:pStyle w:val="Numberedpara3level1"/>
        <w:ind w:right="-28"/>
      </w:pPr>
      <w:proofErr w:type="spellStart"/>
      <w:r w:rsidRPr="009E2F9A">
        <w:rPr>
          <w:rFonts w:asciiTheme="minorHAnsi" w:hAnsiTheme="minorHAnsi"/>
        </w:rPr>
        <w:t>SmartStart</w:t>
      </w:r>
      <w:proofErr w:type="spellEnd"/>
      <w:r w:rsidRPr="009E2F9A">
        <w:rPr>
          <w:rFonts w:asciiTheme="minorHAnsi" w:hAnsiTheme="minorHAnsi"/>
        </w:rPr>
        <w:t xml:space="preserve">, </w:t>
      </w:r>
      <w:r w:rsidRPr="009E2F9A">
        <w:rPr>
          <w:rFonts w:asciiTheme="minorHAnsi" w:hAnsiTheme="minorHAnsi" w:cs="Helvetica"/>
          <w:color w:val="000000"/>
          <w:shd w:val="clear" w:color="auto" w:fill="FFFFFF"/>
        </w:rPr>
        <w:t xml:space="preserve">a Result 10 integrated </w:t>
      </w:r>
      <w:r>
        <w:rPr>
          <w:rFonts w:asciiTheme="minorHAnsi" w:hAnsiTheme="minorHAnsi" w:cs="Helvetica"/>
          <w:color w:val="000000"/>
          <w:shd w:val="clear" w:color="auto" w:fill="FFFFFF"/>
        </w:rPr>
        <w:t xml:space="preserve">service </w:t>
      </w:r>
      <w:r w:rsidRPr="009E2F9A">
        <w:rPr>
          <w:rFonts w:asciiTheme="minorHAnsi" w:hAnsiTheme="minorHAnsi" w:cs="Helvetica"/>
          <w:color w:val="000000"/>
          <w:shd w:val="clear" w:color="auto" w:fill="FFFFFF"/>
        </w:rPr>
        <w:t>with the Department as lead agency, working with the Ministry of Social Development, Inland Revenue and Ministry of Health, was l</w:t>
      </w:r>
      <w:r>
        <w:rPr>
          <w:rFonts w:asciiTheme="minorHAnsi" w:hAnsiTheme="minorHAnsi" w:cs="Helvetica"/>
          <w:color w:val="000000"/>
          <w:shd w:val="clear" w:color="auto" w:fill="FFFFFF"/>
        </w:rPr>
        <w:t>a</w:t>
      </w:r>
      <w:r w:rsidRPr="009E2F9A">
        <w:rPr>
          <w:rFonts w:asciiTheme="minorHAnsi" w:hAnsiTheme="minorHAnsi" w:cs="Helvetica"/>
          <w:color w:val="000000"/>
          <w:shd w:val="clear" w:color="auto" w:fill="FFFFFF"/>
        </w:rPr>
        <w:t xml:space="preserve">unched on 6 December 2016.  </w:t>
      </w:r>
      <w:proofErr w:type="spellStart"/>
      <w:r w:rsidRPr="009E2F9A">
        <w:rPr>
          <w:rFonts w:asciiTheme="minorHAnsi" w:hAnsiTheme="minorHAnsi" w:cs="Helvetica"/>
          <w:color w:val="000000"/>
          <w:shd w:val="clear" w:color="auto" w:fill="FFFFFF"/>
        </w:rPr>
        <w:t>SmartStart</w:t>
      </w:r>
      <w:proofErr w:type="spellEnd"/>
      <w:r w:rsidRPr="009E2F9A">
        <w:rPr>
          <w:rFonts w:asciiTheme="minorHAnsi" w:hAnsiTheme="minorHAnsi" w:cs="Helvetica"/>
          <w:color w:val="000000"/>
          <w:shd w:val="clear" w:color="auto" w:fill="FFFFFF"/>
        </w:rPr>
        <w:t xml:space="preserve"> is a “one-stop shop” where a parent can register their child’s birth, get her an IRD number, adjust their MSD benefits, update their Working for Families application, and create a personalised timeline and checklist of things to do.</w:t>
      </w:r>
    </w:p>
    <w:p w:rsidR="00BE3AB9" w:rsidRDefault="00BE3AB9" w:rsidP="00E978D9">
      <w:pPr>
        <w:pStyle w:val="Heading3"/>
      </w:pPr>
      <w:r>
        <w:t>Problem definition</w:t>
      </w:r>
    </w:p>
    <w:p w:rsidR="0023314D" w:rsidRPr="0023314D" w:rsidRDefault="00E6029C" w:rsidP="00A938BA">
      <w:pPr>
        <w:pStyle w:val="Numberedpara3level1"/>
        <w:ind w:right="-170"/>
      </w:pPr>
      <w:r>
        <w:t xml:space="preserve">The flexibility s 89A provides does not extend to </w:t>
      </w:r>
      <w:r w:rsidR="00DB6057">
        <w:t>the BDM access provisions.  Section 78H authorises the current, limited, historical information search function</w:t>
      </w:r>
      <w:r>
        <w:t>.  Consequently, the Department is unable to respond to changing customer expectations about how and when they want to access BDM information, including the format in which access is provided.  For example, although most historical records are stored as image files, the rules on publishing BDM information means the images cannot be made available through digital and online channels as an alternative to purchasing a certificate or printout.</w:t>
      </w:r>
    </w:p>
    <w:p w:rsidR="00D477E6" w:rsidRDefault="004F12E2" w:rsidP="00A938BA">
      <w:pPr>
        <w:pStyle w:val="Numberedpara3level1"/>
        <w:ind w:right="-170"/>
      </w:pPr>
      <w:r>
        <w:t>The</w:t>
      </w:r>
      <w:r w:rsidR="00135741">
        <w:t xml:space="preserve"> current focus on certificates and printouts as the primary means of access to registered BDM information</w:t>
      </w:r>
      <w:r>
        <w:t xml:space="preserve"> creates other difficulties.  There </w:t>
      </w:r>
      <w:r w:rsidR="000D671A">
        <w:t xml:space="preserve">is an inherent tension between the need to optimise </w:t>
      </w:r>
      <w:r w:rsidR="00AD1D32">
        <w:t xml:space="preserve">the income from fees charged </w:t>
      </w:r>
      <w:r w:rsidR="000D671A">
        <w:t>to cover the cost of providing BDM services,</w:t>
      </w:r>
      <w:r w:rsidR="000D671A">
        <w:rPr>
          <w:rStyle w:val="FootnoteReference"/>
        </w:rPr>
        <w:footnoteReference w:id="5"/>
      </w:r>
      <w:r w:rsidR="000D671A">
        <w:t xml:space="preserve"> and </w:t>
      </w:r>
      <w:r w:rsidR="00AD1D40">
        <w:t xml:space="preserve">meeting customers’ needs. </w:t>
      </w:r>
      <w:r w:rsidR="00135741">
        <w:t xml:space="preserve"> </w:t>
      </w:r>
      <w:r w:rsidR="00B85CF0">
        <w:t>For historical information, that tension has driven a business model that, of necessity, prioritises the sale of certificates and printouts over an expanded search facility that could provide access to a wider range of information.</w:t>
      </w:r>
      <w:r w:rsidR="00B85CF0">
        <w:rPr>
          <w:rStyle w:val="FootnoteReference"/>
        </w:rPr>
        <w:footnoteReference w:id="6"/>
      </w:r>
      <w:r w:rsidR="00B85CF0">
        <w:t xml:space="preserve">  </w:t>
      </w:r>
    </w:p>
    <w:p w:rsidR="00A7067E" w:rsidRDefault="00D477E6" w:rsidP="00F10806">
      <w:pPr>
        <w:pStyle w:val="Numberedpara3level1"/>
        <w:ind w:right="-427"/>
      </w:pPr>
      <w:r>
        <w:t>It would be possible to expand the historical search function (and introduce a search</w:t>
      </w:r>
      <w:r w:rsidR="00F10806">
        <w:t xml:space="preserve"> fee) without amending the BDMRRA 1995.  </w:t>
      </w:r>
      <w:r w:rsidR="00AD1D40">
        <w:t>However</w:t>
      </w:r>
      <w:r w:rsidR="00B85CF0">
        <w:t xml:space="preserve">, an expanded search function would not address the underlying problem posed by an outmoded </w:t>
      </w:r>
      <w:r w:rsidR="00C450F4">
        <w:t xml:space="preserve">paper records-based </w:t>
      </w:r>
      <w:r w:rsidR="00B85CF0">
        <w:t xml:space="preserve">business model, which </w:t>
      </w:r>
      <w:r w:rsidR="00C450F4">
        <w:t>is becoming</w:t>
      </w:r>
      <w:r w:rsidR="00B85CF0">
        <w:t xml:space="preserve"> increasingly difficult to sustain in a modern digital environment. </w:t>
      </w:r>
    </w:p>
    <w:p w:rsidR="0098601D" w:rsidRDefault="00C450F4" w:rsidP="00A938BA">
      <w:pPr>
        <w:pStyle w:val="Numberedpara3level1"/>
        <w:ind w:right="-28"/>
      </w:pPr>
      <w:r>
        <w:t>The prohibiti</w:t>
      </w:r>
      <w:r w:rsidR="00DD28F0">
        <w:t>on on the publication online of</w:t>
      </w:r>
      <w:r w:rsidR="003E64E2">
        <w:t xml:space="preserve"> identifying</w:t>
      </w:r>
      <w:r w:rsidR="00DD28F0">
        <w:t xml:space="preserve"> non-historical information </w:t>
      </w:r>
      <w:r w:rsidR="003E64E2">
        <w:t>is an</w:t>
      </w:r>
      <w:r w:rsidR="00CA738D">
        <w:t>other</w:t>
      </w:r>
      <w:r w:rsidR="003E64E2">
        <w:t xml:space="preserve"> obstacle to the establishment of an end-to-end service that includes the ability to access BDM information through digital and online channels.  </w:t>
      </w:r>
    </w:p>
    <w:p w:rsidR="003D209C" w:rsidRDefault="00AD1D40" w:rsidP="00A938BA">
      <w:pPr>
        <w:pStyle w:val="Numberedpara3level1"/>
        <w:ind w:right="-170"/>
      </w:pPr>
      <w:r>
        <w:t xml:space="preserve">Currently, members of the public, including family historians and genealogists, may need to pay to access multiple “named person” records (via a certificate or printout) to identify the “right” record.  </w:t>
      </w:r>
      <w:r w:rsidR="00113B86">
        <w:t>While</w:t>
      </w:r>
      <w:r w:rsidR="007E7839">
        <w:t xml:space="preserve"> this</w:t>
      </w:r>
      <w:r w:rsidR="00113B86">
        <w:t xml:space="preserve"> </w:t>
      </w:r>
      <w:r w:rsidR="001813D9">
        <w:t xml:space="preserve">can also </w:t>
      </w:r>
      <w:r w:rsidR="00A34DDA">
        <w:t>happen</w:t>
      </w:r>
      <w:r w:rsidR="001813D9">
        <w:t xml:space="preserve"> </w:t>
      </w:r>
      <w:r w:rsidR="00113B86">
        <w:t>when someone</w:t>
      </w:r>
      <w:r w:rsidR="003D209C">
        <w:t xml:space="preserve"> with incomplete information</w:t>
      </w:r>
      <w:r w:rsidR="00113B86">
        <w:t xml:space="preserve"> is trying to identify a</w:t>
      </w:r>
      <w:r w:rsidR="001813D9">
        <w:t xml:space="preserve"> particula</w:t>
      </w:r>
      <w:r w:rsidR="00113B86">
        <w:t>r historical record, different considerations arise</w:t>
      </w:r>
      <w:r w:rsidR="0098601D">
        <w:t xml:space="preserve">. </w:t>
      </w:r>
      <w:r w:rsidR="00113B86">
        <w:t xml:space="preserve"> </w:t>
      </w:r>
      <w:r w:rsidR="0098601D">
        <w:t>In particular,</w:t>
      </w:r>
      <w:r w:rsidR="00113B86">
        <w:t xml:space="preserve"> the privacy interests of living individuals are m</w:t>
      </w:r>
      <w:r w:rsidR="0098601D">
        <w:t xml:space="preserve">uch less likely to be affected.  </w:t>
      </w:r>
    </w:p>
    <w:p w:rsidR="0098601D" w:rsidRDefault="0098601D" w:rsidP="00A938BA">
      <w:pPr>
        <w:pStyle w:val="Numberedpara3level1"/>
        <w:ind w:right="-28"/>
      </w:pPr>
      <w:r>
        <w:t xml:space="preserve">For non-historical records, </w:t>
      </w:r>
      <w:r w:rsidR="00A0637D">
        <w:t xml:space="preserve">the ability </w:t>
      </w:r>
      <w:r w:rsidR="00F10D15">
        <w:t xml:space="preserve">to </w:t>
      </w:r>
      <w:r>
        <w:t xml:space="preserve">conduct a basic </w:t>
      </w:r>
      <w:r w:rsidR="00A0637D">
        <w:t xml:space="preserve">“elimination” </w:t>
      </w:r>
      <w:r>
        <w:t>search (along the lines of the current, limited, histo</w:t>
      </w:r>
      <w:r w:rsidR="00A0637D">
        <w:t>rical records search facility), but not one that would reveal a complete record, would reduce the need for people to access records that are not relevant to their interests, even though that access is lawful.  Howeve</w:t>
      </w:r>
      <w:r w:rsidR="00322503">
        <w:t xml:space="preserve">r, </w:t>
      </w:r>
      <w:r w:rsidR="00F52531">
        <w:t xml:space="preserve">current legislative settings preclude </w:t>
      </w:r>
      <w:r w:rsidR="00322503">
        <w:t>develop</w:t>
      </w:r>
      <w:r w:rsidR="00F52531">
        <w:t>ment</w:t>
      </w:r>
      <w:r w:rsidR="00322503">
        <w:t xml:space="preserve"> </w:t>
      </w:r>
      <w:r w:rsidR="00F52531">
        <w:t xml:space="preserve">of </w:t>
      </w:r>
      <w:r w:rsidR="00322503">
        <w:t xml:space="preserve">such a </w:t>
      </w:r>
      <w:r w:rsidR="00A34DDA">
        <w:t xml:space="preserve">privacy-enhancing </w:t>
      </w:r>
      <w:r w:rsidR="00322503">
        <w:t>search facility.</w:t>
      </w:r>
    </w:p>
    <w:p w:rsidR="00700B0D" w:rsidRDefault="00700B0D">
      <w:pPr>
        <w:keepLines w:val="0"/>
        <w:rPr>
          <w:b/>
          <w:sz w:val="28"/>
        </w:rPr>
      </w:pPr>
      <w:bookmarkStart w:id="8" w:name="_Toc473799839"/>
      <w:r>
        <w:br w:type="page"/>
      </w:r>
    </w:p>
    <w:p w:rsidR="00655B4B" w:rsidRDefault="00655B4B" w:rsidP="00655B4B">
      <w:pPr>
        <w:pStyle w:val="Heading1"/>
      </w:pPr>
      <w:r>
        <w:t>Options and impact analysis</w:t>
      </w:r>
      <w:r w:rsidR="00F24E7B">
        <w:t>—BDM access provisions</w:t>
      </w:r>
      <w:bookmarkEnd w:id="8"/>
    </w:p>
    <w:p w:rsidR="00F815D2" w:rsidRPr="00F815D2" w:rsidRDefault="005836AE" w:rsidP="005836AE">
      <w:pPr>
        <w:pStyle w:val="Heading3"/>
        <w:ind w:right="-340"/>
      </w:pPr>
      <w:r>
        <w:t xml:space="preserve">1A: </w:t>
      </w:r>
      <w:r>
        <w:tab/>
      </w:r>
      <w:r w:rsidR="00F815D2">
        <w:t>Publication of index information: search function for non-historical BDM information</w:t>
      </w:r>
    </w:p>
    <w:p w:rsidR="00693C8F" w:rsidRDefault="00693C8F" w:rsidP="00700B0D">
      <w:pPr>
        <w:pStyle w:val="Numberedpara3level1"/>
        <w:ind w:right="-28"/>
      </w:pPr>
      <w:r>
        <w:t xml:space="preserve">Three options for </w:t>
      </w:r>
      <w:r w:rsidR="00236F59">
        <w:t xml:space="preserve">regulating publication of non-historical BDM information </w:t>
      </w:r>
      <w:r w:rsidR="00F815D2">
        <w:t>have been identified:</w:t>
      </w:r>
    </w:p>
    <w:tbl>
      <w:tblPr>
        <w:tblStyle w:val="RIS"/>
        <w:tblW w:w="9498" w:type="dxa"/>
        <w:tblInd w:w="108" w:type="dxa"/>
        <w:tblLook w:val="04A0" w:firstRow="1" w:lastRow="0" w:firstColumn="1" w:lastColumn="0" w:noHBand="0" w:noVBand="1"/>
      </w:tblPr>
      <w:tblGrid>
        <w:gridCol w:w="3119"/>
        <w:gridCol w:w="6379"/>
      </w:tblGrid>
      <w:tr w:rsidR="002E57E9" w:rsidTr="00DD0721">
        <w:trPr>
          <w:cnfStyle w:val="100000000000" w:firstRow="1" w:lastRow="0" w:firstColumn="0" w:lastColumn="0" w:oddVBand="0" w:evenVBand="0" w:oddHBand="0" w:evenHBand="0" w:firstRowFirstColumn="0" w:firstRowLastColumn="0" w:lastRowFirstColumn="0" w:lastRowLastColumn="0"/>
        </w:trPr>
        <w:tc>
          <w:tcPr>
            <w:tcW w:w="3119" w:type="dxa"/>
          </w:tcPr>
          <w:p w:rsidR="002E57E9" w:rsidRDefault="002E57E9" w:rsidP="000D4EFC">
            <w:pPr>
              <w:spacing w:after="60"/>
              <w:ind w:firstLine="34"/>
            </w:pPr>
            <w:r>
              <w:t>Option</w:t>
            </w:r>
          </w:p>
        </w:tc>
        <w:tc>
          <w:tcPr>
            <w:tcW w:w="6379" w:type="dxa"/>
          </w:tcPr>
          <w:p w:rsidR="002E57E9" w:rsidRPr="002E57E9" w:rsidRDefault="002E57E9" w:rsidP="000D4EFC">
            <w:pPr>
              <w:spacing w:after="60"/>
            </w:pPr>
            <w:r w:rsidRPr="002E57E9">
              <w:t>Description</w:t>
            </w:r>
          </w:p>
        </w:tc>
      </w:tr>
      <w:tr w:rsidR="002E57E9" w:rsidTr="00DD0721">
        <w:tc>
          <w:tcPr>
            <w:tcW w:w="3119" w:type="dxa"/>
          </w:tcPr>
          <w:p w:rsidR="002E57E9" w:rsidRPr="002E57E9" w:rsidRDefault="002E57E9" w:rsidP="000D4EFC">
            <w:pPr>
              <w:pStyle w:val="ListParagraph"/>
              <w:numPr>
                <w:ilvl w:val="6"/>
                <w:numId w:val="29"/>
              </w:numPr>
              <w:spacing w:before="120" w:after="40"/>
              <w:ind w:left="318" w:hanging="284"/>
              <w:rPr>
                <w:b/>
              </w:rPr>
            </w:pPr>
            <w:r w:rsidRPr="002E57E9">
              <w:rPr>
                <w:b/>
              </w:rPr>
              <w:t>Status quo</w:t>
            </w:r>
          </w:p>
        </w:tc>
        <w:tc>
          <w:tcPr>
            <w:tcW w:w="6379" w:type="dxa"/>
          </w:tcPr>
          <w:p w:rsidR="002E57E9" w:rsidRDefault="00984B92" w:rsidP="000D4EFC">
            <w:pPr>
              <w:spacing w:before="120" w:after="40"/>
            </w:pPr>
            <w:r>
              <w:t xml:space="preserve">Non-historical </w:t>
            </w:r>
            <w:r w:rsidR="004436A0">
              <w:t>index</w:t>
            </w:r>
            <w:r w:rsidR="00DB4252">
              <w:t xml:space="preserve"> </w:t>
            </w:r>
            <w:r>
              <w:t xml:space="preserve">information </w:t>
            </w:r>
            <w:r w:rsidR="004436A0">
              <w:t>must not</w:t>
            </w:r>
            <w:r>
              <w:t xml:space="preserve"> be published online</w:t>
            </w:r>
            <w:r w:rsidR="00DB4252">
              <w:t xml:space="preserve"> </w:t>
            </w:r>
            <w:r w:rsidR="004436A0">
              <w:t xml:space="preserve">in a form that </w:t>
            </w:r>
            <w:r>
              <w:t>could be used to identify an individual</w:t>
            </w:r>
            <w:r w:rsidR="004436A0">
              <w:t xml:space="preserve">; in practice no non-historical </w:t>
            </w:r>
            <w:r w:rsidR="00D012A5">
              <w:t xml:space="preserve">BDM </w:t>
            </w:r>
            <w:r w:rsidR="004436A0">
              <w:t>information is published in any medium, other than in an anonymised format.</w:t>
            </w:r>
          </w:p>
        </w:tc>
      </w:tr>
      <w:tr w:rsidR="002E57E9" w:rsidTr="00DD0721">
        <w:tc>
          <w:tcPr>
            <w:tcW w:w="3119" w:type="dxa"/>
          </w:tcPr>
          <w:p w:rsidR="002E57E9" w:rsidRPr="002E57E9" w:rsidRDefault="002A43BE" w:rsidP="000D4EFC">
            <w:pPr>
              <w:pStyle w:val="ListParagraph"/>
              <w:numPr>
                <w:ilvl w:val="6"/>
                <w:numId w:val="29"/>
              </w:numPr>
              <w:spacing w:before="120" w:after="40"/>
              <w:ind w:left="318" w:hanging="284"/>
              <w:rPr>
                <w:b/>
              </w:rPr>
            </w:pPr>
            <w:r>
              <w:rPr>
                <w:b/>
              </w:rPr>
              <w:t xml:space="preserve">Limited </w:t>
            </w:r>
            <w:r w:rsidR="002E57E9" w:rsidRPr="002E57E9">
              <w:rPr>
                <w:b/>
              </w:rPr>
              <w:t>search function (recommended option)</w:t>
            </w:r>
          </w:p>
        </w:tc>
        <w:tc>
          <w:tcPr>
            <w:tcW w:w="6379" w:type="dxa"/>
          </w:tcPr>
          <w:p w:rsidR="002E57E9" w:rsidRDefault="00984B92" w:rsidP="000D4EFC">
            <w:pPr>
              <w:spacing w:before="120" w:after="40"/>
            </w:pPr>
            <w:r>
              <w:t xml:space="preserve">Will enable the Registrar-General (but no-one else) to publish a limited sub-set of non-historical </w:t>
            </w:r>
            <w:r w:rsidR="00DB4252">
              <w:t xml:space="preserve">BDM </w:t>
            </w:r>
            <w:r>
              <w:t xml:space="preserve">information </w:t>
            </w:r>
            <w:r w:rsidR="00DB4252">
              <w:t>to enable bona-fide family historians and genealogists to conduct “elimination” searches; access to individual “named person’s” records would remain via a certificate or printout (status quo)</w:t>
            </w:r>
            <w:r w:rsidR="0084005E">
              <w:t>.</w:t>
            </w:r>
          </w:p>
        </w:tc>
      </w:tr>
      <w:tr w:rsidR="002E57E9" w:rsidTr="00DD0721">
        <w:tc>
          <w:tcPr>
            <w:tcW w:w="3119" w:type="dxa"/>
          </w:tcPr>
          <w:p w:rsidR="002E57E9" w:rsidRPr="002E57E9" w:rsidRDefault="00D07155" w:rsidP="000D4EFC">
            <w:pPr>
              <w:pStyle w:val="ListParagraph"/>
              <w:numPr>
                <w:ilvl w:val="6"/>
                <w:numId w:val="29"/>
              </w:numPr>
              <w:spacing w:before="120" w:after="40"/>
              <w:ind w:left="318" w:hanging="284"/>
              <w:rPr>
                <w:b/>
              </w:rPr>
            </w:pPr>
            <w:r>
              <w:rPr>
                <w:b/>
              </w:rPr>
              <w:t>Full</w:t>
            </w:r>
            <w:r w:rsidR="002E57E9" w:rsidRPr="002E57E9">
              <w:rPr>
                <w:b/>
              </w:rPr>
              <w:t xml:space="preserve"> online access</w:t>
            </w:r>
          </w:p>
        </w:tc>
        <w:tc>
          <w:tcPr>
            <w:tcW w:w="6379" w:type="dxa"/>
          </w:tcPr>
          <w:p w:rsidR="002E57E9" w:rsidRDefault="00DB4252" w:rsidP="000D4EFC">
            <w:pPr>
              <w:spacing w:before="120" w:after="40"/>
            </w:pPr>
            <w:r>
              <w:t>All registered non-historical BDM information would be available to search; individual BDM records would be able to reconstructed by progressively refining search terms; official copies of individual “named person’s” records would be accessible online</w:t>
            </w:r>
            <w:r w:rsidR="0084005E">
              <w:t>.</w:t>
            </w:r>
          </w:p>
        </w:tc>
      </w:tr>
    </w:tbl>
    <w:p w:rsidR="00407F55" w:rsidRDefault="00D012A5" w:rsidP="00407F55">
      <w:pPr>
        <w:pStyle w:val="Numberedpara3level1"/>
      </w:pPr>
      <w:r>
        <w:t>The</w:t>
      </w:r>
      <w:r w:rsidR="0046167C">
        <w:t xml:space="preserve"> following table outlines the</w:t>
      </w:r>
      <w:r>
        <w:t xml:space="preserve"> </w:t>
      </w:r>
      <w:r w:rsidR="006A6E34">
        <w:t>Department’s assessmen</w:t>
      </w:r>
      <w:r w:rsidR="0046167C">
        <w:t>t of the</w:t>
      </w:r>
      <w:r w:rsidR="00DA1DBE">
        <w:t xml:space="preserve">se options </w:t>
      </w:r>
      <w:r w:rsidR="006D4C1D">
        <w:t xml:space="preserve">against the objectives and related </w:t>
      </w:r>
      <w:r w:rsidR="00DA1DBE">
        <w:t>criteria.</w:t>
      </w:r>
    </w:p>
    <w:p w:rsidR="00F64077" w:rsidRDefault="00F64077" w:rsidP="00DA1DBE">
      <w:pPr>
        <w:pStyle w:val="Numberedpara3level1"/>
        <w:numPr>
          <w:ilvl w:val="0"/>
          <w:numId w:val="0"/>
        </w:numPr>
        <w:sectPr w:rsidR="00F64077" w:rsidSect="00700B0D">
          <w:pgSz w:w="11907" w:h="16840" w:code="9"/>
          <w:pgMar w:top="1276" w:right="992" w:bottom="851" w:left="1304" w:header="425" w:footer="635" w:gutter="0"/>
          <w:cols w:space="708"/>
          <w:titlePg/>
          <w:docGrid w:linePitch="360"/>
        </w:sectPr>
      </w:pPr>
    </w:p>
    <w:tbl>
      <w:tblPr>
        <w:tblStyle w:val="RIS"/>
        <w:tblW w:w="0" w:type="auto"/>
        <w:tblInd w:w="108" w:type="dxa"/>
        <w:tblLook w:val="04A0" w:firstRow="1" w:lastRow="0" w:firstColumn="1" w:lastColumn="0" w:noHBand="0" w:noVBand="1"/>
      </w:tblPr>
      <w:tblGrid>
        <w:gridCol w:w="709"/>
        <w:gridCol w:w="1418"/>
        <w:gridCol w:w="567"/>
        <w:gridCol w:w="1275"/>
        <w:gridCol w:w="1843"/>
        <w:gridCol w:w="1066"/>
        <w:gridCol w:w="919"/>
        <w:gridCol w:w="3265"/>
        <w:gridCol w:w="4184"/>
      </w:tblGrid>
      <w:tr w:rsidR="00F64077" w:rsidTr="00F10D15">
        <w:trPr>
          <w:cnfStyle w:val="100000000000" w:firstRow="1" w:lastRow="0" w:firstColumn="0" w:lastColumn="0" w:oddVBand="0" w:evenVBand="0" w:oddHBand="0" w:evenHBand="0" w:firstRowFirstColumn="0" w:firstRowLastColumn="0" w:lastRowFirstColumn="0" w:lastRowLastColumn="0"/>
        </w:trPr>
        <w:tc>
          <w:tcPr>
            <w:tcW w:w="2694" w:type="dxa"/>
            <w:gridSpan w:val="3"/>
            <w:vMerge w:val="restart"/>
            <w:vAlign w:val="center"/>
          </w:tcPr>
          <w:p w:rsidR="00F64077" w:rsidRPr="00900C22" w:rsidRDefault="00F64077" w:rsidP="00F10D15">
            <w:pPr>
              <w:pStyle w:val="Numberedpara3level1"/>
              <w:numPr>
                <w:ilvl w:val="0"/>
                <w:numId w:val="0"/>
              </w:numPr>
              <w:jc w:val="center"/>
              <w:rPr>
                <w:szCs w:val="22"/>
              </w:rPr>
            </w:pPr>
            <w:r w:rsidRPr="00900C22">
              <w:rPr>
                <w:szCs w:val="22"/>
              </w:rPr>
              <w:t>Criteria</w:t>
            </w:r>
          </w:p>
        </w:tc>
        <w:tc>
          <w:tcPr>
            <w:tcW w:w="12552" w:type="dxa"/>
            <w:gridSpan w:val="6"/>
            <w:tcBorders>
              <w:right w:val="single" w:sz="12" w:space="0" w:color="auto"/>
            </w:tcBorders>
          </w:tcPr>
          <w:p w:rsidR="00F64077" w:rsidRPr="00900C22" w:rsidRDefault="00F64077" w:rsidP="00F10D15">
            <w:pPr>
              <w:pStyle w:val="Numberedpara3level1"/>
              <w:numPr>
                <w:ilvl w:val="0"/>
                <w:numId w:val="0"/>
              </w:numPr>
              <w:jc w:val="center"/>
              <w:rPr>
                <w:szCs w:val="22"/>
              </w:rPr>
            </w:pPr>
            <w:r w:rsidRPr="00900C22">
              <w:rPr>
                <w:szCs w:val="22"/>
              </w:rPr>
              <w:t>Options: Publication of index information – search function for non-historical BDM information</w:t>
            </w:r>
          </w:p>
        </w:tc>
      </w:tr>
      <w:tr w:rsidR="00F64077" w:rsidTr="00F10D15">
        <w:tc>
          <w:tcPr>
            <w:tcW w:w="2694" w:type="dxa"/>
            <w:gridSpan w:val="3"/>
            <w:vMerge/>
            <w:tcBorders>
              <w:right w:val="single" w:sz="6" w:space="0" w:color="FFFFFF" w:themeColor="background1"/>
            </w:tcBorders>
          </w:tcPr>
          <w:p w:rsidR="00F64077" w:rsidRPr="00900C22" w:rsidRDefault="00F64077" w:rsidP="00F10D15">
            <w:pPr>
              <w:pStyle w:val="Numberedpara3level1"/>
              <w:numPr>
                <w:ilvl w:val="0"/>
                <w:numId w:val="0"/>
              </w:numPr>
              <w:rPr>
                <w:szCs w:val="22"/>
              </w:rPr>
            </w:pPr>
          </w:p>
        </w:tc>
        <w:tc>
          <w:tcPr>
            <w:tcW w:w="4184" w:type="dxa"/>
            <w:gridSpan w:val="3"/>
            <w:tcBorders>
              <w:top w:val="nil"/>
              <w:left w:val="single" w:sz="6" w:space="0" w:color="FFFFFF" w:themeColor="background1"/>
              <w:bottom w:val="single" w:sz="6" w:space="0" w:color="FFFFFF" w:themeColor="background1"/>
              <w:right w:val="single" w:sz="6" w:space="0" w:color="FFFFFF" w:themeColor="background1"/>
            </w:tcBorders>
            <w:shd w:val="solid" w:color="auto" w:fill="auto"/>
            <w:vAlign w:val="center"/>
          </w:tcPr>
          <w:p w:rsidR="00F64077" w:rsidRPr="00900C22" w:rsidRDefault="00F64077" w:rsidP="00F10D15">
            <w:pPr>
              <w:pStyle w:val="Numberedpara3level1"/>
              <w:numPr>
                <w:ilvl w:val="0"/>
                <w:numId w:val="0"/>
              </w:numPr>
              <w:spacing w:before="60"/>
              <w:jc w:val="center"/>
              <w:rPr>
                <w:b/>
                <w:color w:val="FFFFFF" w:themeColor="background1"/>
                <w:szCs w:val="22"/>
              </w:rPr>
            </w:pPr>
            <w:r>
              <w:rPr>
                <w:b/>
                <w:szCs w:val="22"/>
              </w:rPr>
              <w:t xml:space="preserve">1.  </w:t>
            </w:r>
            <w:r w:rsidRPr="00900C22">
              <w:rPr>
                <w:b/>
                <w:szCs w:val="22"/>
              </w:rPr>
              <w:t>Status quo</w:t>
            </w:r>
          </w:p>
        </w:tc>
        <w:tc>
          <w:tcPr>
            <w:tcW w:w="4184" w:type="dxa"/>
            <w:gridSpan w:val="2"/>
            <w:tcBorders>
              <w:top w:val="nil"/>
              <w:left w:val="single" w:sz="6" w:space="0" w:color="FFFFFF" w:themeColor="background1"/>
              <w:bottom w:val="single" w:sz="6" w:space="0" w:color="FFFFFF" w:themeColor="background1"/>
              <w:right w:val="single" w:sz="6" w:space="0" w:color="FFFFFF" w:themeColor="background1"/>
            </w:tcBorders>
            <w:shd w:val="solid" w:color="auto" w:fill="auto"/>
            <w:vAlign w:val="center"/>
          </w:tcPr>
          <w:p w:rsidR="00F64077" w:rsidRPr="00900C22" w:rsidRDefault="00F64077" w:rsidP="00F10D15">
            <w:pPr>
              <w:pStyle w:val="Numberedpara3level1"/>
              <w:numPr>
                <w:ilvl w:val="0"/>
                <w:numId w:val="0"/>
              </w:numPr>
              <w:jc w:val="center"/>
              <w:rPr>
                <w:b/>
                <w:color w:val="FFFFFF" w:themeColor="background1"/>
                <w:szCs w:val="22"/>
              </w:rPr>
            </w:pPr>
            <w:r>
              <w:rPr>
                <w:b/>
                <w:szCs w:val="22"/>
              </w:rPr>
              <w:t xml:space="preserve">2.  </w:t>
            </w:r>
            <w:r w:rsidRPr="00900C22">
              <w:rPr>
                <w:b/>
                <w:szCs w:val="22"/>
              </w:rPr>
              <w:t>Limited search function</w:t>
            </w:r>
            <w:r w:rsidRPr="00900C22">
              <w:rPr>
                <w:b/>
                <w:szCs w:val="22"/>
              </w:rPr>
              <w:br/>
              <w:t>(recommended option)</w:t>
            </w:r>
          </w:p>
        </w:tc>
        <w:tc>
          <w:tcPr>
            <w:tcW w:w="4184" w:type="dxa"/>
            <w:tcBorders>
              <w:top w:val="nil"/>
              <w:left w:val="single" w:sz="6" w:space="0" w:color="FFFFFF" w:themeColor="background1"/>
              <w:bottom w:val="single" w:sz="6" w:space="0" w:color="FFFFFF" w:themeColor="background1"/>
              <w:right w:val="single" w:sz="12" w:space="0" w:color="auto"/>
            </w:tcBorders>
            <w:shd w:val="solid" w:color="auto" w:fill="auto"/>
            <w:vAlign w:val="center"/>
          </w:tcPr>
          <w:p w:rsidR="00F64077" w:rsidRPr="00900C22" w:rsidRDefault="00F64077" w:rsidP="00F10D15">
            <w:pPr>
              <w:pStyle w:val="Numberedpara3level1"/>
              <w:numPr>
                <w:ilvl w:val="0"/>
                <w:numId w:val="0"/>
              </w:numPr>
              <w:tabs>
                <w:tab w:val="left" w:pos="2188"/>
              </w:tabs>
              <w:jc w:val="center"/>
              <w:rPr>
                <w:b/>
                <w:szCs w:val="22"/>
              </w:rPr>
            </w:pPr>
            <w:r>
              <w:rPr>
                <w:b/>
                <w:szCs w:val="22"/>
              </w:rPr>
              <w:t>3.  Full</w:t>
            </w:r>
            <w:r w:rsidRPr="00900C22">
              <w:rPr>
                <w:b/>
                <w:szCs w:val="22"/>
              </w:rPr>
              <w:t xml:space="preserve"> online access</w:t>
            </w:r>
          </w:p>
        </w:tc>
      </w:tr>
      <w:tr w:rsidR="00F64077" w:rsidTr="00F10D15">
        <w:tc>
          <w:tcPr>
            <w:tcW w:w="2694" w:type="dxa"/>
            <w:gridSpan w:val="3"/>
          </w:tcPr>
          <w:p w:rsidR="00F64077" w:rsidRPr="00900C22" w:rsidRDefault="00F64077" w:rsidP="00F10D15">
            <w:pPr>
              <w:pStyle w:val="Numberedpara3level1"/>
              <w:numPr>
                <w:ilvl w:val="0"/>
                <w:numId w:val="0"/>
              </w:numPr>
              <w:spacing w:before="360" w:after="40"/>
              <w:rPr>
                <w:b/>
                <w:sz w:val="21"/>
                <w:szCs w:val="21"/>
              </w:rPr>
            </w:pPr>
            <w:r w:rsidRPr="00900C22">
              <w:rPr>
                <w:b/>
                <w:sz w:val="21"/>
                <w:szCs w:val="21"/>
              </w:rPr>
              <w:t>BDM information is complete and accurate</w:t>
            </w:r>
          </w:p>
        </w:tc>
        <w:tc>
          <w:tcPr>
            <w:tcW w:w="4184" w:type="dxa"/>
            <w:gridSpan w:val="3"/>
            <w:tcBorders>
              <w:top w:val="single" w:sz="6" w:space="0" w:color="FFFFFF" w:themeColor="background1"/>
            </w:tcBorders>
          </w:tcPr>
          <w:p w:rsidR="00F64077" w:rsidRDefault="00F64077" w:rsidP="00F10D15">
            <w:pPr>
              <w:spacing w:after="0"/>
              <w:jc w:val="center"/>
              <w:rPr>
                <w:b/>
                <w:sz w:val="21"/>
                <w:szCs w:val="21"/>
              </w:rPr>
            </w:pPr>
            <w:r w:rsidRPr="00900C22">
              <w:rPr>
                <w:b/>
                <w:sz w:val="21"/>
                <w:szCs w:val="21"/>
              </w:rPr>
              <w:sym w:font="Wingdings" w:char="F0FC"/>
            </w:r>
            <w:r w:rsidRPr="00900C22">
              <w:rPr>
                <w:b/>
                <w:sz w:val="21"/>
                <w:szCs w:val="21"/>
              </w:rPr>
              <w:sym w:font="Wingdings" w:char="F0FC"/>
            </w:r>
          </w:p>
          <w:p w:rsidR="00F64077" w:rsidRPr="00900C22" w:rsidRDefault="00F64077" w:rsidP="00F10D15">
            <w:pPr>
              <w:rPr>
                <w:sz w:val="21"/>
                <w:szCs w:val="21"/>
              </w:rPr>
            </w:pPr>
            <w:r>
              <w:rPr>
                <w:sz w:val="21"/>
                <w:szCs w:val="21"/>
              </w:rPr>
              <w:t>Unlikely to impact reporting of life events; however, could prompt users to access BDM information from unofficial online sources.</w:t>
            </w:r>
          </w:p>
        </w:tc>
        <w:tc>
          <w:tcPr>
            <w:tcW w:w="4184" w:type="dxa"/>
            <w:gridSpan w:val="2"/>
            <w:tcBorders>
              <w:top w:val="single" w:sz="6" w:space="0" w:color="FFFFFF" w:themeColor="background1"/>
            </w:tcBorders>
          </w:tcPr>
          <w:p w:rsidR="00F64077" w:rsidRDefault="00F64077" w:rsidP="00F10D15">
            <w:pPr>
              <w:spacing w:after="0"/>
              <w:jc w:val="center"/>
              <w:rPr>
                <w:b/>
                <w:sz w:val="21"/>
                <w:szCs w:val="21"/>
              </w:rPr>
            </w:pPr>
            <w:r w:rsidRPr="00900C22">
              <w:rPr>
                <w:b/>
                <w:sz w:val="21"/>
                <w:szCs w:val="21"/>
              </w:rPr>
              <w:sym w:font="Wingdings" w:char="F0FC"/>
            </w:r>
            <w:r w:rsidRPr="00900C22">
              <w:rPr>
                <w:b/>
                <w:sz w:val="21"/>
                <w:szCs w:val="21"/>
              </w:rPr>
              <w:sym w:font="Wingdings" w:char="F0FC"/>
            </w:r>
          </w:p>
          <w:p w:rsidR="00F64077" w:rsidRPr="00900C22" w:rsidRDefault="00F64077" w:rsidP="00F10D15">
            <w:pPr>
              <w:rPr>
                <w:sz w:val="21"/>
                <w:szCs w:val="21"/>
              </w:rPr>
            </w:pPr>
            <w:r>
              <w:rPr>
                <w:sz w:val="21"/>
                <w:szCs w:val="21"/>
              </w:rPr>
              <w:t xml:space="preserve">Unlikely to impact reporting of life events. </w:t>
            </w:r>
          </w:p>
        </w:tc>
        <w:tc>
          <w:tcPr>
            <w:tcW w:w="4184" w:type="dxa"/>
            <w:tcBorders>
              <w:top w:val="single" w:sz="6" w:space="0" w:color="FFFFFF" w:themeColor="background1"/>
            </w:tcBorders>
          </w:tcPr>
          <w:p w:rsidR="00F64077" w:rsidRDefault="00F64077" w:rsidP="00F10D15">
            <w:pPr>
              <w:spacing w:before="0"/>
              <w:jc w:val="center"/>
              <w:rPr>
                <w:sz w:val="21"/>
                <w:szCs w:val="21"/>
              </w:rPr>
            </w:pPr>
            <w:r>
              <w:rPr>
                <w:b/>
                <w:sz w:val="21"/>
                <w:szCs w:val="21"/>
              </w:rPr>
              <w:t>X</w:t>
            </w:r>
            <w:r>
              <w:rPr>
                <w:sz w:val="21"/>
                <w:szCs w:val="21"/>
              </w:rPr>
              <w:t xml:space="preserve"> </w:t>
            </w:r>
          </w:p>
          <w:p w:rsidR="00F64077" w:rsidRPr="00900C22" w:rsidRDefault="00F64077" w:rsidP="00F10D15">
            <w:pPr>
              <w:rPr>
                <w:sz w:val="21"/>
                <w:szCs w:val="21"/>
              </w:rPr>
            </w:pPr>
            <w:r>
              <w:rPr>
                <w:sz w:val="21"/>
                <w:szCs w:val="21"/>
              </w:rPr>
              <w:t>Likely reduction in public trust; negative impact on compliance could undermine accuracy of BDM information over time.</w:t>
            </w:r>
          </w:p>
        </w:tc>
      </w:tr>
      <w:tr w:rsidR="00F64077" w:rsidTr="00F10D15">
        <w:tc>
          <w:tcPr>
            <w:tcW w:w="2694" w:type="dxa"/>
            <w:gridSpan w:val="3"/>
          </w:tcPr>
          <w:p w:rsidR="00F64077" w:rsidRPr="00900C22" w:rsidRDefault="00F64077" w:rsidP="00F10D15">
            <w:pPr>
              <w:pStyle w:val="Numberedpara3level1"/>
              <w:numPr>
                <w:ilvl w:val="0"/>
                <w:numId w:val="0"/>
              </w:numPr>
              <w:spacing w:before="360" w:after="40"/>
              <w:rPr>
                <w:b/>
                <w:sz w:val="21"/>
                <w:szCs w:val="21"/>
              </w:rPr>
            </w:pPr>
            <w:r w:rsidRPr="00900C22">
              <w:rPr>
                <w:b/>
                <w:sz w:val="21"/>
                <w:szCs w:val="21"/>
              </w:rPr>
              <w:t>The risk of misuse of BDM information is minimised</w:t>
            </w:r>
          </w:p>
        </w:tc>
        <w:tc>
          <w:tcPr>
            <w:tcW w:w="4184" w:type="dxa"/>
            <w:gridSpan w:val="3"/>
          </w:tcPr>
          <w:p w:rsidR="00F64077" w:rsidRPr="00900C22" w:rsidRDefault="00F64077" w:rsidP="00F10D15">
            <w:pPr>
              <w:pStyle w:val="Numberedpara3level1"/>
              <w:numPr>
                <w:ilvl w:val="0"/>
                <w:numId w:val="0"/>
              </w:numPr>
              <w:spacing w:after="0"/>
              <w:jc w:val="center"/>
              <w:rPr>
                <w:b/>
                <w:sz w:val="21"/>
                <w:szCs w:val="21"/>
              </w:rPr>
            </w:pPr>
            <w:r w:rsidRPr="00900C22">
              <w:rPr>
                <w:b/>
                <w:sz w:val="21"/>
                <w:szCs w:val="21"/>
              </w:rPr>
              <w:sym w:font="Wingdings" w:char="F0FC"/>
            </w:r>
          </w:p>
          <w:p w:rsidR="00F64077" w:rsidRPr="00900C22" w:rsidRDefault="00F64077" w:rsidP="00F10D15">
            <w:pPr>
              <w:pStyle w:val="Numberedpara3level1"/>
              <w:numPr>
                <w:ilvl w:val="0"/>
                <w:numId w:val="0"/>
              </w:numPr>
              <w:spacing w:after="0"/>
              <w:rPr>
                <w:sz w:val="21"/>
                <w:szCs w:val="21"/>
              </w:rPr>
            </w:pPr>
            <w:r>
              <w:rPr>
                <w:sz w:val="21"/>
                <w:szCs w:val="21"/>
              </w:rPr>
              <w:t xml:space="preserve">Prioritises privacy interests over public access; possible unintended consequences, </w:t>
            </w:r>
            <w:proofErr w:type="spellStart"/>
            <w:r>
              <w:rPr>
                <w:sz w:val="21"/>
                <w:szCs w:val="21"/>
              </w:rPr>
              <w:t>ie</w:t>
            </w:r>
            <w:proofErr w:type="spellEnd"/>
            <w:r>
              <w:rPr>
                <w:sz w:val="21"/>
                <w:szCs w:val="21"/>
              </w:rPr>
              <w:t>, driving increase in unnecessary (if legal) access to additional records.</w:t>
            </w:r>
          </w:p>
        </w:tc>
        <w:tc>
          <w:tcPr>
            <w:tcW w:w="4184" w:type="dxa"/>
            <w:gridSpan w:val="2"/>
          </w:tcPr>
          <w:p w:rsidR="00F64077" w:rsidRPr="00F50F9D" w:rsidRDefault="00F64077" w:rsidP="00F10D15">
            <w:pPr>
              <w:pStyle w:val="Numberedpara3level1"/>
              <w:numPr>
                <w:ilvl w:val="0"/>
                <w:numId w:val="0"/>
              </w:numPr>
              <w:spacing w:after="0"/>
              <w:jc w:val="center"/>
              <w:rPr>
                <w:b/>
                <w:sz w:val="21"/>
                <w:szCs w:val="21"/>
              </w:rPr>
            </w:pPr>
            <w:r w:rsidRPr="00F50F9D">
              <w:rPr>
                <w:b/>
                <w:sz w:val="21"/>
                <w:szCs w:val="21"/>
              </w:rPr>
              <w:sym w:font="Wingdings" w:char="F0FC"/>
            </w:r>
            <w:r w:rsidRPr="00900C22">
              <w:rPr>
                <w:b/>
                <w:sz w:val="21"/>
                <w:szCs w:val="21"/>
              </w:rPr>
              <w:sym w:font="Wingdings" w:char="F0FC"/>
            </w:r>
          </w:p>
          <w:p w:rsidR="00F64077" w:rsidRPr="00F50F9D" w:rsidRDefault="00F64077" w:rsidP="00F10D15">
            <w:pPr>
              <w:pStyle w:val="Numberedpara3level1"/>
              <w:numPr>
                <w:ilvl w:val="0"/>
                <w:numId w:val="0"/>
              </w:numPr>
              <w:spacing w:after="0"/>
              <w:rPr>
                <w:sz w:val="21"/>
                <w:szCs w:val="21"/>
              </w:rPr>
            </w:pPr>
            <w:r>
              <w:rPr>
                <w:sz w:val="21"/>
                <w:szCs w:val="21"/>
              </w:rPr>
              <w:t>W</w:t>
            </w:r>
            <w:r w:rsidRPr="000D4EFC">
              <w:rPr>
                <w:sz w:val="21"/>
                <w:szCs w:val="21"/>
              </w:rPr>
              <w:t>ill not support “fishing expedition” searches</w:t>
            </w:r>
            <w:r>
              <w:rPr>
                <w:sz w:val="21"/>
                <w:szCs w:val="21"/>
              </w:rPr>
              <w:t>; w</w:t>
            </w:r>
            <w:r w:rsidRPr="00F50F9D">
              <w:rPr>
                <w:sz w:val="21"/>
                <w:szCs w:val="21"/>
              </w:rPr>
              <w:t xml:space="preserve">ill help </w:t>
            </w:r>
            <w:r>
              <w:rPr>
                <w:sz w:val="21"/>
                <w:szCs w:val="21"/>
              </w:rPr>
              <w:t xml:space="preserve">users </w:t>
            </w:r>
            <w:r w:rsidRPr="00F50F9D">
              <w:rPr>
                <w:sz w:val="21"/>
                <w:szCs w:val="21"/>
              </w:rPr>
              <w:t xml:space="preserve">identify (but not reconstruct) </w:t>
            </w:r>
            <w:r>
              <w:rPr>
                <w:sz w:val="21"/>
                <w:szCs w:val="21"/>
              </w:rPr>
              <w:t>a</w:t>
            </w:r>
            <w:r w:rsidRPr="00F50F9D">
              <w:rPr>
                <w:sz w:val="21"/>
                <w:szCs w:val="21"/>
              </w:rPr>
              <w:t xml:space="preserve"> “named person” record</w:t>
            </w:r>
            <w:r>
              <w:rPr>
                <w:sz w:val="21"/>
                <w:szCs w:val="21"/>
              </w:rPr>
              <w:t>; reduces the need to access irrelevant records, which would be privacy-enhancing.</w:t>
            </w:r>
          </w:p>
        </w:tc>
        <w:tc>
          <w:tcPr>
            <w:tcW w:w="4184" w:type="dxa"/>
          </w:tcPr>
          <w:p w:rsidR="00F64077" w:rsidRPr="00900C22" w:rsidRDefault="00F64077" w:rsidP="00F10D15">
            <w:pPr>
              <w:pStyle w:val="Numberedpara3level1"/>
              <w:numPr>
                <w:ilvl w:val="0"/>
                <w:numId w:val="0"/>
              </w:numPr>
              <w:spacing w:after="0"/>
              <w:jc w:val="center"/>
              <w:rPr>
                <w:b/>
                <w:sz w:val="21"/>
                <w:szCs w:val="21"/>
              </w:rPr>
            </w:pPr>
            <w:r>
              <w:rPr>
                <w:b/>
                <w:sz w:val="21"/>
                <w:szCs w:val="21"/>
              </w:rPr>
              <w:t>X</w:t>
            </w:r>
          </w:p>
          <w:p w:rsidR="00F64077" w:rsidRPr="00900C22" w:rsidRDefault="00F64077" w:rsidP="00F10D15">
            <w:pPr>
              <w:pStyle w:val="Numberedpara3level1"/>
              <w:numPr>
                <w:ilvl w:val="0"/>
                <w:numId w:val="0"/>
              </w:numPr>
              <w:spacing w:after="0"/>
              <w:rPr>
                <w:sz w:val="21"/>
                <w:szCs w:val="21"/>
              </w:rPr>
            </w:pPr>
            <w:r>
              <w:rPr>
                <w:sz w:val="21"/>
                <w:szCs w:val="21"/>
              </w:rPr>
              <w:t>High risk of misuse (</w:t>
            </w:r>
            <w:proofErr w:type="spellStart"/>
            <w:r>
              <w:rPr>
                <w:sz w:val="21"/>
                <w:szCs w:val="21"/>
              </w:rPr>
              <w:t>eg</w:t>
            </w:r>
            <w:proofErr w:type="spellEnd"/>
            <w:r>
              <w:rPr>
                <w:sz w:val="21"/>
                <w:szCs w:val="21"/>
              </w:rPr>
              <w:t>, data mining and data aggregation), including potentially criminal purposes, which could be difficult to mitigate; inconsistent with international standards.</w:t>
            </w:r>
          </w:p>
        </w:tc>
      </w:tr>
      <w:tr w:rsidR="00F64077" w:rsidTr="00F10D15">
        <w:tc>
          <w:tcPr>
            <w:tcW w:w="2694" w:type="dxa"/>
            <w:gridSpan w:val="3"/>
          </w:tcPr>
          <w:p w:rsidR="00F64077" w:rsidRPr="00900C22" w:rsidRDefault="00F64077" w:rsidP="00F10D15">
            <w:pPr>
              <w:pStyle w:val="Numberedpara3level1"/>
              <w:numPr>
                <w:ilvl w:val="0"/>
                <w:numId w:val="0"/>
              </w:numPr>
              <w:spacing w:before="360" w:after="40"/>
              <w:rPr>
                <w:b/>
                <w:sz w:val="21"/>
                <w:szCs w:val="21"/>
              </w:rPr>
            </w:pPr>
            <w:r w:rsidRPr="00900C22">
              <w:rPr>
                <w:b/>
                <w:sz w:val="21"/>
                <w:szCs w:val="21"/>
              </w:rPr>
              <w:t>The public’s right to access to BDM information is maintained</w:t>
            </w:r>
          </w:p>
        </w:tc>
        <w:tc>
          <w:tcPr>
            <w:tcW w:w="4184" w:type="dxa"/>
            <w:gridSpan w:val="3"/>
          </w:tcPr>
          <w:p w:rsidR="00F64077" w:rsidRPr="00900C22" w:rsidRDefault="00F64077" w:rsidP="00F10D15">
            <w:pPr>
              <w:pStyle w:val="Numberedpara3level1"/>
              <w:numPr>
                <w:ilvl w:val="0"/>
                <w:numId w:val="0"/>
              </w:numPr>
              <w:spacing w:after="0"/>
              <w:jc w:val="center"/>
              <w:rPr>
                <w:b/>
                <w:sz w:val="21"/>
                <w:szCs w:val="21"/>
              </w:rPr>
            </w:pPr>
            <w:r w:rsidRPr="00900C22">
              <w:rPr>
                <w:b/>
                <w:sz w:val="21"/>
                <w:szCs w:val="21"/>
              </w:rPr>
              <w:sym w:font="Wingdings" w:char="F0FC"/>
            </w:r>
          </w:p>
          <w:p w:rsidR="00F64077" w:rsidRPr="00900C22" w:rsidRDefault="00F64077" w:rsidP="00F10D15">
            <w:pPr>
              <w:pStyle w:val="Numberedpara3level1"/>
              <w:numPr>
                <w:ilvl w:val="0"/>
                <w:numId w:val="0"/>
              </w:numPr>
              <w:spacing w:after="0"/>
              <w:rPr>
                <w:sz w:val="21"/>
                <w:szCs w:val="21"/>
              </w:rPr>
            </w:pPr>
            <w:r>
              <w:rPr>
                <w:sz w:val="21"/>
                <w:szCs w:val="21"/>
              </w:rPr>
              <w:t>Researchers may have to search available hard copy records (</w:t>
            </w:r>
            <w:proofErr w:type="spellStart"/>
            <w:r>
              <w:rPr>
                <w:sz w:val="21"/>
                <w:szCs w:val="21"/>
              </w:rPr>
              <w:t>eg</w:t>
            </w:r>
            <w:proofErr w:type="spellEnd"/>
            <w:r>
              <w:rPr>
                <w:sz w:val="21"/>
                <w:szCs w:val="21"/>
              </w:rPr>
              <w:t>, pre-1998 indexes) to help identify a named person record; cost can be a barrier if several records need to be accessed to find the “right” record and/or if BDM staff search fees are involved; does not address public and government expectations about access to digital services.</w:t>
            </w:r>
          </w:p>
        </w:tc>
        <w:tc>
          <w:tcPr>
            <w:tcW w:w="4184" w:type="dxa"/>
            <w:gridSpan w:val="2"/>
          </w:tcPr>
          <w:p w:rsidR="00F64077" w:rsidRPr="00900C22" w:rsidRDefault="00F64077" w:rsidP="00F10D15">
            <w:pPr>
              <w:pStyle w:val="Numberedpara3level1"/>
              <w:numPr>
                <w:ilvl w:val="0"/>
                <w:numId w:val="0"/>
              </w:numPr>
              <w:spacing w:after="0"/>
              <w:jc w:val="center"/>
              <w:rPr>
                <w:b/>
                <w:sz w:val="21"/>
                <w:szCs w:val="21"/>
              </w:rPr>
            </w:pPr>
            <w:r w:rsidRPr="00900C22">
              <w:rPr>
                <w:b/>
                <w:sz w:val="21"/>
                <w:szCs w:val="21"/>
              </w:rPr>
              <w:sym w:font="Wingdings" w:char="F0FC"/>
            </w:r>
            <w:r w:rsidRPr="00900C22">
              <w:rPr>
                <w:b/>
                <w:sz w:val="21"/>
                <w:szCs w:val="21"/>
              </w:rPr>
              <w:sym w:font="Wingdings" w:char="F0FC"/>
            </w:r>
          </w:p>
          <w:p w:rsidR="00F64077" w:rsidRPr="0009651E" w:rsidRDefault="00F64077" w:rsidP="00F10D15">
            <w:pPr>
              <w:pStyle w:val="Numberedpara3level1"/>
              <w:numPr>
                <w:ilvl w:val="0"/>
                <w:numId w:val="0"/>
              </w:numPr>
              <w:spacing w:after="0"/>
              <w:rPr>
                <w:sz w:val="21"/>
                <w:szCs w:val="21"/>
              </w:rPr>
            </w:pPr>
            <w:r w:rsidRPr="0009651E">
              <w:rPr>
                <w:sz w:val="21"/>
                <w:szCs w:val="21"/>
              </w:rPr>
              <w:t xml:space="preserve">Balances individual rights </w:t>
            </w:r>
            <w:r>
              <w:rPr>
                <w:sz w:val="21"/>
                <w:szCs w:val="21"/>
              </w:rPr>
              <w:t>(</w:t>
            </w:r>
            <w:proofErr w:type="spellStart"/>
            <w:r>
              <w:rPr>
                <w:sz w:val="21"/>
                <w:szCs w:val="21"/>
              </w:rPr>
              <w:t>eg</w:t>
            </w:r>
            <w:proofErr w:type="spellEnd"/>
            <w:r>
              <w:rPr>
                <w:sz w:val="21"/>
                <w:szCs w:val="21"/>
              </w:rPr>
              <w:t xml:space="preserve">, privacy) and the public interest; recognises </w:t>
            </w:r>
            <w:r w:rsidRPr="0009651E">
              <w:rPr>
                <w:sz w:val="21"/>
                <w:szCs w:val="21"/>
              </w:rPr>
              <w:t>people expect to be able to interact with government in a digital environment</w:t>
            </w:r>
            <w:r>
              <w:rPr>
                <w:sz w:val="21"/>
                <w:szCs w:val="21"/>
              </w:rPr>
              <w:t>.</w:t>
            </w:r>
          </w:p>
        </w:tc>
        <w:tc>
          <w:tcPr>
            <w:tcW w:w="4184" w:type="dxa"/>
          </w:tcPr>
          <w:p w:rsidR="00F64077" w:rsidRPr="00900C22" w:rsidRDefault="00F64077" w:rsidP="00F10D15">
            <w:pPr>
              <w:pStyle w:val="Numberedpara3level1"/>
              <w:numPr>
                <w:ilvl w:val="0"/>
                <w:numId w:val="0"/>
              </w:numPr>
              <w:spacing w:after="0"/>
              <w:jc w:val="center"/>
              <w:rPr>
                <w:b/>
                <w:sz w:val="21"/>
                <w:szCs w:val="21"/>
              </w:rPr>
            </w:pPr>
            <w:r w:rsidRPr="00900C22">
              <w:rPr>
                <w:b/>
                <w:sz w:val="21"/>
                <w:szCs w:val="21"/>
              </w:rPr>
              <w:sym w:font="Wingdings" w:char="F0FC"/>
            </w:r>
          </w:p>
          <w:p w:rsidR="00F64077" w:rsidRPr="00900C22" w:rsidRDefault="00F64077" w:rsidP="00F10D15">
            <w:pPr>
              <w:pStyle w:val="Numberedpara3level1"/>
              <w:numPr>
                <w:ilvl w:val="0"/>
                <w:numId w:val="0"/>
              </w:numPr>
              <w:spacing w:after="0"/>
              <w:rPr>
                <w:sz w:val="21"/>
                <w:szCs w:val="21"/>
              </w:rPr>
            </w:pPr>
            <w:r>
              <w:rPr>
                <w:sz w:val="21"/>
                <w:szCs w:val="21"/>
              </w:rPr>
              <w:t>Potentially high fees for online access could act as a de facto barrier; likely to disadvantage legitimate researchers; increase in access could be rendered theoretical by systems and process to minimise/eliminate risks; likely substantial increase in administrative costs; negatives likely to outweigh positives.</w:t>
            </w:r>
          </w:p>
        </w:tc>
      </w:tr>
      <w:tr w:rsidR="00F64077" w:rsidTr="00F10D15">
        <w:tc>
          <w:tcPr>
            <w:tcW w:w="2694" w:type="dxa"/>
            <w:gridSpan w:val="3"/>
          </w:tcPr>
          <w:p w:rsidR="00F64077" w:rsidRPr="00900C22" w:rsidRDefault="00F64077" w:rsidP="00F10D15">
            <w:pPr>
              <w:pStyle w:val="Numberedpara3level1"/>
              <w:numPr>
                <w:ilvl w:val="0"/>
                <w:numId w:val="0"/>
              </w:numPr>
              <w:spacing w:before="360" w:after="40"/>
              <w:rPr>
                <w:b/>
                <w:sz w:val="21"/>
                <w:szCs w:val="21"/>
              </w:rPr>
            </w:pPr>
            <w:r>
              <w:rPr>
                <w:b/>
              </w:rPr>
              <w:t>The Registrar-General can recover the private benefit element of the costs of providing BDM services</w:t>
            </w:r>
          </w:p>
        </w:tc>
        <w:tc>
          <w:tcPr>
            <w:tcW w:w="4184" w:type="dxa"/>
            <w:gridSpan w:val="3"/>
          </w:tcPr>
          <w:p w:rsidR="00F64077" w:rsidRPr="00900C22" w:rsidRDefault="00F64077" w:rsidP="00F10D15">
            <w:pPr>
              <w:pStyle w:val="Numberedpara3level1"/>
              <w:numPr>
                <w:ilvl w:val="0"/>
                <w:numId w:val="0"/>
              </w:numPr>
              <w:spacing w:after="0"/>
              <w:jc w:val="center"/>
              <w:rPr>
                <w:b/>
                <w:sz w:val="21"/>
                <w:szCs w:val="21"/>
              </w:rPr>
            </w:pPr>
            <w:r w:rsidRPr="00900C22">
              <w:rPr>
                <w:b/>
                <w:sz w:val="21"/>
                <w:szCs w:val="21"/>
              </w:rPr>
              <w:sym w:font="Wingdings" w:char="F0FC"/>
            </w:r>
          </w:p>
          <w:p w:rsidR="00F64077" w:rsidRPr="00900C22" w:rsidRDefault="00F64077" w:rsidP="00F10D15">
            <w:pPr>
              <w:pStyle w:val="Numberedpara3level1"/>
              <w:numPr>
                <w:ilvl w:val="0"/>
                <w:numId w:val="0"/>
              </w:numPr>
              <w:spacing w:after="0"/>
              <w:rPr>
                <w:sz w:val="21"/>
                <w:szCs w:val="21"/>
              </w:rPr>
            </w:pPr>
            <w:r>
              <w:rPr>
                <w:sz w:val="21"/>
                <w:szCs w:val="21"/>
              </w:rPr>
              <w:t xml:space="preserve">May not immediately impact cost recovery; however, a solely paper records-based business model is not sustainable long-term.  Cabinet is to consider a separate proposal to increase fees </w:t>
            </w:r>
            <w:r>
              <w:t xml:space="preserve">to address memorandum account deficits </w:t>
            </w:r>
            <w:r w:rsidRPr="00FB4B4F">
              <w:t>[EGI-16-Min-0255]</w:t>
            </w:r>
            <w:r>
              <w:t>.</w:t>
            </w:r>
          </w:p>
        </w:tc>
        <w:tc>
          <w:tcPr>
            <w:tcW w:w="4184" w:type="dxa"/>
            <w:gridSpan w:val="2"/>
          </w:tcPr>
          <w:p w:rsidR="00F64077" w:rsidRPr="00900C22" w:rsidRDefault="00F64077" w:rsidP="00F10D15">
            <w:pPr>
              <w:pStyle w:val="Numberedpara3level1"/>
              <w:numPr>
                <w:ilvl w:val="0"/>
                <w:numId w:val="0"/>
              </w:numPr>
              <w:spacing w:after="0"/>
              <w:jc w:val="center"/>
              <w:rPr>
                <w:b/>
                <w:sz w:val="21"/>
                <w:szCs w:val="21"/>
              </w:rPr>
            </w:pPr>
            <w:r w:rsidRPr="00900C22">
              <w:rPr>
                <w:b/>
                <w:sz w:val="21"/>
                <w:szCs w:val="21"/>
              </w:rPr>
              <w:sym w:font="Wingdings" w:char="F0FC"/>
            </w:r>
            <w:r w:rsidRPr="00900C22">
              <w:rPr>
                <w:b/>
                <w:sz w:val="21"/>
                <w:szCs w:val="21"/>
              </w:rPr>
              <w:sym w:font="Wingdings" w:char="F0FC"/>
            </w:r>
          </w:p>
          <w:p w:rsidR="00F64077" w:rsidRPr="00F50F9D" w:rsidRDefault="00F64077" w:rsidP="00F10D15">
            <w:pPr>
              <w:pStyle w:val="Numberedpara3level1"/>
              <w:numPr>
                <w:ilvl w:val="0"/>
                <w:numId w:val="0"/>
              </w:numPr>
              <w:spacing w:after="0"/>
              <w:rPr>
                <w:sz w:val="21"/>
                <w:szCs w:val="21"/>
              </w:rPr>
            </w:pPr>
            <w:r>
              <w:rPr>
                <w:sz w:val="21"/>
                <w:szCs w:val="21"/>
              </w:rPr>
              <w:t xml:space="preserve">Individual “named person” records would be accessed via a certificate or printout (like </w:t>
            </w:r>
            <w:proofErr w:type="spellStart"/>
            <w:r>
              <w:rPr>
                <w:i/>
                <w:sz w:val="21"/>
                <w:szCs w:val="21"/>
              </w:rPr>
              <w:t>ScotlandsPeople</w:t>
            </w:r>
            <w:proofErr w:type="spellEnd"/>
            <w:r>
              <w:rPr>
                <w:sz w:val="21"/>
                <w:szCs w:val="21"/>
              </w:rPr>
              <w:t>); likely to be cost-neutral (fewer “wrong” records accessed, but easier to access the “right” record).</w:t>
            </w:r>
          </w:p>
        </w:tc>
        <w:tc>
          <w:tcPr>
            <w:tcW w:w="4184" w:type="dxa"/>
          </w:tcPr>
          <w:p w:rsidR="00F64077" w:rsidRPr="00900C22" w:rsidRDefault="00F64077" w:rsidP="00F10D15">
            <w:pPr>
              <w:pStyle w:val="Numberedpara3level1"/>
              <w:numPr>
                <w:ilvl w:val="0"/>
                <w:numId w:val="0"/>
              </w:numPr>
              <w:spacing w:after="0"/>
              <w:jc w:val="center"/>
              <w:rPr>
                <w:b/>
                <w:sz w:val="21"/>
                <w:szCs w:val="21"/>
              </w:rPr>
            </w:pPr>
            <w:r w:rsidRPr="00900C22">
              <w:rPr>
                <w:b/>
                <w:sz w:val="21"/>
                <w:szCs w:val="21"/>
              </w:rPr>
              <w:sym w:font="Wingdings" w:char="F0FC"/>
            </w:r>
          </w:p>
          <w:p w:rsidR="00F64077" w:rsidRPr="00900C22" w:rsidRDefault="00F64077" w:rsidP="00F10D15">
            <w:pPr>
              <w:pStyle w:val="Numberedpara3level1"/>
              <w:numPr>
                <w:ilvl w:val="0"/>
                <w:numId w:val="0"/>
              </w:numPr>
              <w:spacing w:after="0"/>
              <w:rPr>
                <w:sz w:val="21"/>
                <w:szCs w:val="21"/>
              </w:rPr>
            </w:pPr>
            <w:r>
              <w:rPr>
                <w:sz w:val="21"/>
                <w:szCs w:val="21"/>
              </w:rPr>
              <w:t>New fee for online access would need to be set at a high level to discourage misuse; could discourage legitimate access requests across the board.</w:t>
            </w:r>
          </w:p>
        </w:tc>
      </w:tr>
      <w:tr w:rsidR="00F64077" w:rsidTr="00F10D15">
        <w:tc>
          <w:tcPr>
            <w:tcW w:w="2694" w:type="dxa"/>
            <w:gridSpan w:val="3"/>
            <w:tcBorders>
              <w:top w:val="single" w:sz="6" w:space="0" w:color="auto"/>
              <w:bottom w:val="single" w:sz="12" w:space="0" w:color="auto"/>
            </w:tcBorders>
          </w:tcPr>
          <w:p w:rsidR="00F64077" w:rsidRPr="00900C22" w:rsidRDefault="00F64077" w:rsidP="00F10D15">
            <w:pPr>
              <w:pStyle w:val="Numberedpara3level1"/>
              <w:numPr>
                <w:ilvl w:val="0"/>
                <w:numId w:val="0"/>
              </w:numPr>
              <w:spacing w:before="120" w:after="40"/>
              <w:rPr>
                <w:b/>
                <w:sz w:val="21"/>
                <w:szCs w:val="21"/>
              </w:rPr>
            </w:pPr>
            <w:r w:rsidRPr="00900C22">
              <w:rPr>
                <w:b/>
                <w:sz w:val="21"/>
                <w:szCs w:val="21"/>
              </w:rPr>
              <w:t>The compliance burden on individuals and agencies is minimised</w:t>
            </w:r>
          </w:p>
        </w:tc>
        <w:tc>
          <w:tcPr>
            <w:tcW w:w="4184" w:type="dxa"/>
            <w:gridSpan w:val="3"/>
            <w:tcBorders>
              <w:top w:val="single" w:sz="6" w:space="0" w:color="auto"/>
              <w:bottom w:val="single" w:sz="12" w:space="0" w:color="auto"/>
            </w:tcBorders>
            <w:vAlign w:val="center"/>
          </w:tcPr>
          <w:p w:rsidR="00F64077" w:rsidRPr="00900C22" w:rsidRDefault="00F64077" w:rsidP="00F10D15">
            <w:pPr>
              <w:jc w:val="center"/>
              <w:rPr>
                <w:sz w:val="21"/>
                <w:szCs w:val="21"/>
              </w:rPr>
            </w:pPr>
            <w:r w:rsidRPr="00900C22">
              <w:rPr>
                <w:b/>
                <w:sz w:val="21"/>
                <w:szCs w:val="21"/>
              </w:rPr>
              <w:t>—NA—</w:t>
            </w:r>
          </w:p>
        </w:tc>
        <w:tc>
          <w:tcPr>
            <w:tcW w:w="4184" w:type="dxa"/>
            <w:gridSpan w:val="2"/>
            <w:tcBorders>
              <w:top w:val="single" w:sz="6" w:space="0" w:color="auto"/>
              <w:bottom w:val="single" w:sz="12" w:space="0" w:color="auto"/>
            </w:tcBorders>
            <w:vAlign w:val="center"/>
          </w:tcPr>
          <w:p w:rsidR="00F64077" w:rsidRPr="00900C22" w:rsidRDefault="00F64077" w:rsidP="00F10D15">
            <w:pPr>
              <w:jc w:val="center"/>
              <w:rPr>
                <w:sz w:val="21"/>
                <w:szCs w:val="21"/>
              </w:rPr>
            </w:pPr>
            <w:r w:rsidRPr="00900C22">
              <w:rPr>
                <w:b/>
                <w:sz w:val="21"/>
                <w:szCs w:val="21"/>
              </w:rPr>
              <w:t>—NA—</w:t>
            </w:r>
          </w:p>
        </w:tc>
        <w:tc>
          <w:tcPr>
            <w:tcW w:w="4184" w:type="dxa"/>
            <w:tcBorders>
              <w:top w:val="single" w:sz="6" w:space="0" w:color="auto"/>
              <w:bottom w:val="single" w:sz="12" w:space="0" w:color="auto"/>
            </w:tcBorders>
            <w:vAlign w:val="center"/>
          </w:tcPr>
          <w:p w:rsidR="00F64077" w:rsidRPr="00900C22" w:rsidRDefault="00F64077" w:rsidP="00F10D15">
            <w:pPr>
              <w:jc w:val="center"/>
              <w:rPr>
                <w:sz w:val="21"/>
                <w:szCs w:val="21"/>
              </w:rPr>
            </w:pPr>
            <w:r w:rsidRPr="00900C22">
              <w:rPr>
                <w:b/>
                <w:sz w:val="21"/>
                <w:szCs w:val="21"/>
              </w:rPr>
              <w:t>—NA—</w:t>
            </w:r>
          </w:p>
        </w:tc>
      </w:tr>
      <w:tr w:rsidR="00F64077" w:rsidRPr="00826B99" w:rsidTr="00F10D15">
        <w:tblPrEx>
          <w:tblBorders>
            <w:top w:val="single" w:sz="6" w:space="0" w:color="FFFFFF" w:themeColor="background1"/>
            <w:left w:val="single" w:sz="6" w:space="0" w:color="FFFFFF" w:themeColor="background1"/>
            <w:bottom w:val="none" w:sz="0" w:space="0" w:color="auto"/>
            <w:right w:val="single" w:sz="6" w:space="0" w:color="FFFFFF" w:themeColor="background1"/>
            <w:insideH w:val="single" w:sz="6" w:space="0" w:color="FFFFFF" w:themeColor="background1"/>
            <w:insideV w:val="single" w:sz="6" w:space="0" w:color="FFFFFF" w:themeColor="background1"/>
          </w:tblBorders>
        </w:tblPrEx>
        <w:trPr>
          <w:gridAfter w:val="2"/>
          <w:wAfter w:w="7449" w:type="dxa"/>
        </w:trPr>
        <w:tc>
          <w:tcPr>
            <w:tcW w:w="709" w:type="dxa"/>
            <w:shd w:val="clear" w:color="auto" w:fill="auto"/>
          </w:tcPr>
          <w:p w:rsidR="00F64077" w:rsidRPr="00826B99" w:rsidRDefault="00F64077" w:rsidP="00F10D15">
            <w:pPr>
              <w:pStyle w:val="Numberedpara3level1"/>
              <w:widowControl w:val="0"/>
              <w:numPr>
                <w:ilvl w:val="0"/>
                <w:numId w:val="0"/>
              </w:numPr>
              <w:spacing w:before="120" w:after="0"/>
              <w:rPr>
                <w:b/>
                <w:sz w:val="20"/>
              </w:rPr>
            </w:pPr>
            <w:r w:rsidRPr="00826B99">
              <w:rPr>
                <w:b/>
                <w:sz w:val="20"/>
              </w:rPr>
              <w:t>Key:</w:t>
            </w:r>
          </w:p>
        </w:tc>
        <w:tc>
          <w:tcPr>
            <w:tcW w:w="1418" w:type="dxa"/>
            <w:shd w:val="clear" w:color="auto" w:fill="auto"/>
          </w:tcPr>
          <w:p w:rsidR="00F64077" w:rsidRPr="00826B99" w:rsidRDefault="00F64077" w:rsidP="00F10D15">
            <w:pPr>
              <w:pStyle w:val="Numberedpara3level1"/>
              <w:widowControl w:val="0"/>
              <w:numPr>
                <w:ilvl w:val="0"/>
                <w:numId w:val="0"/>
              </w:numPr>
              <w:spacing w:before="120" w:after="0"/>
              <w:rPr>
                <w:sz w:val="20"/>
              </w:rPr>
            </w:pPr>
            <w:r w:rsidRPr="00826B99">
              <w:rPr>
                <w:sz w:val="20"/>
              </w:rPr>
              <w:t>Meets:</w:t>
            </w:r>
            <w:r w:rsidRPr="00826B99">
              <w:rPr>
                <w:b/>
                <w:sz w:val="20"/>
              </w:rPr>
              <w:t xml:space="preserve"> </w:t>
            </w:r>
            <w:r>
              <w:rPr>
                <w:b/>
                <w:sz w:val="20"/>
              </w:rPr>
              <w:t xml:space="preserve"> </w:t>
            </w:r>
            <w:r w:rsidRPr="00826B99">
              <w:rPr>
                <w:b/>
                <w:sz w:val="20"/>
              </w:rPr>
              <w:sym w:font="Wingdings" w:char="F0FC"/>
            </w:r>
            <w:r w:rsidRPr="00826B99">
              <w:rPr>
                <w:b/>
                <w:sz w:val="20"/>
              </w:rPr>
              <w:sym w:font="Wingdings" w:char="F0FC"/>
            </w:r>
          </w:p>
        </w:tc>
        <w:tc>
          <w:tcPr>
            <w:tcW w:w="1842" w:type="dxa"/>
            <w:gridSpan w:val="2"/>
            <w:shd w:val="clear" w:color="auto" w:fill="auto"/>
          </w:tcPr>
          <w:p w:rsidR="00F64077" w:rsidRPr="00826B99" w:rsidRDefault="00F64077" w:rsidP="00F10D15">
            <w:pPr>
              <w:pStyle w:val="Numberedpara3level1"/>
              <w:widowControl w:val="0"/>
              <w:numPr>
                <w:ilvl w:val="0"/>
                <w:numId w:val="0"/>
              </w:numPr>
              <w:spacing w:before="120" w:after="0"/>
              <w:rPr>
                <w:sz w:val="20"/>
              </w:rPr>
            </w:pPr>
            <w:r w:rsidRPr="00826B99">
              <w:rPr>
                <w:sz w:val="20"/>
              </w:rPr>
              <w:t xml:space="preserve">Partially meets:  </w:t>
            </w:r>
            <w:r w:rsidRPr="00826B99">
              <w:rPr>
                <w:b/>
                <w:sz w:val="20"/>
              </w:rPr>
              <w:sym w:font="Wingdings" w:char="F0FC"/>
            </w:r>
          </w:p>
        </w:tc>
        <w:tc>
          <w:tcPr>
            <w:tcW w:w="1843" w:type="dxa"/>
            <w:shd w:val="clear" w:color="auto" w:fill="auto"/>
          </w:tcPr>
          <w:p w:rsidR="00F64077" w:rsidRPr="00826B99" w:rsidRDefault="00F64077" w:rsidP="00F10D15">
            <w:pPr>
              <w:pStyle w:val="Numberedpara3level1"/>
              <w:widowControl w:val="0"/>
              <w:numPr>
                <w:ilvl w:val="0"/>
                <w:numId w:val="0"/>
              </w:numPr>
              <w:spacing w:before="120" w:after="0"/>
              <w:rPr>
                <w:sz w:val="20"/>
              </w:rPr>
            </w:pPr>
            <w:r w:rsidRPr="00826B99">
              <w:rPr>
                <w:sz w:val="20"/>
              </w:rPr>
              <w:t xml:space="preserve">Does not meet:  </w:t>
            </w:r>
            <w:r w:rsidRPr="00826B99">
              <w:rPr>
                <w:b/>
                <w:sz w:val="20"/>
              </w:rPr>
              <w:t>X</w:t>
            </w:r>
          </w:p>
        </w:tc>
        <w:tc>
          <w:tcPr>
            <w:tcW w:w="1985" w:type="dxa"/>
            <w:gridSpan w:val="2"/>
            <w:shd w:val="clear" w:color="auto" w:fill="auto"/>
          </w:tcPr>
          <w:p w:rsidR="00F64077" w:rsidRPr="00826B99" w:rsidRDefault="00F64077" w:rsidP="00F10D15">
            <w:pPr>
              <w:pStyle w:val="Numberedpara3level1"/>
              <w:widowControl w:val="0"/>
              <w:numPr>
                <w:ilvl w:val="0"/>
                <w:numId w:val="0"/>
              </w:numPr>
              <w:spacing w:before="120" w:after="0"/>
              <w:rPr>
                <w:sz w:val="20"/>
              </w:rPr>
            </w:pPr>
            <w:r w:rsidRPr="00826B99">
              <w:rPr>
                <w:sz w:val="20"/>
              </w:rPr>
              <w:t>Not applicable:</w:t>
            </w:r>
            <w:r>
              <w:rPr>
                <w:b/>
                <w:sz w:val="20"/>
              </w:rPr>
              <w:t xml:space="preserve"> </w:t>
            </w:r>
            <w:r w:rsidRPr="00826B99">
              <w:rPr>
                <w:sz w:val="20"/>
              </w:rPr>
              <w:t xml:space="preserve"> </w:t>
            </w:r>
            <w:r w:rsidRPr="00826B99">
              <w:rPr>
                <w:b/>
                <w:sz w:val="20"/>
              </w:rPr>
              <w:t>NA</w:t>
            </w:r>
          </w:p>
        </w:tc>
      </w:tr>
    </w:tbl>
    <w:p w:rsidR="00F64077" w:rsidRDefault="00F64077" w:rsidP="00407F55">
      <w:pPr>
        <w:pStyle w:val="Heading3"/>
        <w:sectPr w:rsidR="00F64077" w:rsidSect="00F64077">
          <w:type w:val="evenPage"/>
          <w:pgSz w:w="16840" w:h="11907" w:orient="landscape" w:code="9"/>
          <w:pgMar w:top="964" w:right="851" w:bottom="567" w:left="851" w:header="425" w:footer="635" w:gutter="0"/>
          <w:cols w:space="708"/>
          <w:titlePg/>
          <w:docGrid w:linePitch="360"/>
        </w:sectPr>
      </w:pPr>
    </w:p>
    <w:p w:rsidR="00407F55" w:rsidRPr="00E978D9" w:rsidRDefault="00700B0D" w:rsidP="00407F55">
      <w:pPr>
        <w:pStyle w:val="Heading3"/>
      </w:pPr>
      <w:r>
        <w:t>1B</w:t>
      </w:r>
      <w:r>
        <w:tab/>
      </w:r>
      <w:proofErr w:type="gramStart"/>
      <w:r w:rsidR="0062252C">
        <w:t>Online</w:t>
      </w:r>
      <w:proofErr w:type="gramEnd"/>
      <w:r w:rsidR="00407F55">
        <w:t xml:space="preserve"> access to historic</w:t>
      </w:r>
      <w:r w:rsidR="000717F6">
        <w:t>al</w:t>
      </w:r>
      <w:r w:rsidR="00407F55">
        <w:t xml:space="preserve"> register information</w:t>
      </w:r>
    </w:p>
    <w:p w:rsidR="002E57E9" w:rsidRDefault="00405664" w:rsidP="00ED5D96">
      <w:pPr>
        <w:pStyle w:val="Numberedpara3level1"/>
        <w:ind w:right="-482"/>
      </w:pPr>
      <w:r>
        <w:t>Five</w:t>
      </w:r>
      <w:r w:rsidR="00ED5D96">
        <w:t xml:space="preserve"> options for regulating publication of historical register information have been identified:</w:t>
      </w:r>
    </w:p>
    <w:tbl>
      <w:tblPr>
        <w:tblStyle w:val="RIS"/>
        <w:tblW w:w="9639" w:type="dxa"/>
        <w:tblInd w:w="108" w:type="dxa"/>
        <w:tblLook w:val="04A0" w:firstRow="1" w:lastRow="0" w:firstColumn="1" w:lastColumn="0" w:noHBand="0" w:noVBand="1"/>
      </w:tblPr>
      <w:tblGrid>
        <w:gridCol w:w="3119"/>
        <w:gridCol w:w="6520"/>
      </w:tblGrid>
      <w:tr w:rsidR="002E57E9" w:rsidTr="009003E5">
        <w:trPr>
          <w:cnfStyle w:val="100000000000" w:firstRow="1" w:lastRow="0" w:firstColumn="0" w:lastColumn="0" w:oddVBand="0" w:evenVBand="0" w:oddHBand="0" w:evenHBand="0" w:firstRowFirstColumn="0" w:firstRowLastColumn="0" w:lastRowFirstColumn="0" w:lastRowLastColumn="0"/>
        </w:trPr>
        <w:tc>
          <w:tcPr>
            <w:tcW w:w="3119" w:type="dxa"/>
          </w:tcPr>
          <w:p w:rsidR="002E57E9" w:rsidRDefault="002E57E9" w:rsidP="00D925EE">
            <w:pPr>
              <w:spacing w:after="60"/>
              <w:ind w:firstLine="34"/>
            </w:pPr>
            <w:r>
              <w:t>Option</w:t>
            </w:r>
          </w:p>
        </w:tc>
        <w:tc>
          <w:tcPr>
            <w:tcW w:w="6520" w:type="dxa"/>
          </w:tcPr>
          <w:p w:rsidR="002E57E9" w:rsidRPr="002E57E9" w:rsidRDefault="002E57E9" w:rsidP="00D925EE">
            <w:pPr>
              <w:spacing w:after="60"/>
            </w:pPr>
            <w:r w:rsidRPr="002E57E9">
              <w:t>Description</w:t>
            </w:r>
          </w:p>
        </w:tc>
      </w:tr>
      <w:tr w:rsidR="002E57E9" w:rsidTr="009003E5">
        <w:tc>
          <w:tcPr>
            <w:tcW w:w="3119" w:type="dxa"/>
          </w:tcPr>
          <w:p w:rsidR="002E57E9" w:rsidRPr="00D925EE" w:rsidRDefault="002E57E9" w:rsidP="00D925EE">
            <w:pPr>
              <w:pStyle w:val="ListParagraph"/>
              <w:numPr>
                <w:ilvl w:val="6"/>
                <w:numId w:val="29"/>
              </w:numPr>
              <w:spacing w:before="120" w:after="40"/>
              <w:ind w:left="318" w:hanging="284"/>
              <w:rPr>
                <w:b/>
                <w:szCs w:val="22"/>
              </w:rPr>
            </w:pPr>
            <w:r w:rsidRPr="00D925EE">
              <w:rPr>
                <w:b/>
                <w:szCs w:val="22"/>
              </w:rPr>
              <w:t>Status quo</w:t>
            </w:r>
          </w:p>
        </w:tc>
        <w:tc>
          <w:tcPr>
            <w:tcW w:w="6520" w:type="dxa"/>
          </w:tcPr>
          <w:p w:rsidR="002E57E9" w:rsidRPr="00D925EE" w:rsidRDefault="000717F6" w:rsidP="00D925EE">
            <w:pPr>
              <w:spacing w:before="120" w:after="40"/>
              <w:rPr>
                <w:szCs w:val="22"/>
              </w:rPr>
            </w:pPr>
            <w:r w:rsidRPr="00D925EE">
              <w:rPr>
                <w:szCs w:val="22"/>
              </w:rPr>
              <w:t xml:space="preserve">Historical BDM information (other than </w:t>
            </w:r>
            <w:r w:rsidR="00073D4D" w:rsidRPr="00D925EE">
              <w:rPr>
                <w:szCs w:val="22"/>
              </w:rPr>
              <w:t xml:space="preserve">that available through </w:t>
            </w:r>
            <w:r w:rsidRPr="00D925EE">
              <w:rPr>
                <w:szCs w:val="22"/>
              </w:rPr>
              <w:t>the current, limited search function) can only be accessed by purchasing a certificate or printout.</w:t>
            </w:r>
          </w:p>
        </w:tc>
      </w:tr>
      <w:tr w:rsidR="000717F6" w:rsidTr="009003E5">
        <w:tc>
          <w:tcPr>
            <w:tcW w:w="3119" w:type="dxa"/>
          </w:tcPr>
          <w:p w:rsidR="000717F6" w:rsidRPr="00D925EE" w:rsidRDefault="00405664" w:rsidP="00D925EE">
            <w:pPr>
              <w:pStyle w:val="Numberedpara3level1"/>
              <w:numPr>
                <w:ilvl w:val="6"/>
                <w:numId w:val="29"/>
              </w:numPr>
              <w:spacing w:before="120" w:after="40"/>
              <w:ind w:left="318" w:hanging="284"/>
              <w:rPr>
                <w:b/>
                <w:szCs w:val="22"/>
              </w:rPr>
            </w:pPr>
            <w:r w:rsidRPr="00D925EE">
              <w:rPr>
                <w:b/>
                <w:szCs w:val="22"/>
              </w:rPr>
              <w:t>Amended status quo</w:t>
            </w:r>
          </w:p>
        </w:tc>
        <w:tc>
          <w:tcPr>
            <w:tcW w:w="6520" w:type="dxa"/>
          </w:tcPr>
          <w:p w:rsidR="000717F6" w:rsidRPr="00D925EE" w:rsidRDefault="00405664" w:rsidP="00D925EE">
            <w:pPr>
              <w:spacing w:before="120" w:after="40"/>
              <w:rPr>
                <w:szCs w:val="22"/>
              </w:rPr>
            </w:pPr>
            <w:r w:rsidRPr="00D925EE">
              <w:rPr>
                <w:szCs w:val="22"/>
              </w:rPr>
              <w:t xml:space="preserve">Expand the existing online search function to include all the information specified in s </w:t>
            </w:r>
            <w:r w:rsidR="00DF528F" w:rsidRPr="00D925EE">
              <w:rPr>
                <w:szCs w:val="22"/>
              </w:rPr>
              <w:t xml:space="preserve">78H(3), but introduce a search fee to offset possible loss of income from the </w:t>
            </w:r>
            <w:r w:rsidR="00FA2D0B" w:rsidRPr="00D925EE">
              <w:rPr>
                <w:szCs w:val="22"/>
              </w:rPr>
              <w:t>sale of certificates and printouts</w:t>
            </w:r>
            <w:r w:rsidR="00A13E71" w:rsidRPr="00D925EE">
              <w:rPr>
                <w:szCs w:val="22"/>
              </w:rPr>
              <w:t xml:space="preserve">.  </w:t>
            </w:r>
          </w:p>
        </w:tc>
      </w:tr>
      <w:tr w:rsidR="00405664" w:rsidTr="009003E5">
        <w:tc>
          <w:tcPr>
            <w:tcW w:w="3119" w:type="dxa"/>
          </w:tcPr>
          <w:p w:rsidR="00405664" w:rsidRPr="00D925EE" w:rsidRDefault="00405664" w:rsidP="00D925EE">
            <w:pPr>
              <w:pStyle w:val="Numberedpara3level1"/>
              <w:numPr>
                <w:ilvl w:val="6"/>
                <w:numId w:val="29"/>
              </w:numPr>
              <w:spacing w:before="120" w:after="40"/>
              <w:ind w:left="318" w:hanging="284"/>
              <w:rPr>
                <w:b/>
                <w:szCs w:val="22"/>
              </w:rPr>
            </w:pPr>
            <w:r w:rsidRPr="00D925EE">
              <w:rPr>
                <w:b/>
                <w:szCs w:val="22"/>
              </w:rPr>
              <w:t>Allow online access to historic register images (recommended option)</w:t>
            </w:r>
          </w:p>
        </w:tc>
        <w:tc>
          <w:tcPr>
            <w:tcW w:w="6520" w:type="dxa"/>
          </w:tcPr>
          <w:p w:rsidR="00405664" w:rsidRPr="00D925EE" w:rsidRDefault="00405664" w:rsidP="00D925EE">
            <w:pPr>
              <w:spacing w:before="120" w:after="40"/>
              <w:rPr>
                <w:szCs w:val="22"/>
              </w:rPr>
            </w:pPr>
            <w:r w:rsidRPr="00D925EE">
              <w:rPr>
                <w:szCs w:val="22"/>
              </w:rPr>
              <w:t xml:space="preserve">Allow historical register images to be viewed online, as an alternative to the purchase of a certificate or printout, subject to the user having a verified </w:t>
            </w:r>
            <w:proofErr w:type="spellStart"/>
            <w:r w:rsidRPr="00D925EE">
              <w:rPr>
                <w:szCs w:val="22"/>
              </w:rPr>
              <w:t>RealMe</w:t>
            </w:r>
            <w:proofErr w:type="spellEnd"/>
            <w:r w:rsidRPr="00D925EE">
              <w:rPr>
                <w:szCs w:val="22"/>
              </w:rPr>
              <w:t xml:space="preserve"> ID (or approved equivalent) that can </w:t>
            </w:r>
            <w:r w:rsidR="002D614D" w:rsidRPr="00D925EE">
              <w:rPr>
                <w:szCs w:val="22"/>
              </w:rPr>
              <w:t xml:space="preserve">be </w:t>
            </w:r>
            <w:r w:rsidRPr="00D925EE">
              <w:rPr>
                <w:szCs w:val="22"/>
              </w:rPr>
              <w:t>asserted online.</w:t>
            </w:r>
            <w:r w:rsidR="00A13E71" w:rsidRPr="00D925EE">
              <w:rPr>
                <w:szCs w:val="22"/>
              </w:rPr>
              <w:t xml:space="preserve">  This would require an exception to the “named person” rule for historical births and deaths register images that commonly have multiple entries per register page.  It would also require an exception to the rules that require certain BDM information to be kept confidential</w:t>
            </w:r>
            <w:r w:rsidR="005D2FED" w:rsidRPr="00D925EE">
              <w:rPr>
                <w:szCs w:val="22"/>
              </w:rPr>
              <w:t xml:space="preserve"> (</w:t>
            </w:r>
            <w:proofErr w:type="spellStart"/>
            <w:r w:rsidR="005D2FED" w:rsidRPr="00D925EE">
              <w:rPr>
                <w:szCs w:val="22"/>
              </w:rPr>
              <w:t>eg</w:t>
            </w:r>
            <w:proofErr w:type="spellEnd"/>
            <w:r w:rsidR="005D2FED" w:rsidRPr="00D925EE">
              <w:rPr>
                <w:szCs w:val="22"/>
              </w:rPr>
              <w:t xml:space="preserve">, a notation indicating a child has been adopted), and historic notations such as “illegitimate” </w:t>
            </w:r>
            <w:r w:rsidR="00547A48" w:rsidRPr="00D925EE">
              <w:rPr>
                <w:szCs w:val="22"/>
              </w:rPr>
              <w:t xml:space="preserve">which are deemed expunged (s 86).  Certificates or printouts would continue to exclude </w:t>
            </w:r>
            <w:r w:rsidR="00D925EE" w:rsidRPr="00D925EE">
              <w:rPr>
                <w:szCs w:val="22"/>
              </w:rPr>
              <w:t>confidential</w:t>
            </w:r>
            <w:r w:rsidR="00547A48" w:rsidRPr="00D925EE">
              <w:rPr>
                <w:szCs w:val="22"/>
              </w:rPr>
              <w:t xml:space="preserve"> information.</w:t>
            </w:r>
            <w:r w:rsidR="005D6AF1">
              <w:rPr>
                <w:rStyle w:val="FootnoteReference"/>
                <w:szCs w:val="22"/>
              </w:rPr>
              <w:footnoteReference w:id="7"/>
            </w:r>
          </w:p>
        </w:tc>
      </w:tr>
      <w:tr w:rsidR="00405664" w:rsidTr="009003E5">
        <w:tc>
          <w:tcPr>
            <w:tcW w:w="3119" w:type="dxa"/>
          </w:tcPr>
          <w:p w:rsidR="00405664" w:rsidRPr="00D925EE" w:rsidRDefault="00405664" w:rsidP="00D925EE">
            <w:pPr>
              <w:spacing w:before="120" w:after="40"/>
              <w:ind w:left="318" w:hanging="318"/>
              <w:rPr>
                <w:b/>
                <w:szCs w:val="22"/>
              </w:rPr>
            </w:pPr>
            <w:r w:rsidRPr="00D925EE">
              <w:rPr>
                <w:b/>
                <w:szCs w:val="22"/>
              </w:rPr>
              <w:t>4a. Recreate the historic register image database</w:t>
            </w:r>
          </w:p>
        </w:tc>
        <w:tc>
          <w:tcPr>
            <w:tcW w:w="6520" w:type="dxa"/>
          </w:tcPr>
          <w:p w:rsidR="00405664" w:rsidRPr="00D925EE" w:rsidRDefault="00DF528F" w:rsidP="00D925EE">
            <w:pPr>
              <w:spacing w:before="120" w:after="40"/>
              <w:rPr>
                <w:szCs w:val="22"/>
              </w:rPr>
            </w:pPr>
            <w:r w:rsidRPr="00D925EE">
              <w:rPr>
                <w:rFonts w:asciiTheme="minorHAnsi" w:hAnsiTheme="minorHAnsi"/>
                <w:szCs w:val="22"/>
              </w:rPr>
              <w:t>Rescan and crop</w:t>
            </w:r>
            <w:r w:rsidR="00405664" w:rsidRPr="00D925EE">
              <w:rPr>
                <w:rFonts w:asciiTheme="minorHAnsi" w:hAnsiTheme="minorHAnsi"/>
                <w:szCs w:val="22"/>
              </w:rPr>
              <w:t xml:space="preserve"> register pages using modern technology to (a) ensure individual records can be made available for view, and (b) records that contain information the BDMRRA 1995 requires to be kept confidential are excluded from public access.</w:t>
            </w:r>
          </w:p>
        </w:tc>
      </w:tr>
      <w:tr w:rsidR="00405664" w:rsidTr="009003E5">
        <w:tc>
          <w:tcPr>
            <w:tcW w:w="3119" w:type="dxa"/>
          </w:tcPr>
          <w:p w:rsidR="00405664" w:rsidRPr="00D925EE" w:rsidRDefault="00405664" w:rsidP="00D925EE">
            <w:pPr>
              <w:spacing w:before="120" w:after="40"/>
              <w:ind w:left="318" w:hanging="318"/>
              <w:rPr>
                <w:b/>
                <w:szCs w:val="22"/>
              </w:rPr>
            </w:pPr>
            <w:r w:rsidRPr="00D925EE">
              <w:rPr>
                <w:b/>
                <w:szCs w:val="22"/>
              </w:rPr>
              <w:t>4b. Create a new historic records database</w:t>
            </w:r>
          </w:p>
        </w:tc>
        <w:tc>
          <w:tcPr>
            <w:tcW w:w="6520" w:type="dxa"/>
          </w:tcPr>
          <w:p w:rsidR="00405664" w:rsidRPr="00D925EE" w:rsidRDefault="00405664" w:rsidP="00D925EE">
            <w:pPr>
              <w:spacing w:before="120" w:after="40"/>
              <w:rPr>
                <w:szCs w:val="22"/>
              </w:rPr>
            </w:pPr>
            <w:r w:rsidRPr="00D925EE">
              <w:rPr>
                <w:szCs w:val="22"/>
              </w:rPr>
              <w:t xml:space="preserve">Rekey all historic register information to create a new historic </w:t>
            </w:r>
            <w:r w:rsidR="009003E5" w:rsidRPr="00D925EE">
              <w:rPr>
                <w:szCs w:val="22"/>
              </w:rPr>
              <w:t>records database</w:t>
            </w:r>
            <w:r w:rsidR="005D2FED" w:rsidRPr="00D925EE">
              <w:rPr>
                <w:szCs w:val="22"/>
              </w:rPr>
              <w:t xml:space="preserve">.  </w:t>
            </w:r>
            <w:r w:rsidR="0009651E">
              <w:t>This would, over time, reduce manual processing and facilitate end-to-end online services.</w:t>
            </w:r>
          </w:p>
        </w:tc>
      </w:tr>
    </w:tbl>
    <w:p w:rsidR="00405664" w:rsidRDefault="00DF528F" w:rsidP="00DF528F">
      <w:pPr>
        <w:pStyle w:val="Numberedpara3level1"/>
        <w:ind w:right="-340"/>
      </w:pPr>
      <w:r>
        <w:t>Options 4a and 4b h</w:t>
      </w:r>
      <w:r w:rsidR="009003E5">
        <w:t xml:space="preserve">ave not been considered further.  </w:t>
      </w:r>
      <w:r w:rsidR="00CB1D40">
        <w:t>The expense involved would be prohibitive,</w:t>
      </w:r>
      <w:r w:rsidR="00D7585F">
        <w:rPr>
          <w:rStyle w:val="FootnoteReference"/>
        </w:rPr>
        <w:footnoteReference w:id="8"/>
      </w:r>
      <w:r w:rsidR="00CB1D40">
        <w:t xml:space="preserve"> and could not be justified by the number of requests for access to historical BDM records.</w:t>
      </w:r>
      <w:r w:rsidR="00CB1D40">
        <w:rPr>
          <w:rStyle w:val="FootnoteReference"/>
        </w:rPr>
        <w:footnoteReference w:id="9"/>
      </w:r>
      <w:r w:rsidR="00CB1D40">
        <w:t xml:space="preserve">  </w:t>
      </w:r>
      <w:r w:rsidR="00A7732D">
        <w:t xml:space="preserve">There </w:t>
      </w:r>
      <w:r w:rsidR="002245D8">
        <w:t xml:space="preserve">are </w:t>
      </w:r>
      <w:r w:rsidR="00A7732D">
        <w:t>more than 11 million records in the</w:t>
      </w:r>
      <w:r w:rsidR="00A938BA">
        <w:t xml:space="preserve"> Department’s </w:t>
      </w:r>
      <w:proofErr w:type="spellStart"/>
      <w:r w:rsidR="00A938BA">
        <w:t>LifeData</w:t>
      </w:r>
      <w:proofErr w:type="spellEnd"/>
      <w:r w:rsidR="00A938BA">
        <w:t xml:space="preserve"> database;</w:t>
      </w:r>
      <w:r w:rsidR="00A7732D">
        <w:t xml:space="preserve"> 80 per </w:t>
      </w:r>
      <w:r w:rsidR="002245D8">
        <w:t xml:space="preserve">cent </w:t>
      </w:r>
      <w:r w:rsidR="00D7585F">
        <w:t>pre-date 1998</w:t>
      </w:r>
      <w:r w:rsidR="00A7732D">
        <w:t xml:space="preserve">.  </w:t>
      </w:r>
      <w:r w:rsidR="00CB1D40">
        <w:t>Approximately 32 per cent of records are currently classed as historical.  However, records will continue to be added to the “historical” category as they age.  Consequently, recreating the historic register image database (option 4a) or creating a new dat</w:t>
      </w:r>
      <w:r w:rsidR="00D7585F">
        <w:t xml:space="preserve">abase (option 4b) would require conversion of all pre-1998 paper-based registers.  </w:t>
      </w:r>
    </w:p>
    <w:p w:rsidR="00021C81" w:rsidRDefault="00405664" w:rsidP="00655B4B">
      <w:pPr>
        <w:pStyle w:val="Numberedpara3level1"/>
        <w:sectPr w:rsidR="00021C81" w:rsidSect="00F64077">
          <w:type w:val="oddPage"/>
          <w:pgSz w:w="11907" w:h="16840" w:code="9"/>
          <w:pgMar w:top="1418" w:right="1304" w:bottom="992" w:left="1304" w:header="425" w:footer="635" w:gutter="0"/>
          <w:cols w:space="708"/>
          <w:titlePg/>
          <w:docGrid w:linePitch="360"/>
        </w:sectPr>
      </w:pPr>
      <w:r>
        <w:t>The following table outlines the Department’s assessment of the remaining three options against the</w:t>
      </w:r>
      <w:r w:rsidR="006D4C1D">
        <w:t xml:space="preserve"> objectives and related</w:t>
      </w:r>
      <w:r>
        <w:t xml:space="preserve"> criteria.</w:t>
      </w:r>
      <w:r w:rsidR="00F80F24">
        <w:t xml:space="preserve"> </w:t>
      </w:r>
    </w:p>
    <w:tbl>
      <w:tblPr>
        <w:tblStyle w:val="RIS"/>
        <w:tblW w:w="0" w:type="auto"/>
        <w:tblInd w:w="108" w:type="dxa"/>
        <w:tblLook w:val="04A0" w:firstRow="1" w:lastRow="0" w:firstColumn="1" w:lastColumn="0" w:noHBand="0" w:noVBand="1"/>
      </w:tblPr>
      <w:tblGrid>
        <w:gridCol w:w="709"/>
        <w:gridCol w:w="1418"/>
        <w:gridCol w:w="567"/>
        <w:gridCol w:w="1275"/>
        <w:gridCol w:w="1843"/>
        <w:gridCol w:w="1066"/>
        <w:gridCol w:w="919"/>
        <w:gridCol w:w="3265"/>
        <w:gridCol w:w="4184"/>
      </w:tblGrid>
      <w:tr w:rsidR="009003E5" w:rsidTr="009003E5">
        <w:trPr>
          <w:cnfStyle w:val="100000000000" w:firstRow="1" w:lastRow="0" w:firstColumn="0" w:lastColumn="0" w:oddVBand="0" w:evenVBand="0" w:oddHBand="0" w:evenHBand="0" w:firstRowFirstColumn="0" w:firstRowLastColumn="0" w:lastRowFirstColumn="0" w:lastRowLastColumn="0"/>
        </w:trPr>
        <w:tc>
          <w:tcPr>
            <w:tcW w:w="2694" w:type="dxa"/>
            <w:gridSpan w:val="3"/>
            <w:vMerge w:val="restart"/>
            <w:vAlign w:val="center"/>
          </w:tcPr>
          <w:p w:rsidR="009003E5" w:rsidRPr="00900C22" w:rsidRDefault="009003E5" w:rsidP="009003E5">
            <w:pPr>
              <w:pStyle w:val="Numberedpara3level1"/>
              <w:numPr>
                <w:ilvl w:val="0"/>
                <w:numId w:val="0"/>
              </w:numPr>
              <w:jc w:val="center"/>
              <w:rPr>
                <w:szCs w:val="22"/>
              </w:rPr>
            </w:pPr>
            <w:r w:rsidRPr="00900C22">
              <w:rPr>
                <w:szCs w:val="22"/>
              </w:rPr>
              <w:t>Criteria</w:t>
            </w:r>
          </w:p>
        </w:tc>
        <w:tc>
          <w:tcPr>
            <w:tcW w:w="12552" w:type="dxa"/>
            <w:gridSpan w:val="6"/>
            <w:tcBorders>
              <w:right w:val="single" w:sz="12" w:space="0" w:color="auto"/>
            </w:tcBorders>
          </w:tcPr>
          <w:p w:rsidR="009003E5" w:rsidRPr="00900C22" w:rsidRDefault="009003E5" w:rsidP="009003E5">
            <w:pPr>
              <w:pStyle w:val="Numberedpara3level1"/>
              <w:numPr>
                <w:ilvl w:val="0"/>
                <w:numId w:val="0"/>
              </w:numPr>
              <w:jc w:val="center"/>
              <w:rPr>
                <w:szCs w:val="22"/>
              </w:rPr>
            </w:pPr>
            <w:r w:rsidRPr="00900C22">
              <w:rPr>
                <w:szCs w:val="22"/>
              </w:rPr>
              <w:t xml:space="preserve">Options: </w:t>
            </w:r>
            <w:r w:rsidR="0062252C">
              <w:rPr>
                <w:szCs w:val="22"/>
              </w:rPr>
              <w:t>Online</w:t>
            </w:r>
            <w:r w:rsidR="00570CCE" w:rsidRPr="00900C22">
              <w:rPr>
                <w:szCs w:val="22"/>
              </w:rPr>
              <w:t xml:space="preserve"> access to historical register information</w:t>
            </w:r>
          </w:p>
        </w:tc>
      </w:tr>
      <w:tr w:rsidR="009003E5" w:rsidTr="009003E5">
        <w:tc>
          <w:tcPr>
            <w:tcW w:w="2694" w:type="dxa"/>
            <w:gridSpan w:val="3"/>
            <w:vMerge/>
            <w:tcBorders>
              <w:right w:val="single" w:sz="6" w:space="0" w:color="FFFFFF" w:themeColor="background1"/>
            </w:tcBorders>
          </w:tcPr>
          <w:p w:rsidR="009003E5" w:rsidRPr="00900C22" w:rsidRDefault="009003E5" w:rsidP="009003E5">
            <w:pPr>
              <w:pStyle w:val="Numberedpara3level1"/>
              <w:numPr>
                <w:ilvl w:val="0"/>
                <w:numId w:val="0"/>
              </w:numPr>
              <w:rPr>
                <w:szCs w:val="22"/>
              </w:rPr>
            </w:pPr>
          </w:p>
        </w:tc>
        <w:tc>
          <w:tcPr>
            <w:tcW w:w="4184" w:type="dxa"/>
            <w:gridSpan w:val="3"/>
            <w:tcBorders>
              <w:top w:val="nil"/>
              <w:left w:val="single" w:sz="6" w:space="0" w:color="FFFFFF" w:themeColor="background1"/>
              <w:bottom w:val="single" w:sz="6" w:space="0" w:color="FFFFFF" w:themeColor="background1"/>
              <w:right w:val="single" w:sz="6" w:space="0" w:color="FFFFFF" w:themeColor="background1"/>
            </w:tcBorders>
            <w:shd w:val="solid" w:color="auto" w:fill="auto"/>
            <w:vAlign w:val="center"/>
          </w:tcPr>
          <w:p w:rsidR="009003E5" w:rsidRPr="00900C22" w:rsidRDefault="00F419AD" w:rsidP="009003E5">
            <w:pPr>
              <w:pStyle w:val="Numberedpara3level1"/>
              <w:numPr>
                <w:ilvl w:val="0"/>
                <w:numId w:val="0"/>
              </w:numPr>
              <w:spacing w:before="60"/>
              <w:jc w:val="center"/>
              <w:rPr>
                <w:b/>
                <w:color w:val="FFFFFF" w:themeColor="background1"/>
                <w:szCs w:val="22"/>
              </w:rPr>
            </w:pPr>
            <w:r>
              <w:rPr>
                <w:b/>
                <w:szCs w:val="22"/>
              </w:rPr>
              <w:t xml:space="preserve">1.  </w:t>
            </w:r>
            <w:r w:rsidR="009003E5" w:rsidRPr="00900C22">
              <w:rPr>
                <w:b/>
                <w:szCs w:val="22"/>
              </w:rPr>
              <w:t>Status quo</w:t>
            </w:r>
          </w:p>
        </w:tc>
        <w:tc>
          <w:tcPr>
            <w:tcW w:w="4184" w:type="dxa"/>
            <w:gridSpan w:val="2"/>
            <w:tcBorders>
              <w:top w:val="nil"/>
              <w:left w:val="single" w:sz="6" w:space="0" w:color="FFFFFF" w:themeColor="background1"/>
              <w:bottom w:val="single" w:sz="6" w:space="0" w:color="FFFFFF" w:themeColor="background1"/>
              <w:right w:val="single" w:sz="6" w:space="0" w:color="FFFFFF" w:themeColor="background1"/>
            </w:tcBorders>
            <w:shd w:val="solid" w:color="auto" w:fill="auto"/>
            <w:vAlign w:val="center"/>
          </w:tcPr>
          <w:p w:rsidR="009003E5" w:rsidRPr="00900C22" w:rsidRDefault="00F419AD" w:rsidP="00570CCE">
            <w:pPr>
              <w:pStyle w:val="Numberedpara3level1"/>
              <w:numPr>
                <w:ilvl w:val="0"/>
                <w:numId w:val="0"/>
              </w:numPr>
              <w:jc w:val="center"/>
              <w:rPr>
                <w:szCs w:val="22"/>
              </w:rPr>
            </w:pPr>
            <w:r>
              <w:rPr>
                <w:b/>
                <w:szCs w:val="22"/>
              </w:rPr>
              <w:t xml:space="preserve">2.  </w:t>
            </w:r>
            <w:r w:rsidR="00570CCE" w:rsidRPr="00900C22">
              <w:rPr>
                <w:b/>
                <w:szCs w:val="22"/>
              </w:rPr>
              <w:t>Amended status quo</w:t>
            </w:r>
          </w:p>
        </w:tc>
        <w:tc>
          <w:tcPr>
            <w:tcW w:w="4184" w:type="dxa"/>
            <w:tcBorders>
              <w:top w:val="nil"/>
              <w:left w:val="single" w:sz="6" w:space="0" w:color="FFFFFF" w:themeColor="background1"/>
              <w:bottom w:val="single" w:sz="6" w:space="0" w:color="FFFFFF" w:themeColor="background1"/>
              <w:right w:val="single" w:sz="12" w:space="0" w:color="auto"/>
            </w:tcBorders>
            <w:shd w:val="solid" w:color="auto" w:fill="auto"/>
            <w:vAlign w:val="center"/>
          </w:tcPr>
          <w:p w:rsidR="009003E5" w:rsidRPr="00900C22" w:rsidRDefault="00F419AD" w:rsidP="009003E5">
            <w:pPr>
              <w:pStyle w:val="Numberedpara3level1"/>
              <w:numPr>
                <w:ilvl w:val="0"/>
                <w:numId w:val="0"/>
              </w:numPr>
              <w:tabs>
                <w:tab w:val="left" w:pos="2188"/>
              </w:tabs>
              <w:jc w:val="center"/>
              <w:rPr>
                <w:szCs w:val="22"/>
              </w:rPr>
            </w:pPr>
            <w:r>
              <w:rPr>
                <w:b/>
                <w:szCs w:val="22"/>
              </w:rPr>
              <w:t xml:space="preserve">3.  </w:t>
            </w:r>
            <w:r w:rsidR="00570CCE" w:rsidRPr="00900C22">
              <w:rPr>
                <w:b/>
                <w:szCs w:val="22"/>
              </w:rPr>
              <w:t>Allow online access to historic register images (recommended option)</w:t>
            </w:r>
          </w:p>
        </w:tc>
      </w:tr>
      <w:tr w:rsidR="0097389B" w:rsidTr="00597964">
        <w:tc>
          <w:tcPr>
            <w:tcW w:w="2694" w:type="dxa"/>
            <w:gridSpan w:val="3"/>
          </w:tcPr>
          <w:p w:rsidR="0097389B" w:rsidRPr="00900C22" w:rsidRDefault="0097389B" w:rsidP="00597964">
            <w:pPr>
              <w:pStyle w:val="Numberedpara3level1"/>
              <w:numPr>
                <w:ilvl w:val="0"/>
                <w:numId w:val="0"/>
              </w:numPr>
              <w:spacing w:before="120" w:after="40"/>
              <w:rPr>
                <w:b/>
                <w:sz w:val="21"/>
                <w:szCs w:val="21"/>
              </w:rPr>
            </w:pPr>
            <w:r w:rsidRPr="00900C22">
              <w:rPr>
                <w:b/>
                <w:sz w:val="21"/>
                <w:szCs w:val="21"/>
              </w:rPr>
              <w:t>BDM information is complete and accurate</w:t>
            </w:r>
          </w:p>
        </w:tc>
        <w:tc>
          <w:tcPr>
            <w:tcW w:w="4184" w:type="dxa"/>
            <w:gridSpan w:val="3"/>
            <w:tcBorders>
              <w:top w:val="single" w:sz="6" w:space="0" w:color="FFFFFF" w:themeColor="background1"/>
            </w:tcBorders>
            <w:vAlign w:val="center"/>
          </w:tcPr>
          <w:p w:rsidR="0097389B" w:rsidRPr="00900C22" w:rsidRDefault="0097389B" w:rsidP="0097389B">
            <w:pPr>
              <w:jc w:val="center"/>
              <w:rPr>
                <w:sz w:val="21"/>
                <w:szCs w:val="21"/>
              </w:rPr>
            </w:pPr>
            <w:r w:rsidRPr="00900C22">
              <w:rPr>
                <w:b/>
                <w:sz w:val="21"/>
                <w:szCs w:val="21"/>
              </w:rPr>
              <w:t>—NA—</w:t>
            </w:r>
          </w:p>
        </w:tc>
        <w:tc>
          <w:tcPr>
            <w:tcW w:w="4184" w:type="dxa"/>
            <w:gridSpan w:val="2"/>
            <w:tcBorders>
              <w:top w:val="single" w:sz="6" w:space="0" w:color="FFFFFF" w:themeColor="background1"/>
            </w:tcBorders>
            <w:vAlign w:val="center"/>
          </w:tcPr>
          <w:p w:rsidR="0097389B" w:rsidRPr="00900C22" w:rsidRDefault="0097389B" w:rsidP="0097389B">
            <w:pPr>
              <w:jc w:val="center"/>
              <w:rPr>
                <w:sz w:val="21"/>
                <w:szCs w:val="21"/>
              </w:rPr>
            </w:pPr>
            <w:r w:rsidRPr="00900C22">
              <w:rPr>
                <w:b/>
                <w:sz w:val="21"/>
                <w:szCs w:val="21"/>
              </w:rPr>
              <w:t>—NA—</w:t>
            </w:r>
          </w:p>
        </w:tc>
        <w:tc>
          <w:tcPr>
            <w:tcW w:w="4184" w:type="dxa"/>
            <w:tcBorders>
              <w:top w:val="single" w:sz="6" w:space="0" w:color="FFFFFF" w:themeColor="background1"/>
            </w:tcBorders>
            <w:vAlign w:val="center"/>
          </w:tcPr>
          <w:p w:rsidR="0097389B" w:rsidRPr="00900C22" w:rsidRDefault="0097389B" w:rsidP="0097389B">
            <w:pPr>
              <w:jc w:val="center"/>
              <w:rPr>
                <w:sz w:val="21"/>
                <w:szCs w:val="21"/>
              </w:rPr>
            </w:pPr>
            <w:r w:rsidRPr="00900C22">
              <w:rPr>
                <w:b/>
                <w:sz w:val="21"/>
                <w:szCs w:val="21"/>
              </w:rPr>
              <w:t>—NA—</w:t>
            </w:r>
          </w:p>
        </w:tc>
      </w:tr>
      <w:tr w:rsidR="0097389B" w:rsidTr="00597964">
        <w:tc>
          <w:tcPr>
            <w:tcW w:w="2694" w:type="dxa"/>
            <w:gridSpan w:val="3"/>
          </w:tcPr>
          <w:p w:rsidR="0097389B" w:rsidRPr="00900C22" w:rsidRDefault="0097389B" w:rsidP="00597964">
            <w:pPr>
              <w:pStyle w:val="Numberedpara3level1"/>
              <w:numPr>
                <w:ilvl w:val="0"/>
                <w:numId w:val="0"/>
              </w:numPr>
              <w:spacing w:before="360" w:after="40"/>
              <w:rPr>
                <w:b/>
                <w:sz w:val="21"/>
                <w:szCs w:val="21"/>
              </w:rPr>
            </w:pPr>
            <w:r w:rsidRPr="00900C22">
              <w:rPr>
                <w:b/>
                <w:sz w:val="21"/>
                <w:szCs w:val="21"/>
              </w:rPr>
              <w:t>The risk of misuse of BDM information is minimised</w:t>
            </w:r>
          </w:p>
        </w:tc>
        <w:tc>
          <w:tcPr>
            <w:tcW w:w="4184" w:type="dxa"/>
            <w:gridSpan w:val="3"/>
          </w:tcPr>
          <w:p w:rsidR="00A13E71" w:rsidRPr="00900C22" w:rsidRDefault="00A13E71" w:rsidP="00A13E71">
            <w:pPr>
              <w:pStyle w:val="Numberedpara3level1"/>
              <w:numPr>
                <w:ilvl w:val="0"/>
                <w:numId w:val="0"/>
              </w:numPr>
              <w:spacing w:after="0"/>
              <w:jc w:val="center"/>
              <w:rPr>
                <w:b/>
                <w:sz w:val="21"/>
                <w:szCs w:val="21"/>
              </w:rPr>
            </w:pPr>
            <w:r w:rsidRPr="00900C22">
              <w:rPr>
                <w:b/>
                <w:sz w:val="21"/>
                <w:szCs w:val="21"/>
              </w:rPr>
              <w:sym w:font="Wingdings" w:char="F0FC"/>
            </w:r>
            <w:r w:rsidRPr="00900C22">
              <w:rPr>
                <w:b/>
                <w:sz w:val="21"/>
                <w:szCs w:val="21"/>
              </w:rPr>
              <w:sym w:font="Wingdings" w:char="F0FC"/>
            </w:r>
          </w:p>
          <w:p w:rsidR="0097389B" w:rsidRPr="005D3880" w:rsidRDefault="005D3880" w:rsidP="00A13E71">
            <w:pPr>
              <w:pStyle w:val="Numberedpara3level1"/>
              <w:numPr>
                <w:ilvl w:val="0"/>
                <w:numId w:val="0"/>
              </w:numPr>
              <w:spacing w:after="0"/>
              <w:rPr>
                <w:sz w:val="21"/>
                <w:szCs w:val="21"/>
              </w:rPr>
            </w:pPr>
            <w:r w:rsidRPr="005D3880">
              <w:rPr>
                <w:sz w:val="21"/>
                <w:szCs w:val="21"/>
              </w:rPr>
              <w:t xml:space="preserve">Limited </w:t>
            </w:r>
            <w:r>
              <w:rPr>
                <w:sz w:val="21"/>
                <w:szCs w:val="21"/>
              </w:rPr>
              <w:t xml:space="preserve">search facility precludes possibility of reconstructing individual </w:t>
            </w:r>
            <w:r w:rsidR="00DC4D2D">
              <w:rPr>
                <w:sz w:val="21"/>
                <w:szCs w:val="21"/>
              </w:rPr>
              <w:t>records.</w:t>
            </w:r>
          </w:p>
          <w:p w:rsidR="0097389B" w:rsidRPr="00900C22" w:rsidRDefault="0097389B" w:rsidP="0097389B">
            <w:pPr>
              <w:pStyle w:val="Numberedpara3level1"/>
              <w:numPr>
                <w:ilvl w:val="0"/>
                <w:numId w:val="0"/>
              </w:numPr>
              <w:spacing w:after="0"/>
              <w:rPr>
                <w:sz w:val="21"/>
                <w:szCs w:val="21"/>
              </w:rPr>
            </w:pPr>
          </w:p>
        </w:tc>
        <w:tc>
          <w:tcPr>
            <w:tcW w:w="4184" w:type="dxa"/>
            <w:gridSpan w:val="2"/>
          </w:tcPr>
          <w:p w:rsidR="0097389B" w:rsidRPr="00900C22" w:rsidRDefault="0097389B" w:rsidP="0097389B">
            <w:pPr>
              <w:pStyle w:val="Numberedpara3level1"/>
              <w:numPr>
                <w:ilvl w:val="0"/>
                <w:numId w:val="0"/>
              </w:numPr>
              <w:spacing w:after="0"/>
              <w:jc w:val="center"/>
              <w:rPr>
                <w:b/>
                <w:sz w:val="21"/>
                <w:szCs w:val="21"/>
              </w:rPr>
            </w:pPr>
            <w:r w:rsidRPr="00900C22">
              <w:rPr>
                <w:b/>
                <w:sz w:val="21"/>
                <w:szCs w:val="21"/>
              </w:rPr>
              <w:sym w:font="Wingdings" w:char="F0FC"/>
            </w:r>
            <w:r w:rsidRPr="00900C22">
              <w:rPr>
                <w:b/>
                <w:sz w:val="21"/>
                <w:szCs w:val="21"/>
              </w:rPr>
              <w:sym w:font="Wingdings" w:char="F0FC"/>
            </w:r>
          </w:p>
          <w:p w:rsidR="0097389B" w:rsidRPr="00900C22" w:rsidRDefault="00501149" w:rsidP="0097389B">
            <w:pPr>
              <w:pStyle w:val="Numberedpara3level1"/>
              <w:numPr>
                <w:ilvl w:val="0"/>
                <w:numId w:val="0"/>
              </w:numPr>
              <w:spacing w:after="0"/>
              <w:rPr>
                <w:sz w:val="21"/>
                <w:szCs w:val="21"/>
              </w:rPr>
            </w:pPr>
            <w:r>
              <w:rPr>
                <w:rFonts w:asciiTheme="minorHAnsi" w:hAnsiTheme="minorHAnsi"/>
                <w:sz w:val="21"/>
                <w:szCs w:val="21"/>
              </w:rPr>
              <w:t>R</w:t>
            </w:r>
            <w:r w:rsidRPr="00CA03E2">
              <w:rPr>
                <w:rFonts w:asciiTheme="minorHAnsi" w:hAnsiTheme="minorHAnsi"/>
                <w:sz w:val="21"/>
                <w:szCs w:val="21"/>
              </w:rPr>
              <w:t>isk of misuse of historical information (</w:t>
            </w:r>
            <w:proofErr w:type="spellStart"/>
            <w:r w:rsidRPr="00CA03E2">
              <w:rPr>
                <w:rFonts w:asciiTheme="minorHAnsi" w:hAnsiTheme="minorHAnsi"/>
                <w:sz w:val="21"/>
                <w:szCs w:val="21"/>
              </w:rPr>
              <w:t>eg</w:t>
            </w:r>
            <w:proofErr w:type="spellEnd"/>
            <w:r w:rsidRPr="00CA03E2">
              <w:rPr>
                <w:rFonts w:asciiTheme="minorHAnsi" w:hAnsiTheme="minorHAnsi"/>
                <w:sz w:val="21"/>
                <w:szCs w:val="21"/>
              </w:rPr>
              <w:t xml:space="preserve">, identity fraud) </w:t>
            </w:r>
            <w:r>
              <w:rPr>
                <w:rFonts w:asciiTheme="minorHAnsi" w:hAnsiTheme="minorHAnsi"/>
                <w:sz w:val="21"/>
                <w:szCs w:val="21"/>
              </w:rPr>
              <w:t xml:space="preserve">is </w:t>
            </w:r>
            <w:r w:rsidRPr="00CA03E2">
              <w:rPr>
                <w:rFonts w:asciiTheme="minorHAnsi" w:hAnsiTheme="minorHAnsi"/>
                <w:sz w:val="21"/>
                <w:szCs w:val="21"/>
              </w:rPr>
              <w:t>very low</w:t>
            </w:r>
            <w:r>
              <w:rPr>
                <w:rFonts w:asciiTheme="minorHAnsi" w:hAnsiTheme="minorHAnsi"/>
                <w:sz w:val="21"/>
                <w:szCs w:val="21"/>
              </w:rPr>
              <w:t>; expanding search terms unlikely to increase that risk</w:t>
            </w:r>
            <w:r w:rsidR="00DC4D2D">
              <w:rPr>
                <w:rFonts w:asciiTheme="minorHAnsi" w:hAnsiTheme="minorHAnsi"/>
                <w:sz w:val="21"/>
                <w:szCs w:val="21"/>
              </w:rPr>
              <w:t>.</w:t>
            </w:r>
          </w:p>
        </w:tc>
        <w:tc>
          <w:tcPr>
            <w:tcW w:w="4184" w:type="dxa"/>
          </w:tcPr>
          <w:p w:rsidR="0042565B" w:rsidRPr="00900C22" w:rsidRDefault="0042565B" w:rsidP="0042565B">
            <w:pPr>
              <w:pStyle w:val="Numberedpara3level1"/>
              <w:numPr>
                <w:ilvl w:val="0"/>
                <w:numId w:val="0"/>
              </w:numPr>
              <w:spacing w:after="0"/>
              <w:jc w:val="center"/>
              <w:rPr>
                <w:b/>
                <w:sz w:val="21"/>
                <w:szCs w:val="21"/>
              </w:rPr>
            </w:pPr>
            <w:r w:rsidRPr="00900C22">
              <w:rPr>
                <w:b/>
                <w:sz w:val="21"/>
                <w:szCs w:val="21"/>
              </w:rPr>
              <w:sym w:font="Wingdings" w:char="F0FC"/>
            </w:r>
            <w:r w:rsidRPr="00900C22">
              <w:rPr>
                <w:b/>
                <w:sz w:val="21"/>
                <w:szCs w:val="21"/>
              </w:rPr>
              <w:sym w:font="Wingdings" w:char="F0FC"/>
            </w:r>
          </w:p>
          <w:p w:rsidR="0097389B" w:rsidRPr="00900C22" w:rsidRDefault="00CA03E2" w:rsidP="005D3880">
            <w:pPr>
              <w:pStyle w:val="Numberedpara3level1"/>
              <w:numPr>
                <w:ilvl w:val="0"/>
                <w:numId w:val="0"/>
              </w:numPr>
              <w:spacing w:after="0"/>
              <w:rPr>
                <w:sz w:val="21"/>
                <w:szCs w:val="21"/>
              </w:rPr>
            </w:pPr>
            <w:r>
              <w:rPr>
                <w:rFonts w:asciiTheme="minorHAnsi" w:hAnsiTheme="minorHAnsi"/>
                <w:sz w:val="21"/>
                <w:szCs w:val="21"/>
              </w:rPr>
              <w:t>R</w:t>
            </w:r>
            <w:r w:rsidRPr="00CA03E2">
              <w:rPr>
                <w:rFonts w:asciiTheme="minorHAnsi" w:hAnsiTheme="minorHAnsi"/>
                <w:sz w:val="21"/>
                <w:szCs w:val="21"/>
              </w:rPr>
              <w:t>isk of misuse of historical information (</w:t>
            </w:r>
            <w:proofErr w:type="spellStart"/>
            <w:r w:rsidRPr="00CA03E2">
              <w:rPr>
                <w:rFonts w:asciiTheme="minorHAnsi" w:hAnsiTheme="minorHAnsi"/>
                <w:sz w:val="21"/>
                <w:szCs w:val="21"/>
              </w:rPr>
              <w:t>eg</w:t>
            </w:r>
            <w:proofErr w:type="spellEnd"/>
            <w:r w:rsidRPr="00CA03E2">
              <w:rPr>
                <w:rFonts w:asciiTheme="minorHAnsi" w:hAnsiTheme="minorHAnsi"/>
                <w:sz w:val="21"/>
                <w:szCs w:val="21"/>
              </w:rPr>
              <w:t xml:space="preserve">, identity fraud) </w:t>
            </w:r>
            <w:r w:rsidR="005D3880">
              <w:rPr>
                <w:rFonts w:asciiTheme="minorHAnsi" w:hAnsiTheme="minorHAnsi"/>
                <w:sz w:val="21"/>
                <w:szCs w:val="21"/>
              </w:rPr>
              <w:t xml:space="preserve">is </w:t>
            </w:r>
            <w:r w:rsidRPr="00CA03E2">
              <w:rPr>
                <w:rFonts w:asciiTheme="minorHAnsi" w:hAnsiTheme="minorHAnsi"/>
                <w:sz w:val="21"/>
                <w:szCs w:val="21"/>
              </w:rPr>
              <w:t>very low</w:t>
            </w:r>
            <w:r w:rsidR="005D3880">
              <w:rPr>
                <w:rFonts w:asciiTheme="minorHAnsi" w:hAnsiTheme="minorHAnsi"/>
                <w:sz w:val="21"/>
                <w:szCs w:val="21"/>
              </w:rPr>
              <w:t>—providing online access to</w:t>
            </w:r>
            <w:r w:rsidR="005D3880" w:rsidRPr="005D3880">
              <w:rPr>
                <w:rFonts w:asciiTheme="minorHAnsi" w:hAnsiTheme="minorHAnsi"/>
                <w:sz w:val="21"/>
                <w:szCs w:val="21"/>
              </w:rPr>
              <w:t xml:space="preserve"> historic births and deaths register images is highly unlikely to increase that risk</w:t>
            </w:r>
            <w:r w:rsidR="005D3880">
              <w:rPr>
                <w:sz w:val="21"/>
                <w:szCs w:val="21"/>
              </w:rPr>
              <w:t>.</w:t>
            </w:r>
          </w:p>
        </w:tc>
      </w:tr>
      <w:tr w:rsidR="0097389B" w:rsidTr="00597964">
        <w:tc>
          <w:tcPr>
            <w:tcW w:w="2694" w:type="dxa"/>
            <w:gridSpan w:val="3"/>
          </w:tcPr>
          <w:p w:rsidR="0097389B" w:rsidRPr="00900C22" w:rsidRDefault="0097389B" w:rsidP="00597964">
            <w:pPr>
              <w:pStyle w:val="Numberedpara3level1"/>
              <w:numPr>
                <w:ilvl w:val="0"/>
                <w:numId w:val="0"/>
              </w:numPr>
              <w:spacing w:before="360" w:after="40"/>
              <w:rPr>
                <w:b/>
                <w:sz w:val="21"/>
                <w:szCs w:val="21"/>
              </w:rPr>
            </w:pPr>
            <w:r w:rsidRPr="00900C22">
              <w:rPr>
                <w:b/>
                <w:sz w:val="21"/>
                <w:szCs w:val="21"/>
              </w:rPr>
              <w:t>The public’s right to access to BDM information is maintained</w:t>
            </w:r>
          </w:p>
        </w:tc>
        <w:tc>
          <w:tcPr>
            <w:tcW w:w="4184" w:type="dxa"/>
            <w:gridSpan w:val="3"/>
          </w:tcPr>
          <w:p w:rsidR="0097389B" w:rsidRPr="00900C22" w:rsidRDefault="0097389B" w:rsidP="0097389B">
            <w:pPr>
              <w:pStyle w:val="Numberedpara3level1"/>
              <w:numPr>
                <w:ilvl w:val="0"/>
                <w:numId w:val="0"/>
              </w:numPr>
              <w:spacing w:after="0"/>
              <w:jc w:val="center"/>
              <w:rPr>
                <w:b/>
                <w:sz w:val="21"/>
                <w:szCs w:val="21"/>
              </w:rPr>
            </w:pPr>
            <w:r>
              <w:rPr>
                <w:b/>
                <w:sz w:val="21"/>
                <w:szCs w:val="21"/>
              </w:rPr>
              <w:t>X</w:t>
            </w:r>
          </w:p>
          <w:p w:rsidR="0097389B" w:rsidRPr="00900C22" w:rsidRDefault="00501149" w:rsidP="00501149">
            <w:pPr>
              <w:pStyle w:val="Numberedpara3level1"/>
              <w:numPr>
                <w:ilvl w:val="0"/>
                <w:numId w:val="0"/>
              </w:numPr>
              <w:spacing w:after="0"/>
              <w:rPr>
                <w:sz w:val="21"/>
                <w:szCs w:val="21"/>
              </w:rPr>
            </w:pPr>
            <w:r>
              <w:rPr>
                <w:sz w:val="21"/>
                <w:szCs w:val="21"/>
              </w:rPr>
              <w:t xml:space="preserve">Business needs (product sales) trump public access rights; not customer-focused. </w:t>
            </w:r>
          </w:p>
        </w:tc>
        <w:tc>
          <w:tcPr>
            <w:tcW w:w="4184" w:type="dxa"/>
            <w:gridSpan w:val="2"/>
          </w:tcPr>
          <w:p w:rsidR="0097389B" w:rsidRPr="00900C22" w:rsidRDefault="0097389B" w:rsidP="0097389B">
            <w:pPr>
              <w:pStyle w:val="Numberedpara3level1"/>
              <w:numPr>
                <w:ilvl w:val="0"/>
                <w:numId w:val="0"/>
              </w:numPr>
              <w:spacing w:after="0"/>
              <w:jc w:val="center"/>
              <w:rPr>
                <w:b/>
                <w:sz w:val="21"/>
                <w:szCs w:val="21"/>
              </w:rPr>
            </w:pPr>
            <w:r w:rsidRPr="00900C22">
              <w:rPr>
                <w:b/>
                <w:sz w:val="21"/>
                <w:szCs w:val="21"/>
              </w:rPr>
              <w:sym w:font="Wingdings" w:char="F0FC"/>
            </w:r>
          </w:p>
          <w:p w:rsidR="0097389B" w:rsidRPr="00547A48" w:rsidRDefault="00501149" w:rsidP="00FE0FEA">
            <w:pPr>
              <w:pStyle w:val="Numberedpara3level1"/>
              <w:numPr>
                <w:ilvl w:val="0"/>
                <w:numId w:val="0"/>
              </w:numPr>
              <w:spacing w:after="0"/>
              <w:rPr>
                <w:sz w:val="21"/>
                <w:szCs w:val="21"/>
              </w:rPr>
            </w:pPr>
            <w:r>
              <w:rPr>
                <w:sz w:val="21"/>
                <w:szCs w:val="21"/>
              </w:rPr>
              <w:t>Reflec</w:t>
            </w:r>
            <w:r w:rsidR="0039793A">
              <w:rPr>
                <w:sz w:val="21"/>
                <w:szCs w:val="21"/>
              </w:rPr>
              <w:t>ts existing legislative mandate</w:t>
            </w:r>
            <w:r w:rsidR="00FE0FEA">
              <w:rPr>
                <w:sz w:val="21"/>
                <w:szCs w:val="21"/>
              </w:rPr>
              <w:t>.</w:t>
            </w:r>
          </w:p>
        </w:tc>
        <w:tc>
          <w:tcPr>
            <w:tcW w:w="4184" w:type="dxa"/>
          </w:tcPr>
          <w:p w:rsidR="0097389B" w:rsidRPr="00900C22" w:rsidRDefault="0097389B" w:rsidP="0097389B">
            <w:pPr>
              <w:pStyle w:val="Numberedpara3level1"/>
              <w:numPr>
                <w:ilvl w:val="0"/>
                <w:numId w:val="0"/>
              </w:numPr>
              <w:spacing w:after="0"/>
              <w:jc w:val="center"/>
              <w:rPr>
                <w:b/>
                <w:sz w:val="21"/>
                <w:szCs w:val="21"/>
              </w:rPr>
            </w:pPr>
            <w:r w:rsidRPr="00900C22">
              <w:rPr>
                <w:b/>
                <w:sz w:val="21"/>
                <w:szCs w:val="21"/>
              </w:rPr>
              <w:sym w:font="Wingdings" w:char="F0FC"/>
            </w:r>
            <w:r w:rsidRPr="00900C22">
              <w:rPr>
                <w:b/>
                <w:sz w:val="21"/>
                <w:szCs w:val="21"/>
              </w:rPr>
              <w:sym w:font="Wingdings" w:char="F0FC"/>
            </w:r>
          </w:p>
          <w:p w:rsidR="0097389B" w:rsidRPr="00E85EFB" w:rsidRDefault="00E85EFB" w:rsidP="00D925EE">
            <w:pPr>
              <w:pStyle w:val="Numberedpara3level1"/>
              <w:numPr>
                <w:ilvl w:val="0"/>
                <w:numId w:val="0"/>
              </w:numPr>
              <w:spacing w:after="0"/>
              <w:rPr>
                <w:b/>
                <w:sz w:val="21"/>
                <w:szCs w:val="21"/>
              </w:rPr>
            </w:pPr>
            <w:r>
              <w:rPr>
                <w:sz w:val="21"/>
                <w:szCs w:val="21"/>
              </w:rPr>
              <w:t>Original register images contain information and provide invaluable clues for researchers that may not be duplicated in an o</w:t>
            </w:r>
            <w:r w:rsidR="00DC4D2D">
              <w:rPr>
                <w:sz w:val="21"/>
                <w:szCs w:val="21"/>
              </w:rPr>
              <w:t>fficial certificate or printout; meets public and government expectations about being able to complete transactions in a digital environment.</w:t>
            </w:r>
          </w:p>
        </w:tc>
      </w:tr>
      <w:tr w:rsidR="0097389B" w:rsidTr="00597964">
        <w:tc>
          <w:tcPr>
            <w:tcW w:w="2694" w:type="dxa"/>
            <w:gridSpan w:val="3"/>
          </w:tcPr>
          <w:p w:rsidR="0097389B" w:rsidRPr="00900C22" w:rsidRDefault="00333DCC" w:rsidP="00597964">
            <w:pPr>
              <w:pStyle w:val="Numberedpara3level1"/>
              <w:numPr>
                <w:ilvl w:val="0"/>
                <w:numId w:val="0"/>
              </w:numPr>
              <w:spacing w:before="360" w:after="40"/>
              <w:rPr>
                <w:b/>
                <w:sz w:val="21"/>
                <w:szCs w:val="21"/>
              </w:rPr>
            </w:pPr>
            <w:r>
              <w:rPr>
                <w:b/>
              </w:rPr>
              <w:t>The Registrar-General can recover the private benefit element of the costs of providing BDM services</w:t>
            </w:r>
          </w:p>
        </w:tc>
        <w:tc>
          <w:tcPr>
            <w:tcW w:w="4184" w:type="dxa"/>
            <w:gridSpan w:val="3"/>
          </w:tcPr>
          <w:p w:rsidR="0097389B" w:rsidRPr="00900C22" w:rsidRDefault="0097389B" w:rsidP="0097389B">
            <w:pPr>
              <w:pStyle w:val="Numberedpara3level1"/>
              <w:numPr>
                <w:ilvl w:val="0"/>
                <w:numId w:val="0"/>
              </w:numPr>
              <w:spacing w:after="0"/>
              <w:jc w:val="center"/>
              <w:rPr>
                <w:b/>
                <w:sz w:val="21"/>
                <w:szCs w:val="21"/>
              </w:rPr>
            </w:pPr>
            <w:r>
              <w:rPr>
                <w:b/>
                <w:sz w:val="21"/>
                <w:szCs w:val="21"/>
              </w:rPr>
              <w:t>X</w:t>
            </w:r>
          </w:p>
          <w:p w:rsidR="0097389B" w:rsidRPr="00900C22" w:rsidRDefault="00661142" w:rsidP="00DC4D2D">
            <w:pPr>
              <w:pStyle w:val="Numberedpara3level1"/>
              <w:numPr>
                <w:ilvl w:val="0"/>
                <w:numId w:val="0"/>
              </w:numPr>
              <w:spacing w:after="0"/>
              <w:rPr>
                <w:sz w:val="21"/>
                <w:szCs w:val="21"/>
              </w:rPr>
            </w:pPr>
            <w:r>
              <w:rPr>
                <w:sz w:val="21"/>
                <w:szCs w:val="21"/>
              </w:rPr>
              <w:t>Entrenches a paper records-based business model;</w:t>
            </w:r>
            <w:r w:rsidR="009D2557">
              <w:rPr>
                <w:sz w:val="21"/>
                <w:szCs w:val="21"/>
              </w:rPr>
              <w:t xml:space="preserve"> the percentage of historical records </w:t>
            </w:r>
            <w:r w:rsidR="00DC4D2D">
              <w:rPr>
                <w:sz w:val="21"/>
                <w:szCs w:val="21"/>
              </w:rPr>
              <w:t>product sales</w:t>
            </w:r>
            <w:r w:rsidR="009D2557">
              <w:rPr>
                <w:sz w:val="21"/>
                <w:szCs w:val="21"/>
              </w:rPr>
              <w:t xml:space="preserve"> to total </w:t>
            </w:r>
            <w:r w:rsidR="00DC4D2D">
              <w:rPr>
                <w:sz w:val="21"/>
                <w:szCs w:val="21"/>
              </w:rPr>
              <w:t>sales</w:t>
            </w:r>
            <w:r w:rsidR="009D2557">
              <w:rPr>
                <w:sz w:val="21"/>
                <w:szCs w:val="21"/>
              </w:rPr>
              <w:t xml:space="preserve"> has reduced from 17.28% </w:t>
            </w:r>
            <w:r w:rsidR="0040107D">
              <w:rPr>
                <w:sz w:val="21"/>
                <w:szCs w:val="21"/>
              </w:rPr>
              <w:t xml:space="preserve">(2009/10) </w:t>
            </w:r>
            <w:r w:rsidR="009D2557">
              <w:rPr>
                <w:sz w:val="21"/>
                <w:szCs w:val="21"/>
              </w:rPr>
              <w:t xml:space="preserve">to </w:t>
            </w:r>
            <w:r w:rsidR="00DC4D2D">
              <w:rPr>
                <w:sz w:val="21"/>
                <w:szCs w:val="21"/>
              </w:rPr>
              <w:t>9.89%</w:t>
            </w:r>
            <w:r w:rsidR="009D2557">
              <w:rPr>
                <w:sz w:val="21"/>
                <w:szCs w:val="21"/>
              </w:rPr>
              <w:t xml:space="preserve"> </w:t>
            </w:r>
            <w:r w:rsidR="00D925EE">
              <w:rPr>
                <w:sz w:val="21"/>
                <w:szCs w:val="21"/>
              </w:rPr>
              <w:t>(</w:t>
            </w:r>
            <w:r w:rsidR="00DC4D2D">
              <w:rPr>
                <w:sz w:val="21"/>
                <w:szCs w:val="21"/>
              </w:rPr>
              <w:t>2015/16</w:t>
            </w:r>
            <w:r w:rsidR="00D925EE">
              <w:rPr>
                <w:sz w:val="21"/>
                <w:szCs w:val="21"/>
              </w:rPr>
              <w:t>)</w:t>
            </w:r>
            <w:r w:rsidR="00DC4D2D">
              <w:rPr>
                <w:sz w:val="21"/>
                <w:szCs w:val="21"/>
              </w:rPr>
              <w:t>; product sales are static overall, which has led to a reduction in income in real terms.</w:t>
            </w:r>
            <w:r w:rsidR="00E366D3">
              <w:rPr>
                <w:sz w:val="21"/>
                <w:szCs w:val="21"/>
              </w:rPr>
              <w:t xml:space="preserve">  </w:t>
            </w:r>
            <w:r w:rsidR="001B2C1E">
              <w:rPr>
                <w:sz w:val="21"/>
                <w:szCs w:val="21"/>
              </w:rPr>
              <w:t xml:space="preserve">Cabinet is to consider a separate proposal to increase fees </w:t>
            </w:r>
            <w:r w:rsidR="001B2C1E">
              <w:t xml:space="preserve">to address memorandum account deficits </w:t>
            </w:r>
            <w:r w:rsidR="001B2C1E" w:rsidRPr="00FB4B4F">
              <w:t>[EGI-16-Min-0255]</w:t>
            </w:r>
            <w:r w:rsidR="001B2C1E">
              <w:t>.</w:t>
            </w:r>
          </w:p>
        </w:tc>
        <w:tc>
          <w:tcPr>
            <w:tcW w:w="4184" w:type="dxa"/>
            <w:gridSpan w:val="2"/>
          </w:tcPr>
          <w:p w:rsidR="0040107D" w:rsidRDefault="0097389B" w:rsidP="0040107D">
            <w:pPr>
              <w:pStyle w:val="Numberedpara3level1"/>
              <w:numPr>
                <w:ilvl w:val="0"/>
                <w:numId w:val="0"/>
              </w:numPr>
              <w:spacing w:after="0"/>
              <w:jc w:val="center"/>
              <w:rPr>
                <w:b/>
                <w:sz w:val="21"/>
                <w:szCs w:val="21"/>
              </w:rPr>
            </w:pPr>
            <w:r w:rsidRPr="00900C22">
              <w:rPr>
                <w:b/>
                <w:sz w:val="21"/>
                <w:szCs w:val="21"/>
              </w:rPr>
              <w:sym w:font="Wingdings" w:char="F0FC"/>
            </w:r>
          </w:p>
          <w:p w:rsidR="0097389B" w:rsidRPr="0040107D" w:rsidRDefault="005D3880" w:rsidP="0040107D">
            <w:pPr>
              <w:pStyle w:val="Numberedpara3level1"/>
              <w:numPr>
                <w:ilvl w:val="0"/>
                <w:numId w:val="0"/>
              </w:numPr>
              <w:spacing w:after="0"/>
              <w:rPr>
                <w:sz w:val="21"/>
                <w:szCs w:val="21"/>
              </w:rPr>
            </w:pPr>
            <w:r>
              <w:rPr>
                <w:sz w:val="21"/>
                <w:szCs w:val="21"/>
              </w:rPr>
              <w:t>Expanded search function could further reduce sales of certificates and printouts–may not be offset by a search fee</w:t>
            </w:r>
            <w:r w:rsidR="00FE0FEA">
              <w:rPr>
                <w:sz w:val="21"/>
                <w:szCs w:val="21"/>
              </w:rPr>
              <w:t>; p</w:t>
            </w:r>
            <w:r w:rsidR="00FE0FEA" w:rsidRPr="0039793A">
              <w:rPr>
                <w:sz w:val="21"/>
                <w:szCs w:val="21"/>
              </w:rPr>
              <w:t>roviding non-searchable access to historic indexes (</w:t>
            </w:r>
            <w:proofErr w:type="spellStart"/>
            <w:r w:rsidR="00FE0FEA" w:rsidRPr="0039793A">
              <w:rPr>
                <w:sz w:val="21"/>
                <w:szCs w:val="21"/>
              </w:rPr>
              <w:t>eg</w:t>
            </w:r>
            <w:proofErr w:type="spellEnd"/>
            <w:r w:rsidR="00FE0FEA" w:rsidRPr="0039793A">
              <w:rPr>
                <w:sz w:val="21"/>
                <w:szCs w:val="21"/>
              </w:rPr>
              <w:t>, static images) not linked to current and proposed BDM services would incur costs without benefitting users</w:t>
            </w:r>
            <w:r w:rsidR="00FE0FEA">
              <w:rPr>
                <w:sz w:val="21"/>
                <w:szCs w:val="21"/>
              </w:rPr>
              <w:t>.</w:t>
            </w:r>
          </w:p>
        </w:tc>
        <w:tc>
          <w:tcPr>
            <w:tcW w:w="4184" w:type="dxa"/>
          </w:tcPr>
          <w:p w:rsidR="0097389B" w:rsidRPr="00900C22" w:rsidRDefault="0097389B" w:rsidP="0097389B">
            <w:pPr>
              <w:pStyle w:val="Numberedpara3level1"/>
              <w:numPr>
                <w:ilvl w:val="0"/>
                <w:numId w:val="0"/>
              </w:numPr>
              <w:spacing w:after="0"/>
              <w:jc w:val="center"/>
              <w:rPr>
                <w:b/>
                <w:sz w:val="21"/>
                <w:szCs w:val="21"/>
              </w:rPr>
            </w:pPr>
            <w:r w:rsidRPr="00900C22">
              <w:rPr>
                <w:b/>
                <w:sz w:val="21"/>
                <w:szCs w:val="21"/>
              </w:rPr>
              <w:sym w:font="Wingdings" w:char="F0FC"/>
            </w:r>
            <w:r w:rsidRPr="00900C22">
              <w:rPr>
                <w:b/>
                <w:sz w:val="21"/>
                <w:szCs w:val="21"/>
              </w:rPr>
              <w:sym w:font="Wingdings" w:char="F0FC"/>
            </w:r>
          </w:p>
          <w:p w:rsidR="0097389B" w:rsidRPr="00900C22" w:rsidRDefault="00B179AB" w:rsidP="00DC4D2D">
            <w:pPr>
              <w:pStyle w:val="Numberedpara3level1"/>
              <w:numPr>
                <w:ilvl w:val="0"/>
                <w:numId w:val="0"/>
              </w:numPr>
              <w:spacing w:after="0"/>
              <w:rPr>
                <w:sz w:val="21"/>
                <w:szCs w:val="21"/>
              </w:rPr>
            </w:pPr>
            <w:r>
              <w:rPr>
                <w:sz w:val="21"/>
                <w:szCs w:val="21"/>
              </w:rPr>
              <w:t>W</w:t>
            </w:r>
            <w:r w:rsidR="0042565B">
              <w:rPr>
                <w:sz w:val="21"/>
                <w:szCs w:val="21"/>
              </w:rPr>
              <w:t xml:space="preserve">ill </w:t>
            </w:r>
            <w:r>
              <w:rPr>
                <w:sz w:val="21"/>
                <w:szCs w:val="21"/>
              </w:rPr>
              <w:t>provide a new s</w:t>
            </w:r>
            <w:r w:rsidR="0042565B">
              <w:rPr>
                <w:sz w:val="21"/>
                <w:szCs w:val="21"/>
              </w:rPr>
              <w:t xml:space="preserve">ource of income; </w:t>
            </w:r>
            <w:r w:rsidR="00DC4D2D">
              <w:rPr>
                <w:sz w:val="21"/>
                <w:szCs w:val="21"/>
              </w:rPr>
              <w:t xml:space="preserve">will </w:t>
            </w:r>
            <w:r w:rsidR="008A37BC">
              <w:rPr>
                <w:sz w:val="21"/>
                <w:szCs w:val="21"/>
              </w:rPr>
              <w:t xml:space="preserve">help </w:t>
            </w:r>
            <w:r w:rsidR="00DC4D2D">
              <w:rPr>
                <w:sz w:val="21"/>
                <w:szCs w:val="21"/>
              </w:rPr>
              <w:t xml:space="preserve">position BDM Online as a preferred alternative to services offered by commercial </w:t>
            </w:r>
            <w:r w:rsidR="008A37BC">
              <w:rPr>
                <w:sz w:val="21"/>
                <w:szCs w:val="21"/>
              </w:rPr>
              <w:t>providers such as Ancestry.com;</w:t>
            </w:r>
            <w:r w:rsidR="00DC4D2D">
              <w:rPr>
                <w:sz w:val="21"/>
                <w:szCs w:val="21"/>
              </w:rPr>
              <w:t xml:space="preserve"> </w:t>
            </w:r>
            <w:r w:rsidR="0042565B">
              <w:rPr>
                <w:sz w:val="21"/>
                <w:szCs w:val="21"/>
              </w:rPr>
              <w:t xml:space="preserve">easier access </w:t>
            </w:r>
            <w:r>
              <w:rPr>
                <w:sz w:val="21"/>
                <w:szCs w:val="21"/>
              </w:rPr>
              <w:t>to historical BDM information</w:t>
            </w:r>
            <w:r w:rsidR="000D4EFC">
              <w:rPr>
                <w:sz w:val="21"/>
                <w:szCs w:val="21"/>
              </w:rPr>
              <w:t>, in a format researchers prefer,</w:t>
            </w:r>
            <w:r>
              <w:rPr>
                <w:sz w:val="21"/>
                <w:szCs w:val="21"/>
              </w:rPr>
              <w:t xml:space="preserve"> </w:t>
            </w:r>
            <w:r w:rsidR="0042565B">
              <w:rPr>
                <w:sz w:val="21"/>
                <w:szCs w:val="21"/>
              </w:rPr>
              <w:t>likely to increase uptake</w:t>
            </w:r>
            <w:r>
              <w:rPr>
                <w:sz w:val="21"/>
                <w:szCs w:val="21"/>
              </w:rPr>
              <w:t xml:space="preserve"> (sales) over and above sales of certificates and printouts</w:t>
            </w:r>
          </w:p>
        </w:tc>
      </w:tr>
      <w:tr w:rsidR="00597964" w:rsidTr="006971AB">
        <w:tc>
          <w:tcPr>
            <w:tcW w:w="2694" w:type="dxa"/>
            <w:gridSpan w:val="3"/>
            <w:tcBorders>
              <w:top w:val="single" w:sz="6" w:space="0" w:color="auto"/>
              <w:bottom w:val="single" w:sz="12" w:space="0" w:color="auto"/>
            </w:tcBorders>
          </w:tcPr>
          <w:p w:rsidR="00597964" w:rsidRPr="00900C22" w:rsidRDefault="00597964" w:rsidP="00597964">
            <w:pPr>
              <w:pStyle w:val="Numberedpara3level1"/>
              <w:numPr>
                <w:ilvl w:val="0"/>
                <w:numId w:val="0"/>
              </w:numPr>
              <w:spacing w:before="120" w:after="40"/>
              <w:rPr>
                <w:b/>
                <w:sz w:val="21"/>
                <w:szCs w:val="21"/>
              </w:rPr>
            </w:pPr>
            <w:r w:rsidRPr="00900C22">
              <w:rPr>
                <w:b/>
                <w:sz w:val="21"/>
                <w:szCs w:val="21"/>
              </w:rPr>
              <w:t>The compliance burden on individuals and agencies is minimised</w:t>
            </w:r>
          </w:p>
        </w:tc>
        <w:tc>
          <w:tcPr>
            <w:tcW w:w="4184" w:type="dxa"/>
            <w:gridSpan w:val="3"/>
            <w:tcBorders>
              <w:top w:val="single" w:sz="6" w:space="0" w:color="auto"/>
              <w:bottom w:val="single" w:sz="12" w:space="0" w:color="auto"/>
            </w:tcBorders>
            <w:vAlign w:val="center"/>
          </w:tcPr>
          <w:p w:rsidR="00597964" w:rsidRPr="00900C22" w:rsidRDefault="00597964" w:rsidP="00597964">
            <w:pPr>
              <w:jc w:val="center"/>
              <w:rPr>
                <w:sz w:val="21"/>
                <w:szCs w:val="21"/>
              </w:rPr>
            </w:pPr>
            <w:r w:rsidRPr="00900C22">
              <w:rPr>
                <w:b/>
                <w:sz w:val="21"/>
                <w:szCs w:val="21"/>
              </w:rPr>
              <w:t>—NA—</w:t>
            </w:r>
          </w:p>
        </w:tc>
        <w:tc>
          <w:tcPr>
            <w:tcW w:w="4184" w:type="dxa"/>
            <w:gridSpan w:val="2"/>
            <w:tcBorders>
              <w:top w:val="single" w:sz="6" w:space="0" w:color="auto"/>
              <w:bottom w:val="single" w:sz="12" w:space="0" w:color="auto"/>
            </w:tcBorders>
            <w:vAlign w:val="center"/>
          </w:tcPr>
          <w:p w:rsidR="00597964" w:rsidRPr="00900C22" w:rsidRDefault="00597964" w:rsidP="00597964">
            <w:pPr>
              <w:jc w:val="center"/>
              <w:rPr>
                <w:sz w:val="21"/>
                <w:szCs w:val="21"/>
              </w:rPr>
            </w:pPr>
            <w:r w:rsidRPr="00900C22">
              <w:rPr>
                <w:b/>
                <w:sz w:val="21"/>
                <w:szCs w:val="21"/>
              </w:rPr>
              <w:t>—NA—</w:t>
            </w:r>
          </w:p>
        </w:tc>
        <w:tc>
          <w:tcPr>
            <w:tcW w:w="4184" w:type="dxa"/>
            <w:tcBorders>
              <w:top w:val="single" w:sz="6" w:space="0" w:color="auto"/>
              <w:bottom w:val="single" w:sz="12" w:space="0" w:color="auto"/>
            </w:tcBorders>
            <w:vAlign w:val="center"/>
          </w:tcPr>
          <w:p w:rsidR="00597964" w:rsidRPr="00900C22" w:rsidRDefault="00597964" w:rsidP="006971AB">
            <w:pPr>
              <w:jc w:val="center"/>
              <w:rPr>
                <w:sz w:val="21"/>
                <w:szCs w:val="21"/>
              </w:rPr>
            </w:pPr>
            <w:r w:rsidRPr="00900C22">
              <w:rPr>
                <w:b/>
                <w:sz w:val="21"/>
                <w:szCs w:val="21"/>
              </w:rPr>
              <w:t>—NA—</w:t>
            </w:r>
          </w:p>
        </w:tc>
      </w:tr>
      <w:tr w:rsidR="00597964" w:rsidRPr="00826B99" w:rsidTr="00826B99">
        <w:tblPrEx>
          <w:tblBorders>
            <w:top w:val="single" w:sz="6" w:space="0" w:color="FFFFFF" w:themeColor="background1"/>
            <w:left w:val="single" w:sz="6" w:space="0" w:color="FFFFFF" w:themeColor="background1"/>
            <w:bottom w:val="none" w:sz="0" w:space="0" w:color="auto"/>
            <w:right w:val="single" w:sz="6" w:space="0" w:color="FFFFFF" w:themeColor="background1"/>
            <w:insideH w:val="single" w:sz="6" w:space="0" w:color="FFFFFF" w:themeColor="background1"/>
            <w:insideV w:val="single" w:sz="6" w:space="0" w:color="FFFFFF" w:themeColor="background1"/>
          </w:tblBorders>
        </w:tblPrEx>
        <w:trPr>
          <w:gridAfter w:val="2"/>
          <w:wAfter w:w="7449" w:type="dxa"/>
        </w:trPr>
        <w:tc>
          <w:tcPr>
            <w:tcW w:w="709" w:type="dxa"/>
            <w:shd w:val="clear" w:color="auto" w:fill="auto"/>
          </w:tcPr>
          <w:p w:rsidR="00597964" w:rsidRPr="00826B99" w:rsidRDefault="00597964" w:rsidP="00900C22">
            <w:pPr>
              <w:pStyle w:val="Numberedpara3level1"/>
              <w:numPr>
                <w:ilvl w:val="0"/>
                <w:numId w:val="0"/>
              </w:numPr>
              <w:spacing w:before="120" w:after="0"/>
              <w:rPr>
                <w:b/>
                <w:sz w:val="20"/>
              </w:rPr>
            </w:pPr>
            <w:r w:rsidRPr="00826B99">
              <w:rPr>
                <w:b/>
                <w:sz w:val="20"/>
              </w:rPr>
              <w:t>Key:</w:t>
            </w:r>
          </w:p>
        </w:tc>
        <w:tc>
          <w:tcPr>
            <w:tcW w:w="1418" w:type="dxa"/>
            <w:shd w:val="clear" w:color="auto" w:fill="auto"/>
          </w:tcPr>
          <w:p w:rsidR="00597964" w:rsidRPr="00826B99" w:rsidRDefault="00597964" w:rsidP="00900C22">
            <w:pPr>
              <w:pStyle w:val="Numberedpara3level1"/>
              <w:numPr>
                <w:ilvl w:val="0"/>
                <w:numId w:val="0"/>
              </w:numPr>
              <w:spacing w:before="120" w:after="0"/>
              <w:rPr>
                <w:sz w:val="20"/>
              </w:rPr>
            </w:pPr>
            <w:r w:rsidRPr="00826B99">
              <w:rPr>
                <w:sz w:val="20"/>
              </w:rPr>
              <w:t>Meets:</w:t>
            </w:r>
            <w:r w:rsidRPr="00826B99">
              <w:rPr>
                <w:b/>
                <w:sz w:val="20"/>
              </w:rPr>
              <w:t xml:space="preserve"> </w:t>
            </w:r>
            <w:r>
              <w:rPr>
                <w:b/>
                <w:sz w:val="20"/>
              </w:rPr>
              <w:t xml:space="preserve"> </w:t>
            </w:r>
            <w:r w:rsidRPr="00826B99">
              <w:rPr>
                <w:b/>
                <w:sz w:val="20"/>
              </w:rPr>
              <w:sym w:font="Wingdings" w:char="F0FC"/>
            </w:r>
            <w:r w:rsidRPr="00826B99">
              <w:rPr>
                <w:b/>
                <w:sz w:val="20"/>
              </w:rPr>
              <w:sym w:font="Wingdings" w:char="F0FC"/>
            </w:r>
          </w:p>
        </w:tc>
        <w:tc>
          <w:tcPr>
            <w:tcW w:w="1842" w:type="dxa"/>
            <w:gridSpan w:val="2"/>
            <w:shd w:val="clear" w:color="auto" w:fill="auto"/>
          </w:tcPr>
          <w:p w:rsidR="00597964" w:rsidRPr="00826B99" w:rsidRDefault="00597964" w:rsidP="00900C22">
            <w:pPr>
              <w:pStyle w:val="Numberedpara3level1"/>
              <w:numPr>
                <w:ilvl w:val="0"/>
                <w:numId w:val="0"/>
              </w:numPr>
              <w:spacing w:before="120" w:after="0"/>
              <w:rPr>
                <w:sz w:val="20"/>
              </w:rPr>
            </w:pPr>
            <w:r w:rsidRPr="00826B99">
              <w:rPr>
                <w:sz w:val="20"/>
              </w:rPr>
              <w:t>Partially meets:</w:t>
            </w:r>
            <w:r>
              <w:rPr>
                <w:b/>
                <w:sz w:val="20"/>
              </w:rPr>
              <w:t xml:space="preserve"> </w:t>
            </w:r>
            <w:r w:rsidRPr="00826B99">
              <w:rPr>
                <w:sz w:val="20"/>
              </w:rPr>
              <w:t xml:space="preserve"> </w:t>
            </w:r>
            <w:r w:rsidRPr="00826B99">
              <w:rPr>
                <w:b/>
                <w:sz w:val="20"/>
              </w:rPr>
              <w:sym w:font="Wingdings" w:char="F0FC"/>
            </w:r>
          </w:p>
        </w:tc>
        <w:tc>
          <w:tcPr>
            <w:tcW w:w="1843" w:type="dxa"/>
            <w:shd w:val="clear" w:color="auto" w:fill="auto"/>
          </w:tcPr>
          <w:p w:rsidR="00597964" w:rsidRPr="00826B99" w:rsidRDefault="00597964" w:rsidP="00900C22">
            <w:pPr>
              <w:pStyle w:val="Numberedpara3level1"/>
              <w:numPr>
                <w:ilvl w:val="0"/>
                <w:numId w:val="0"/>
              </w:numPr>
              <w:spacing w:before="120" w:after="0"/>
              <w:rPr>
                <w:sz w:val="20"/>
              </w:rPr>
            </w:pPr>
            <w:r w:rsidRPr="00826B99">
              <w:rPr>
                <w:sz w:val="20"/>
              </w:rPr>
              <w:t>Does not meet:</w:t>
            </w:r>
            <w:r>
              <w:rPr>
                <w:b/>
                <w:sz w:val="20"/>
              </w:rPr>
              <w:t xml:space="preserve"> </w:t>
            </w:r>
            <w:r w:rsidRPr="00826B99">
              <w:rPr>
                <w:sz w:val="20"/>
              </w:rPr>
              <w:t xml:space="preserve"> </w:t>
            </w:r>
            <w:r w:rsidRPr="00826B99">
              <w:rPr>
                <w:b/>
                <w:sz w:val="20"/>
              </w:rPr>
              <w:t>X</w:t>
            </w:r>
          </w:p>
        </w:tc>
        <w:tc>
          <w:tcPr>
            <w:tcW w:w="1985" w:type="dxa"/>
            <w:gridSpan w:val="2"/>
            <w:shd w:val="clear" w:color="auto" w:fill="auto"/>
          </w:tcPr>
          <w:p w:rsidR="00597964" w:rsidRPr="00826B99" w:rsidRDefault="00597964" w:rsidP="00900C22">
            <w:pPr>
              <w:pStyle w:val="Numberedpara3level1"/>
              <w:numPr>
                <w:ilvl w:val="0"/>
                <w:numId w:val="0"/>
              </w:numPr>
              <w:spacing w:before="120" w:after="0"/>
              <w:rPr>
                <w:sz w:val="20"/>
              </w:rPr>
            </w:pPr>
            <w:r w:rsidRPr="00826B99">
              <w:rPr>
                <w:sz w:val="20"/>
              </w:rPr>
              <w:t>Not applicable:</w:t>
            </w:r>
            <w:r>
              <w:rPr>
                <w:b/>
                <w:sz w:val="20"/>
              </w:rPr>
              <w:t xml:space="preserve"> </w:t>
            </w:r>
            <w:r w:rsidRPr="00826B99">
              <w:rPr>
                <w:sz w:val="20"/>
              </w:rPr>
              <w:t xml:space="preserve"> </w:t>
            </w:r>
            <w:r w:rsidRPr="00826B99">
              <w:rPr>
                <w:b/>
                <w:sz w:val="20"/>
              </w:rPr>
              <w:t>NA</w:t>
            </w:r>
          </w:p>
        </w:tc>
      </w:tr>
    </w:tbl>
    <w:p w:rsidR="00021C81" w:rsidRDefault="00021C81" w:rsidP="00021C81">
      <w:pPr>
        <w:pStyle w:val="Numberedpara3level1"/>
        <w:numPr>
          <w:ilvl w:val="0"/>
          <w:numId w:val="0"/>
        </w:numPr>
        <w:sectPr w:rsidR="00021C81" w:rsidSect="00826B99">
          <w:pgSz w:w="16840" w:h="11907" w:orient="landscape" w:code="9"/>
          <w:pgMar w:top="1134" w:right="851" w:bottom="851" w:left="851" w:header="425" w:footer="635" w:gutter="0"/>
          <w:cols w:space="708"/>
          <w:titlePg/>
          <w:docGrid w:linePitch="360"/>
        </w:sectPr>
      </w:pPr>
    </w:p>
    <w:p w:rsidR="007E7839" w:rsidRDefault="007E7839" w:rsidP="00655B4B">
      <w:pPr>
        <w:pStyle w:val="Heading1"/>
      </w:pPr>
      <w:bookmarkStart w:id="9" w:name="_Toc473799840"/>
      <w:r>
        <w:t>Conclusions and recommendations</w:t>
      </w:r>
      <w:r w:rsidR="00F24E7B">
        <w:t>—BDM access provisions</w:t>
      </w:r>
      <w:bookmarkEnd w:id="9"/>
    </w:p>
    <w:p w:rsidR="00C233DF" w:rsidRPr="00C233DF" w:rsidRDefault="0062252C" w:rsidP="0062252C">
      <w:pPr>
        <w:pStyle w:val="Heading3"/>
        <w:ind w:right="-199"/>
        <w:contextualSpacing w:val="0"/>
      </w:pPr>
      <w:r>
        <w:t>1A</w:t>
      </w:r>
      <w:r>
        <w:tab/>
      </w:r>
      <w:r w:rsidR="00C233DF" w:rsidRPr="00C233DF">
        <w:t>Publication of index information: search function for non-historical BDM information</w:t>
      </w:r>
    </w:p>
    <w:p w:rsidR="007E7839" w:rsidRPr="00C233DF" w:rsidRDefault="0062252C" w:rsidP="00D925EE">
      <w:pPr>
        <w:pStyle w:val="Heading3"/>
        <w:ind w:right="-482"/>
      </w:pPr>
      <w:r>
        <w:t>1B</w:t>
      </w:r>
      <w:r>
        <w:tab/>
      </w:r>
      <w:proofErr w:type="gramStart"/>
      <w:r>
        <w:t>On</w:t>
      </w:r>
      <w:r w:rsidR="007E7839" w:rsidRPr="00C233DF">
        <w:t>line</w:t>
      </w:r>
      <w:proofErr w:type="gramEnd"/>
      <w:r w:rsidR="007E7839" w:rsidRPr="00C233DF">
        <w:t xml:space="preserve"> access to historic register information</w:t>
      </w:r>
    </w:p>
    <w:p w:rsidR="00FB4B4F" w:rsidRDefault="00FB4B4F" w:rsidP="00E5554F">
      <w:pPr>
        <w:pStyle w:val="Numberedpara3level1"/>
        <w:ind w:right="-482"/>
      </w:pPr>
      <w:r w:rsidRPr="00FB4B4F">
        <w:t>The status quo is not sustainable</w:t>
      </w:r>
      <w:r w:rsidR="00F27763">
        <w:t xml:space="preserve"> for either issue</w:t>
      </w:r>
      <w:r w:rsidRPr="00FB4B4F">
        <w:t>.  Static product sales (certificates and printouts)</w:t>
      </w:r>
      <w:r w:rsidR="00437757">
        <w:rPr>
          <w:rStyle w:val="FootnoteReference"/>
        </w:rPr>
        <w:footnoteReference w:id="10"/>
      </w:r>
      <w:r w:rsidR="00437757">
        <w:t xml:space="preserve"> have</w:t>
      </w:r>
      <w:r w:rsidRPr="00FB4B4F">
        <w:t xml:space="preserve"> led to a reduction in income</w:t>
      </w:r>
      <w:r w:rsidR="002245D8">
        <w:t xml:space="preserve"> in</w:t>
      </w:r>
      <w:r w:rsidRPr="00FB4B4F">
        <w:t xml:space="preserve"> real term</w:t>
      </w:r>
      <w:r w:rsidR="00437757">
        <w:t xml:space="preserve">s.  An initial increase in orders for historical records </w:t>
      </w:r>
      <w:r w:rsidRPr="00FB4B4F">
        <w:t xml:space="preserve">associated with the introduction of the online search function has not been sustained (but it is a pointer to what could be achieved with an updated pay-for-view model).  </w:t>
      </w:r>
    </w:p>
    <w:p w:rsidR="00DC3C68" w:rsidRDefault="00FB4B4F" w:rsidP="00D925EE">
      <w:pPr>
        <w:pStyle w:val="Numberedpara3level1"/>
        <w:ind w:right="-340"/>
      </w:pPr>
      <w:r w:rsidRPr="00FB4B4F">
        <w:t xml:space="preserve">The Department is currently seeking Cabinet approval to increase fees for the first time in </w:t>
      </w:r>
      <w:r w:rsidR="00D925EE">
        <w:br/>
      </w:r>
      <w:r w:rsidRPr="00FB4B4F">
        <w:t xml:space="preserve">15 years [EGI-16-Min-0255], but this is a short-term solution.  It does not address the underlying problem.  An alternative to </w:t>
      </w:r>
      <w:r w:rsidR="00E5554F">
        <w:t>the current</w:t>
      </w:r>
      <w:r w:rsidR="00DC3C68">
        <w:t xml:space="preserve"> business model is required.</w:t>
      </w:r>
    </w:p>
    <w:p w:rsidR="008A37BC" w:rsidRDefault="00DC3C68" w:rsidP="00D925EE">
      <w:pPr>
        <w:pStyle w:val="Numberedpara3level1"/>
        <w:ind w:right="-340"/>
      </w:pPr>
      <w:r>
        <w:t xml:space="preserve">For </w:t>
      </w:r>
      <w:r w:rsidR="0062252C">
        <w:t>Proposal 1A—P</w:t>
      </w:r>
      <w:r>
        <w:t xml:space="preserve">ublication of </w:t>
      </w:r>
      <w:r w:rsidR="00E5554F">
        <w:t xml:space="preserve">non-historical </w:t>
      </w:r>
      <w:r>
        <w:t>index information</w:t>
      </w:r>
      <w:r w:rsidR="00F27763">
        <w:t xml:space="preserve">, </w:t>
      </w:r>
      <w:r w:rsidR="008A37BC">
        <w:t xml:space="preserve">Option 2 (limited search function) is the only practical option.  The status quo is not sustainable beyond the short term.  Option </w:t>
      </w:r>
      <w:r w:rsidR="00966A10">
        <w:t>3 (full online access) is high risk.  It could have unintended consequences if the risk factors discourage accurate reporting of life events.  Option 3 meets some of the criteria in part, but the negatives are likely to outweigh the positives.</w:t>
      </w:r>
    </w:p>
    <w:p w:rsidR="00103DC6" w:rsidRDefault="00966A10" w:rsidP="00966A10">
      <w:pPr>
        <w:pStyle w:val="Numberedpara3level1"/>
        <w:ind w:right="-482"/>
      </w:pPr>
      <w:r>
        <w:t xml:space="preserve">The status quo meets only one of the criteria for </w:t>
      </w:r>
      <w:r w:rsidR="0062252C">
        <w:t>Proposal 1B—</w:t>
      </w:r>
      <w:proofErr w:type="gramStart"/>
      <w:r w:rsidR="0062252C">
        <w:t>O</w:t>
      </w:r>
      <w:r>
        <w:t>nline</w:t>
      </w:r>
      <w:proofErr w:type="gramEnd"/>
      <w:r>
        <w:t xml:space="preserve"> access to historical register information; it entrenches an outmoded paper-records based business model.  </w:t>
      </w:r>
      <w:r w:rsidR="001B2C1E">
        <w:br/>
      </w:r>
      <w:r w:rsidR="00FB4B4F" w:rsidRPr="00FB4B4F">
        <w:t>Option 2 offers a partial solution, but is likely to meet public resistance</w:t>
      </w:r>
      <w:r w:rsidR="00CA03E2">
        <w:t xml:space="preserve">. </w:t>
      </w:r>
      <w:r w:rsidR="00FB4B4F" w:rsidRPr="00FB4B4F">
        <w:t xml:space="preserve"> </w:t>
      </w:r>
      <w:r w:rsidR="00F27763">
        <w:t xml:space="preserve">It has the potential to increase costs for members of the public without delivering a proportionate benefit.  </w:t>
      </w:r>
      <w:r>
        <w:t>Option 2</w:t>
      </w:r>
      <w:r w:rsidR="00F27763">
        <w:t xml:space="preserve"> could undermine the Department’s ability to recover costs</w:t>
      </w:r>
      <w:r w:rsidR="00E5554F">
        <w:t xml:space="preserve"> if it further reduces sales of certificates and printouts</w:t>
      </w:r>
      <w:r w:rsidR="00F27763">
        <w:t xml:space="preserve">.  </w:t>
      </w:r>
    </w:p>
    <w:p w:rsidR="00847BEA" w:rsidRDefault="00FB4B4F" w:rsidP="00111BEE">
      <w:pPr>
        <w:pStyle w:val="Numberedpara3level1"/>
        <w:ind w:right="-340"/>
      </w:pPr>
      <w:r w:rsidRPr="00FB4B4F">
        <w:t xml:space="preserve">Option 3 </w:t>
      </w:r>
      <w:r w:rsidR="00103DC6">
        <w:t>(online access to historic register images) s</w:t>
      </w:r>
      <w:r w:rsidRPr="00FB4B4F">
        <w:t>atisfies al</w:t>
      </w:r>
      <w:r w:rsidR="00F27763">
        <w:t>l</w:t>
      </w:r>
      <w:r w:rsidRPr="00FB4B4F">
        <w:t xml:space="preserve"> </w:t>
      </w:r>
      <w:r w:rsidR="00597964">
        <w:t>relevant</w:t>
      </w:r>
      <w:r w:rsidRPr="00FB4B4F">
        <w:t xml:space="preserve"> criteria</w:t>
      </w:r>
      <w:r w:rsidR="00103DC6">
        <w:t xml:space="preserve">.  </w:t>
      </w:r>
      <w:r w:rsidR="00907EAF">
        <w:t xml:space="preserve">The ability to view information about individuals other than the “named person” on the same register page is highly unlikely to increase the already low risk of misuse.  </w:t>
      </w:r>
      <w:r w:rsidR="00360A40">
        <w:t xml:space="preserve">The potential risk to privacy interests is mitigated by the fact very few living individuals are likely to be impacted, and then only indirectly.  Option 3 </w:t>
      </w:r>
      <w:r w:rsidR="007B37DC">
        <w:t>strikes the right balance between individual rights and the public interest at a time people expect to be able to interact with government in a digital environment</w:t>
      </w:r>
      <w:r w:rsidR="005D6AF1">
        <w:t>.</w:t>
      </w:r>
    </w:p>
    <w:p w:rsidR="00655B4B" w:rsidRDefault="00655B4B" w:rsidP="00F24E7B">
      <w:pPr>
        <w:pStyle w:val="Heading1"/>
        <w:ind w:left="4253" w:hanging="4253"/>
      </w:pPr>
      <w:bookmarkStart w:id="10" w:name="_Toc473799841"/>
      <w:r>
        <w:t>Status quo and problem definition</w:t>
      </w:r>
      <w:r w:rsidR="00F24E7B">
        <w:t>—Law Commission review of burial and cremation law: preliminary notice of death</w:t>
      </w:r>
      <w:bookmarkEnd w:id="10"/>
    </w:p>
    <w:p w:rsidR="00CD001D" w:rsidRPr="003742E6" w:rsidRDefault="003742E6" w:rsidP="003742E6">
      <w:pPr>
        <w:pStyle w:val="Numberedpara3level1"/>
        <w:ind w:right="-199"/>
      </w:pPr>
      <w:r w:rsidRPr="004D7F51">
        <w:rPr>
          <w:szCs w:val="20"/>
        </w:rPr>
        <w:t xml:space="preserve">The person “who disposes of a body” must notify the death within </w:t>
      </w:r>
      <w:r>
        <w:rPr>
          <w:szCs w:val="20"/>
        </w:rPr>
        <w:t>three</w:t>
      </w:r>
      <w:r w:rsidRPr="004D7F51">
        <w:rPr>
          <w:szCs w:val="20"/>
        </w:rPr>
        <w:t xml:space="preserve"> days of the body’s disposal (cremation, burial, </w:t>
      </w:r>
      <w:proofErr w:type="spellStart"/>
      <w:r w:rsidRPr="004D7F51">
        <w:rPr>
          <w:szCs w:val="20"/>
        </w:rPr>
        <w:t>etc</w:t>
      </w:r>
      <w:proofErr w:type="spellEnd"/>
      <w:r w:rsidRPr="004D7F51">
        <w:rPr>
          <w:szCs w:val="20"/>
        </w:rPr>
        <w:t xml:space="preserve">).  </w:t>
      </w:r>
      <w:r>
        <w:rPr>
          <w:szCs w:val="20"/>
        </w:rPr>
        <w:t>Ninety-two</w:t>
      </w:r>
      <w:r w:rsidRPr="004D7F51">
        <w:rPr>
          <w:szCs w:val="20"/>
        </w:rPr>
        <w:t xml:space="preserve"> per cent</w:t>
      </w:r>
      <w:r>
        <w:rPr>
          <w:szCs w:val="20"/>
        </w:rPr>
        <w:t xml:space="preserve"> of </w:t>
      </w:r>
      <w:r w:rsidRPr="004D7F51">
        <w:rPr>
          <w:szCs w:val="20"/>
        </w:rPr>
        <w:t xml:space="preserve">“disposals” </w:t>
      </w:r>
      <w:r>
        <w:rPr>
          <w:szCs w:val="20"/>
        </w:rPr>
        <w:t xml:space="preserve">are </w:t>
      </w:r>
      <w:r w:rsidRPr="004D7F51">
        <w:rPr>
          <w:szCs w:val="20"/>
        </w:rPr>
        <w:t>notified electronically by funeral directors through BDM online.  A small number</w:t>
      </w:r>
      <w:r>
        <w:rPr>
          <w:szCs w:val="20"/>
        </w:rPr>
        <w:t xml:space="preserve"> of “disposals”</w:t>
      </w:r>
      <w:r w:rsidRPr="004D7F51">
        <w:rPr>
          <w:szCs w:val="20"/>
        </w:rPr>
        <w:t xml:space="preserve"> (</w:t>
      </w:r>
      <w:r w:rsidR="001B2C1E">
        <w:rPr>
          <w:szCs w:val="20"/>
        </w:rPr>
        <w:t>fewer</w:t>
      </w:r>
      <w:r w:rsidRPr="004D7F51">
        <w:rPr>
          <w:szCs w:val="20"/>
        </w:rPr>
        <w:t xml:space="preserve"> than 3,000 annually) are notified manu</w:t>
      </w:r>
      <w:r>
        <w:rPr>
          <w:szCs w:val="20"/>
        </w:rPr>
        <w:t xml:space="preserve">ally via a handwritten </w:t>
      </w:r>
      <w:proofErr w:type="gramStart"/>
      <w:r>
        <w:rPr>
          <w:szCs w:val="20"/>
        </w:rPr>
        <w:t>form,</w:t>
      </w:r>
      <w:proofErr w:type="gramEnd"/>
      <w:r>
        <w:rPr>
          <w:szCs w:val="20"/>
        </w:rPr>
        <w:t xml:space="preserve"> including </w:t>
      </w:r>
      <w:r w:rsidRPr="004D7F51">
        <w:rPr>
          <w:szCs w:val="20"/>
        </w:rPr>
        <w:t xml:space="preserve">some </w:t>
      </w:r>
      <w:r>
        <w:rPr>
          <w:szCs w:val="20"/>
        </w:rPr>
        <w:t>where people do not use a funeral director.</w:t>
      </w:r>
    </w:p>
    <w:p w:rsidR="003742E6" w:rsidRPr="00516BB7" w:rsidRDefault="00DD2751" w:rsidP="007A2389">
      <w:pPr>
        <w:pStyle w:val="Numberedpara3level1"/>
        <w:ind w:right="-482"/>
      </w:pPr>
      <w:r>
        <w:rPr>
          <w:szCs w:val="20"/>
        </w:rPr>
        <w:t xml:space="preserve">A body cannot be “disposed of” without a </w:t>
      </w:r>
      <w:r w:rsidR="002E4665">
        <w:rPr>
          <w:szCs w:val="20"/>
        </w:rPr>
        <w:t>Certificate of Cause of Death (</w:t>
      </w:r>
      <w:r>
        <w:rPr>
          <w:szCs w:val="20"/>
        </w:rPr>
        <w:t xml:space="preserve">CCD) or coroner’s authorisation.  </w:t>
      </w:r>
      <w:r w:rsidR="002E4665">
        <w:rPr>
          <w:szCs w:val="20"/>
        </w:rPr>
        <w:t xml:space="preserve">The </w:t>
      </w:r>
      <w:r w:rsidR="00F80F24">
        <w:rPr>
          <w:szCs w:val="20"/>
        </w:rPr>
        <w:t>CCD is a handwritten form provided by the Ministry of Health.  T</w:t>
      </w:r>
      <w:r>
        <w:rPr>
          <w:szCs w:val="20"/>
        </w:rPr>
        <w:t xml:space="preserve">he person </w:t>
      </w:r>
      <w:r w:rsidR="004D75CC">
        <w:rPr>
          <w:szCs w:val="20"/>
        </w:rPr>
        <w:t>responsible for</w:t>
      </w:r>
      <w:r>
        <w:rPr>
          <w:szCs w:val="20"/>
        </w:rPr>
        <w:t xml:space="preserve"> the “dispo</w:t>
      </w:r>
      <w:r w:rsidR="002E4665">
        <w:rPr>
          <w:szCs w:val="20"/>
        </w:rPr>
        <w:t xml:space="preserve">sal” uses information from the </w:t>
      </w:r>
      <w:r>
        <w:rPr>
          <w:szCs w:val="20"/>
        </w:rPr>
        <w:t xml:space="preserve">CCD to </w:t>
      </w:r>
      <w:r w:rsidR="005C3B84">
        <w:rPr>
          <w:szCs w:val="20"/>
        </w:rPr>
        <w:t>enter</w:t>
      </w:r>
      <w:r>
        <w:rPr>
          <w:szCs w:val="20"/>
        </w:rPr>
        <w:t xml:space="preserve"> </w:t>
      </w:r>
      <w:r w:rsidR="004D75CC">
        <w:rPr>
          <w:szCs w:val="20"/>
        </w:rPr>
        <w:t xml:space="preserve">the cause of death </w:t>
      </w:r>
      <w:r w:rsidR="007A2389">
        <w:rPr>
          <w:szCs w:val="20"/>
        </w:rPr>
        <w:t xml:space="preserve">on the notification sent to the Registrar-General.  That person </w:t>
      </w:r>
      <w:r w:rsidR="005C3B84">
        <w:rPr>
          <w:szCs w:val="20"/>
        </w:rPr>
        <w:t>must send</w:t>
      </w:r>
      <w:r>
        <w:rPr>
          <w:szCs w:val="20"/>
        </w:rPr>
        <w:t xml:space="preserve"> the </w:t>
      </w:r>
      <w:r w:rsidR="005C3B84">
        <w:rPr>
          <w:szCs w:val="20"/>
        </w:rPr>
        <w:t xml:space="preserve">completed </w:t>
      </w:r>
      <w:r>
        <w:rPr>
          <w:szCs w:val="20"/>
        </w:rPr>
        <w:t>CCD or coroner’s authorisat</w:t>
      </w:r>
      <w:r w:rsidR="007A2389">
        <w:rPr>
          <w:szCs w:val="20"/>
        </w:rPr>
        <w:t>ion to the Ministry of Health</w:t>
      </w:r>
      <w:r w:rsidR="00F80F24">
        <w:rPr>
          <w:szCs w:val="20"/>
        </w:rPr>
        <w:t>.</w:t>
      </w:r>
      <w:r w:rsidR="005C3B84">
        <w:rPr>
          <w:rStyle w:val="FootnoteReference"/>
          <w:szCs w:val="20"/>
        </w:rPr>
        <w:footnoteReference w:id="11"/>
      </w:r>
    </w:p>
    <w:p w:rsidR="004715F4" w:rsidRPr="004715F4" w:rsidRDefault="004715F4" w:rsidP="00FC0B00">
      <w:pPr>
        <w:pStyle w:val="Heading3"/>
        <w:spacing w:before="0"/>
      </w:pPr>
      <w:r>
        <w:t>Problem definition</w:t>
      </w:r>
    </w:p>
    <w:p w:rsidR="00A87E98" w:rsidRDefault="004715F4" w:rsidP="003742E6">
      <w:pPr>
        <w:pStyle w:val="Numberedpara3level1"/>
        <w:ind w:right="-199"/>
      </w:pPr>
      <w:r>
        <w:t xml:space="preserve">There </w:t>
      </w:r>
      <w:r w:rsidR="00A87E98">
        <w:t xml:space="preserve">are two aspects to the problem.  First, </w:t>
      </w:r>
      <w:r w:rsidR="002245D8">
        <w:rPr>
          <w:szCs w:val="20"/>
        </w:rPr>
        <w:t>the</w:t>
      </w:r>
      <w:r w:rsidR="002245D8" w:rsidRPr="000E7E98">
        <w:rPr>
          <w:szCs w:val="20"/>
        </w:rPr>
        <w:t xml:space="preserve"> </w:t>
      </w:r>
      <w:r w:rsidR="002245D8">
        <w:rPr>
          <w:szCs w:val="20"/>
        </w:rPr>
        <w:t xml:space="preserve">existing law conflates </w:t>
      </w:r>
      <w:r w:rsidR="002245D8" w:rsidRPr="000E7E98">
        <w:rPr>
          <w:szCs w:val="20"/>
        </w:rPr>
        <w:t xml:space="preserve">responsibility to notify a death </w:t>
      </w:r>
      <w:r w:rsidR="002245D8">
        <w:rPr>
          <w:szCs w:val="20"/>
        </w:rPr>
        <w:t>with responsibility to notify disposal of a body</w:t>
      </w:r>
      <w:r>
        <w:t>.</w:t>
      </w:r>
      <w:r w:rsidR="002A0D1A">
        <w:rPr>
          <w:rStyle w:val="FootnoteReference"/>
          <w:szCs w:val="22"/>
        </w:rPr>
        <w:footnoteReference w:id="12"/>
      </w:r>
      <w:r w:rsidR="002A0D1A" w:rsidRPr="00FB4B4F">
        <w:rPr>
          <w:szCs w:val="22"/>
        </w:rPr>
        <w:t xml:space="preserve"> </w:t>
      </w:r>
      <w:r w:rsidR="002A0D1A">
        <w:t xml:space="preserve"> </w:t>
      </w:r>
      <w:r w:rsidR="00F61F8A">
        <w:t>I</w:t>
      </w:r>
      <w:r w:rsidR="00E2422F">
        <w:t xml:space="preserve">t </w:t>
      </w:r>
      <w:r w:rsidR="00305351">
        <w:t>may be</w:t>
      </w:r>
      <w:r w:rsidR="00E2422F">
        <w:t xml:space="preserve"> unclear </w:t>
      </w:r>
      <w:r w:rsidR="00305351">
        <w:t xml:space="preserve">whether </w:t>
      </w:r>
      <w:r w:rsidR="00E2422F">
        <w:t xml:space="preserve">the </w:t>
      </w:r>
      <w:r w:rsidR="00305351">
        <w:t xml:space="preserve">obligation to notify the death (disposal) lies with the person making the decision about what </w:t>
      </w:r>
      <w:r w:rsidR="00F61F8A">
        <w:t>is to happen (</w:t>
      </w:r>
      <w:proofErr w:type="spellStart"/>
      <w:r w:rsidR="00F61F8A">
        <w:t>eg</w:t>
      </w:r>
      <w:proofErr w:type="spellEnd"/>
      <w:r w:rsidR="00F61F8A">
        <w:t>, family member)</w:t>
      </w:r>
      <w:r w:rsidR="00305351">
        <w:t xml:space="preserve">, </w:t>
      </w:r>
      <w:r w:rsidR="00F61F8A">
        <w:t>the person arranging the disposal (</w:t>
      </w:r>
      <w:proofErr w:type="spellStart"/>
      <w:r w:rsidR="00F61F8A">
        <w:t>eg</w:t>
      </w:r>
      <w:proofErr w:type="spellEnd"/>
      <w:r w:rsidR="00F61F8A">
        <w:t>, funeral director), or the person carrying out the disposal (</w:t>
      </w:r>
      <w:proofErr w:type="spellStart"/>
      <w:r w:rsidR="00F61F8A">
        <w:t>eg</w:t>
      </w:r>
      <w:proofErr w:type="spellEnd"/>
      <w:r w:rsidR="00F61F8A">
        <w:t xml:space="preserve">, crematorium operator). </w:t>
      </w:r>
      <w:r w:rsidR="00305351">
        <w:t xml:space="preserve"> </w:t>
      </w:r>
      <w:r>
        <w:t xml:space="preserve">Notification of a death </w:t>
      </w:r>
      <w:r w:rsidR="00333DCC">
        <w:t xml:space="preserve">for registration </w:t>
      </w:r>
      <w:r>
        <w:t>can be delayed or overlooked</w:t>
      </w:r>
      <w:r w:rsidR="00B719F5">
        <w:t xml:space="preserve"> completely</w:t>
      </w:r>
      <w:r>
        <w:t>, especially if a funeral director is not involved</w:t>
      </w:r>
      <w:r w:rsidR="00A87E98">
        <w:t>.</w:t>
      </w:r>
      <w:r w:rsidR="00A87E98">
        <w:rPr>
          <w:rStyle w:val="FootnoteReference"/>
        </w:rPr>
        <w:footnoteReference w:id="13"/>
      </w:r>
      <w:r>
        <w:t xml:space="preserve"> </w:t>
      </w:r>
    </w:p>
    <w:p w:rsidR="00B719F5" w:rsidRDefault="00B719F5" w:rsidP="003742E6">
      <w:pPr>
        <w:pStyle w:val="Numberedpara3level1"/>
        <w:ind w:right="-199"/>
      </w:pPr>
      <w:r>
        <w:t xml:space="preserve">Second, </w:t>
      </w:r>
      <w:r w:rsidR="008B7D4B">
        <w:t xml:space="preserve">cause of death information is health information, which should be notified by a health professional, not a funeral director or other individual.  </w:t>
      </w:r>
      <w:r w:rsidR="00BD5A87">
        <w:t>B</w:t>
      </w:r>
      <w:r w:rsidR="00C16A7C">
        <w:t xml:space="preserve">ecause the </w:t>
      </w:r>
      <w:r w:rsidR="008B7D4B">
        <w:t>CCD remains a handwritten form, transcription errors by</w:t>
      </w:r>
      <w:r w:rsidR="004A1067">
        <w:t xml:space="preserve"> the person</w:t>
      </w:r>
      <w:r w:rsidR="008B7D4B">
        <w:t xml:space="preserve"> notifying the “disposal” of the body can lead to inaccuracies.</w:t>
      </w:r>
    </w:p>
    <w:p w:rsidR="004715F4" w:rsidRDefault="005C3B84" w:rsidP="00BD5A87">
      <w:pPr>
        <w:pStyle w:val="Numberedpara3level1"/>
        <w:ind w:right="-482"/>
      </w:pPr>
      <w:r>
        <w:t>The Law Commission noted b</w:t>
      </w:r>
      <w:r w:rsidR="00B719F5">
        <w:t xml:space="preserve">oth aspects of the problem </w:t>
      </w:r>
      <w:r w:rsidR="00516BB7">
        <w:t>were</w:t>
      </w:r>
      <w:r w:rsidR="00B719F5">
        <w:t xml:space="preserve"> exacerbated by the fact </w:t>
      </w:r>
      <w:r w:rsidR="00A87E98">
        <w:t xml:space="preserve">the Registrar-General has only </w:t>
      </w:r>
      <w:r w:rsidR="006755B3">
        <w:t>one source o</w:t>
      </w:r>
      <w:r w:rsidR="0058227F">
        <w:t>f death information</w:t>
      </w:r>
      <w:r w:rsidR="00516BB7">
        <w:t>.  In contrast,</w:t>
      </w:r>
      <w:r w:rsidR="00633D68">
        <w:t xml:space="preserve"> the parents and the hospital or medical facility each have an obligation to notify</w:t>
      </w:r>
      <w:r w:rsidR="004A1067">
        <w:t xml:space="preserve"> a birth, which provides a useful cross-check</w:t>
      </w:r>
      <w:r w:rsidR="00633D68">
        <w:t>.</w:t>
      </w:r>
      <w:r w:rsidR="00E100F4">
        <w:rPr>
          <w:rStyle w:val="FootnoteReference"/>
        </w:rPr>
        <w:footnoteReference w:id="14"/>
      </w:r>
      <w:r w:rsidR="00633D68">
        <w:t xml:space="preserve"> </w:t>
      </w:r>
      <w:r w:rsidR="00516BB7">
        <w:t xml:space="preserve"> </w:t>
      </w:r>
      <w:r w:rsidR="00516BB7">
        <w:rPr>
          <w:szCs w:val="20"/>
        </w:rPr>
        <w:t xml:space="preserve">The Commission recommended </w:t>
      </w:r>
      <w:r w:rsidR="00BD5A87">
        <w:t>introducing a new statutory system for notifying death that aligns with the births notification process</w:t>
      </w:r>
      <w:r w:rsidR="00516BB7">
        <w:t>.</w:t>
      </w:r>
      <w:r w:rsidR="00B11378">
        <w:rPr>
          <w:rStyle w:val="FootnoteReference"/>
        </w:rPr>
        <w:footnoteReference w:id="15"/>
      </w:r>
      <w:r w:rsidR="00187815">
        <w:t xml:space="preserve">  </w:t>
      </w:r>
    </w:p>
    <w:p w:rsidR="00CD001D" w:rsidRDefault="00CD001D" w:rsidP="00F24E7B">
      <w:pPr>
        <w:pStyle w:val="Heading1"/>
        <w:ind w:left="3544" w:hanging="3544"/>
      </w:pPr>
      <w:bookmarkStart w:id="11" w:name="_Toc473799842"/>
      <w:r>
        <w:t>Options and impact analysis</w:t>
      </w:r>
      <w:r w:rsidR="00F24E7B">
        <w:t>—Law Commission review of burial and cremation law: preliminary notice of death</w:t>
      </w:r>
      <w:bookmarkEnd w:id="11"/>
    </w:p>
    <w:p w:rsidR="002D614D" w:rsidRDefault="00516BB7" w:rsidP="002D614D">
      <w:pPr>
        <w:pStyle w:val="Numberedpara3level1"/>
        <w:ind w:right="-482"/>
      </w:pPr>
      <w:r>
        <w:t>Three</w:t>
      </w:r>
      <w:r w:rsidR="002D614D">
        <w:t xml:space="preserve"> options for </w:t>
      </w:r>
      <w:r>
        <w:t>addressing the Law Commission’s recommendation have been identified</w:t>
      </w:r>
      <w:r w:rsidR="002D614D">
        <w:t>:</w:t>
      </w:r>
    </w:p>
    <w:tbl>
      <w:tblPr>
        <w:tblStyle w:val="RIS"/>
        <w:tblW w:w="9781" w:type="dxa"/>
        <w:tblInd w:w="108" w:type="dxa"/>
        <w:tblLook w:val="04A0" w:firstRow="1" w:lastRow="0" w:firstColumn="1" w:lastColumn="0" w:noHBand="0" w:noVBand="1"/>
      </w:tblPr>
      <w:tblGrid>
        <w:gridCol w:w="2977"/>
        <w:gridCol w:w="6804"/>
      </w:tblGrid>
      <w:tr w:rsidR="002D614D" w:rsidTr="00FC0B00">
        <w:trPr>
          <w:cnfStyle w:val="100000000000" w:firstRow="1" w:lastRow="0" w:firstColumn="0" w:lastColumn="0" w:oddVBand="0" w:evenVBand="0" w:oddHBand="0" w:evenHBand="0" w:firstRowFirstColumn="0" w:firstRowLastColumn="0" w:lastRowFirstColumn="0" w:lastRowLastColumn="0"/>
        </w:trPr>
        <w:tc>
          <w:tcPr>
            <w:tcW w:w="2977" w:type="dxa"/>
          </w:tcPr>
          <w:p w:rsidR="002D614D" w:rsidRDefault="002D614D" w:rsidP="00FB4B4F">
            <w:pPr>
              <w:spacing w:after="60"/>
              <w:ind w:firstLine="34"/>
            </w:pPr>
            <w:r>
              <w:t>Option</w:t>
            </w:r>
          </w:p>
        </w:tc>
        <w:tc>
          <w:tcPr>
            <w:tcW w:w="6804" w:type="dxa"/>
          </w:tcPr>
          <w:p w:rsidR="002D614D" w:rsidRPr="002E57E9" w:rsidRDefault="002D614D" w:rsidP="00FB4B4F">
            <w:pPr>
              <w:spacing w:after="60"/>
            </w:pPr>
            <w:r w:rsidRPr="002E57E9">
              <w:t>Description</w:t>
            </w:r>
          </w:p>
        </w:tc>
      </w:tr>
      <w:tr w:rsidR="002D614D" w:rsidTr="00FC0B00">
        <w:tc>
          <w:tcPr>
            <w:tcW w:w="2977" w:type="dxa"/>
          </w:tcPr>
          <w:p w:rsidR="002D614D" w:rsidRPr="00FB4B4F" w:rsidRDefault="002D614D" w:rsidP="00FB4B4F">
            <w:pPr>
              <w:pStyle w:val="ListParagraph"/>
              <w:numPr>
                <w:ilvl w:val="6"/>
                <w:numId w:val="29"/>
              </w:numPr>
              <w:spacing w:before="120" w:after="40"/>
              <w:ind w:left="318" w:hanging="284"/>
              <w:rPr>
                <w:b/>
                <w:szCs w:val="22"/>
              </w:rPr>
            </w:pPr>
            <w:r w:rsidRPr="00FB4B4F">
              <w:rPr>
                <w:b/>
                <w:szCs w:val="22"/>
              </w:rPr>
              <w:t>Status quo</w:t>
            </w:r>
          </w:p>
        </w:tc>
        <w:tc>
          <w:tcPr>
            <w:tcW w:w="6804" w:type="dxa"/>
          </w:tcPr>
          <w:p w:rsidR="002D614D" w:rsidRPr="00FB4B4F" w:rsidRDefault="00D57311" w:rsidP="002A0D1A">
            <w:pPr>
              <w:spacing w:before="120" w:after="40"/>
              <w:rPr>
                <w:szCs w:val="22"/>
              </w:rPr>
            </w:pPr>
            <w:r>
              <w:rPr>
                <w:szCs w:val="20"/>
              </w:rPr>
              <w:t xml:space="preserve">Existing law conflates </w:t>
            </w:r>
            <w:r w:rsidRPr="000E7E98">
              <w:rPr>
                <w:szCs w:val="20"/>
              </w:rPr>
              <w:t>responsibility</w:t>
            </w:r>
            <w:r w:rsidR="00FE11D3">
              <w:rPr>
                <w:szCs w:val="20"/>
              </w:rPr>
              <w:t>`</w:t>
            </w:r>
            <w:r w:rsidRPr="000E7E98">
              <w:rPr>
                <w:szCs w:val="20"/>
              </w:rPr>
              <w:t xml:space="preserve"> to notify a death </w:t>
            </w:r>
            <w:r>
              <w:rPr>
                <w:szCs w:val="20"/>
              </w:rPr>
              <w:t>with responsibility to notify disposal of a body</w:t>
            </w:r>
            <w:r w:rsidR="00B11378" w:rsidRPr="00FB4B4F">
              <w:rPr>
                <w:szCs w:val="22"/>
              </w:rPr>
              <w:t>; the p</w:t>
            </w:r>
            <w:r w:rsidR="00557DE3" w:rsidRPr="00FB4B4F">
              <w:rPr>
                <w:szCs w:val="22"/>
              </w:rPr>
              <w:t xml:space="preserve">erson “disposing” of a body </w:t>
            </w:r>
            <w:r w:rsidR="00255152" w:rsidRPr="00FB4B4F">
              <w:rPr>
                <w:szCs w:val="22"/>
              </w:rPr>
              <w:t xml:space="preserve">transcribes cause of death information from the </w:t>
            </w:r>
            <w:r w:rsidR="00B11378" w:rsidRPr="00FB4B4F">
              <w:rPr>
                <w:szCs w:val="22"/>
              </w:rPr>
              <w:t>CCD/</w:t>
            </w:r>
            <w:r w:rsidR="00557DE3" w:rsidRPr="00FB4B4F">
              <w:rPr>
                <w:szCs w:val="22"/>
              </w:rPr>
              <w:t>coroner’s authorisation,</w:t>
            </w:r>
            <w:r w:rsidR="00255152" w:rsidRPr="00FB4B4F">
              <w:rPr>
                <w:szCs w:val="22"/>
              </w:rPr>
              <w:t xml:space="preserve"> </w:t>
            </w:r>
            <w:r w:rsidR="00557DE3" w:rsidRPr="00FB4B4F">
              <w:rPr>
                <w:szCs w:val="22"/>
              </w:rPr>
              <w:t xml:space="preserve">and sends the </w:t>
            </w:r>
            <w:r w:rsidR="00255152" w:rsidRPr="00FB4B4F">
              <w:rPr>
                <w:szCs w:val="22"/>
              </w:rPr>
              <w:t>CCD/authorisation</w:t>
            </w:r>
            <w:r w:rsidR="00557DE3" w:rsidRPr="00FB4B4F">
              <w:rPr>
                <w:szCs w:val="22"/>
              </w:rPr>
              <w:t xml:space="preserve"> to the Ministry of Health</w:t>
            </w:r>
            <w:r w:rsidR="00255152" w:rsidRPr="00FB4B4F">
              <w:rPr>
                <w:szCs w:val="22"/>
              </w:rPr>
              <w:t>.</w:t>
            </w:r>
            <w:r w:rsidR="00B11378" w:rsidRPr="00FB4B4F">
              <w:rPr>
                <w:szCs w:val="22"/>
              </w:rPr>
              <w:t xml:space="preserve">  </w:t>
            </w:r>
          </w:p>
        </w:tc>
      </w:tr>
      <w:tr w:rsidR="002D614D" w:rsidTr="00FC0B00">
        <w:tc>
          <w:tcPr>
            <w:tcW w:w="2977" w:type="dxa"/>
          </w:tcPr>
          <w:p w:rsidR="002D614D" w:rsidRPr="00FB4B4F" w:rsidRDefault="002D614D" w:rsidP="00FB4B4F">
            <w:pPr>
              <w:pStyle w:val="Numberedpara3level1"/>
              <w:numPr>
                <w:ilvl w:val="6"/>
                <w:numId w:val="29"/>
              </w:numPr>
              <w:spacing w:before="120" w:after="40"/>
              <w:ind w:left="318" w:hanging="284"/>
              <w:rPr>
                <w:b/>
                <w:szCs w:val="22"/>
              </w:rPr>
            </w:pPr>
            <w:r w:rsidRPr="00FB4B4F">
              <w:rPr>
                <w:b/>
                <w:szCs w:val="22"/>
              </w:rPr>
              <w:t>Amended status quo</w:t>
            </w:r>
          </w:p>
        </w:tc>
        <w:tc>
          <w:tcPr>
            <w:tcW w:w="6804" w:type="dxa"/>
          </w:tcPr>
          <w:p w:rsidR="002D614D" w:rsidRPr="00FB4B4F" w:rsidRDefault="006C1B7F" w:rsidP="00FB4B4F">
            <w:pPr>
              <w:spacing w:before="120" w:after="40"/>
              <w:rPr>
                <w:szCs w:val="22"/>
              </w:rPr>
            </w:pPr>
            <w:r w:rsidRPr="00FB4B4F">
              <w:rPr>
                <w:szCs w:val="22"/>
              </w:rPr>
              <w:t>Amend</w:t>
            </w:r>
            <w:r w:rsidR="002D614D" w:rsidRPr="00FB4B4F">
              <w:rPr>
                <w:szCs w:val="22"/>
              </w:rPr>
              <w:t xml:space="preserve"> the Burial and Cremation Act 1964 to </w:t>
            </w:r>
            <w:r w:rsidRPr="00FB4B4F">
              <w:rPr>
                <w:szCs w:val="22"/>
              </w:rPr>
              <w:t>require the person disposing of the bod</w:t>
            </w:r>
            <w:r w:rsidR="002E4665">
              <w:rPr>
                <w:szCs w:val="22"/>
              </w:rPr>
              <w:t xml:space="preserve">y to send the completed </w:t>
            </w:r>
            <w:r w:rsidR="008B6DE0" w:rsidRPr="00FB4B4F">
              <w:rPr>
                <w:szCs w:val="22"/>
              </w:rPr>
              <w:t>CCD/</w:t>
            </w:r>
            <w:r w:rsidRPr="00FB4B4F">
              <w:rPr>
                <w:szCs w:val="22"/>
              </w:rPr>
              <w:t xml:space="preserve">coroner’s authorisation to the Department, which </w:t>
            </w:r>
            <w:r w:rsidR="00B11378" w:rsidRPr="00FB4B4F">
              <w:rPr>
                <w:szCs w:val="22"/>
              </w:rPr>
              <w:t xml:space="preserve">the Department </w:t>
            </w:r>
            <w:r w:rsidRPr="00FB4B4F">
              <w:rPr>
                <w:szCs w:val="22"/>
              </w:rPr>
              <w:t xml:space="preserve">would </w:t>
            </w:r>
            <w:r w:rsidR="008B6DE0" w:rsidRPr="00FB4B4F">
              <w:rPr>
                <w:szCs w:val="22"/>
              </w:rPr>
              <w:t>forward</w:t>
            </w:r>
            <w:r w:rsidRPr="00FB4B4F">
              <w:rPr>
                <w:szCs w:val="22"/>
              </w:rPr>
              <w:t xml:space="preserve"> to the Ministry of Health</w:t>
            </w:r>
            <w:r w:rsidR="00395A6C" w:rsidRPr="00FB4B4F">
              <w:rPr>
                <w:szCs w:val="22"/>
              </w:rPr>
              <w:t xml:space="preserve">.  </w:t>
            </w:r>
            <w:r w:rsidRPr="00FB4B4F">
              <w:rPr>
                <w:szCs w:val="22"/>
              </w:rPr>
              <w:t>This option would return the law to its pre-2008 Amendment Act state</w:t>
            </w:r>
            <w:r w:rsidR="00395A6C" w:rsidRPr="00FB4B4F">
              <w:rPr>
                <w:szCs w:val="22"/>
              </w:rPr>
              <w:t>.</w:t>
            </w:r>
          </w:p>
        </w:tc>
      </w:tr>
      <w:tr w:rsidR="002D614D" w:rsidTr="00FC0B00">
        <w:tc>
          <w:tcPr>
            <w:tcW w:w="2977" w:type="dxa"/>
          </w:tcPr>
          <w:p w:rsidR="002D614D" w:rsidRPr="00FB4B4F" w:rsidRDefault="00E100F4" w:rsidP="00FB4B4F">
            <w:pPr>
              <w:pStyle w:val="Numberedpara3level1"/>
              <w:numPr>
                <w:ilvl w:val="6"/>
                <w:numId w:val="29"/>
              </w:numPr>
              <w:spacing w:before="120" w:after="40"/>
              <w:ind w:left="318" w:hanging="284"/>
              <w:rPr>
                <w:b/>
                <w:szCs w:val="22"/>
              </w:rPr>
            </w:pPr>
            <w:r w:rsidRPr="00FB4B4F">
              <w:rPr>
                <w:b/>
                <w:szCs w:val="22"/>
              </w:rPr>
              <w:t>Introduce a provision, equivalent to s 5A of the BDMRRA 1995, for a preliminary notice of death</w:t>
            </w:r>
            <w:r w:rsidR="00010B11" w:rsidRPr="00FB4B4F">
              <w:rPr>
                <w:b/>
                <w:szCs w:val="22"/>
              </w:rPr>
              <w:t xml:space="preserve"> (recommended option)</w:t>
            </w:r>
          </w:p>
        </w:tc>
        <w:tc>
          <w:tcPr>
            <w:tcW w:w="6804" w:type="dxa"/>
          </w:tcPr>
          <w:p w:rsidR="002D614D" w:rsidRPr="00FB4B4F" w:rsidRDefault="00951F28" w:rsidP="002E4665">
            <w:pPr>
              <w:spacing w:before="120" w:after="40"/>
              <w:rPr>
                <w:szCs w:val="22"/>
              </w:rPr>
            </w:pPr>
            <w:r w:rsidRPr="00FB4B4F">
              <w:rPr>
                <w:szCs w:val="22"/>
              </w:rPr>
              <w:t xml:space="preserve">Implement Law Commission </w:t>
            </w:r>
            <w:r w:rsidR="00BD5A87" w:rsidRPr="00FB4B4F">
              <w:rPr>
                <w:szCs w:val="22"/>
              </w:rPr>
              <w:t xml:space="preserve">Recommendation 7: </w:t>
            </w:r>
            <w:r w:rsidR="002E4665">
              <w:rPr>
                <w:szCs w:val="22"/>
              </w:rPr>
              <w:t>Amend the BDMRRA 1995—</w:t>
            </w:r>
            <w:r w:rsidR="00BD5A87" w:rsidRPr="00FB4B4F">
              <w:rPr>
                <w:szCs w:val="22"/>
              </w:rPr>
              <w:t xml:space="preserve">the </w:t>
            </w:r>
            <w:r w:rsidR="002E4665">
              <w:rPr>
                <w:szCs w:val="22"/>
              </w:rPr>
              <w:t>health professional</w:t>
            </w:r>
            <w:r w:rsidR="00BD5A87" w:rsidRPr="00FB4B4F">
              <w:rPr>
                <w:szCs w:val="22"/>
              </w:rPr>
              <w:t xml:space="preserve"> or coroner who determines the cause of death has a duty to provide preliminary notice of the death (and cause of death) to the Registrar-General.</w:t>
            </w:r>
            <w:r w:rsidR="00187815" w:rsidRPr="00FB4B4F">
              <w:rPr>
                <w:szCs w:val="22"/>
              </w:rPr>
              <w:t xml:space="preserve"> </w:t>
            </w:r>
            <w:r w:rsidR="00B5242B" w:rsidRPr="00FB4B4F">
              <w:rPr>
                <w:szCs w:val="22"/>
              </w:rPr>
              <w:t xml:space="preserve"> </w:t>
            </w:r>
            <w:r w:rsidR="006A5783" w:rsidRPr="00FB4B4F">
              <w:rPr>
                <w:szCs w:val="22"/>
              </w:rPr>
              <w:t xml:space="preserve">The new provision would be subject to </w:t>
            </w:r>
            <w:r w:rsidR="002E4665">
              <w:rPr>
                <w:szCs w:val="22"/>
              </w:rPr>
              <w:br/>
            </w:r>
            <w:r w:rsidR="006A5783" w:rsidRPr="00FB4B4F">
              <w:rPr>
                <w:szCs w:val="22"/>
              </w:rPr>
              <w:t xml:space="preserve">s 47, which authorises the Registrar-General to specify the manner in which notice should be given, including approved electronic means.  </w:t>
            </w:r>
            <w:r w:rsidR="002E4665">
              <w:rPr>
                <w:szCs w:val="22"/>
              </w:rPr>
              <w:t xml:space="preserve">This option will not affect </w:t>
            </w:r>
            <w:r w:rsidR="00205B3C" w:rsidRPr="00FB4B4F">
              <w:rPr>
                <w:szCs w:val="22"/>
              </w:rPr>
              <w:t>operation of the</w:t>
            </w:r>
            <w:r w:rsidR="006A5783" w:rsidRPr="00FB4B4F">
              <w:rPr>
                <w:szCs w:val="22"/>
              </w:rPr>
              <w:t xml:space="preserve"> Burial and Cremation Act 1964</w:t>
            </w:r>
            <w:r w:rsidR="00205B3C" w:rsidRPr="00FB4B4F">
              <w:rPr>
                <w:szCs w:val="22"/>
              </w:rPr>
              <w:t>.</w:t>
            </w:r>
          </w:p>
        </w:tc>
      </w:tr>
    </w:tbl>
    <w:p w:rsidR="002D614D" w:rsidRDefault="002D614D" w:rsidP="00532020">
      <w:pPr>
        <w:pStyle w:val="Numberedpara3level1"/>
        <w:ind w:right="-482"/>
      </w:pPr>
      <w:r>
        <w:t xml:space="preserve">The amended status quo has not been considered further.  </w:t>
      </w:r>
      <w:r w:rsidR="006C1B7F">
        <w:t xml:space="preserve">It would increase the </w:t>
      </w:r>
      <w:r w:rsidR="00B42C77">
        <w:t>Department’s administration</w:t>
      </w:r>
      <w:r w:rsidR="006C1B7F">
        <w:t xml:space="preserve"> </w:t>
      </w:r>
      <w:r w:rsidR="00B42C77">
        <w:t>costs</w:t>
      </w:r>
      <w:r w:rsidR="006C1B7F">
        <w:t xml:space="preserve"> without addressing </w:t>
      </w:r>
      <w:r w:rsidR="00516BB7">
        <w:t>any</w:t>
      </w:r>
      <w:r w:rsidR="006C1B7F">
        <w:t xml:space="preserve"> aspect of the problem.  </w:t>
      </w:r>
      <w:r w:rsidR="00E100F4">
        <w:t xml:space="preserve">It would also be inconsistent </w:t>
      </w:r>
      <w:r w:rsidR="007A0332">
        <w:t>with the “digital by choice, and digital by default” focus of BPS Result 10.</w:t>
      </w:r>
    </w:p>
    <w:p w:rsidR="002D614D" w:rsidRDefault="002D614D" w:rsidP="002D614D">
      <w:pPr>
        <w:pStyle w:val="Numberedpara3level1"/>
      </w:pPr>
      <w:r>
        <w:t>The following table outlines</w:t>
      </w:r>
      <w:r w:rsidR="007A0332">
        <w:t xml:space="preserve"> the Department’s assessment of the remaining two options against the objectives and related criteria:</w:t>
      </w:r>
    </w:p>
    <w:tbl>
      <w:tblPr>
        <w:tblStyle w:val="RIS"/>
        <w:tblW w:w="9781" w:type="dxa"/>
        <w:tblInd w:w="108" w:type="dxa"/>
        <w:tblLook w:val="04A0" w:firstRow="1" w:lastRow="0" w:firstColumn="1" w:lastColumn="0" w:noHBand="0" w:noVBand="1"/>
      </w:tblPr>
      <w:tblGrid>
        <w:gridCol w:w="576"/>
        <w:gridCol w:w="1551"/>
        <w:gridCol w:w="567"/>
        <w:gridCol w:w="1275"/>
        <w:gridCol w:w="1843"/>
        <w:gridCol w:w="295"/>
        <w:gridCol w:w="1690"/>
        <w:gridCol w:w="1984"/>
      </w:tblGrid>
      <w:tr w:rsidR="007916E3" w:rsidRPr="000D4AE1" w:rsidTr="00532020">
        <w:trPr>
          <w:cnfStyle w:val="100000000000" w:firstRow="1" w:lastRow="0" w:firstColumn="0" w:lastColumn="0" w:oddVBand="0" w:evenVBand="0" w:oddHBand="0" w:evenHBand="0" w:firstRowFirstColumn="0" w:firstRowLastColumn="0" w:lastRowFirstColumn="0" w:lastRowLastColumn="0"/>
          <w:trHeight w:val="547"/>
        </w:trPr>
        <w:tc>
          <w:tcPr>
            <w:tcW w:w="2694" w:type="dxa"/>
            <w:gridSpan w:val="3"/>
            <w:tcBorders>
              <w:top w:val="single" w:sz="6" w:space="0" w:color="auto"/>
            </w:tcBorders>
          </w:tcPr>
          <w:p w:rsidR="007916E3" w:rsidRPr="00900C22" w:rsidRDefault="007916E3" w:rsidP="007916E3">
            <w:pPr>
              <w:pStyle w:val="Numberedpara3level1"/>
              <w:numPr>
                <w:ilvl w:val="0"/>
                <w:numId w:val="0"/>
              </w:numPr>
              <w:rPr>
                <w:szCs w:val="22"/>
              </w:rPr>
            </w:pPr>
            <w:r w:rsidRPr="00900C22">
              <w:rPr>
                <w:szCs w:val="22"/>
              </w:rPr>
              <w:t>Criteria</w:t>
            </w:r>
          </w:p>
        </w:tc>
        <w:tc>
          <w:tcPr>
            <w:tcW w:w="3413" w:type="dxa"/>
            <w:gridSpan w:val="3"/>
            <w:tcBorders>
              <w:top w:val="single" w:sz="6" w:space="0" w:color="auto"/>
              <w:bottom w:val="single" w:sz="6" w:space="0" w:color="FFFFFF" w:themeColor="background1"/>
            </w:tcBorders>
            <w:shd w:val="solid" w:color="auto" w:fill="auto"/>
          </w:tcPr>
          <w:p w:rsidR="007916E3" w:rsidRPr="00900C22" w:rsidRDefault="00F419AD" w:rsidP="00FB4B4F">
            <w:pPr>
              <w:pStyle w:val="Numberedpara3level1"/>
              <w:numPr>
                <w:ilvl w:val="0"/>
                <w:numId w:val="0"/>
              </w:numPr>
              <w:jc w:val="center"/>
              <w:rPr>
                <w:szCs w:val="22"/>
              </w:rPr>
            </w:pPr>
            <w:r>
              <w:rPr>
                <w:szCs w:val="22"/>
              </w:rPr>
              <w:t xml:space="preserve">1.  </w:t>
            </w:r>
            <w:r w:rsidR="007916E3" w:rsidRPr="00900C22">
              <w:rPr>
                <w:szCs w:val="22"/>
              </w:rPr>
              <w:t>Status quo</w:t>
            </w:r>
          </w:p>
        </w:tc>
        <w:tc>
          <w:tcPr>
            <w:tcW w:w="3674" w:type="dxa"/>
            <w:gridSpan w:val="2"/>
            <w:tcBorders>
              <w:top w:val="single" w:sz="6" w:space="0" w:color="auto"/>
              <w:bottom w:val="single" w:sz="6" w:space="0" w:color="FFFFFF" w:themeColor="background1"/>
              <w:right w:val="single" w:sz="12" w:space="0" w:color="auto"/>
            </w:tcBorders>
            <w:shd w:val="solid" w:color="auto" w:fill="auto"/>
            <w:vAlign w:val="center"/>
          </w:tcPr>
          <w:p w:rsidR="007916E3" w:rsidRPr="00900C22" w:rsidRDefault="00F419AD" w:rsidP="00F419AD">
            <w:pPr>
              <w:pStyle w:val="Numberedpara3level1"/>
              <w:numPr>
                <w:ilvl w:val="0"/>
                <w:numId w:val="0"/>
              </w:numPr>
              <w:tabs>
                <w:tab w:val="left" w:pos="2188"/>
              </w:tabs>
              <w:jc w:val="center"/>
              <w:rPr>
                <w:szCs w:val="22"/>
              </w:rPr>
            </w:pPr>
            <w:r>
              <w:rPr>
                <w:szCs w:val="22"/>
              </w:rPr>
              <w:t xml:space="preserve">2.  </w:t>
            </w:r>
            <w:r w:rsidR="007A0332" w:rsidRPr="00900C22">
              <w:rPr>
                <w:szCs w:val="22"/>
              </w:rPr>
              <w:t>Introduce a provision, equivalent to s 5A of the BDMRRA 1995, for a preliminary notice of death</w:t>
            </w:r>
            <w:r w:rsidR="00010B11" w:rsidRPr="00900C22">
              <w:rPr>
                <w:szCs w:val="22"/>
              </w:rPr>
              <w:t xml:space="preserve"> (recommended option)</w:t>
            </w:r>
          </w:p>
        </w:tc>
      </w:tr>
      <w:tr w:rsidR="007916E3" w:rsidTr="00532020">
        <w:tc>
          <w:tcPr>
            <w:tcW w:w="2694" w:type="dxa"/>
            <w:gridSpan w:val="3"/>
          </w:tcPr>
          <w:p w:rsidR="007916E3" w:rsidRPr="00FB4B4F" w:rsidRDefault="007916E3" w:rsidP="00B5242B">
            <w:pPr>
              <w:pStyle w:val="Numberedpara3level1"/>
              <w:numPr>
                <w:ilvl w:val="0"/>
                <w:numId w:val="0"/>
              </w:numPr>
              <w:spacing w:before="360"/>
              <w:rPr>
                <w:b/>
                <w:szCs w:val="22"/>
              </w:rPr>
            </w:pPr>
            <w:r w:rsidRPr="00FB4B4F">
              <w:rPr>
                <w:b/>
                <w:szCs w:val="22"/>
              </w:rPr>
              <w:t>BDM information is complete and accurate</w:t>
            </w:r>
          </w:p>
        </w:tc>
        <w:tc>
          <w:tcPr>
            <w:tcW w:w="3413" w:type="dxa"/>
            <w:gridSpan w:val="3"/>
            <w:tcBorders>
              <w:top w:val="single" w:sz="6" w:space="0" w:color="FFFFFF" w:themeColor="background1"/>
            </w:tcBorders>
          </w:tcPr>
          <w:p w:rsidR="00335468" w:rsidRPr="00FB4B4F" w:rsidRDefault="00335468" w:rsidP="00335468">
            <w:pPr>
              <w:pStyle w:val="Numberedpara3level1"/>
              <w:numPr>
                <w:ilvl w:val="0"/>
                <w:numId w:val="0"/>
              </w:numPr>
              <w:spacing w:after="0"/>
              <w:jc w:val="center"/>
              <w:rPr>
                <w:b/>
                <w:szCs w:val="22"/>
              </w:rPr>
            </w:pPr>
            <w:r w:rsidRPr="00FB4B4F">
              <w:rPr>
                <w:b/>
                <w:szCs w:val="22"/>
              </w:rPr>
              <w:t>X</w:t>
            </w:r>
          </w:p>
          <w:p w:rsidR="007916E3" w:rsidRPr="00FB4B4F" w:rsidRDefault="009175C1" w:rsidP="009175C1">
            <w:pPr>
              <w:pStyle w:val="Numberedpara3level1"/>
              <w:numPr>
                <w:ilvl w:val="0"/>
                <w:numId w:val="0"/>
              </w:numPr>
              <w:rPr>
                <w:b/>
                <w:szCs w:val="22"/>
              </w:rPr>
            </w:pPr>
            <w:r w:rsidRPr="00FB4B4F">
              <w:rPr>
                <w:szCs w:val="22"/>
              </w:rPr>
              <w:t>Accuracy of c</w:t>
            </w:r>
            <w:r w:rsidR="00474711" w:rsidRPr="00FB4B4F">
              <w:rPr>
                <w:szCs w:val="22"/>
              </w:rPr>
              <w:t xml:space="preserve">ause of death information is </w:t>
            </w:r>
            <w:r w:rsidRPr="00FB4B4F">
              <w:rPr>
                <w:szCs w:val="22"/>
              </w:rPr>
              <w:t>compromised by reliance</w:t>
            </w:r>
            <w:r w:rsidR="00474711" w:rsidRPr="00FB4B4F">
              <w:rPr>
                <w:szCs w:val="22"/>
              </w:rPr>
              <w:t xml:space="preserve"> on transcribing handwritten information; </w:t>
            </w:r>
            <w:r w:rsidR="00B42C77" w:rsidRPr="00FB4B4F">
              <w:rPr>
                <w:szCs w:val="22"/>
              </w:rPr>
              <w:t>single source of information about when a death occurred and cause of death.</w:t>
            </w:r>
          </w:p>
        </w:tc>
        <w:tc>
          <w:tcPr>
            <w:tcW w:w="3674" w:type="dxa"/>
            <w:gridSpan w:val="2"/>
            <w:tcBorders>
              <w:top w:val="single" w:sz="6" w:space="0" w:color="FFFFFF" w:themeColor="background1"/>
            </w:tcBorders>
          </w:tcPr>
          <w:p w:rsidR="00335468" w:rsidRPr="00FB4B4F" w:rsidRDefault="00335468" w:rsidP="00335468">
            <w:pPr>
              <w:pStyle w:val="Numberedpara3level1"/>
              <w:numPr>
                <w:ilvl w:val="0"/>
                <w:numId w:val="0"/>
              </w:numPr>
              <w:spacing w:after="0"/>
              <w:jc w:val="center"/>
              <w:rPr>
                <w:b/>
                <w:szCs w:val="22"/>
              </w:rPr>
            </w:pPr>
            <w:r w:rsidRPr="00FB4B4F">
              <w:rPr>
                <w:b/>
                <w:szCs w:val="22"/>
              </w:rPr>
              <w:sym w:font="Wingdings" w:char="F0FC"/>
            </w:r>
            <w:r w:rsidRPr="00FB4B4F">
              <w:rPr>
                <w:b/>
                <w:szCs w:val="22"/>
              </w:rPr>
              <w:sym w:font="Wingdings" w:char="F0FC"/>
            </w:r>
          </w:p>
          <w:p w:rsidR="007916E3" w:rsidRPr="00FB4B4F" w:rsidRDefault="00474711" w:rsidP="00442158">
            <w:pPr>
              <w:pStyle w:val="Numberedpara3level1"/>
              <w:numPr>
                <w:ilvl w:val="0"/>
                <w:numId w:val="0"/>
              </w:numPr>
              <w:rPr>
                <w:szCs w:val="22"/>
              </w:rPr>
            </w:pPr>
            <w:r w:rsidRPr="00FB4B4F">
              <w:rPr>
                <w:szCs w:val="22"/>
              </w:rPr>
              <w:t>Registrar-General would receive informa</w:t>
            </w:r>
            <w:r w:rsidR="00187815" w:rsidRPr="00FB4B4F">
              <w:rPr>
                <w:szCs w:val="22"/>
              </w:rPr>
              <w:t>tion from two sources</w:t>
            </w:r>
            <w:r w:rsidR="00B42C77" w:rsidRPr="00FB4B4F">
              <w:rPr>
                <w:szCs w:val="22"/>
              </w:rPr>
              <w:t xml:space="preserve">; would </w:t>
            </w:r>
            <w:r w:rsidR="00010B11" w:rsidRPr="00FB4B4F">
              <w:rPr>
                <w:szCs w:val="22"/>
              </w:rPr>
              <w:t xml:space="preserve">facilitate immediate </w:t>
            </w:r>
            <w:r w:rsidR="00B42C77" w:rsidRPr="00FB4B4F">
              <w:rPr>
                <w:szCs w:val="22"/>
              </w:rPr>
              <w:t xml:space="preserve">follow-up if the death is not formally notified in </w:t>
            </w:r>
            <w:r w:rsidR="00010B11" w:rsidRPr="00FB4B4F">
              <w:rPr>
                <w:szCs w:val="22"/>
              </w:rPr>
              <w:t>a timely way.</w:t>
            </w:r>
            <w:r w:rsidR="009175C1" w:rsidRPr="00FB4B4F">
              <w:rPr>
                <w:szCs w:val="22"/>
              </w:rPr>
              <w:t xml:space="preserve">  Direct access to information created by a health professional would help the Registrar-General identify discrepancies in information provided when a death is formally notified.</w:t>
            </w:r>
          </w:p>
        </w:tc>
      </w:tr>
      <w:tr w:rsidR="007916E3" w:rsidTr="00532020">
        <w:tc>
          <w:tcPr>
            <w:tcW w:w="2694" w:type="dxa"/>
            <w:gridSpan w:val="3"/>
          </w:tcPr>
          <w:p w:rsidR="007916E3" w:rsidRPr="00FB4B4F" w:rsidRDefault="007916E3" w:rsidP="0058135C">
            <w:pPr>
              <w:pStyle w:val="Numberedpara3level1"/>
              <w:numPr>
                <w:ilvl w:val="0"/>
                <w:numId w:val="0"/>
              </w:numPr>
              <w:spacing w:before="360"/>
              <w:rPr>
                <w:b/>
                <w:szCs w:val="22"/>
              </w:rPr>
            </w:pPr>
            <w:r w:rsidRPr="00FB4B4F">
              <w:rPr>
                <w:b/>
                <w:szCs w:val="22"/>
              </w:rPr>
              <w:t>The risk of misuse of BDM information is minimised</w:t>
            </w:r>
          </w:p>
        </w:tc>
        <w:tc>
          <w:tcPr>
            <w:tcW w:w="3413" w:type="dxa"/>
            <w:gridSpan w:val="3"/>
          </w:tcPr>
          <w:p w:rsidR="008E0817" w:rsidRPr="00FB4B4F" w:rsidRDefault="008E0817" w:rsidP="008E0817">
            <w:pPr>
              <w:pStyle w:val="Numberedpara3level1"/>
              <w:numPr>
                <w:ilvl w:val="0"/>
                <w:numId w:val="0"/>
              </w:numPr>
              <w:spacing w:after="0"/>
              <w:jc w:val="center"/>
              <w:rPr>
                <w:b/>
                <w:szCs w:val="22"/>
              </w:rPr>
            </w:pPr>
            <w:r w:rsidRPr="00FB4B4F">
              <w:rPr>
                <w:b/>
                <w:szCs w:val="22"/>
              </w:rPr>
              <w:sym w:font="Wingdings" w:char="F0FC"/>
            </w:r>
          </w:p>
          <w:p w:rsidR="007916E3" w:rsidRPr="00FB4B4F" w:rsidRDefault="008E0817" w:rsidP="008E0817">
            <w:pPr>
              <w:pStyle w:val="Numberedpara3level1"/>
              <w:numPr>
                <w:ilvl w:val="0"/>
                <w:numId w:val="0"/>
              </w:numPr>
              <w:rPr>
                <w:szCs w:val="22"/>
              </w:rPr>
            </w:pPr>
            <w:r w:rsidRPr="00FB4B4F">
              <w:rPr>
                <w:szCs w:val="22"/>
              </w:rPr>
              <w:t xml:space="preserve">Paper-based records are less susceptible to </w:t>
            </w:r>
            <w:r w:rsidR="0058135C" w:rsidRPr="00FB4B4F">
              <w:rPr>
                <w:szCs w:val="22"/>
              </w:rPr>
              <w:t xml:space="preserve">some forms of </w:t>
            </w:r>
            <w:r w:rsidRPr="00FB4B4F">
              <w:rPr>
                <w:szCs w:val="22"/>
              </w:rPr>
              <w:t xml:space="preserve">abuse, </w:t>
            </w:r>
            <w:proofErr w:type="spellStart"/>
            <w:r w:rsidRPr="00FB4B4F">
              <w:rPr>
                <w:szCs w:val="22"/>
              </w:rPr>
              <w:t>eg</w:t>
            </w:r>
            <w:proofErr w:type="spellEnd"/>
            <w:r w:rsidRPr="00FB4B4F">
              <w:rPr>
                <w:szCs w:val="22"/>
              </w:rPr>
              <w:t xml:space="preserve">, large-scale manipulation or data-mining. </w:t>
            </w:r>
            <w:r w:rsidR="007F771D" w:rsidRPr="00FB4B4F">
              <w:rPr>
                <w:szCs w:val="22"/>
              </w:rPr>
              <w:t xml:space="preserve"> However, that information needs to be recreated in a digital format by someone at some stage of the process.</w:t>
            </w:r>
          </w:p>
        </w:tc>
        <w:tc>
          <w:tcPr>
            <w:tcW w:w="3674" w:type="dxa"/>
            <w:gridSpan w:val="2"/>
          </w:tcPr>
          <w:p w:rsidR="00335468" w:rsidRPr="00FB4B4F" w:rsidRDefault="00335468" w:rsidP="00335468">
            <w:pPr>
              <w:pStyle w:val="Numberedpara3level1"/>
              <w:numPr>
                <w:ilvl w:val="0"/>
                <w:numId w:val="0"/>
              </w:numPr>
              <w:spacing w:after="0"/>
              <w:jc w:val="center"/>
              <w:rPr>
                <w:b/>
                <w:szCs w:val="22"/>
              </w:rPr>
            </w:pPr>
            <w:r w:rsidRPr="00FB4B4F">
              <w:rPr>
                <w:b/>
                <w:szCs w:val="22"/>
              </w:rPr>
              <w:sym w:font="Wingdings" w:char="F0FC"/>
            </w:r>
            <w:r w:rsidRPr="00FB4B4F">
              <w:rPr>
                <w:b/>
                <w:szCs w:val="22"/>
              </w:rPr>
              <w:sym w:font="Wingdings" w:char="F0FC"/>
            </w:r>
          </w:p>
          <w:p w:rsidR="007916E3" w:rsidRPr="00FB4B4F" w:rsidRDefault="008E0817" w:rsidP="000C20D4">
            <w:pPr>
              <w:pStyle w:val="Numberedpara3level1"/>
              <w:numPr>
                <w:ilvl w:val="0"/>
                <w:numId w:val="0"/>
              </w:numPr>
              <w:rPr>
                <w:szCs w:val="22"/>
              </w:rPr>
            </w:pPr>
            <w:r w:rsidRPr="00FB4B4F">
              <w:rPr>
                <w:szCs w:val="22"/>
              </w:rPr>
              <w:t xml:space="preserve">Records that are created digitally and transferred through secure online systems </w:t>
            </w:r>
            <w:r w:rsidR="00137F2E" w:rsidRPr="00FB4B4F">
              <w:rPr>
                <w:szCs w:val="22"/>
              </w:rPr>
              <w:t>(</w:t>
            </w:r>
            <w:r w:rsidR="0092754A" w:rsidRPr="00FB4B4F">
              <w:rPr>
                <w:szCs w:val="22"/>
              </w:rPr>
              <w:t>like</w:t>
            </w:r>
            <w:r w:rsidR="00137F2E" w:rsidRPr="00FB4B4F">
              <w:rPr>
                <w:szCs w:val="22"/>
              </w:rPr>
              <w:t xml:space="preserve"> </w:t>
            </w:r>
            <w:r w:rsidR="000C20D4" w:rsidRPr="00FB4B4F">
              <w:rPr>
                <w:szCs w:val="22"/>
              </w:rPr>
              <w:t xml:space="preserve">70% of preliminary </w:t>
            </w:r>
            <w:r w:rsidR="00137F2E" w:rsidRPr="00FB4B4F">
              <w:rPr>
                <w:szCs w:val="22"/>
              </w:rPr>
              <w:t xml:space="preserve">birth </w:t>
            </w:r>
            <w:r w:rsidR="000C20D4" w:rsidRPr="00FB4B4F">
              <w:rPr>
                <w:szCs w:val="22"/>
              </w:rPr>
              <w:t>notifications</w:t>
            </w:r>
            <w:r w:rsidR="00137F2E" w:rsidRPr="00FB4B4F">
              <w:rPr>
                <w:szCs w:val="22"/>
              </w:rPr>
              <w:t xml:space="preserve">) </w:t>
            </w:r>
            <w:r w:rsidRPr="00FB4B4F">
              <w:rPr>
                <w:szCs w:val="22"/>
              </w:rPr>
              <w:t xml:space="preserve">reduces the need for individuals to access </w:t>
            </w:r>
            <w:r w:rsidR="0058135C" w:rsidRPr="00FB4B4F">
              <w:rPr>
                <w:szCs w:val="22"/>
              </w:rPr>
              <w:t>private and/or sensitive information</w:t>
            </w:r>
            <w:r w:rsidR="0092754A" w:rsidRPr="00FB4B4F">
              <w:rPr>
                <w:szCs w:val="22"/>
              </w:rPr>
              <w:t xml:space="preserve"> </w:t>
            </w:r>
            <w:r w:rsidR="0058135C" w:rsidRPr="00FB4B4F">
              <w:rPr>
                <w:szCs w:val="22"/>
              </w:rPr>
              <w:t>(death records also contain information that can identify living individuals</w:t>
            </w:r>
            <w:r w:rsidR="007F771D" w:rsidRPr="00FB4B4F">
              <w:rPr>
                <w:szCs w:val="22"/>
              </w:rPr>
              <w:t xml:space="preserve">).  </w:t>
            </w:r>
          </w:p>
        </w:tc>
      </w:tr>
      <w:tr w:rsidR="00F456CC" w:rsidTr="00532020">
        <w:tc>
          <w:tcPr>
            <w:tcW w:w="2694" w:type="dxa"/>
            <w:gridSpan w:val="3"/>
            <w:vAlign w:val="center"/>
          </w:tcPr>
          <w:p w:rsidR="00F456CC" w:rsidRPr="00FB4B4F" w:rsidRDefault="00F456CC" w:rsidP="00F456CC">
            <w:pPr>
              <w:pStyle w:val="Numberedpara3level1"/>
              <w:numPr>
                <w:ilvl w:val="0"/>
                <w:numId w:val="0"/>
              </w:numPr>
              <w:rPr>
                <w:b/>
                <w:szCs w:val="22"/>
              </w:rPr>
            </w:pPr>
            <w:r w:rsidRPr="00FB4B4F">
              <w:rPr>
                <w:b/>
                <w:szCs w:val="22"/>
              </w:rPr>
              <w:t>The public’s right to access to BDM information is maintained</w:t>
            </w:r>
          </w:p>
        </w:tc>
        <w:tc>
          <w:tcPr>
            <w:tcW w:w="3413" w:type="dxa"/>
            <w:gridSpan w:val="3"/>
            <w:vAlign w:val="center"/>
          </w:tcPr>
          <w:p w:rsidR="00F456CC" w:rsidRPr="00FB4B4F" w:rsidRDefault="00F456CC" w:rsidP="00335468">
            <w:pPr>
              <w:jc w:val="center"/>
              <w:rPr>
                <w:szCs w:val="22"/>
              </w:rPr>
            </w:pPr>
            <w:r w:rsidRPr="00FB4B4F">
              <w:rPr>
                <w:b/>
                <w:szCs w:val="22"/>
              </w:rPr>
              <w:t>—NA—</w:t>
            </w:r>
          </w:p>
        </w:tc>
        <w:tc>
          <w:tcPr>
            <w:tcW w:w="3674" w:type="dxa"/>
            <w:gridSpan w:val="2"/>
            <w:vAlign w:val="center"/>
          </w:tcPr>
          <w:p w:rsidR="00F456CC" w:rsidRPr="00FB4B4F" w:rsidRDefault="00F456CC" w:rsidP="00335468">
            <w:pPr>
              <w:jc w:val="center"/>
              <w:rPr>
                <w:szCs w:val="22"/>
              </w:rPr>
            </w:pPr>
            <w:r w:rsidRPr="00FB4B4F">
              <w:rPr>
                <w:b/>
                <w:szCs w:val="22"/>
              </w:rPr>
              <w:t>—NA—</w:t>
            </w:r>
          </w:p>
        </w:tc>
      </w:tr>
      <w:tr w:rsidR="007916E3" w:rsidTr="00532020">
        <w:tc>
          <w:tcPr>
            <w:tcW w:w="2694" w:type="dxa"/>
            <w:gridSpan w:val="3"/>
            <w:vAlign w:val="center"/>
          </w:tcPr>
          <w:p w:rsidR="007916E3" w:rsidRPr="00FB4B4F" w:rsidRDefault="00FB5FA7" w:rsidP="007916E3">
            <w:pPr>
              <w:pStyle w:val="Numberedpara3level1"/>
              <w:numPr>
                <w:ilvl w:val="0"/>
                <w:numId w:val="0"/>
              </w:numPr>
              <w:rPr>
                <w:b/>
                <w:szCs w:val="22"/>
              </w:rPr>
            </w:pPr>
            <w:r>
              <w:rPr>
                <w:b/>
              </w:rPr>
              <w:t>The Registrar-General can recover the private benefit element of the costs of providing BDM services</w:t>
            </w:r>
          </w:p>
        </w:tc>
        <w:tc>
          <w:tcPr>
            <w:tcW w:w="3413" w:type="dxa"/>
            <w:gridSpan w:val="3"/>
            <w:vAlign w:val="center"/>
          </w:tcPr>
          <w:p w:rsidR="007916E3" w:rsidRPr="00FB4B4F" w:rsidRDefault="00F456CC" w:rsidP="00F456CC">
            <w:pPr>
              <w:pStyle w:val="Numberedpara3level1"/>
              <w:numPr>
                <w:ilvl w:val="0"/>
                <w:numId w:val="0"/>
              </w:numPr>
              <w:jc w:val="center"/>
              <w:rPr>
                <w:b/>
                <w:szCs w:val="22"/>
              </w:rPr>
            </w:pPr>
            <w:r w:rsidRPr="00FB4B4F">
              <w:rPr>
                <w:b/>
                <w:szCs w:val="22"/>
              </w:rPr>
              <w:t>—NA—</w:t>
            </w:r>
          </w:p>
        </w:tc>
        <w:tc>
          <w:tcPr>
            <w:tcW w:w="3674" w:type="dxa"/>
            <w:gridSpan w:val="2"/>
            <w:vAlign w:val="center"/>
          </w:tcPr>
          <w:p w:rsidR="007916E3" w:rsidRPr="00FB4B4F" w:rsidRDefault="00F456CC" w:rsidP="00F456CC">
            <w:pPr>
              <w:pStyle w:val="Numberedpara3level1"/>
              <w:numPr>
                <w:ilvl w:val="0"/>
                <w:numId w:val="0"/>
              </w:numPr>
              <w:jc w:val="center"/>
              <w:rPr>
                <w:b/>
                <w:szCs w:val="22"/>
              </w:rPr>
            </w:pPr>
            <w:r w:rsidRPr="00FB4B4F">
              <w:rPr>
                <w:b/>
                <w:szCs w:val="22"/>
              </w:rPr>
              <w:t>—NA—</w:t>
            </w:r>
          </w:p>
        </w:tc>
      </w:tr>
      <w:tr w:rsidR="00FB4B4F" w:rsidTr="00532020">
        <w:tc>
          <w:tcPr>
            <w:tcW w:w="2694" w:type="dxa"/>
            <w:gridSpan w:val="3"/>
            <w:tcBorders>
              <w:top w:val="single" w:sz="6" w:space="0" w:color="auto"/>
              <w:bottom w:val="single" w:sz="12" w:space="0" w:color="auto"/>
            </w:tcBorders>
          </w:tcPr>
          <w:p w:rsidR="00FB4B4F" w:rsidRPr="00FB4B4F" w:rsidRDefault="00FB4B4F" w:rsidP="00FB4B4F">
            <w:pPr>
              <w:pStyle w:val="Numberedpara3level1"/>
              <w:numPr>
                <w:ilvl w:val="0"/>
                <w:numId w:val="0"/>
              </w:numPr>
              <w:spacing w:before="360"/>
              <w:rPr>
                <w:b/>
                <w:szCs w:val="22"/>
              </w:rPr>
            </w:pPr>
            <w:r w:rsidRPr="00FB4B4F">
              <w:rPr>
                <w:b/>
                <w:szCs w:val="22"/>
              </w:rPr>
              <w:t>The compliance burden on individuals and agencies is minimised</w:t>
            </w:r>
          </w:p>
        </w:tc>
        <w:tc>
          <w:tcPr>
            <w:tcW w:w="3413" w:type="dxa"/>
            <w:gridSpan w:val="3"/>
            <w:tcBorders>
              <w:top w:val="single" w:sz="6" w:space="0" w:color="auto"/>
              <w:bottom w:val="single" w:sz="12" w:space="0" w:color="auto"/>
            </w:tcBorders>
          </w:tcPr>
          <w:p w:rsidR="00FB4B4F" w:rsidRPr="00FB4B4F" w:rsidRDefault="00FB4B4F" w:rsidP="00FB4B4F">
            <w:pPr>
              <w:pStyle w:val="Numberedpara3level1"/>
              <w:numPr>
                <w:ilvl w:val="0"/>
                <w:numId w:val="0"/>
              </w:numPr>
              <w:spacing w:after="0"/>
              <w:jc w:val="center"/>
              <w:rPr>
                <w:b/>
                <w:szCs w:val="22"/>
              </w:rPr>
            </w:pPr>
            <w:r w:rsidRPr="00FB4B4F">
              <w:rPr>
                <w:b/>
                <w:szCs w:val="22"/>
              </w:rPr>
              <w:sym w:font="Wingdings" w:char="F0FC"/>
            </w:r>
          </w:p>
          <w:p w:rsidR="00FB4B4F" w:rsidRPr="00FB4B4F" w:rsidRDefault="00FB4B4F" w:rsidP="00FB4B4F">
            <w:pPr>
              <w:pStyle w:val="Numberedpara3level1"/>
              <w:numPr>
                <w:ilvl w:val="0"/>
                <w:numId w:val="0"/>
              </w:numPr>
              <w:rPr>
                <w:szCs w:val="22"/>
              </w:rPr>
            </w:pPr>
            <w:r w:rsidRPr="00FB4B4F">
              <w:rPr>
                <w:szCs w:val="22"/>
              </w:rPr>
              <w:t>In the short-to-medium term, medical professionals could continue to use existing systems and processes.  Paper-based systems are not sustainable in the long term.</w:t>
            </w:r>
          </w:p>
        </w:tc>
        <w:tc>
          <w:tcPr>
            <w:tcW w:w="3674" w:type="dxa"/>
            <w:gridSpan w:val="2"/>
            <w:tcBorders>
              <w:top w:val="single" w:sz="6" w:space="0" w:color="auto"/>
              <w:bottom w:val="single" w:sz="12" w:space="0" w:color="auto"/>
            </w:tcBorders>
          </w:tcPr>
          <w:p w:rsidR="00FB4B4F" w:rsidRPr="00FB4B4F" w:rsidRDefault="00FB4B4F" w:rsidP="00FB4B4F">
            <w:pPr>
              <w:pStyle w:val="Numberedpara3level1"/>
              <w:numPr>
                <w:ilvl w:val="0"/>
                <w:numId w:val="0"/>
              </w:numPr>
              <w:spacing w:after="0"/>
              <w:jc w:val="center"/>
              <w:rPr>
                <w:b/>
                <w:szCs w:val="22"/>
              </w:rPr>
            </w:pPr>
            <w:r w:rsidRPr="00FB4B4F">
              <w:rPr>
                <w:b/>
                <w:szCs w:val="22"/>
              </w:rPr>
              <w:sym w:font="Wingdings" w:char="F0FC"/>
            </w:r>
            <w:r w:rsidRPr="00FB4B4F">
              <w:rPr>
                <w:b/>
                <w:szCs w:val="22"/>
              </w:rPr>
              <w:sym w:font="Wingdings" w:char="F0FC"/>
            </w:r>
          </w:p>
          <w:p w:rsidR="00FB4B4F" w:rsidRPr="00FB4B4F" w:rsidRDefault="00FB4B4F" w:rsidP="00FB4B4F">
            <w:pPr>
              <w:pStyle w:val="Numberedpara3level1"/>
              <w:numPr>
                <w:ilvl w:val="0"/>
                <w:numId w:val="0"/>
              </w:numPr>
              <w:rPr>
                <w:szCs w:val="22"/>
              </w:rPr>
            </w:pPr>
            <w:r w:rsidRPr="00FB4B4F">
              <w:rPr>
                <w:szCs w:val="22"/>
              </w:rPr>
              <w:t xml:space="preserve">Preliminary notice of death could be generated automatically </w:t>
            </w:r>
            <w:r w:rsidR="00C16A7C">
              <w:rPr>
                <w:szCs w:val="22"/>
              </w:rPr>
              <w:t xml:space="preserve">from an online </w:t>
            </w:r>
            <w:r w:rsidRPr="00FB4B4F">
              <w:rPr>
                <w:szCs w:val="22"/>
              </w:rPr>
              <w:t xml:space="preserve">CCD.  Digital processes for recording and transferring </w:t>
            </w:r>
            <w:proofErr w:type="gramStart"/>
            <w:r w:rsidRPr="00FB4B4F">
              <w:rPr>
                <w:szCs w:val="22"/>
              </w:rPr>
              <w:t>information,</w:t>
            </w:r>
            <w:proofErr w:type="gramEnd"/>
            <w:r w:rsidRPr="00FB4B4F">
              <w:rPr>
                <w:szCs w:val="22"/>
              </w:rPr>
              <w:t xml:space="preserve"> would streamline administration and reduc</w:t>
            </w:r>
            <w:r w:rsidR="00C16A7C">
              <w:rPr>
                <w:szCs w:val="22"/>
              </w:rPr>
              <w:t xml:space="preserve">e compliance costs.  An online </w:t>
            </w:r>
            <w:r w:rsidRPr="00FB4B4F">
              <w:rPr>
                <w:szCs w:val="22"/>
              </w:rPr>
              <w:t>CCD would also benefit funeral directors who could receive information electronically.</w:t>
            </w:r>
          </w:p>
        </w:tc>
      </w:tr>
      <w:tr w:rsidR="00FB4B4F" w:rsidRPr="00826B99" w:rsidTr="00FC0B00">
        <w:tblPrEx>
          <w:tblBorders>
            <w:top w:val="single" w:sz="6" w:space="0" w:color="FFFFFF" w:themeColor="background1"/>
            <w:left w:val="single" w:sz="6" w:space="0" w:color="FFFFFF" w:themeColor="background1"/>
            <w:bottom w:val="none" w:sz="0" w:space="0" w:color="auto"/>
            <w:right w:val="single" w:sz="6" w:space="0" w:color="FFFFFF" w:themeColor="background1"/>
            <w:insideH w:val="single" w:sz="6" w:space="0" w:color="FFFFFF" w:themeColor="background1"/>
            <w:insideV w:val="single" w:sz="6" w:space="0" w:color="FFFFFF" w:themeColor="background1"/>
          </w:tblBorders>
        </w:tblPrEx>
        <w:trPr>
          <w:gridAfter w:val="1"/>
          <w:wAfter w:w="1984" w:type="dxa"/>
        </w:trPr>
        <w:tc>
          <w:tcPr>
            <w:tcW w:w="576" w:type="dxa"/>
            <w:shd w:val="clear" w:color="auto" w:fill="auto"/>
          </w:tcPr>
          <w:p w:rsidR="00FB4B4F" w:rsidRPr="00826B99" w:rsidRDefault="00FB4B4F" w:rsidP="00C233DF">
            <w:pPr>
              <w:pStyle w:val="Numberedpara3level1"/>
              <w:numPr>
                <w:ilvl w:val="0"/>
                <w:numId w:val="0"/>
              </w:numPr>
              <w:spacing w:before="120" w:after="0"/>
              <w:rPr>
                <w:b/>
                <w:sz w:val="20"/>
              </w:rPr>
            </w:pPr>
            <w:r w:rsidRPr="00826B99">
              <w:rPr>
                <w:b/>
                <w:sz w:val="20"/>
              </w:rPr>
              <w:t>Key:</w:t>
            </w:r>
          </w:p>
        </w:tc>
        <w:tc>
          <w:tcPr>
            <w:tcW w:w="1551" w:type="dxa"/>
            <w:shd w:val="clear" w:color="auto" w:fill="auto"/>
          </w:tcPr>
          <w:p w:rsidR="00FB4B4F" w:rsidRPr="00826B99" w:rsidRDefault="00FB4B4F" w:rsidP="00C233DF">
            <w:pPr>
              <w:pStyle w:val="Numberedpara3level1"/>
              <w:numPr>
                <w:ilvl w:val="0"/>
                <w:numId w:val="0"/>
              </w:numPr>
              <w:spacing w:before="120" w:after="0"/>
              <w:rPr>
                <w:sz w:val="20"/>
              </w:rPr>
            </w:pPr>
            <w:r w:rsidRPr="00826B99">
              <w:rPr>
                <w:sz w:val="20"/>
              </w:rPr>
              <w:t>Meets:</w:t>
            </w:r>
            <w:r w:rsidRPr="00826B99">
              <w:rPr>
                <w:b/>
                <w:sz w:val="20"/>
              </w:rPr>
              <w:t xml:space="preserve"> </w:t>
            </w:r>
            <w:r>
              <w:rPr>
                <w:b/>
                <w:sz w:val="20"/>
              </w:rPr>
              <w:t xml:space="preserve"> </w:t>
            </w:r>
            <w:r w:rsidRPr="00826B99">
              <w:rPr>
                <w:b/>
                <w:sz w:val="20"/>
              </w:rPr>
              <w:sym w:font="Wingdings" w:char="F0FC"/>
            </w:r>
            <w:r w:rsidRPr="00826B99">
              <w:rPr>
                <w:b/>
                <w:sz w:val="20"/>
              </w:rPr>
              <w:sym w:font="Wingdings" w:char="F0FC"/>
            </w:r>
          </w:p>
        </w:tc>
        <w:tc>
          <w:tcPr>
            <w:tcW w:w="1842" w:type="dxa"/>
            <w:gridSpan w:val="2"/>
            <w:shd w:val="clear" w:color="auto" w:fill="auto"/>
          </w:tcPr>
          <w:p w:rsidR="00FB4B4F" w:rsidRPr="00826B99" w:rsidRDefault="00FB4B4F" w:rsidP="00C233DF">
            <w:pPr>
              <w:pStyle w:val="Numberedpara3level1"/>
              <w:numPr>
                <w:ilvl w:val="0"/>
                <w:numId w:val="0"/>
              </w:numPr>
              <w:spacing w:before="120" w:after="0"/>
              <w:rPr>
                <w:sz w:val="20"/>
              </w:rPr>
            </w:pPr>
            <w:r w:rsidRPr="00826B99">
              <w:rPr>
                <w:sz w:val="20"/>
              </w:rPr>
              <w:t>Partially meets:</w:t>
            </w:r>
            <w:r>
              <w:rPr>
                <w:b/>
                <w:sz w:val="20"/>
              </w:rPr>
              <w:t xml:space="preserve"> </w:t>
            </w:r>
            <w:r w:rsidRPr="00826B99">
              <w:rPr>
                <w:b/>
                <w:sz w:val="20"/>
              </w:rPr>
              <w:sym w:font="Wingdings" w:char="F0FC"/>
            </w:r>
          </w:p>
        </w:tc>
        <w:tc>
          <w:tcPr>
            <w:tcW w:w="1843" w:type="dxa"/>
            <w:shd w:val="clear" w:color="auto" w:fill="auto"/>
          </w:tcPr>
          <w:p w:rsidR="00FB4B4F" w:rsidRPr="00826B99" w:rsidRDefault="00FB4B4F" w:rsidP="00C233DF">
            <w:pPr>
              <w:pStyle w:val="Numberedpara3level1"/>
              <w:numPr>
                <w:ilvl w:val="0"/>
                <w:numId w:val="0"/>
              </w:numPr>
              <w:spacing w:before="120" w:after="0"/>
              <w:rPr>
                <w:sz w:val="20"/>
              </w:rPr>
            </w:pPr>
            <w:r w:rsidRPr="00826B99">
              <w:rPr>
                <w:sz w:val="20"/>
              </w:rPr>
              <w:t>Does not meet:</w:t>
            </w:r>
            <w:r>
              <w:rPr>
                <w:b/>
                <w:sz w:val="20"/>
              </w:rPr>
              <w:t xml:space="preserve"> </w:t>
            </w:r>
            <w:r w:rsidRPr="00826B99">
              <w:rPr>
                <w:sz w:val="20"/>
              </w:rPr>
              <w:t xml:space="preserve"> </w:t>
            </w:r>
            <w:r w:rsidRPr="00826B99">
              <w:rPr>
                <w:b/>
                <w:sz w:val="20"/>
              </w:rPr>
              <w:t>X</w:t>
            </w:r>
          </w:p>
        </w:tc>
        <w:tc>
          <w:tcPr>
            <w:tcW w:w="1985" w:type="dxa"/>
            <w:gridSpan w:val="2"/>
            <w:shd w:val="clear" w:color="auto" w:fill="auto"/>
          </w:tcPr>
          <w:p w:rsidR="00FB4B4F" w:rsidRPr="00826B99" w:rsidRDefault="00FB4B4F" w:rsidP="00C233DF">
            <w:pPr>
              <w:pStyle w:val="Numberedpara3level1"/>
              <w:numPr>
                <w:ilvl w:val="0"/>
                <w:numId w:val="0"/>
              </w:numPr>
              <w:spacing w:before="120" w:after="0"/>
              <w:rPr>
                <w:sz w:val="20"/>
              </w:rPr>
            </w:pPr>
            <w:r w:rsidRPr="00826B99">
              <w:rPr>
                <w:sz w:val="20"/>
              </w:rPr>
              <w:t>Not applicable:</w:t>
            </w:r>
            <w:r>
              <w:rPr>
                <w:b/>
                <w:sz w:val="20"/>
              </w:rPr>
              <w:t xml:space="preserve"> </w:t>
            </w:r>
            <w:r w:rsidRPr="00826B99">
              <w:rPr>
                <w:sz w:val="20"/>
              </w:rPr>
              <w:t xml:space="preserve"> </w:t>
            </w:r>
            <w:r w:rsidRPr="00826B99">
              <w:rPr>
                <w:b/>
                <w:sz w:val="20"/>
              </w:rPr>
              <w:t>NA</w:t>
            </w:r>
          </w:p>
        </w:tc>
      </w:tr>
    </w:tbl>
    <w:p w:rsidR="00FB4B4F" w:rsidRDefault="00FB4B4F" w:rsidP="00F24E7B">
      <w:pPr>
        <w:pStyle w:val="Heading1"/>
        <w:ind w:left="4111" w:hanging="4111"/>
      </w:pPr>
      <w:bookmarkStart w:id="12" w:name="_Toc473799843"/>
      <w:r>
        <w:t>Conclusion and recommendation</w:t>
      </w:r>
      <w:r w:rsidR="00F24E7B">
        <w:t>—Law Commission review of burial and cremation law: preliminary notice of death</w:t>
      </w:r>
      <w:bookmarkEnd w:id="12"/>
    </w:p>
    <w:p w:rsidR="00FB4B4F" w:rsidRPr="00FB4B4F" w:rsidRDefault="00FB4B4F" w:rsidP="00111BEE">
      <w:pPr>
        <w:pStyle w:val="Numberedpara3level1"/>
        <w:ind w:right="-340"/>
      </w:pPr>
      <w:r w:rsidRPr="00FB4B4F">
        <w:t>The option to introduce a provision, equivalent to s 5A of the BDMRRA 1995, for a preliminary notice of death, to be completed electronically by the health professional responsible for determining the cause of death, is clearly superior to the status quo</w:t>
      </w:r>
      <w:r w:rsidR="00111BEE">
        <w:t xml:space="preserve"> across all the criteria.</w:t>
      </w:r>
    </w:p>
    <w:p w:rsidR="00264E9B" w:rsidRPr="00E52276" w:rsidRDefault="00264E9B" w:rsidP="00B302E6">
      <w:pPr>
        <w:pStyle w:val="Heading1"/>
        <w:rPr>
          <w:rStyle w:val="Crossreferences"/>
        </w:rPr>
      </w:pPr>
      <w:bookmarkStart w:id="13" w:name="_Toc473799844"/>
      <w:r>
        <w:t>Consultation</w:t>
      </w:r>
      <w:bookmarkEnd w:id="13"/>
    </w:p>
    <w:p w:rsidR="003E6BB9" w:rsidRDefault="007D2E2D" w:rsidP="003E6BB9">
      <w:pPr>
        <w:pStyle w:val="Numberedpara3level1"/>
        <w:ind w:right="-199"/>
      </w:pPr>
      <w:r>
        <w:t>Proposals 1A and 1B</w:t>
      </w:r>
      <w:r w:rsidR="00360A40">
        <w:t xml:space="preserve"> reflect the result of consultation with, and submissions received from, a wide range of individuals, and public and private sector agencies</w:t>
      </w:r>
      <w:r>
        <w:t xml:space="preserve"> during the BDM access review</w:t>
      </w:r>
      <w:r w:rsidR="00360A40">
        <w:t xml:space="preserve">.  </w:t>
      </w:r>
      <w:r w:rsidR="003E6BB9">
        <w:t xml:space="preserve">Eighty submissions were received on a Discussion Paper issued in January 2015 </w:t>
      </w:r>
      <w:r w:rsidR="003E6BB9" w:rsidRPr="007A2959">
        <w:t>[EGI Min (14) 20/16]</w:t>
      </w:r>
      <w:r w:rsidR="003E6BB9">
        <w:t xml:space="preserve">, and a further 32 submissions were received on the Proposals Paper responding to those submissions </w:t>
      </w:r>
      <w:r w:rsidR="003E6BB9" w:rsidRPr="007A2959">
        <w:t>[EGI-16-Min-0024]</w:t>
      </w:r>
      <w:r w:rsidR="003E6BB9">
        <w:t xml:space="preserve">.  </w:t>
      </w:r>
      <w:r>
        <w:t xml:space="preserve">Several submitters cited the </w:t>
      </w:r>
      <w:proofErr w:type="spellStart"/>
      <w:r w:rsidRPr="007644A4">
        <w:rPr>
          <w:i/>
        </w:rPr>
        <w:t>ScotlandsPeople</w:t>
      </w:r>
      <w:proofErr w:type="spellEnd"/>
      <w:r w:rsidRPr="007644A4">
        <w:rPr>
          <w:i/>
        </w:rPr>
        <w:t xml:space="preserve"> </w:t>
      </w:r>
      <w:r>
        <w:t>website as an exemplar of best practice for access to BDM information.</w:t>
      </w:r>
    </w:p>
    <w:p w:rsidR="007D2E2D" w:rsidRDefault="007D2E2D" w:rsidP="004A7764">
      <w:pPr>
        <w:pStyle w:val="Numberedpara3level1"/>
        <w:ind w:right="-482"/>
      </w:pPr>
      <w:r>
        <w:t>The Minister’s report [EGI 16-Min-0258] noted the strong public support for the proposals to improve digital and online access to BDM information.  There will be a further opportunity for public consultation during the select committee process.</w:t>
      </w:r>
    </w:p>
    <w:p w:rsidR="00264E9B" w:rsidRDefault="00B36025" w:rsidP="004A7764">
      <w:pPr>
        <w:pStyle w:val="Numberedpara3level1"/>
        <w:ind w:right="-482"/>
      </w:pPr>
      <w:r>
        <w:t xml:space="preserve">The Department met with </w:t>
      </w:r>
      <w:r w:rsidR="004A7764">
        <w:t xml:space="preserve">the Privacy Commissioner’s </w:t>
      </w:r>
      <w:r>
        <w:t>representati</w:t>
      </w:r>
      <w:r w:rsidR="003E6BB9">
        <w:t>ves to discuss their submission</w:t>
      </w:r>
      <w:r>
        <w:t xml:space="preserve"> before finalising the Minister’s report on the outcome of the review.  </w:t>
      </w:r>
    </w:p>
    <w:p w:rsidR="00101CC0" w:rsidRDefault="00101CC0" w:rsidP="00360A40">
      <w:pPr>
        <w:pStyle w:val="Numberedpara3level1"/>
        <w:ind w:right="-340"/>
      </w:pPr>
      <w:r>
        <w:t xml:space="preserve">The Law Commission consulted fully during its review of burial and cremation law.  </w:t>
      </w:r>
      <w:r w:rsidR="00486B5A">
        <w:br/>
      </w:r>
      <w:r w:rsidR="007D2E2D">
        <w:t>The G</w:t>
      </w:r>
      <w:r>
        <w:t>overnment has accepted the relevant recommendation.</w:t>
      </w:r>
      <w:r w:rsidR="00917CFD">
        <w:rPr>
          <w:rStyle w:val="FootnoteReference"/>
        </w:rPr>
        <w:footnoteReference w:id="16"/>
      </w:r>
      <w:r w:rsidR="007D2E2D">
        <w:t xml:space="preserve">  The Department will continue to consult with the Ministry of Health on the operational implications of Proposal 2.</w:t>
      </w:r>
    </w:p>
    <w:p w:rsidR="00360A40" w:rsidRDefault="00360A40" w:rsidP="004D53B3">
      <w:pPr>
        <w:pStyle w:val="Numberedpara3level1"/>
        <w:ind w:right="-199"/>
      </w:pPr>
      <w:r>
        <w:t xml:space="preserve">The following agencies have been consulted on this RIS: Ministry of Health, Ministry of Justice, Ministry of Social Development, Statistics New Zealand, Treasury, New Zealand Police, </w:t>
      </w:r>
      <w:r w:rsidR="00101CC0">
        <w:t xml:space="preserve">Law Commission, </w:t>
      </w:r>
      <w:r>
        <w:t>and the Privacy Commissioner.  The Chief Archivist, the Registrar-General of Births, Deaths and Marriages, and the Government Chief Privacy Officer have also been consulted.</w:t>
      </w:r>
    </w:p>
    <w:p w:rsidR="00264E9B" w:rsidRDefault="00264E9B" w:rsidP="00B302E6">
      <w:pPr>
        <w:pStyle w:val="Heading1"/>
      </w:pPr>
      <w:bookmarkStart w:id="14" w:name="_Toc473799845"/>
      <w:r>
        <w:t>Conclusions and recommendations</w:t>
      </w:r>
      <w:bookmarkEnd w:id="14"/>
    </w:p>
    <w:p w:rsidR="00111BEE" w:rsidRDefault="00F01C17" w:rsidP="00111BEE">
      <w:pPr>
        <w:pStyle w:val="Heading2"/>
      </w:pPr>
      <w:bookmarkStart w:id="15" w:name="_Toc473799846"/>
      <w:r>
        <w:t>1</w:t>
      </w:r>
      <w:r>
        <w:tab/>
      </w:r>
      <w:r w:rsidR="00111BEE">
        <w:t>BDM access provisions</w:t>
      </w:r>
      <w:bookmarkEnd w:id="15"/>
    </w:p>
    <w:p w:rsidR="00111BEE" w:rsidRDefault="00F01C17" w:rsidP="003E6BB9">
      <w:pPr>
        <w:pStyle w:val="Heading3"/>
        <w:ind w:right="-340"/>
        <w:contextualSpacing w:val="0"/>
      </w:pPr>
      <w:r>
        <w:t>1A:</w:t>
      </w:r>
      <w:r>
        <w:tab/>
      </w:r>
      <w:r w:rsidR="00111BEE">
        <w:t>Publication of index information: search function for non-historical BDM information</w:t>
      </w:r>
    </w:p>
    <w:p w:rsidR="00111BEE" w:rsidRDefault="00F01C17" w:rsidP="00111BEE">
      <w:pPr>
        <w:pStyle w:val="Heading3"/>
      </w:pPr>
      <w:r>
        <w:t>1B:</w:t>
      </w:r>
      <w:r>
        <w:tab/>
      </w:r>
      <w:r w:rsidR="0062252C">
        <w:t>Online</w:t>
      </w:r>
      <w:r w:rsidR="00111BEE">
        <w:t xml:space="preserve"> access to historical register information</w:t>
      </w:r>
    </w:p>
    <w:p w:rsidR="00111BEE" w:rsidRDefault="00111BEE" w:rsidP="00111BEE">
      <w:pPr>
        <w:pStyle w:val="Numberedpara3level1"/>
        <w:ind w:right="-340"/>
      </w:pPr>
      <w:r>
        <w:t>The Department recommends, respectively, Option 2 (limited search function</w:t>
      </w:r>
      <w:r w:rsidR="001461DA">
        <w:t>)</w:t>
      </w:r>
      <w:r>
        <w:t xml:space="preserve"> and Option 3 (allow online access to historical register information).  These two options will “book end” the proposed all-of-BDM Internet-based search, pay-for-view, and records access and ordering facility discussed in the Minister’s report on the review [EGI 16-Min-0258].  </w:t>
      </w:r>
    </w:p>
    <w:p w:rsidR="00111BEE" w:rsidRPr="00111BEE" w:rsidRDefault="00111BEE" w:rsidP="00111BEE">
      <w:pPr>
        <w:pStyle w:val="Numberedpara3level1"/>
        <w:ind w:right="-340"/>
      </w:pPr>
      <w:r>
        <w:t xml:space="preserve">At </w:t>
      </w:r>
      <w:r w:rsidR="00917CFD">
        <w:t>the point of access (the “front-end”)</w:t>
      </w:r>
      <w:r>
        <w:t>, the intention is to</w:t>
      </w:r>
      <w:r w:rsidRPr="003A126A">
        <w:t xml:space="preserve"> align the initial</w:t>
      </w:r>
      <w:r>
        <w:t>,</w:t>
      </w:r>
      <w:r w:rsidRPr="003A126A">
        <w:t xml:space="preserve"> high-level</w:t>
      </w:r>
      <w:r>
        <w:t>,</w:t>
      </w:r>
      <w:r w:rsidRPr="003A126A">
        <w:t xml:space="preserve"> </w:t>
      </w:r>
      <w:r>
        <w:t xml:space="preserve">online </w:t>
      </w:r>
      <w:r w:rsidRPr="003A126A">
        <w:t xml:space="preserve">search functions for historical </w:t>
      </w:r>
      <w:r>
        <w:t xml:space="preserve">information </w:t>
      </w:r>
      <w:r w:rsidRPr="003A126A">
        <w:t xml:space="preserve">and </w:t>
      </w:r>
      <w:r>
        <w:t xml:space="preserve">that proposed for </w:t>
      </w:r>
      <w:r w:rsidRPr="003A126A">
        <w:t>non-historical information</w:t>
      </w:r>
      <w:r>
        <w:t xml:space="preserve">.  </w:t>
      </w:r>
      <w:r w:rsidR="00454918">
        <w:t>At the</w:t>
      </w:r>
      <w:r>
        <w:t xml:space="preserve"> </w:t>
      </w:r>
      <w:r w:rsidR="00454918">
        <w:t>“</w:t>
      </w:r>
      <w:r>
        <w:t>back-end</w:t>
      </w:r>
      <w:r w:rsidR="00454918">
        <w:t xml:space="preserve">”, </w:t>
      </w:r>
      <w:r w:rsidR="00F13143">
        <w:t xml:space="preserve">when access to a specific BDM record is sought, </w:t>
      </w:r>
      <w:r w:rsidR="00454918">
        <w:t xml:space="preserve">customers will have the option of accessing historical BDM </w:t>
      </w:r>
      <w:r w:rsidR="00F13143">
        <w:t>register information</w:t>
      </w:r>
      <w:r>
        <w:t xml:space="preserve"> through digital and online channels.</w:t>
      </w:r>
    </w:p>
    <w:p w:rsidR="00111BEE" w:rsidRDefault="00F01C17" w:rsidP="00111BEE">
      <w:pPr>
        <w:pStyle w:val="Heading2"/>
      </w:pPr>
      <w:bookmarkStart w:id="16" w:name="_Toc473799847"/>
      <w:r>
        <w:t>2</w:t>
      </w:r>
      <w:r>
        <w:tab/>
        <w:t>Law Commission</w:t>
      </w:r>
      <w:r w:rsidR="00111BEE">
        <w:t xml:space="preserve"> review of burial and cremation law: preliminary notice of death</w:t>
      </w:r>
      <w:bookmarkEnd w:id="16"/>
    </w:p>
    <w:p w:rsidR="00264E9B" w:rsidRDefault="00111BEE" w:rsidP="00111BEE">
      <w:pPr>
        <w:pStyle w:val="Numberedpara3level1"/>
        <w:ind w:right="-199"/>
      </w:pPr>
      <w:r>
        <w:t>The Department recommends Option 2, which will implement Recommendation 7 from the Law</w:t>
      </w:r>
      <w:r w:rsidRPr="00FB4B4F">
        <w:t xml:space="preserve"> </w:t>
      </w:r>
      <w:r>
        <w:t xml:space="preserve">Commission’s review of burial and cremation law.  It will improve the accuracy and timeliness of reported deaths, and cause of death information.  </w:t>
      </w:r>
      <w:r w:rsidRPr="00FB4B4F">
        <w:t>Unlike the status quo, it aligns with BPS Result 10 and the Department’s commitment to digital transformation.</w:t>
      </w:r>
    </w:p>
    <w:p w:rsidR="00264E9B" w:rsidRDefault="00264E9B" w:rsidP="00B302E6">
      <w:pPr>
        <w:pStyle w:val="Heading1"/>
      </w:pPr>
      <w:bookmarkStart w:id="17" w:name="_Toc473799848"/>
      <w:r>
        <w:t>Implementation plan</w:t>
      </w:r>
      <w:bookmarkEnd w:id="17"/>
    </w:p>
    <w:p w:rsidR="00486B5A" w:rsidRDefault="00B36025" w:rsidP="001906A5">
      <w:pPr>
        <w:pStyle w:val="Numberedpara3level1"/>
      </w:pPr>
      <w:r>
        <w:t xml:space="preserve">The three proposals in this RIS will be included in </w:t>
      </w:r>
      <w:r w:rsidR="008266F5">
        <w:t>a</w:t>
      </w:r>
      <w:r>
        <w:t xml:space="preserve"> BDMRR Amendment Bill.  Implementation at an operational level is outside the scope of this RIS as it will involve decisions yet to be made as the Department’s TSSD Programme is rolled out.  </w:t>
      </w:r>
      <w:r w:rsidR="008266F5">
        <w:t xml:space="preserve">However, the Department will ensure a “privacy by design” approach informs new digital and online service channels.  We will work closely with the Privacy Commissioner and the Government Chief Privacy Officer as these systems are developed.  </w:t>
      </w:r>
    </w:p>
    <w:p w:rsidR="00264E9B" w:rsidRDefault="00486B5A" w:rsidP="001906A5">
      <w:pPr>
        <w:pStyle w:val="Numberedpara3level1"/>
      </w:pPr>
      <w:r>
        <w:t xml:space="preserve">The </w:t>
      </w:r>
      <w:r w:rsidR="008266F5">
        <w:t xml:space="preserve">Department will also ensure </w:t>
      </w:r>
      <w:r>
        <w:t xml:space="preserve">industry and </w:t>
      </w:r>
      <w:r w:rsidR="002E4665">
        <w:t>health</w:t>
      </w:r>
      <w:r>
        <w:t xml:space="preserve"> professionals and organisations are consulted on necessary systems and technological changes before implementing new requirements for a preliminary notice of death.</w:t>
      </w:r>
    </w:p>
    <w:p w:rsidR="00264E9B" w:rsidRDefault="00264E9B" w:rsidP="00B302E6">
      <w:pPr>
        <w:pStyle w:val="Heading1"/>
      </w:pPr>
      <w:bookmarkStart w:id="18" w:name="_Toc473799849"/>
      <w:r>
        <w:t>Monitoring, evaluation, and review</w:t>
      </w:r>
      <w:bookmarkEnd w:id="18"/>
    </w:p>
    <w:p w:rsidR="00C0611F" w:rsidRDefault="00486B5A" w:rsidP="00FC0B00">
      <w:pPr>
        <w:pStyle w:val="Numberedpara3level1"/>
        <w:ind w:right="-340"/>
      </w:pPr>
      <w:r>
        <w:t xml:space="preserve">The systems that enable the Department to monitor who is accessing non-historical records are already in place.  For example, the </w:t>
      </w:r>
      <w:r w:rsidR="008266F5">
        <w:t xml:space="preserve">Department maintains an access register than enables individuals to see if </w:t>
      </w:r>
      <w:r>
        <w:t>anyone has accessed their BDM information, and when (see s 75D).</w:t>
      </w:r>
    </w:p>
    <w:p w:rsidR="004A7764" w:rsidRDefault="004A7764" w:rsidP="00F71371">
      <w:pPr>
        <w:pStyle w:val="Numberedpara3level1"/>
      </w:pPr>
      <w:r>
        <w:t>The TSSD Single Stage Business Case for Tra</w:t>
      </w:r>
      <w:r w:rsidR="001461DA">
        <w:t>n</w:t>
      </w:r>
      <w:r>
        <w:t>che 1 of the Programme is scheduled to be submitted to Cabinet in April 2017 [</w:t>
      </w:r>
      <w:r w:rsidR="000A4C47">
        <w:t>SEC-16-Min 0067].  We will ensure appropriate consideration is given to the requirements for operationalising the proposed all-of-BDM Internet-based search, pay-for-view, and records access and ordering facility at each stage of the TSSD process.</w:t>
      </w:r>
    </w:p>
    <w:p w:rsidR="004A7764" w:rsidRDefault="004A7764" w:rsidP="004A7764">
      <w:pPr>
        <w:pStyle w:val="Numberedpara3level1"/>
        <w:numPr>
          <w:ilvl w:val="0"/>
          <w:numId w:val="0"/>
        </w:numPr>
        <w:ind w:left="567" w:hanging="567"/>
        <w:sectPr w:rsidR="004A7764" w:rsidSect="00532020">
          <w:pgSz w:w="11907" w:h="16840" w:code="9"/>
          <w:pgMar w:top="1276" w:right="1304" w:bottom="851" w:left="1304" w:header="425" w:footer="635" w:gutter="0"/>
          <w:cols w:space="708"/>
          <w:titlePg/>
          <w:docGrid w:linePitch="360"/>
        </w:sectPr>
      </w:pPr>
    </w:p>
    <w:p w:rsidR="00C0611F" w:rsidRPr="00C0611F" w:rsidRDefault="00C0611F" w:rsidP="00977CA2">
      <w:pPr>
        <w:pBdr>
          <w:bottom w:val="single" w:sz="6" w:space="1" w:color="auto"/>
        </w:pBdr>
        <w:jc w:val="right"/>
        <w:outlineLvl w:val="0"/>
        <w:rPr>
          <w:b/>
          <w:sz w:val="28"/>
        </w:rPr>
      </w:pPr>
      <w:bookmarkStart w:id="19" w:name="_Toc473799850"/>
      <w:r>
        <w:rPr>
          <w:b/>
          <w:sz w:val="28"/>
        </w:rPr>
        <w:t>Appendix A</w:t>
      </w:r>
      <w:bookmarkEnd w:id="19"/>
    </w:p>
    <w:p w:rsidR="00C0611F" w:rsidRDefault="00C0611F" w:rsidP="00977CA2">
      <w:pPr>
        <w:pBdr>
          <w:bottom w:val="single" w:sz="6" w:space="1" w:color="auto"/>
        </w:pBdr>
        <w:rPr>
          <w:b/>
          <w:sz w:val="28"/>
        </w:rPr>
      </w:pPr>
      <w:proofErr w:type="spellStart"/>
      <w:r w:rsidRPr="00D556A1">
        <w:rPr>
          <w:b/>
          <w:i/>
          <w:sz w:val="28"/>
        </w:rPr>
        <w:t>ScotlandsPeople</w:t>
      </w:r>
      <w:proofErr w:type="spellEnd"/>
      <w:r>
        <w:rPr>
          <w:b/>
          <w:sz w:val="28"/>
        </w:rPr>
        <w:t>:  W</w:t>
      </w:r>
      <w:r w:rsidRPr="005F3231">
        <w:rPr>
          <w:b/>
          <w:sz w:val="28"/>
        </w:rPr>
        <w:t>ebsite overview</w:t>
      </w:r>
    </w:p>
    <w:p w:rsidR="00C0611F" w:rsidRPr="00D556A1" w:rsidRDefault="00C0611F" w:rsidP="00977CA2">
      <w:pPr>
        <w:spacing w:before="480" w:after="120"/>
        <w:rPr>
          <w:b/>
          <w:sz w:val="26"/>
        </w:rPr>
      </w:pPr>
      <w:r>
        <w:rPr>
          <w:b/>
          <w:sz w:val="26"/>
        </w:rPr>
        <w:t>User registration (to set up account and login)—</w:t>
      </w:r>
    </w:p>
    <w:p w:rsidR="00C0611F" w:rsidRDefault="00C0611F" w:rsidP="00977CA2">
      <w:pPr>
        <w:pStyle w:val="Bullet"/>
        <w:spacing w:before="40" w:after="40"/>
        <w:ind w:left="357" w:right="-199" w:hanging="357"/>
      </w:pPr>
      <w:r>
        <w:t>Registration is free</w:t>
      </w:r>
    </w:p>
    <w:p w:rsidR="00C0611F" w:rsidRDefault="00C0611F" w:rsidP="00977CA2">
      <w:pPr>
        <w:pStyle w:val="Bullet"/>
        <w:spacing w:before="40" w:after="40"/>
        <w:ind w:left="357" w:right="-199" w:hanging="357"/>
      </w:pPr>
      <w:r>
        <w:t>Unique email address (becomes user name) and password</w:t>
      </w:r>
    </w:p>
    <w:p w:rsidR="00C0611F" w:rsidRDefault="00C0611F" w:rsidP="00977CA2">
      <w:pPr>
        <w:pStyle w:val="Bullet"/>
        <w:spacing w:before="40" w:after="40"/>
        <w:ind w:left="357" w:right="-199" w:hanging="357"/>
      </w:pPr>
      <w:r>
        <w:t>Name and other personal identifying information</w:t>
      </w:r>
    </w:p>
    <w:p w:rsidR="00C0611F" w:rsidRDefault="00C0611F" w:rsidP="00977CA2">
      <w:pPr>
        <w:pStyle w:val="Bullet"/>
        <w:spacing w:before="40" w:after="40"/>
        <w:ind w:left="357" w:right="-340" w:hanging="357"/>
      </w:pPr>
      <w:r>
        <w:t>Purchase prepaid credits to access search results and historical records (and order a certificate) for historical and non-historical records).</w:t>
      </w:r>
    </w:p>
    <w:p w:rsidR="00C0611F" w:rsidRDefault="00C0611F" w:rsidP="00977CA2">
      <w:pPr>
        <w:pStyle w:val="Bullet"/>
        <w:numPr>
          <w:ilvl w:val="0"/>
          <w:numId w:val="0"/>
        </w:numPr>
        <w:spacing w:before="160" w:after="40"/>
        <w:ind w:left="709" w:right="-198" w:hanging="709"/>
      </w:pPr>
      <w:r w:rsidRPr="00552A11">
        <w:rPr>
          <w:u w:val="single"/>
        </w:rPr>
        <w:t>Note</w:t>
      </w:r>
      <w:r>
        <w:t>:</w:t>
      </w:r>
      <w:r>
        <w:tab/>
        <w:t>The proposed NZ pay-for-view model will require users to have a verified Real Me ID or other approved identity that can be asserted online.</w:t>
      </w:r>
    </w:p>
    <w:p w:rsidR="00C0611F" w:rsidRDefault="00C0611F" w:rsidP="00977CA2">
      <w:pPr>
        <w:spacing w:after="60"/>
        <w:rPr>
          <w:b/>
          <w:sz w:val="26"/>
        </w:rPr>
      </w:pPr>
    </w:p>
    <w:p w:rsidR="00C0611F" w:rsidRPr="00D556A1" w:rsidRDefault="00C0611F" w:rsidP="00977CA2">
      <w:pPr>
        <w:spacing w:after="120"/>
        <w:rPr>
          <w:b/>
          <w:sz w:val="26"/>
        </w:rPr>
      </w:pPr>
      <w:r w:rsidRPr="00D556A1">
        <w:rPr>
          <w:b/>
          <w:sz w:val="26"/>
        </w:rPr>
        <w:t xml:space="preserve">User access: Key terms </w:t>
      </w:r>
      <w:r>
        <w:rPr>
          <w:b/>
          <w:sz w:val="26"/>
        </w:rPr>
        <w:t>and conditions—</w:t>
      </w:r>
    </w:p>
    <w:p w:rsidR="00C0611F" w:rsidRDefault="00C0611F" w:rsidP="00977CA2">
      <w:pPr>
        <w:pStyle w:val="Bullet"/>
        <w:spacing w:before="40" w:after="40"/>
        <w:ind w:left="357" w:right="-199" w:hanging="357"/>
      </w:pPr>
      <w:r>
        <w:t>Crown copyright applies</w:t>
      </w:r>
    </w:p>
    <w:p w:rsidR="00C0611F" w:rsidRDefault="00C0611F" w:rsidP="00977CA2">
      <w:pPr>
        <w:pStyle w:val="Bullet"/>
        <w:spacing w:before="40" w:after="40"/>
        <w:ind w:left="357" w:right="-482" w:hanging="357"/>
      </w:pPr>
      <w:r>
        <w:t>Copying, publication, distribution, reproduction, etc, of website content prohibited</w:t>
      </w:r>
    </w:p>
    <w:p w:rsidR="00C0611F" w:rsidRDefault="00C0611F" w:rsidP="00977CA2">
      <w:pPr>
        <w:pStyle w:val="Bullet"/>
        <w:spacing w:before="40" w:after="40"/>
        <w:ind w:left="357" w:right="-482" w:hanging="357"/>
      </w:pPr>
      <w:r>
        <w:t>Use of tools for data extraction, data mining, or automatic access, etc prohibited</w:t>
      </w:r>
    </w:p>
    <w:p w:rsidR="00C0611F" w:rsidRDefault="00C0611F" w:rsidP="00977CA2">
      <w:pPr>
        <w:pStyle w:val="Bullet"/>
        <w:spacing w:before="40" w:after="40"/>
        <w:ind w:left="357" w:right="-624" w:hanging="357"/>
      </w:pPr>
      <w:r>
        <w:t>(to state the obvious) Must not introduce malicious software (eg, viruses, trojans, worms, etc)</w:t>
      </w:r>
    </w:p>
    <w:p w:rsidR="00C0611F" w:rsidRDefault="00C0611F" w:rsidP="00977CA2">
      <w:pPr>
        <w:pStyle w:val="Bullet"/>
        <w:spacing w:before="40" w:after="40"/>
        <w:ind w:left="357" w:right="-624" w:hanging="357"/>
      </w:pPr>
      <w:r>
        <w:t>Personal use only (other than professional family history research as a self-employed genealogist)</w:t>
      </w:r>
    </w:p>
    <w:p w:rsidR="00C0611F" w:rsidRDefault="00C0611F" w:rsidP="00977CA2">
      <w:pPr>
        <w:pStyle w:val="Bullet"/>
        <w:spacing w:before="40" w:after="40"/>
        <w:ind w:left="357" w:right="-482" w:hanging="357"/>
      </w:pPr>
      <w:r>
        <w:t>Commercial or business use specifically prohibited</w:t>
      </w:r>
    </w:p>
    <w:p w:rsidR="00C0611F" w:rsidRDefault="00C0611F" w:rsidP="00977CA2">
      <w:pPr>
        <w:pStyle w:val="Bullet"/>
        <w:spacing w:before="40" w:after="240"/>
        <w:ind w:left="357" w:right="-482" w:hanging="357"/>
      </w:pPr>
      <w:r>
        <w:t>Breach of T &amp; Cs can be an offence.</w:t>
      </w:r>
    </w:p>
    <w:p w:rsidR="00C0611F" w:rsidRDefault="00C0611F" w:rsidP="00977CA2">
      <w:pPr>
        <w:spacing w:after="60"/>
        <w:rPr>
          <w:b/>
          <w:sz w:val="26"/>
        </w:rPr>
      </w:pPr>
    </w:p>
    <w:p w:rsidR="00C0611F" w:rsidRPr="00D556A1" w:rsidRDefault="00C0611F" w:rsidP="00977CA2">
      <w:pPr>
        <w:spacing w:after="120"/>
        <w:rPr>
          <w:b/>
          <w:sz w:val="26"/>
        </w:rPr>
      </w:pPr>
      <w:r w:rsidRPr="00D556A1">
        <w:rPr>
          <w:b/>
          <w:sz w:val="26"/>
        </w:rPr>
        <w:t>User a</w:t>
      </w:r>
      <w:r>
        <w:rPr>
          <w:b/>
          <w:sz w:val="26"/>
        </w:rPr>
        <w:t xml:space="preserve">ccess: What </w:t>
      </w:r>
      <w:proofErr w:type="spellStart"/>
      <w:r w:rsidRPr="00552A11">
        <w:rPr>
          <w:b/>
          <w:i/>
          <w:sz w:val="26"/>
        </w:rPr>
        <w:t>ScotlandsPeople</w:t>
      </w:r>
      <w:proofErr w:type="spellEnd"/>
      <w:r>
        <w:rPr>
          <w:b/>
          <w:sz w:val="26"/>
        </w:rPr>
        <w:t xml:space="preserve"> offers—</w:t>
      </w:r>
    </w:p>
    <w:p w:rsidR="00C0611F" w:rsidRDefault="00C0611F" w:rsidP="00977CA2">
      <w:pPr>
        <w:pStyle w:val="Bullet"/>
        <w:spacing w:before="40" w:after="40"/>
        <w:ind w:left="357" w:right="-482" w:hanging="357"/>
      </w:pPr>
      <w:r>
        <w:t>Free index search function across all records: limited to name and date range:</w:t>
      </w:r>
    </w:p>
    <w:p w:rsidR="00C0611F" w:rsidRDefault="00C0611F" w:rsidP="00977CA2">
      <w:pPr>
        <w:pStyle w:val="Bullet"/>
        <w:numPr>
          <w:ilvl w:val="0"/>
          <w:numId w:val="0"/>
        </w:numPr>
        <w:spacing w:before="40" w:after="40"/>
        <w:ind w:left="357" w:right="-482"/>
      </w:pPr>
    </w:p>
    <w:p w:rsidR="00C0611F" w:rsidRDefault="00C0611F" w:rsidP="00977CA2">
      <w:pPr>
        <w:pStyle w:val="Bullet"/>
        <w:numPr>
          <w:ilvl w:val="0"/>
          <w:numId w:val="0"/>
        </w:numPr>
        <w:spacing w:before="40" w:after="40"/>
        <w:ind w:left="360" w:right="-482" w:hanging="360"/>
      </w:pPr>
      <w:r>
        <w:rPr>
          <w:lang w:eastAsia="en-NZ"/>
        </w:rPr>
        <w:drawing>
          <wp:inline distT="0" distB="0" distL="0" distR="0" wp14:anchorId="00B66309" wp14:editId="7001F3A2">
            <wp:extent cx="5904865" cy="41922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04865" cy="419229"/>
                    </a:xfrm>
                    <a:prstGeom prst="rect">
                      <a:avLst/>
                    </a:prstGeom>
                  </pic:spPr>
                </pic:pic>
              </a:graphicData>
            </a:graphic>
          </wp:inline>
        </w:drawing>
      </w:r>
    </w:p>
    <w:p w:rsidR="00C0611F" w:rsidRDefault="00C0611F" w:rsidP="00977CA2">
      <w:pPr>
        <w:pStyle w:val="Bullet"/>
        <w:numPr>
          <w:ilvl w:val="0"/>
          <w:numId w:val="0"/>
        </w:numPr>
        <w:spacing w:before="40" w:after="40"/>
        <w:ind w:left="360" w:right="-482" w:hanging="360"/>
      </w:pPr>
    </w:p>
    <w:p w:rsidR="00C0611F" w:rsidRDefault="00C0611F" w:rsidP="00977CA2">
      <w:pPr>
        <w:pStyle w:val="Bullet"/>
      </w:pPr>
      <w:r>
        <w:t>Identifies how many records available by register/record type,</w:t>
      </w:r>
      <w:r>
        <w:rPr>
          <w:rStyle w:val="FootnoteReference"/>
        </w:rPr>
        <w:footnoteReference w:id="17"/>
      </w:r>
      <w:r>
        <w:t xml:space="preserve"> which include:</w:t>
      </w:r>
    </w:p>
    <w:p w:rsidR="00C0611F" w:rsidRDefault="00C0611F" w:rsidP="00977CA2">
      <w:pPr>
        <w:pStyle w:val="Bulletlevel2"/>
        <w:ind w:right="-624"/>
      </w:pPr>
      <w:r>
        <w:t>Statutory register (births, marriages, deaths, civil partnerships; divorces; dissolutions): 1855—</w:t>
      </w:r>
    </w:p>
    <w:p w:rsidR="00C0611F" w:rsidRDefault="00C0611F" w:rsidP="00977CA2">
      <w:pPr>
        <w:pStyle w:val="Bulletlevel2"/>
      </w:pPr>
      <w:r>
        <w:t>Census returns: 1841—</w:t>
      </w:r>
    </w:p>
    <w:p w:rsidR="00C0611F" w:rsidRDefault="00C0611F" w:rsidP="00977CA2">
      <w:pPr>
        <w:pStyle w:val="Bulletlevel2"/>
      </w:pPr>
      <w:r>
        <w:t>Church registers (births, baptisms, marriages, burials): 1538—</w:t>
      </w:r>
    </w:p>
    <w:p w:rsidR="00C0611F" w:rsidRDefault="00C0611F" w:rsidP="00977CA2">
      <w:pPr>
        <w:pStyle w:val="Bulletlevel2"/>
      </w:pPr>
      <w:r>
        <w:t>Valuation rolls (lists of property owners, tenants, occupiers): 1855–1987</w:t>
      </w:r>
    </w:p>
    <w:p w:rsidR="00C0611F" w:rsidRDefault="00C0611F" w:rsidP="00977CA2">
      <w:pPr>
        <w:pStyle w:val="Bulletlevel2"/>
      </w:pPr>
      <w:r>
        <w:t>Legal records (civil, criminal, and church court records including—wills and testaments: 1513—, soldiers’ and airmen’s wills: 1857—, coats of arms: 1672—, Military Service Appeal Tribunal records: 1916–1918)</w:t>
      </w:r>
    </w:p>
    <w:p w:rsidR="00C0611F" w:rsidRDefault="00C0611F" w:rsidP="00977CA2">
      <w:pPr>
        <w:pStyle w:val="Bulletlevel2"/>
      </w:pPr>
      <w:r>
        <w:t>Image library (historical photographs, manuscripts, drawings): mediaeval to mid-20th C</w:t>
      </w:r>
    </w:p>
    <w:p w:rsidR="00C0611F" w:rsidRDefault="00C0611F" w:rsidP="00977CA2">
      <w:pPr>
        <w:pStyle w:val="Bullet"/>
        <w:numPr>
          <w:ilvl w:val="0"/>
          <w:numId w:val="0"/>
        </w:numPr>
        <w:ind w:left="360" w:hanging="360"/>
        <w:rPr>
          <w:b/>
        </w:rPr>
      </w:pPr>
    </w:p>
    <w:p w:rsidR="00C0611F" w:rsidRPr="00083CB6" w:rsidRDefault="00C0611F" w:rsidP="00977CA2">
      <w:pPr>
        <w:pStyle w:val="Bullet"/>
        <w:numPr>
          <w:ilvl w:val="0"/>
          <w:numId w:val="0"/>
        </w:numPr>
        <w:spacing w:before="40" w:after="120"/>
        <w:ind w:right="-482"/>
        <w:rPr>
          <w:b/>
          <w:i/>
        </w:rPr>
      </w:pPr>
      <w:r w:rsidRPr="00083CB6">
        <w:rPr>
          <w:b/>
          <w:i/>
        </w:rPr>
        <w:t>Login to view results</w:t>
      </w:r>
      <w:r>
        <w:rPr>
          <w:b/>
          <w:i/>
        </w:rPr>
        <w:t xml:space="preserve"> …</w:t>
      </w:r>
      <w:r>
        <w:rPr>
          <w:b/>
        </w:rPr>
        <w:t>:</w:t>
      </w:r>
    </w:p>
    <w:p w:rsidR="00C0611F" w:rsidRDefault="00C0611F" w:rsidP="00977CA2">
      <w:pPr>
        <w:pStyle w:val="Bullet"/>
        <w:numPr>
          <w:ilvl w:val="0"/>
          <w:numId w:val="0"/>
        </w:numPr>
        <w:spacing w:before="40" w:after="240"/>
        <w:ind w:right="-482"/>
      </w:pPr>
      <w:r>
        <w:rPr>
          <w:lang w:eastAsia="en-NZ"/>
        </w:rPr>
        <w:drawing>
          <wp:inline distT="0" distB="0" distL="0" distR="0" wp14:anchorId="15EC83DE" wp14:editId="2D8B9DD0">
            <wp:extent cx="6070862" cy="5846972"/>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74654" cy="5850624"/>
                    </a:xfrm>
                    <a:prstGeom prst="rect">
                      <a:avLst/>
                    </a:prstGeom>
                  </pic:spPr>
                </pic:pic>
              </a:graphicData>
            </a:graphic>
          </wp:inline>
        </w:drawing>
      </w:r>
    </w:p>
    <w:p w:rsidR="00C0611F" w:rsidRPr="00083CB6" w:rsidRDefault="00C0611F" w:rsidP="00977CA2">
      <w:pPr>
        <w:pStyle w:val="Bullet"/>
        <w:numPr>
          <w:ilvl w:val="0"/>
          <w:numId w:val="0"/>
        </w:numPr>
        <w:spacing w:before="40" w:after="200"/>
        <w:ind w:right="-482"/>
        <w:rPr>
          <w:b/>
          <w:i/>
        </w:rPr>
      </w:pPr>
      <w:r>
        <w:rPr>
          <w:b/>
          <w:i/>
        </w:rPr>
        <w:t xml:space="preserve">… or </w:t>
      </w:r>
      <w:r w:rsidRPr="00083CB6">
        <w:rPr>
          <w:b/>
          <w:i/>
        </w:rPr>
        <w:t>Login to limit search to a particular register</w:t>
      </w:r>
      <w:r>
        <w:rPr>
          <w:b/>
          <w:i/>
        </w:rPr>
        <w:t xml:space="preserve">, </w:t>
      </w:r>
      <w:r w:rsidRPr="00083CB6">
        <w:rPr>
          <w:b/>
          <w:i/>
        </w:rPr>
        <w:t xml:space="preserve">to conduct a place-based search, or to search records indexed by personal name </w:t>
      </w:r>
      <w:r>
        <w:rPr>
          <w:b/>
          <w:i/>
        </w:rPr>
        <w:t xml:space="preserve">– </w:t>
      </w:r>
      <w:r w:rsidRPr="00083CB6">
        <w:rPr>
          <w:b/>
          <w:i/>
        </w:rPr>
        <w:t>search can be based on some or all of the following</w:t>
      </w:r>
      <w:r w:rsidRPr="00083CB6">
        <w:rPr>
          <w:b/>
        </w:rPr>
        <w:t>:</w:t>
      </w:r>
    </w:p>
    <w:tbl>
      <w:tblPr>
        <w:tblStyle w:val="RIS"/>
        <w:tblW w:w="9923" w:type="dxa"/>
        <w:tblInd w:w="-34" w:type="dxa"/>
        <w:tblLook w:val="04A0" w:firstRow="1" w:lastRow="0" w:firstColumn="1" w:lastColumn="0" w:noHBand="0" w:noVBand="1"/>
      </w:tblPr>
      <w:tblGrid>
        <w:gridCol w:w="2086"/>
        <w:gridCol w:w="1974"/>
        <w:gridCol w:w="5863"/>
      </w:tblGrid>
      <w:tr w:rsidR="00C0611F" w:rsidTr="003742E6">
        <w:trPr>
          <w:cnfStyle w:val="100000000000" w:firstRow="1" w:lastRow="0" w:firstColumn="0" w:lastColumn="0" w:oddVBand="0" w:evenVBand="0" w:oddHBand="0" w:evenHBand="0" w:firstRowFirstColumn="0" w:firstRowLastColumn="0" w:lastRowFirstColumn="0" w:lastRowLastColumn="0"/>
        </w:trPr>
        <w:tc>
          <w:tcPr>
            <w:tcW w:w="2086" w:type="dxa"/>
          </w:tcPr>
          <w:p w:rsidR="00C0611F" w:rsidRPr="00865838" w:rsidRDefault="00C0611F" w:rsidP="00977CA2">
            <w:pPr>
              <w:ind w:firstLine="34"/>
            </w:pPr>
            <w:r w:rsidRPr="00305CFD">
              <w:rPr>
                <w:sz w:val="24"/>
              </w:rPr>
              <w:t>Index information</w:t>
            </w:r>
          </w:p>
        </w:tc>
        <w:tc>
          <w:tcPr>
            <w:tcW w:w="1974" w:type="dxa"/>
          </w:tcPr>
          <w:p w:rsidR="00C0611F" w:rsidRPr="002E57E9" w:rsidRDefault="00C0611F" w:rsidP="00977CA2">
            <w:pPr>
              <w:rPr>
                <w:b w:val="0"/>
              </w:rPr>
            </w:pPr>
            <w:r w:rsidRPr="00305CFD">
              <w:rPr>
                <w:sz w:val="26"/>
              </w:rPr>
              <w:t>Statutory register:</w:t>
            </w:r>
            <w:r w:rsidRPr="00305CFD">
              <w:rPr>
                <w:b w:val="0"/>
                <w:sz w:val="26"/>
              </w:rPr>
              <w:t xml:space="preserve"> </w:t>
            </w:r>
            <w:r>
              <w:rPr>
                <w:b w:val="0"/>
              </w:rPr>
              <w:br/>
            </w:r>
            <w:r w:rsidRPr="00305CFD">
              <w:t>Births</w:t>
            </w:r>
            <w:r>
              <w:t>,</w:t>
            </w:r>
            <w:r w:rsidRPr="00305CFD">
              <w:t xml:space="preserve"> Marriages</w:t>
            </w:r>
            <w:r>
              <w:t>,</w:t>
            </w:r>
            <w:r w:rsidRPr="00305CFD">
              <w:t xml:space="preserve"> </w:t>
            </w:r>
            <w:r>
              <w:br/>
              <w:t xml:space="preserve">Civil partnerships, </w:t>
            </w:r>
            <w:r w:rsidRPr="00305CFD">
              <w:t>Deaths</w:t>
            </w:r>
            <w:r>
              <w:t>, Divorces, Dissolutions (CPs)</w:t>
            </w:r>
          </w:p>
        </w:tc>
        <w:tc>
          <w:tcPr>
            <w:tcW w:w="5863" w:type="dxa"/>
          </w:tcPr>
          <w:p w:rsidR="00C0611F" w:rsidRPr="00305CFD" w:rsidRDefault="00C0611F" w:rsidP="00977CA2">
            <w:r w:rsidRPr="00305CFD">
              <w:rPr>
                <w:sz w:val="24"/>
              </w:rPr>
              <w:t>Comment</w:t>
            </w:r>
          </w:p>
        </w:tc>
      </w:tr>
      <w:tr w:rsidR="00C0611F" w:rsidTr="003742E6">
        <w:tc>
          <w:tcPr>
            <w:tcW w:w="2086" w:type="dxa"/>
          </w:tcPr>
          <w:p w:rsidR="00C0611F" w:rsidRPr="00865838" w:rsidRDefault="00C0611F" w:rsidP="00977CA2">
            <w:pPr>
              <w:rPr>
                <w:b/>
              </w:rPr>
            </w:pPr>
            <w:r>
              <w:rPr>
                <w:b/>
              </w:rPr>
              <w:t>Surname</w:t>
            </w:r>
          </w:p>
        </w:tc>
        <w:tc>
          <w:tcPr>
            <w:tcW w:w="1974" w:type="dxa"/>
          </w:tcPr>
          <w:p w:rsidR="00C0611F" w:rsidRDefault="00C0611F" w:rsidP="00977CA2">
            <w:r>
              <w:t>All</w:t>
            </w:r>
          </w:p>
        </w:tc>
        <w:tc>
          <w:tcPr>
            <w:tcW w:w="5863" w:type="dxa"/>
          </w:tcPr>
          <w:p w:rsidR="00C0611F" w:rsidRDefault="00C0611F" w:rsidP="00977CA2">
            <w:r>
              <w:t xml:space="preserve">The Register of Corrected Entries (RCE) records additional authorised post-registration information.  </w:t>
            </w:r>
            <w:proofErr w:type="spellStart"/>
            <w:r>
              <w:t>Eg</w:t>
            </w:r>
            <w:proofErr w:type="spellEnd"/>
            <w:r>
              <w:t>, a birth record could be amended to include of father’s name following a paternity case, or the parents’ subsequent marriage).  A death record could be amended to record/correct the cause of death.  RCEs were recorded separately, with a notation being made in the original register.  Historical RCE images and original register images are linked, and can be viewed online.</w:t>
            </w:r>
          </w:p>
        </w:tc>
      </w:tr>
      <w:tr w:rsidR="00C0611F" w:rsidTr="003742E6">
        <w:tc>
          <w:tcPr>
            <w:tcW w:w="2086" w:type="dxa"/>
          </w:tcPr>
          <w:p w:rsidR="00C0611F" w:rsidRPr="00865838" w:rsidRDefault="00C0611F" w:rsidP="00977CA2">
            <w:pPr>
              <w:rPr>
                <w:b/>
              </w:rPr>
            </w:pPr>
            <w:r>
              <w:rPr>
                <w:b/>
              </w:rPr>
              <w:t>Forename</w:t>
            </w:r>
          </w:p>
        </w:tc>
        <w:tc>
          <w:tcPr>
            <w:tcW w:w="1974" w:type="dxa"/>
          </w:tcPr>
          <w:p w:rsidR="00C0611F" w:rsidRDefault="00C0611F" w:rsidP="00977CA2">
            <w:r>
              <w:t>All</w:t>
            </w:r>
          </w:p>
        </w:tc>
        <w:tc>
          <w:tcPr>
            <w:tcW w:w="5863" w:type="dxa"/>
          </w:tcPr>
          <w:p w:rsidR="00C0611F" w:rsidRDefault="00C0611F" w:rsidP="00977CA2">
            <w:r>
              <w:t>Registered name changes (surname and/or forename) are recorded on subsequent birth certificates; the index search is based on the current name, not previous names.</w:t>
            </w:r>
          </w:p>
        </w:tc>
      </w:tr>
      <w:tr w:rsidR="00C0611F" w:rsidTr="003742E6">
        <w:tc>
          <w:tcPr>
            <w:tcW w:w="2086" w:type="dxa"/>
          </w:tcPr>
          <w:p w:rsidR="00C0611F" w:rsidRPr="00865838" w:rsidRDefault="00C0611F" w:rsidP="00977CA2">
            <w:pPr>
              <w:rPr>
                <w:b/>
              </w:rPr>
            </w:pPr>
            <w:r>
              <w:rPr>
                <w:b/>
              </w:rPr>
              <w:t>Gender</w:t>
            </w:r>
          </w:p>
        </w:tc>
        <w:tc>
          <w:tcPr>
            <w:tcW w:w="1974" w:type="dxa"/>
          </w:tcPr>
          <w:p w:rsidR="00C0611F" w:rsidRDefault="00C0611F" w:rsidP="00977CA2">
            <w:r w:rsidRPr="00305CFD">
              <w:t>Births</w:t>
            </w:r>
            <w:r>
              <w:t>,</w:t>
            </w:r>
            <w:r w:rsidRPr="00305CFD">
              <w:t xml:space="preserve"> Marriages</w:t>
            </w:r>
            <w:r>
              <w:t>,</w:t>
            </w:r>
            <w:r w:rsidRPr="00305CFD">
              <w:t xml:space="preserve"> </w:t>
            </w:r>
            <w:r>
              <w:t xml:space="preserve">Civil partnerships, </w:t>
            </w:r>
            <w:r w:rsidRPr="00305CFD">
              <w:t>Deaths</w:t>
            </w:r>
          </w:p>
        </w:tc>
        <w:tc>
          <w:tcPr>
            <w:tcW w:w="5863" w:type="dxa"/>
          </w:tcPr>
          <w:p w:rsidR="00C0611F" w:rsidRPr="006B5EA5" w:rsidRDefault="00C0611F" w:rsidP="00977CA2">
            <w:pPr>
              <w:rPr>
                <w:rFonts w:asciiTheme="minorHAnsi" w:hAnsiTheme="minorHAnsi"/>
              </w:rPr>
            </w:pPr>
            <w:r w:rsidRPr="006B5EA5">
              <w:rPr>
                <w:rFonts w:asciiTheme="minorHAnsi" w:hAnsiTheme="minorHAnsi" w:cs="Arial"/>
                <w:color w:val="3F4141"/>
                <w:shd w:val="clear" w:color="auto" w:fill="FFFFFF"/>
              </w:rPr>
              <w:t>A person who is granted a Gender Recognition Certificate</w:t>
            </w:r>
            <w:r w:rsidRPr="006B5EA5">
              <w:rPr>
                <w:rStyle w:val="apple-converted-space"/>
                <w:rFonts w:asciiTheme="minorHAnsi" w:hAnsiTheme="minorHAnsi" w:cs="Arial"/>
                <w:color w:val="3F4141"/>
                <w:shd w:val="clear" w:color="auto" w:fill="FFFFFF"/>
              </w:rPr>
              <w:t xml:space="preserve"> </w:t>
            </w:r>
            <w:r>
              <w:rPr>
                <w:rStyle w:val="apple-converted-space"/>
                <w:rFonts w:asciiTheme="minorHAnsi" w:hAnsiTheme="minorHAnsi" w:cs="Arial"/>
                <w:color w:val="3F4141"/>
                <w:shd w:val="clear" w:color="auto" w:fill="FFFFFF"/>
              </w:rPr>
              <w:t xml:space="preserve">(GRC) </w:t>
            </w:r>
            <w:r w:rsidRPr="006B5EA5">
              <w:rPr>
                <w:rStyle w:val="apple-converted-space"/>
                <w:rFonts w:asciiTheme="minorHAnsi" w:hAnsiTheme="minorHAnsi" w:cs="Arial"/>
                <w:color w:val="3F4141"/>
                <w:shd w:val="clear" w:color="auto" w:fill="FFFFFF"/>
              </w:rPr>
              <w:t xml:space="preserve">under the </w:t>
            </w:r>
            <w:r w:rsidRPr="006B5EA5">
              <w:rPr>
                <w:rFonts w:asciiTheme="minorHAnsi" w:hAnsiTheme="minorHAnsi" w:cs="Arial"/>
                <w:color w:val="3F4141"/>
                <w:shd w:val="clear" w:color="auto" w:fill="FFFFFF"/>
              </w:rPr>
              <w:t>Gender Recognition Act 2004 (UK) can obtain a new birth certificate showing her or his legal gender</w:t>
            </w:r>
            <w:r>
              <w:rPr>
                <w:rFonts w:asciiTheme="minorHAnsi" w:hAnsiTheme="minorHAnsi" w:cs="Arial"/>
                <w:color w:val="3F4141"/>
                <w:shd w:val="clear" w:color="auto" w:fill="FFFFFF"/>
              </w:rPr>
              <w:t>, which is issued from a confidential Gender Recognition Register.  T</w:t>
            </w:r>
            <w:r w:rsidRPr="006B5EA5">
              <w:rPr>
                <w:rFonts w:asciiTheme="minorHAnsi" w:hAnsiTheme="minorHAnsi" w:cs="Arial"/>
                <w:color w:val="3F4141"/>
                <w:shd w:val="clear" w:color="auto" w:fill="FFFFFF"/>
              </w:rPr>
              <w:t xml:space="preserve">he original birth record </w:t>
            </w:r>
            <w:r>
              <w:rPr>
                <w:rFonts w:asciiTheme="minorHAnsi" w:hAnsiTheme="minorHAnsi" w:cs="Arial"/>
                <w:color w:val="3F4141"/>
                <w:shd w:val="clear" w:color="auto" w:fill="FFFFFF"/>
              </w:rPr>
              <w:t>remains</w:t>
            </w:r>
            <w:r w:rsidRPr="006B5EA5">
              <w:rPr>
                <w:rFonts w:asciiTheme="minorHAnsi" w:hAnsiTheme="minorHAnsi" w:cs="Arial"/>
                <w:color w:val="3F4141"/>
                <w:shd w:val="clear" w:color="auto" w:fill="FFFFFF"/>
              </w:rPr>
              <w:t xml:space="preserve"> </w:t>
            </w:r>
            <w:r>
              <w:rPr>
                <w:rFonts w:asciiTheme="minorHAnsi" w:hAnsiTheme="minorHAnsi" w:cs="Arial"/>
                <w:color w:val="3F4141"/>
                <w:shd w:val="clear" w:color="auto" w:fill="FFFFFF"/>
              </w:rPr>
              <w:t>available for public inspection and search</w:t>
            </w:r>
            <w:r w:rsidRPr="006B5EA5">
              <w:rPr>
                <w:rFonts w:asciiTheme="minorHAnsi" w:hAnsiTheme="minorHAnsi" w:cs="Arial"/>
                <w:color w:val="3F4141"/>
                <w:shd w:val="clear" w:color="auto" w:fill="FFFFFF"/>
              </w:rPr>
              <w:t xml:space="preserve">. </w:t>
            </w:r>
            <w:r>
              <w:rPr>
                <w:rFonts w:asciiTheme="minorHAnsi" w:hAnsiTheme="minorHAnsi" w:cs="Arial"/>
                <w:color w:val="3F4141"/>
                <w:shd w:val="clear" w:color="auto" w:fill="FFFFFF"/>
              </w:rPr>
              <w:t xml:space="preserve"> If a GRC is issued after a person marries or registers a civil partnership, they can choose to “re-register” the ceremony.  If so, the original register entry will be sealed; only the new entry is available for public inspection and search.</w:t>
            </w:r>
          </w:p>
        </w:tc>
      </w:tr>
      <w:tr w:rsidR="00C0611F" w:rsidTr="003742E6">
        <w:tc>
          <w:tcPr>
            <w:tcW w:w="2086" w:type="dxa"/>
          </w:tcPr>
          <w:p w:rsidR="00C0611F" w:rsidRPr="00865838" w:rsidRDefault="00C0611F" w:rsidP="00977CA2">
            <w:pPr>
              <w:rPr>
                <w:b/>
              </w:rPr>
            </w:pPr>
            <w:r>
              <w:rPr>
                <w:b/>
              </w:rPr>
              <w:t xml:space="preserve">Year range </w:t>
            </w:r>
            <w:r>
              <w:rPr>
                <w:b/>
              </w:rPr>
              <w:br/>
              <w:t>(</w:t>
            </w:r>
            <w:proofErr w:type="spellStart"/>
            <w:r>
              <w:rPr>
                <w:b/>
              </w:rPr>
              <w:t>eg</w:t>
            </w:r>
            <w:proofErr w:type="spellEnd"/>
            <w:r>
              <w:rPr>
                <w:b/>
              </w:rPr>
              <w:t>, 1865–1965)</w:t>
            </w:r>
          </w:p>
        </w:tc>
        <w:tc>
          <w:tcPr>
            <w:tcW w:w="1974" w:type="dxa"/>
          </w:tcPr>
          <w:p w:rsidR="00C0611F" w:rsidRDefault="00C0611F" w:rsidP="00977CA2">
            <w:r>
              <w:t>All</w:t>
            </w:r>
          </w:p>
        </w:tc>
        <w:tc>
          <w:tcPr>
            <w:tcW w:w="5863" w:type="dxa"/>
          </w:tcPr>
          <w:p w:rsidR="00C0611F" w:rsidRDefault="00C0611F" w:rsidP="00977CA2">
            <w:r>
              <w:t>Records are indexed by year of registration not event; minimum search period is one year (</w:t>
            </w:r>
            <w:proofErr w:type="spellStart"/>
            <w:r>
              <w:t>eg</w:t>
            </w:r>
            <w:proofErr w:type="spellEnd"/>
            <w:r>
              <w:t>, 1965–1965).</w:t>
            </w:r>
          </w:p>
        </w:tc>
      </w:tr>
      <w:tr w:rsidR="00C0611F" w:rsidTr="003742E6">
        <w:tc>
          <w:tcPr>
            <w:tcW w:w="2086" w:type="dxa"/>
          </w:tcPr>
          <w:p w:rsidR="00C0611F" w:rsidRDefault="00C0611F" w:rsidP="00977CA2">
            <w:pPr>
              <w:rPr>
                <w:b/>
              </w:rPr>
            </w:pPr>
            <w:r>
              <w:rPr>
                <w:b/>
              </w:rPr>
              <w:t>Registration district</w:t>
            </w:r>
          </w:p>
        </w:tc>
        <w:tc>
          <w:tcPr>
            <w:tcW w:w="1974" w:type="dxa"/>
          </w:tcPr>
          <w:p w:rsidR="00C0611F" w:rsidRDefault="00C0611F" w:rsidP="00977CA2">
            <w:r w:rsidRPr="00305CFD">
              <w:t>Births</w:t>
            </w:r>
            <w:r>
              <w:t>,</w:t>
            </w:r>
            <w:r w:rsidRPr="00305CFD">
              <w:t xml:space="preserve"> Marriages</w:t>
            </w:r>
            <w:r>
              <w:t>,</w:t>
            </w:r>
            <w:r w:rsidRPr="00305CFD">
              <w:t xml:space="preserve"> </w:t>
            </w:r>
            <w:r>
              <w:t xml:space="preserve">Civil partnerships, </w:t>
            </w:r>
            <w:r w:rsidRPr="00305CFD">
              <w:t>Deaths</w:t>
            </w:r>
          </w:p>
        </w:tc>
        <w:tc>
          <w:tcPr>
            <w:tcW w:w="5863" w:type="dxa"/>
          </w:tcPr>
          <w:p w:rsidR="00C0611F" w:rsidRDefault="00C0611F" w:rsidP="00977CA2">
            <w:r>
              <w:t>Where the life event was registered.</w:t>
            </w:r>
          </w:p>
        </w:tc>
      </w:tr>
      <w:tr w:rsidR="00C0611F" w:rsidTr="003742E6">
        <w:tc>
          <w:tcPr>
            <w:tcW w:w="2086" w:type="dxa"/>
          </w:tcPr>
          <w:p w:rsidR="00C0611F" w:rsidRDefault="00C0611F" w:rsidP="00977CA2">
            <w:pPr>
              <w:rPr>
                <w:b/>
              </w:rPr>
            </w:pPr>
            <w:r>
              <w:rPr>
                <w:b/>
              </w:rPr>
              <w:t>County or city or Minor Records</w:t>
            </w:r>
          </w:p>
        </w:tc>
        <w:tc>
          <w:tcPr>
            <w:tcW w:w="1974" w:type="dxa"/>
          </w:tcPr>
          <w:p w:rsidR="00C0611F" w:rsidRDefault="00C0611F" w:rsidP="00977CA2">
            <w:r>
              <w:t>Births, Marriages, Civil partnerships Deaths</w:t>
            </w:r>
          </w:p>
        </w:tc>
        <w:tc>
          <w:tcPr>
            <w:tcW w:w="5863" w:type="dxa"/>
          </w:tcPr>
          <w:p w:rsidR="00C0611F" w:rsidRPr="00ED26F0" w:rsidRDefault="00C0611F" w:rsidP="00977CA2">
            <w:pPr>
              <w:rPr>
                <w:rFonts w:asciiTheme="minorHAnsi" w:hAnsiTheme="minorHAnsi"/>
                <w:szCs w:val="22"/>
              </w:rPr>
            </w:pPr>
            <w:r w:rsidRPr="00ED26F0">
              <w:rPr>
                <w:rFonts w:asciiTheme="minorHAnsi" w:hAnsiTheme="minorHAnsi" w:cs="Arial"/>
                <w:szCs w:val="22"/>
                <w:shd w:val="clear" w:color="auto" w:fill="FFFFFF"/>
              </w:rPr>
              <w:t>Minor Records are statutory registers of births, deaths and marriages of Scots (or persons of Scottish descent) wh</w:t>
            </w:r>
            <w:r>
              <w:rPr>
                <w:rFonts w:asciiTheme="minorHAnsi" w:hAnsiTheme="minorHAnsi" w:cs="Arial"/>
                <w:szCs w:val="22"/>
                <w:shd w:val="clear" w:color="auto" w:fill="FFFFFF"/>
              </w:rPr>
              <w:t xml:space="preserve">ich occurred outside Scotland. </w:t>
            </w:r>
            <w:r w:rsidRPr="00ED26F0">
              <w:rPr>
                <w:rFonts w:asciiTheme="minorHAnsi" w:hAnsiTheme="minorHAnsi" w:cs="Arial"/>
                <w:szCs w:val="22"/>
                <w:shd w:val="clear" w:color="auto" w:fill="FFFFFF"/>
              </w:rPr>
              <w:t xml:space="preserve"> They include the</w:t>
            </w:r>
            <w:r>
              <w:rPr>
                <w:rFonts w:asciiTheme="minorHAnsi" w:hAnsiTheme="minorHAnsi" w:cs="Arial"/>
                <w:szCs w:val="22"/>
                <w:shd w:val="clear" w:color="auto" w:fill="FFFFFF"/>
              </w:rPr>
              <w:t xml:space="preserve"> </w:t>
            </w:r>
            <w:r w:rsidRPr="00ED26F0">
              <w:rPr>
                <w:rFonts w:asciiTheme="minorHAnsi" w:hAnsiTheme="minorHAnsi" w:cs="Arial"/>
                <w:szCs w:val="22"/>
                <w:bdr w:val="none" w:sz="0" w:space="0" w:color="auto" w:frame="1"/>
                <w:shd w:val="clear" w:color="auto" w:fill="FFFFFF"/>
              </w:rPr>
              <w:t>Foreign Register</w:t>
            </w:r>
            <w:r w:rsidRPr="00ED26F0">
              <w:rPr>
                <w:rFonts w:asciiTheme="minorHAnsi" w:hAnsiTheme="minorHAnsi" w:cs="Arial"/>
                <w:szCs w:val="22"/>
                <w:shd w:val="clear" w:color="auto" w:fill="FFFFFF"/>
              </w:rPr>
              <w:t>,</w:t>
            </w:r>
            <w:r>
              <w:rPr>
                <w:rFonts w:asciiTheme="minorHAnsi" w:hAnsiTheme="minorHAnsi" w:cs="Arial"/>
                <w:szCs w:val="22"/>
                <w:shd w:val="clear" w:color="auto" w:fill="FFFFFF"/>
              </w:rPr>
              <w:t xml:space="preserve"> </w:t>
            </w:r>
            <w:r w:rsidRPr="00ED26F0">
              <w:rPr>
                <w:rFonts w:asciiTheme="minorHAnsi" w:hAnsiTheme="minorHAnsi" w:cs="Arial"/>
                <w:szCs w:val="22"/>
                <w:bdr w:val="none" w:sz="0" w:space="0" w:color="auto" w:frame="1"/>
                <w:shd w:val="clear" w:color="auto" w:fill="FFFFFF"/>
              </w:rPr>
              <w:t>consular</w:t>
            </w:r>
            <w:r>
              <w:rPr>
                <w:rFonts w:asciiTheme="minorHAnsi" w:hAnsiTheme="minorHAnsi" w:cs="Arial"/>
                <w:szCs w:val="22"/>
                <w:shd w:val="clear" w:color="auto" w:fill="FFFFFF"/>
              </w:rPr>
              <w:t xml:space="preserve"> </w:t>
            </w:r>
            <w:r w:rsidRPr="00ED26F0">
              <w:rPr>
                <w:rFonts w:asciiTheme="minorHAnsi" w:hAnsiTheme="minorHAnsi" w:cs="Arial"/>
                <w:szCs w:val="22"/>
                <w:shd w:val="clear" w:color="auto" w:fill="FFFFFF"/>
              </w:rPr>
              <w:t>and</w:t>
            </w:r>
            <w:r>
              <w:rPr>
                <w:rFonts w:asciiTheme="minorHAnsi" w:hAnsiTheme="minorHAnsi" w:cs="Arial"/>
                <w:szCs w:val="22"/>
                <w:shd w:val="clear" w:color="auto" w:fill="FFFFFF"/>
              </w:rPr>
              <w:t xml:space="preserve"> </w:t>
            </w:r>
            <w:r w:rsidRPr="00ED26F0">
              <w:rPr>
                <w:rFonts w:asciiTheme="minorHAnsi" w:hAnsiTheme="minorHAnsi" w:cs="Arial"/>
                <w:szCs w:val="22"/>
                <w:bdr w:val="none" w:sz="0" w:space="0" w:color="auto" w:frame="1"/>
                <w:shd w:val="clear" w:color="auto" w:fill="FFFFFF"/>
              </w:rPr>
              <w:t>High Commissioner</w:t>
            </w:r>
            <w:r>
              <w:rPr>
                <w:rFonts w:asciiTheme="minorHAnsi" w:hAnsiTheme="minorHAnsi" w:cs="Arial"/>
                <w:szCs w:val="22"/>
                <w:shd w:val="clear" w:color="auto" w:fill="FFFFFF"/>
              </w:rPr>
              <w:t xml:space="preserve"> </w:t>
            </w:r>
            <w:r w:rsidRPr="00ED26F0">
              <w:rPr>
                <w:rFonts w:asciiTheme="minorHAnsi" w:hAnsiTheme="minorHAnsi" w:cs="Arial"/>
                <w:szCs w:val="22"/>
                <w:shd w:val="clear" w:color="auto" w:fill="FFFFFF"/>
              </w:rPr>
              <w:t>returns; the</w:t>
            </w:r>
            <w:r>
              <w:rPr>
                <w:rFonts w:asciiTheme="minorHAnsi" w:hAnsiTheme="minorHAnsi" w:cs="Arial"/>
                <w:szCs w:val="22"/>
                <w:shd w:val="clear" w:color="auto" w:fill="FFFFFF"/>
              </w:rPr>
              <w:t xml:space="preserve"> </w:t>
            </w:r>
            <w:r w:rsidRPr="00ED26F0">
              <w:rPr>
                <w:rFonts w:asciiTheme="minorHAnsi" w:hAnsiTheme="minorHAnsi" w:cs="Arial"/>
                <w:szCs w:val="22"/>
                <w:bdr w:val="none" w:sz="0" w:space="0" w:color="auto" w:frame="1"/>
                <w:shd w:val="clear" w:color="auto" w:fill="FFFFFF"/>
              </w:rPr>
              <w:t>Marine Register</w:t>
            </w:r>
            <w:r>
              <w:rPr>
                <w:rFonts w:asciiTheme="minorHAnsi" w:hAnsiTheme="minorHAnsi" w:cs="Arial"/>
                <w:szCs w:val="22"/>
                <w:shd w:val="clear" w:color="auto" w:fill="FFFFFF"/>
              </w:rPr>
              <w:t xml:space="preserve"> </w:t>
            </w:r>
            <w:r w:rsidRPr="00ED26F0">
              <w:rPr>
                <w:rFonts w:asciiTheme="minorHAnsi" w:hAnsiTheme="minorHAnsi" w:cs="Arial"/>
                <w:szCs w:val="22"/>
                <w:shd w:val="clear" w:color="auto" w:fill="FFFFFF"/>
              </w:rPr>
              <w:t>and</w:t>
            </w:r>
            <w:r>
              <w:rPr>
                <w:rFonts w:asciiTheme="minorHAnsi" w:hAnsiTheme="minorHAnsi" w:cs="Arial"/>
                <w:szCs w:val="22"/>
                <w:shd w:val="clear" w:color="auto" w:fill="FFFFFF"/>
              </w:rPr>
              <w:t xml:space="preserve"> </w:t>
            </w:r>
            <w:r w:rsidRPr="00ED26F0">
              <w:rPr>
                <w:rFonts w:asciiTheme="minorHAnsi" w:hAnsiTheme="minorHAnsi" w:cs="Arial"/>
                <w:szCs w:val="22"/>
                <w:bdr w:val="none" w:sz="0" w:space="0" w:color="auto" w:frame="1"/>
                <w:shd w:val="clear" w:color="auto" w:fill="FFFFFF"/>
              </w:rPr>
              <w:t>Air Register</w:t>
            </w:r>
            <w:r>
              <w:rPr>
                <w:rFonts w:asciiTheme="minorHAnsi" w:hAnsiTheme="minorHAnsi" w:cs="Arial"/>
                <w:szCs w:val="22"/>
                <w:shd w:val="clear" w:color="auto" w:fill="FFFFFF"/>
              </w:rPr>
              <w:t xml:space="preserve">; </w:t>
            </w:r>
            <w:r w:rsidRPr="00ED26F0">
              <w:rPr>
                <w:rFonts w:asciiTheme="minorHAnsi" w:hAnsiTheme="minorHAnsi" w:cs="Arial"/>
                <w:szCs w:val="22"/>
                <w:bdr w:val="none" w:sz="0" w:space="0" w:color="auto" w:frame="1"/>
                <w:shd w:val="clear" w:color="auto" w:fill="FFFFFF"/>
              </w:rPr>
              <w:t>service returns</w:t>
            </w:r>
            <w:r>
              <w:rPr>
                <w:rFonts w:asciiTheme="minorHAnsi" w:hAnsiTheme="minorHAnsi" w:cs="Arial"/>
                <w:szCs w:val="22"/>
                <w:shd w:val="clear" w:color="auto" w:fill="FFFFFF"/>
              </w:rPr>
              <w:t xml:space="preserve">, </w:t>
            </w:r>
            <w:r w:rsidRPr="00ED26F0">
              <w:rPr>
                <w:rFonts w:asciiTheme="minorHAnsi" w:hAnsiTheme="minorHAnsi" w:cs="Arial"/>
                <w:szCs w:val="22"/>
                <w:shd w:val="clear" w:color="auto" w:fill="FFFFFF"/>
              </w:rPr>
              <w:t>and</w:t>
            </w:r>
            <w:r>
              <w:rPr>
                <w:rFonts w:asciiTheme="minorHAnsi" w:hAnsiTheme="minorHAnsi" w:cs="Arial"/>
                <w:szCs w:val="22"/>
                <w:shd w:val="clear" w:color="auto" w:fill="FFFFFF"/>
              </w:rPr>
              <w:t xml:space="preserve"> </w:t>
            </w:r>
            <w:r w:rsidRPr="00ED26F0">
              <w:rPr>
                <w:rFonts w:asciiTheme="minorHAnsi" w:hAnsiTheme="minorHAnsi" w:cs="Arial"/>
                <w:szCs w:val="22"/>
                <w:bdr w:val="none" w:sz="0" w:space="0" w:color="auto" w:frame="1"/>
                <w:shd w:val="clear" w:color="auto" w:fill="FFFFFF"/>
              </w:rPr>
              <w:t>war registers</w:t>
            </w:r>
            <w:r w:rsidRPr="00ED26F0">
              <w:rPr>
                <w:rFonts w:asciiTheme="minorHAnsi" w:hAnsiTheme="minorHAnsi" w:cs="Arial"/>
                <w:szCs w:val="22"/>
                <w:shd w:val="clear" w:color="auto" w:fill="FFFFFF"/>
              </w:rPr>
              <w:t>.</w:t>
            </w:r>
          </w:p>
        </w:tc>
      </w:tr>
      <w:tr w:rsidR="00C0611F" w:rsidTr="003742E6">
        <w:tc>
          <w:tcPr>
            <w:tcW w:w="2086" w:type="dxa"/>
          </w:tcPr>
          <w:p w:rsidR="00C0611F" w:rsidRDefault="00C0611F" w:rsidP="00977CA2">
            <w:pPr>
              <w:rPr>
                <w:b/>
              </w:rPr>
            </w:pPr>
            <w:r>
              <w:rPr>
                <w:b/>
              </w:rPr>
              <w:t>Other surname</w:t>
            </w:r>
          </w:p>
        </w:tc>
        <w:tc>
          <w:tcPr>
            <w:tcW w:w="1974" w:type="dxa"/>
          </w:tcPr>
          <w:p w:rsidR="00C0611F" w:rsidRPr="002A735B" w:rsidRDefault="00C0611F" w:rsidP="00977CA2">
            <w:r w:rsidRPr="002A735B">
              <w:t>Deaths</w:t>
            </w:r>
          </w:p>
        </w:tc>
        <w:tc>
          <w:tcPr>
            <w:tcW w:w="5863" w:type="dxa"/>
          </w:tcPr>
          <w:p w:rsidR="00C0611F" w:rsidRDefault="00C0611F" w:rsidP="00977CA2">
            <w:proofErr w:type="spellStart"/>
            <w:r>
              <w:t>Eg</w:t>
            </w:r>
            <w:proofErr w:type="spellEnd"/>
            <w:r>
              <w:t>, father’s surname.</w:t>
            </w:r>
          </w:p>
        </w:tc>
      </w:tr>
      <w:tr w:rsidR="00C0611F" w:rsidTr="003742E6">
        <w:tc>
          <w:tcPr>
            <w:tcW w:w="2086" w:type="dxa"/>
          </w:tcPr>
          <w:p w:rsidR="00C0611F" w:rsidRDefault="00C0611F" w:rsidP="00977CA2">
            <w:pPr>
              <w:rPr>
                <w:b/>
              </w:rPr>
            </w:pPr>
            <w:r>
              <w:rPr>
                <w:b/>
              </w:rPr>
              <w:t>Mother’s maiden name</w:t>
            </w:r>
          </w:p>
        </w:tc>
        <w:tc>
          <w:tcPr>
            <w:tcW w:w="1974" w:type="dxa"/>
          </w:tcPr>
          <w:p w:rsidR="00C0611F" w:rsidRDefault="00C0611F" w:rsidP="00977CA2">
            <w:r>
              <w:t>Deaths</w:t>
            </w:r>
          </w:p>
        </w:tc>
        <w:tc>
          <w:tcPr>
            <w:tcW w:w="5863" w:type="dxa"/>
          </w:tcPr>
          <w:p w:rsidR="00C0611F" w:rsidRDefault="00C0611F" w:rsidP="00977CA2">
            <w:r>
              <w:t>Included since 1974, but being added retrospectively to older records.</w:t>
            </w:r>
          </w:p>
        </w:tc>
      </w:tr>
      <w:tr w:rsidR="00C0611F" w:rsidTr="003742E6">
        <w:tc>
          <w:tcPr>
            <w:tcW w:w="2086" w:type="dxa"/>
          </w:tcPr>
          <w:p w:rsidR="00C0611F" w:rsidRDefault="00C0611F" w:rsidP="00977CA2">
            <w:pPr>
              <w:rPr>
                <w:b/>
              </w:rPr>
            </w:pPr>
            <w:r>
              <w:rPr>
                <w:b/>
              </w:rPr>
              <w:t>Age at death</w:t>
            </w:r>
          </w:p>
        </w:tc>
        <w:tc>
          <w:tcPr>
            <w:tcW w:w="1974" w:type="dxa"/>
          </w:tcPr>
          <w:p w:rsidR="00C0611F" w:rsidRDefault="00C0611F" w:rsidP="00977CA2">
            <w:r>
              <w:t>Deaths</w:t>
            </w:r>
          </w:p>
        </w:tc>
        <w:tc>
          <w:tcPr>
            <w:tcW w:w="5863" w:type="dxa"/>
          </w:tcPr>
          <w:p w:rsidR="00C0611F" w:rsidRDefault="00C0611F" w:rsidP="00977CA2"/>
        </w:tc>
      </w:tr>
      <w:tr w:rsidR="00C0611F" w:rsidTr="003742E6">
        <w:tc>
          <w:tcPr>
            <w:tcW w:w="2086" w:type="dxa"/>
          </w:tcPr>
          <w:p w:rsidR="00C0611F" w:rsidRDefault="00C0611F" w:rsidP="00977CA2">
            <w:pPr>
              <w:rPr>
                <w:b/>
              </w:rPr>
            </w:pPr>
            <w:r>
              <w:rPr>
                <w:b/>
              </w:rPr>
              <w:t>Partner’s surname &amp; forename</w:t>
            </w:r>
          </w:p>
        </w:tc>
        <w:tc>
          <w:tcPr>
            <w:tcW w:w="1974" w:type="dxa"/>
          </w:tcPr>
          <w:p w:rsidR="00C0611F" w:rsidRPr="00DE6969" w:rsidRDefault="00C0611F" w:rsidP="00977CA2">
            <w:r w:rsidRPr="00DE6969">
              <w:t>Civil partnership</w:t>
            </w:r>
          </w:p>
        </w:tc>
        <w:tc>
          <w:tcPr>
            <w:tcW w:w="5863" w:type="dxa"/>
          </w:tcPr>
          <w:p w:rsidR="00C0611F" w:rsidRDefault="00C0611F" w:rsidP="00977CA2">
            <w:r>
              <w:t>Civil partnerships: 2005—</w:t>
            </w:r>
          </w:p>
        </w:tc>
      </w:tr>
      <w:tr w:rsidR="00C0611F" w:rsidTr="003742E6">
        <w:tc>
          <w:tcPr>
            <w:tcW w:w="2086" w:type="dxa"/>
          </w:tcPr>
          <w:p w:rsidR="00C0611F" w:rsidRDefault="00C0611F" w:rsidP="00977CA2">
            <w:pPr>
              <w:rPr>
                <w:b/>
              </w:rPr>
            </w:pPr>
            <w:r>
              <w:rPr>
                <w:b/>
              </w:rPr>
              <w:t>Spouse’s surname</w:t>
            </w:r>
          </w:p>
        </w:tc>
        <w:tc>
          <w:tcPr>
            <w:tcW w:w="1974" w:type="dxa"/>
          </w:tcPr>
          <w:p w:rsidR="00C0611F" w:rsidRDefault="00C0611F" w:rsidP="00977CA2">
            <w:r>
              <w:t>Marriages, Divorces, Dissolutions (CPs)</w:t>
            </w:r>
          </w:p>
        </w:tc>
        <w:tc>
          <w:tcPr>
            <w:tcW w:w="5863" w:type="dxa"/>
          </w:tcPr>
          <w:p w:rsidR="00C0611F" w:rsidRDefault="00C0611F" w:rsidP="00977CA2">
            <w:r>
              <w:t>Divorces: 1984—;  Dissolutions (CPs): 2007—</w:t>
            </w:r>
          </w:p>
          <w:p w:rsidR="00C0611F" w:rsidRDefault="00C0611F" w:rsidP="00977CA2">
            <w:r>
              <w:t>Pre-1984 divorces were recorded in the Register of Corrected Entries.</w:t>
            </w:r>
          </w:p>
        </w:tc>
      </w:tr>
    </w:tbl>
    <w:p w:rsidR="00C0611F" w:rsidRDefault="00C0611F" w:rsidP="00977CA2">
      <w:pPr>
        <w:pStyle w:val="Bullet"/>
        <w:spacing w:before="240" w:after="40"/>
        <w:ind w:left="357" w:right="-482" w:hanging="357"/>
      </w:pPr>
      <w:r>
        <w:t>Search results include links to view an image or to order a certificate (certificates are posted)</w:t>
      </w:r>
    </w:p>
    <w:p w:rsidR="00C0611F" w:rsidRDefault="00C0611F" w:rsidP="00977CA2">
      <w:pPr>
        <w:pStyle w:val="Bullet"/>
        <w:spacing w:before="40" w:after="40"/>
        <w:ind w:left="357" w:right="-482" w:hanging="357"/>
      </w:pPr>
      <w:r>
        <w:t xml:space="preserve">Pay to view to view historical register/record images </w:t>
      </w:r>
      <w:r w:rsidRPr="005F3231">
        <w:t>(births 100+ years; marriages 75+ years; deaths 50+ years)</w:t>
      </w:r>
      <w:r>
        <w:t>:</w:t>
      </w:r>
      <w:r w:rsidRPr="005F3231">
        <w:rPr>
          <w:rStyle w:val="FootnoteReference"/>
        </w:rPr>
        <w:footnoteReference w:id="18"/>
      </w:r>
      <w:r w:rsidRPr="005F3231">
        <w:t xml:space="preserve"> </w:t>
      </w:r>
    </w:p>
    <w:p w:rsidR="00C0611F" w:rsidRDefault="00C0611F" w:rsidP="00977CA2">
      <w:pPr>
        <w:keepLines w:val="0"/>
      </w:pPr>
      <w:r>
        <w:br w:type="page"/>
      </w:r>
    </w:p>
    <w:p w:rsidR="00C0611F" w:rsidRPr="007A5DD2" w:rsidRDefault="00C0611F" w:rsidP="00977CA2">
      <w:pPr>
        <w:pStyle w:val="Bullet"/>
        <w:numPr>
          <w:ilvl w:val="0"/>
          <w:numId w:val="0"/>
        </w:numPr>
        <w:spacing w:before="40" w:after="40"/>
        <w:ind w:left="360" w:right="-482" w:hanging="360"/>
        <w:rPr>
          <w:b/>
          <w:i/>
        </w:rPr>
      </w:pPr>
      <w:r w:rsidRPr="007A5DD2">
        <w:rPr>
          <w:b/>
          <w:i/>
        </w:rPr>
        <w:t>Access to non-historical records</w:t>
      </w:r>
    </w:p>
    <w:p w:rsidR="00C0611F" w:rsidRDefault="00C0611F" w:rsidP="00977CA2">
      <w:pPr>
        <w:pStyle w:val="Bullet"/>
        <w:spacing w:before="40" w:after="40"/>
        <w:ind w:left="357" w:right="-340" w:hanging="357"/>
      </w:pPr>
      <w:r>
        <w:t xml:space="preserve">Individual non-historical records </w:t>
      </w:r>
      <w:r w:rsidRPr="002816BD">
        <w:rPr>
          <w:u w:val="single"/>
        </w:rPr>
        <w:t>cannot</w:t>
      </w:r>
      <w:r>
        <w:t xml:space="preserve"> be viewed online, but—</w:t>
      </w:r>
    </w:p>
    <w:p w:rsidR="00C0611F" w:rsidRDefault="00C0611F" w:rsidP="00977CA2">
      <w:pPr>
        <w:pStyle w:val="Bulletlevel2"/>
        <w:spacing w:before="40" w:after="40"/>
      </w:pPr>
      <w:r>
        <w:t>can be accessed by purchasing a certificate, which is posted, or</w:t>
      </w:r>
    </w:p>
    <w:p w:rsidR="00C0611F" w:rsidRPr="00DC3842" w:rsidRDefault="00C0611F" w:rsidP="00977CA2">
      <w:pPr>
        <w:pStyle w:val="Bulletlevel2"/>
        <w:spacing w:before="40" w:after="240"/>
        <w:ind w:right="-198"/>
      </w:pPr>
      <w:r>
        <w:t>at National Records of Scotland search rooms and at local family history centres by paying a daily search fee.</w:t>
      </w:r>
    </w:p>
    <w:p w:rsidR="00C0611F" w:rsidRPr="00FC6412" w:rsidRDefault="00C0611F" w:rsidP="00977CA2">
      <w:pPr>
        <w:pStyle w:val="Bullet"/>
        <w:numPr>
          <w:ilvl w:val="0"/>
          <w:numId w:val="0"/>
        </w:numPr>
        <w:spacing w:before="40" w:after="120"/>
        <w:ind w:right="-482"/>
        <w:rPr>
          <w:b/>
        </w:rPr>
      </w:pPr>
      <w:r w:rsidRPr="00BD63BE">
        <w:rPr>
          <w:b/>
          <w:i/>
        </w:rPr>
        <w:t>Historical records</w:t>
      </w:r>
      <w:r>
        <w:rPr>
          <w:b/>
          <w:i/>
        </w:rPr>
        <w:t>: Prepaid account facility enables online access to …</w:t>
      </w:r>
      <w:r>
        <w:rPr>
          <w:b/>
        </w:rPr>
        <w:t>:</w:t>
      </w:r>
    </w:p>
    <w:p w:rsidR="00C0611F" w:rsidRPr="00F34CD3" w:rsidRDefault="00C0611F" w:rsidP="00977CA2">
      <w:pPr>
        <w:pStyle w:val="Bullet"/>
        <w:numPr>
          <w:ilvl w:val="0"/>
          <w:numId w:val="0"/>
        </w:numPr>
        <w:spacing w:before="40" w:after="40"/>
        <w:ind w:right="-482"/>
      </w:pPr>
      <w:r>
        <w:rPr>
          <w:i/>
        </w:rPr>
        <w:t>Births register</w:t>
      </w:r>
    </w:p>
    <w:p w:rsidR="00C0611F" w:rsidRDefault="00C0611F" w:rsidP="00977CA2">
      <w:pPr>
        <w:pStyle w:val="Bullet"/>
        <w:numPr>
          <w:ilvl w:val="0"/>
          <w:numId w:val="0"/>
        </w:numPr>
        <w:spacing w:before="40" w:after="40"/>
        <w:ind w:right="-482"/>
        <w:jc w:val="center"/>
      </w:pPr>
      <w:r>
        <w:rPr>
          <w:lang w:eastAsia="en-NZ"/>
        </w:rPr>
        <mc:AlternateContent>
          <mc:Choice Requires="wps">
            <w:drawing>
              <wp:anchor distT="0" distB="0" distL="114300" distR="114300" simplePos="0" relativeHeight="251659264" behindDoc="0" locked="0" layoutInCell="1" allowOverlap="1" wp14:anchorId="6031F6F3" wp14:editId="77DB9F91">
                <wp:simplePos x="0" y="0"/>
                <wp:positionH relativeFrom="column">
                  <wp:posOffset>-516052</wp:posOffset>
                </wp:positionH>
                <wp:positionV relativeFrom="paragraph">
                  <wp:posOffset>1502410</wp:posOffset>
                </wp:positionV>
                <wp:extent cx="734938" cy="247828"/>
                <wp:effectExtent l="19050" t="19050" r="27305" b="38100"/>
                <wp:wrapNone/>
                <wp:docPr id="6" name="Notched Right Arrow 6"/>
                <wp:cNvGraphicFramePr/>
                <a:graphic xmlns:a="http://schemas.openxmlformats.org/drawingml/2006/main">
                  <a:graphicData uri="http://schemas.microsoft.com/office/word/2010/wordprocessingShape">
                    <wps:wsp>
                      <wps:cNvSpPr/>
                      <wps:spPr>
                        <a:xfrm>
                          <a:off x="0" y="0"/>
                          <a:ext cx="734938" cy="247828"/>
                        </a:xfrm>
                        <a:prstGeom prst="notched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6" o:spid="_x0000_s1026" type="#_x0000_t94" style="position:absolute;margin-left:-40.65pt;margin-top:118.3pt;width:57.8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" adj="17958" fillcolor="#bfbfbf [2412]" strokecolor="black [3213]" strokeweight="2pt"/>
            </w:pict>
          </mc:Fallback>
        </mc:AlternateContent>
      </w:r>
      <w:r>
        <w:rPr>
          <w:lang w:eastAsia="en-NZ"/>
        </w:rPr>
        <w:drawing>
          <wp:inline distT="0" distB="0" distL="0" distR="0" wp14:anchorId="3F856EF8" wp14:editId="7CFEEC24">
            <wp:extent cx="6036383" cy="361989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45380" cy="3625288"/>
                    </a:xfrm>
                    <a:prstGeom prst="rect">
                      <a:avLst/>
                    </a:prstGeom>
                  </pic:spPr>
                </pic:pic>
              </a:graphicData>
            </a:graphic>
          </wp:inline>
        </w:drawing>
      </w:r>
    </w:p>
    <w:p w:rsidR="00C0611F" w:rsidRPr="002A735B" w:rsidRDefault="00C0611F" w:rsidP="00977CA2">
      <w:pPr>
        <w:pStyle w:val="Bullet"/>
        <w:numPr>
          <w:ilvl w:val="0"/>
          <w:numId w:val="0"/>
        </w:numPr>
        <w:spacing w:before="40" w:after="240"/>
        <w:ind w:left="357" w:right="-482" w:hanging="357"/>
        <w:rPr>
          <w:i/>
        </w:rPr>
      </w:pPr>
      <w:r w:rsidRPr="002A735B">
        <w:rPr>
          <w:i/>
        </w:rPr>
        <w:t>Register of Co</w:t>
      </w:r>
      <w:r>
        <w:rPr>
          <w:i/>
        </w:rPr>
        <w:t>rrected Entries</w:t>
      </w:r>
    </w:p>
    <w:p w:rsidR="00C0611F" w:rsidRDefault="00C0611F" w:rsidP="00977CA2">
      <w:pPr>
        <w:pStyle w:val="Bullet"/>
        <w:numPr>
          <w:ilvl w:val="0"/>
          <w:numId w:val="0"/>
        </w:numPr>
        <w:spacing w:before="0" w:after="0"/>
        <w:ind w:left="357" w:right="-482" w:hanging="357"/>
        <w:jc w:val="center"/>
      </w:pPr>
      <w:r>
        <w:rPr>
          <w:lang w:eastAsia="en-NZ"/>
        </w:rPr>
        <mc:AlternateContent>
          <mc:Choice Requires="wps">
            <w:drawing>
              <wp:anchor distT="0" distB="0" distL="114300" distR="114300" simplePos="0" relativeHeight="251660288" behindDoc="0" locked="0" layoutInCell="1" allowOverlap="1" wp14:anchorId="5AB62F4A" wp14:editId="1A4120A6">
                <wp:simplePos x="0" y="0"/>
                <wp:positionH relativeFrom="column">
                  <wp:posOffset>743401</wp:posOffset>
                </wp:positionH>
                <wp:positionV relativeFrom="paragraph">
                  <wp:posOffset>1450234</wp:posOffset>
                </wp:positionV>
                <wp:extent cx="734938" cy="247828"/>
                <wp:effectExtent l="19050" t="19050" r="27305" b="38100"/>
                <wp:wrapNone/>
                <wp:docPr id="7" name="Notched Right Arrow 7"/>
                <wp:cNvGraphicFramePr/>
                <a:graphic xmlns:a="http://schemas.openxmlformats.org/drawingml/2006/main">
                  <a:graphicData uri="http://schemas.microsoft.com/office/word/2010/wordprocessingShape">
                    <wps:wsp>
                      <wps:cNvSpPr/>
                      <wps:spPr>
                        <a:xfrm>
                          <a:off x="0" y="0"/>
                          <a:ext cx="734938" cy="247828"/>
                        </a:xfrm>
                        <a:prstGeom prst="notchedRightArrow">
                          <a:avLst/>
                        </a:prstGeom>
                        <a:solidFill>
                          <a:srgbClr val="FFFFFF">
                            <a:lumMod val="75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7" o:spid="_x0000_s1026" type="#_x0000_t94" style="position:absolute;margin-left:58.55pt;margin-top:114.2pt;width:57.8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" adj="17958" fillcolor="#bfbfbf" strokecolor="windowText" strokeweight="2pt"/>
            </w:pict>
          </mc:Fallback>
        </mc:AlternateContent>
      </w:r>
      <w:r>
        <w:rPr>
          <w:lang w:eastAsia="en-NZ"/>
        </w:rPr>
        <w:drawing>
          <wp:inline distT="0" distB="0" distL="0" distR="0" wp14:anchorId="4F8E2FF5" wp14:editId="1CD2B7ED">
            <wp:extent cx="3214686" cy="381785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19988" cy="3824153"/>
                    </a:xfrm>
                    <a:prstGeom prst="rect">
                      <a:avLst/>
                    </a:prstGeom>
                  </pic:spPr>
                </pic:pic>
              </a:graphicData>
            </a:graphic>
          </wp:inline>
        </w:drawing>
      </w:r>
    </w:p>
    <w:p w:rsidR="00C0611F" w:rsidRDefault="00C0611F" w:rsidP="00977CA2">
      <w:pPr>
        <w:pStyle w:val="Bullet"/>
        <w:numPr>
          <w:ilvl w:val="0"/>
          <w:numId w:val="0"/>
        </w:numPr>
        <w:spacing w:before="40" w:after="40"/>
        <w:ind w:left="360" w:right="-482" w:hanging="360"/>
      </w:pPr>
      <w:r>
        <w:rPr>
          <w:lang w:eastAsia="en-NZ"/>
        </w:rPr>
        <mc:AlternateContent>
          <mc:Choice Requires="wps">
            <w:drawing>
              <wp:anchor distT="0" distB="0" distL="114300" distR="114300" simplePos="0" relativeHeight="251662336" behindDoc="0" locked="0" layoutInCell="1" allowOverlap="1" wp14:anchorId="5AE6C47B" wp14:editId="620C842A">
                <wp:simplePos x="0" y="0"/>
                <wp:positionH relativeFrom="column">
                  <wp:posOffset>-356235</wp:posOffset>
                </wp:positionH>
                <wp:positionV relativeFrom="paragraph">
                  <wp:posOffset>1052830</wp:posOffset>
                </wp:positionV>
                <wp:extent cx="536575" cy="247650"/>
                <wp:effectExtent l="19050" t="19050" r="15875" b="38100"/>
                <wp:wrapNone/>
                <wp:docPr id="3" name="Notched Right Arrow 3"/>
                <wp:cNvGraphicFramePr/>
                <a:graphic xmlns:a="http://schemas.openxmlformats.org/drawingml/2006/main">
                  <a:graphicData uri="http://schemas.microsoft.com/office/word/2010/wordprocessingShape">
                    <wps:wsp>
                      <wps:cNvSpPr/>
                      <wps:spPr>
                        <a:xfrm>
                          <a:off x="0" y="0"/>
                          <a:ext cx="536575" cy="247650"/>
                        </a:xfrm>
                        <a:prstGeom prst="notchedRightArrow">
                          <a:avLst/>
                        </a:prstGeom>
                        <a:solidFill>
                          <a:srgbClr val="FFFFFF">
                            <a:lumMod val="75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3" o:spid="_x0000_s1026" type="#_x0000_t94" style="position:absolute;margin-left:-28.05pt;margin-top:82.9pt;width:4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" adj="16615" fillcolor="#bfbfbf" strokecolor="windowText" strokeweight="2pt"/>
            </w:pict>
          </mc:Fallback>
        </mc:AlternateContent>
      </w:r>
      <w:r>
        <w:rPr>
          <w:lang w:eastAsia="en-NZ"/>
        </w:rPr>
        <w:drawing>
          <wp:anchor distT="0" distB="0" distL="114300" distR="114300" simplePos="0" relativeHeight="251661312" behindDoc="0" locked="0" layoutInCell="1" allowOverlap="1" wp14:anchorId="1537252A" wp14:editId="7F9970EE">
            <wp:simplePos x="0" y="0"/>
            <wp:positionH relativeFrom="column">
              <wp:posOffset>180340</wp:posOffset>
            </wp:positionH>
            <wp:positionV relativeFrom="paragraph">
              <wp:posOffset>236855</wp:posOffset>
            </wp:positionV>
            <wp:extent cx="6386830" cy="40703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86830" cy="4070350"/>
                    </a:xfrm>
                    <a:prstGeom prst="rect">
                      <a:avLst/>
                    </a:prstGeom>
                  </pic:spPr>
                </pic:pic>
              </a:graphicData>
            </a:graphic>
            <wp14:sizeRelH relativeFrom="margin">
              <wp14:pctWidth>0</wp14:pctWidth>
            </wp14:sizeRelH>
            <wp14:sizeRelV relativeFrom="margin">
              <wp14:pctHeight>0</wp14:pctHeight>
            </wp14:sizeRelV>
          </wp:anchor>
        </w:drawing>
      </w:r>
      <w:r w:rsidRPr="00BD63BE">
        <w:rPr>
          <w:i/>
        </w:rPr>
        <w:t>Marriage register</w:t>
      </w:r>
    </w:p>
    <w:p w:rsidR="00C0611F" w:rsidRPr="00FC0C3B" w:rsidRDefault="00C0611F" w:rsidP="00977CA2">
      <w:pPr>
        <w:pStyle w:val="Bullet"/>
        <w:numPr>
          <w:ilvl w:val="0"/>
          <w:numId w:val="0"/>
        </w:numPr>
        <w:spacing w:before="40" w:after="40"/>
        <w:ind w:left="360" w:right="-482" w:hanging="360"/>
        <w:rPr>
          <w:i/>
        </w:rPr>
      </w:pPr>
      <w:r w:rsidRPr="00FC0C3B">
        <w:rPr>
          <w:i/>
        </w:rPr>
        <w:t>Register of Corrected Entries (divorce record)</w:t>
      </w:r>
    </w:p>
    <w:p w:rsidR="00C0611F" w:rsidRDefault="00C0611F" w:rsidP="00977CA2">
      <w:pPr>
        <w:pStyle w:val="Bullet"/>
        <w:numPr>
          <w:ilvl w:val="0"/>
          <w:numId w:val="0"/>
        </w:numPr>
        <w:tabs>
          <w:tab w:val="left" w:pos="821"/>
        </w:tabs>
        <w:spacing w:before="40" w:after="40"/>
        <w:ind w:left="360" w:right="-482" w:hanging="360"/>
      </w:pPr>
    </w:p>
    <w:p w:rsidR="00C0611F" w:rsidRDefault="00C0611F" w:rsidP="00977CA2">
      <w:pPr>
        <w:pStyle w:val="Bullet"/>
        <w:numPr>
          <w:ilvl w:val="0"/>
          <w:numId w:val="0"/>
        </w:numPr>
        <w:tabs>
          <w:tab w:val="left" w:pos="821"/>
        </w:tabs>
        <w:spacing w:before="40" w:after="40"/>
        <w:ind w:left="360" w:right="-482" w:hanging="360"/>
        <w:jc w:val="center"/>
      </w:pPr>
      <w:r>
        <w:rPr>
          <w:lang w:eastAsia="en-NZ"/>
        </w:rPr>
        <mc:AlternateContent>
          <mc:Choice Requires="wps">
            <w:drawing>
              <wp:anchor distT="0" distB="0" distL="114300" distR="114300" simplePos="0" relativeHeight="251663360" behindDoc="0" locked="0" layoutInCell="1" allowOverlap="1" wp14:anchorId="3C8E4EE6" wp14:editId="3A75B1BC">
                <wp:simplePos x="0" y="0"/>
                <wp:positionH relativeFrom="column">
                  <wp:posOffset>748030</wp:posOffset>
                </wp:positionH>
                <wp:positionV relativeFrom="paragraph">
                  <wp:posOffset>1791970</wp:posOffset>
                </wp:positionV>
                <wp:extent cx="734695" cy="247650"/>
                <wp:effectExtent l="19050" t="19050" r="27305" b="38100"/>
                <wp:wrapNone/>
                <wp:docPr id="11" name="Notched Right Arrow 11"/>
                <wp:cNvGraphicFramePr/>
                <a:graphic xmlns:a="http://schemas.openxmlformats.org/drawingml/2006/main">
                  <a:graphicData uri="http://schemas.microsoft.com/office/word/2010/wordprocessingShape">
                    <wps:wsp>
                      <wps:cNvSpPr/>
                      <wps:spPr>
                        <a:xfrm>
                          <a:off x="0" y="0"/>
                          <a:ext cx="734695" cy="247650"/>
                        </a:xfrm>
                        <a:prstGeom prst="notchedRightArrow">
                          <a:avLst/>
                        </a:prstGeom>
                        <a:solidFill>
                          <a:srgbClr val="FFFFFF">
                            <a:lumMod val="75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otched Right Arrow 11" o:spid="_x0000_s1026" type="#_x0000_t94" style="position:absolute;margin-left:58.9pt;margin-top:141.1pt;width:57.8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" adj="17960" fillcolor="#bfbfbf" strokecolor="windowText" strokeweight="2pt"/>
            </w:pict>
          </mc:Fallback>
        </mc:AlternateContent>
      </w:r>
      <w:r>
        <w:rPr>
          <w:lang w:eastAsia="en-NZ"/>
        </w:rPr>
        <w:drawing>
          <wp:inline distT="0" distB="0" distL="0" distR="0" wp14:anchorId="50304D84" wp14:editId="681AA116">
            <wp:extent cx="3139126" cy="467514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39126" cy="4675141"/>
                    </a:xfrm>
                    <a:prstGeom prst="rect">
                      <a:avLst/>
                    </a:prstGeom>
                  </pic:spPr>
                </pic:pic>
              </a:graphicData>
            </a:graphic>
          </wp:inline>
        </w:drawing>
      </w:r>
    </w:p>
    <w:p w:rsidR="00C0611F" w:rsidRDefault="00C0611F" w:rsidP="00977CA2">
      <w:pPr>
        <w:pStyle w:val="Bullet"/>
        <w:numPr>
          <w:ilvl w:val="0"/>
          <w:numId w:val="0"/>
        </w:numPr>
        <w:tabs>
          <w:tab w:val="left" w:pos="821"/>
        </w:tabs>
        <w:spacing w:before="40" w:after="40"/>
        <w:rPr>
          <w:i/>
        </w:rPr>
      </w:pPr>
      <w:r>
        <w:rPr>
          <w:i/>
        </w:rPr>
        <w:t>Deaths register</w:t>
      </w:r>
    </w:p>
    <w:p w:rsidR="00C0611F" w:rsidRDefault="00C0611F" w:rsidP="00977CA2">
      <w:pPr>
        <w:pStyle w:val="Bullet"/>
        <w:numPr>
          <w:ilvl w:val="0"/>
          <w:numId w:val="0"/>
        </w:numPr>
        <w:tabs>
          <w:tab w:val="left" w:pos="821"/>
        </w:tabs>
        <w:spacing w:before="40" w:after="40"/>
        <w:rPr>
          <w:i/>
        </w:rPr>
      </w:pPr>
    </w:p>
    <w:p w:rsidR="00C0611F" w:rsidRPr="00DF4497" w:rsidRDefault="00C0611F" w:rsidP="00977CA2">
      <w:pPr>
        <w:pStyle w:val="Bullet"/>
        <w:numPr>
          <w:ilvl w:val="0"/>
          <w:numId w:val="0"/>
        </w:numPr>
        <w:tabs>
          <w:tab w:val="left" w:pos="821"/>
        </w:tabs>
        <w:spacing w:before="40" w:after="40"/>
        <w:ind w:left="-567"/>
        <w:rPr>
          <w:i/>
        </w:rPr>
      </w:pPr>
      <w:r>
        <w:rPr>
          <w:lang w:eastAsia="en-NZ"/>
        </w:rPr>
        <w:drawing>
          <wp:inline distT="0" distB="0" distL="0" distR="0" wp14:anchorId="60A2A48E" wp14:editId="5A8FB413">
            <wp:extent cx="6818749" cy="440231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825675" cy="4406789"/>
                    </a:xfrm>
                    <a:prstGeom prst="rect">
                      <a:avLst/>
                    </a:prstGeom>
                  </pic:spPr>
                </pic:pic>
              </a:graphicData>
            </a:graphic>
          </wp:inline>
        </w:drawing>
      </w:r>
    </w:p>
    <w:p w:rsidR="00C0611F" w:rsidRDefault="00C0611F" w:rsidP="00977CA2">
      <w:pPr>
        <w:pStyle w:val="Bullet"/>
        <w:numPr>
          <w:ilvl w:val="0"/>
          <w:numId w:val="0"/>
        </w:numPr>
        <w:spacing w:before="40" w:after="40"/>
        <w:ind w:left="360" w:right="-482" w:hanging="360"/>
      </w:pPr>
    </w:p>
    <w:p w:rsidR="00C0611F" w:rsidRDefault="00C0611F" w:rsidP="00977CA2">
      <w:pPr>
        <w:pStyle w:val="Bullet"/>
        <w:numPr>
          <w:ilvl w:val="0"/>
          <w:numId w:val="0"/>
        </w:numPr>
        <w:spacing w:before="40" w:after="40"/>
        <w:ind w:left="360" w:right="-482" w:hanging="360"/>
      </w:pPr>
    </w:p>
    <w:p w:rsidR="00C0611F" w:rsidRDefault="00C0611F" w:rsidP="00977CA2">
      <w:pPr>
        <w:pStyle w:val="Bullet"/>
        <w:numPr>
          <w:ilvl w:val="0"/>
          <w:numId w:val="0"/>
        </w:numPr>
        <w:spacing w:before="40" w:after="40"/>
        <w:ind w:left="360" w:right="-482" w:hanging="360"/>
      </w:pPr>
    </w:p>
    <w:p w:rsidR="00F71371" w:rsidRPr="00F71371" w:rsidRDefault="00F71371" w:rsidP="00977CA2"/>
    <w:sectPr w:rsidR="00F71371" w:rsidRPr="00F71371" w:rsidSect="003742E6">
      <w:headerReference w:type="default" r:id="rId20"/>
      <w:pgSz w:w="11907" w:h="16840" w:code="9"/>
      <w:pgMar w:top="992" w:right="1304" w:bottom="709" w:left="1304"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304" w:rsidRDefault="00DF1304">
      <w:r>
        <w:separator/>
      </w:r>
    </w:p>
    <w:p w:rsidR="00DF1304" w:rsidRDefault="00DF1304"/>
    <w:p w:rsidR="00DF1304" w:rsidRDefault="00DF1304"/>
  </w:endnote>
  <w:endnote w:type="continuationSeparator" w:id="0">
    <w:p w:rsidR="00DF1304" w:rsidRDefault="00DF1304">
      <w:r>
        <w:continuationSeparator/>
      </w:r>
    </w:p>
    <w:p w:rsidR="00DF1304" w:rsidRDefault="00DF1304"/>
    <w:p w:rsidR="00DF1304" w:rsidRDefault="00DF13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D8" w:rsidRDefault="002245D8" w:rsidP="00460B3F">
    <w:pPr>
      <w:pStyle w:val="Footer"/>
      <w:tabs>
        <w:tab w:val="center" w:pos="5103"/>
        <w:tab w:val="right" w:pos="9071"/>
      </w:tabs>
      <w:ind w:right="-1"/>
    </w:pPr>
    <w:r>
      <w:tab/>
    </w:r>
    <w:r>
      <w:tab/>
      <w:t xml:space="preserve">Page </w:t>
    </w:r>
    <w:r>
      <w:fldChar w:fldCharType="begin"/>
    </w:r>
    <w:r>
      <w:instrText xml:space="preserve"> PAGE  \* Arabic  \* MERGEFORMAT </w:instrText>
    </w:r>
    <w:r>
      <w:fldChar w:fldCharType="separate"/>
    </w:r>
    <w:r w:rsidR="00FF25D3">
      <w:rPr>
        <w:noProof/>
      </w:rPr>
      <w:t>23</w:t>
    </w:r>
    <w:r>
      <w:fldChar w:fldCharType="end"/>
    </w:r>
    <w:r>
      <w:t xml:space="preserve"> of </w:t>
    </w:r>
    <w:r w:rsidR="00FF25D3">
      <w:fldChar w:fldCharType="begin"/>
    </w:r>
    <w:r w:rsidR="00FF25D3">
      <w:instrText xml:space="preserve"> NUMPAGES   \* MERGEFORMAT </w:instrText>
    </w:r>
    <w:r w:rsidR="00FF25D3">
      <w:fldChar w:fldCharType="separate"/>
    </w:r>
    <w:r w:rsidR="00FF25D3">
      <w:rPr>
        <w:noProof/>
      </w:rPr>
      <w:t>23</w:t>
    </w:r>
    <w:r w:rsidR="00FF25D3">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D8" w:rsidRDefault="002245D8" w:rsidP="00F419AD">
    <w:pPr>
      <w:pStyle w:val="Footer"/>
      <w:tabs>
        <w:tab w:val="center" w:pos="5103"/>
        <w:tab w:val="right" w:pos="9071"/>
      </w:tabs>
      <w:ind w:right="-1"/>
      <w:jc w:val="right"/>
    </w:pPr>
    <w:r>
      <w:t xml:space="preserve">Page </w:t>
    </w:r>
    <w:r>
      <w:fldChar w:fldCharType="begin"/>
    </w:r>
    <w:r>
      <w:instrText xml:space="preserve"> PAGE  \* Arabic  \* MERGEFORMAT </w:instrText>
    </w:r>
    <w:r>
      <w:fldChar w:fldCharType="separate"/>
    </w:r>
    <w:r w:rsidR="00FF25D3">
      <w:rPr>
        <w:noProof/>
      </w:rPr>
      <w:t>1</w:t>
    </w:r>
    <w:r>
      <w:fldChar w:fldCharType="end"/>
    </w:r>
    <w:r>
      <w:t xml:space="preserve"> of </w:t>
    </w:r>
    <w:r w:rsidR="00FF25D3">
      <w:fldChar w:fldCharType="begin"/>
    </w:r>
    <w:r w:rsidR="00FF25D3">
      <w:instrText xml:space="preserve"> NUMPAGES   \* MERGEFORMAT </w:instrText>
    </w:r>
    <w:r w:rsidR="00FF25D3">
      <w:fldChar w:fldCharType="separate"/>
    </w:r>
    <w:r w:rsidR="00FF25D3">
      <w:rPr>
        <w:noProof/>
      </w:rPr>
      <w:t>23</w:t>
    </w:r>
    <w:r w:rsidR="00FF25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304" w:rsidRDefault="00DF1304" w:rsidP="00F86809">
      <w:pPr>
        <w:pStyle w:val="Spacer"/>
      </w:pPr>
      <w:r>
        <w:separator/>
      </w:r>
    </w:p>
  </w:footnote>
  <w:footnote w:type="continuationSeparator" w:id="0">
    <w:p w:rsidR="00DF1304" w:rsidRDefault="00DF1304">
      <w:r>
        <w:continuationSeparator/>
      </w:r>
    </w:p>
    <w:p w:rsidR="00DF1304" w:rsidRDefault="00DF1304"/>
    <w:p w:rsidR="00DF1304" w:rsidRDefault="00DF1304"/>
  </w:footnote>
  <w:footnote w:id="1">
    <w:p w:rsidR="002245D8" w:rsidRDefault="002245D8" w:rsidP="009D5555">
      <w:pPr>
        <w:pStyle w:val="FootnoteText"/>
        <w:ind w:right="-482"/>
      </w:pPr>
      <w:r>
        <w:rPr>
          <w:rStyle w:val="FootnoteReference"/>
        </w:rPr>
        <w:footnoteRef/>
      </w:r>
      <w:r>
        <w:t xml:space="preserve"> Section 78J specified the sections to be reviewed (</w:t>
      </w:r>
      <w:proofErr w:type="spellStart"/>
      <w:r>
        <w:t>ss</w:t>
      </w:r>
      <w:proofErr w:type="spellEnd"/>
      <w:r>
        <w:t xml:space="preserve"> 74–75G, which govern public access for approved purposes;</w:t>
      </w:r>
      <w:r>
        <w:br/>
        <w:t xml:space="preserve">s 78F, which enables NGOs to receive death information to update their databases, </w:t>
      </w:r>
      <w:proofErr w:type="spellStart"/>
      <w:r>
        <w:t>eg</w:t>
      </w:r>
      <w:proofErr w:type="spellEnd"/>
      <w:r>
        <w:t xml:space="preserve">, purging mailing lists; and </w:t>
      </w:r>
      <w:r>
        <w:br/>
        <w:t>s 78H, which sets out what historical information the Registrar-General can make available for search on the Internet).</w:t>
      </w:r>
    </w:p>
  </w:footnote>
  <w:footnote w:id="2">
    <w:p w:rsidR="002245D8" w:rsidRDefault="002245D8" w:rsidP="000958EA">
      <w:pPr>
        <w:pStyle w:val="FootnoteText"/>
        <w:ind w:right="-199"/>
      </w:pPr>
      <w:r>
        <w:rPr>
          <w:rStyle w:val="FootnoteReference"/>
        </w:rPr>
        <w:footnoteRef/>
      </w:r>
      <w:r>
        <w:t xml:space="preserve"> In addition to the statutory registers (births, marriages, deaths, civil partnerships, divorces, and dissolutions), </w:t>
      </w:r>
      <w:proofErr w:type="spellStart"/>
      <w:r w:rsidRPr="009E7FCC">
        <w:rPr>
          <w:i/>
        </w:rPr>
        <w:t>ScotlandsPeople</w:t>
      </w:r>
      <w:proofErr w:type="spellEnd"/>
      <w:r>
        <w:t xml:space="preserve"> enables users to search a wide range of official records, including census returns, church registers, valuation rolls, and wills and testaments.  However, consideration of extending BDM Online to include records other than those controlled by the Registrar-General is outside the scope of this RIS and the related Cabinet paper.</w:t>
      </w:r>
    </w:p>
  </w:footnote>
  <w:footnote w:id="3">
    <w:p w:rsidR="002245D8" w:rsidRPr="00BE3AB9" w:rsidRDefault="002245D8">
      <w:pPr>
        <w:pStyle w:val="FootnoteText"/>
      </w:pPr>
      <w:r>
        <w:rPr>
          <w:rStyle w:val="FootnoteReference"/>
        </w:rPr>
        <w:footnoteRef/>
      </w:r>
      <w:r>
        <w:t xml:space="preserve"> Law Commission </w:t>
      </w:r>
      <w:r>
        <w:rPr>
          <w:i/>
        </w:rPr>
        <w:t xml:space="preserve">Death, Burial and Cremation: A new law for contemporary New Zealand </w:t>
      </w:r>
      <w:r>
        <w:t>(NZLC R134, 2015).</w:t>
      </w:r>
    </w:p>
  </w:footnote>
  <w:footnote w:id="4">
    <w:p w:rsidR="002245D8" w:rsidRPr="009E2F9A" w:rsidRDefault="002245D8" w:rsidP="00BE3AB9">
      <w:pPr>
        <w:pStyle w:val="FootnoteText"/>
        <w:ind w:right="-285"/>
      </w:pPr>
      <w:r w:rsidRPr="009E2F9A">
        <w:rPr>
          <w:rStyle w:val="FootnoteReference"/>
          <w:sz w:val="20"/>
        </w:rPr>
        <w:footnoteRef/>
      </w:r>
      <w:r w:rsidRPr="009E2F9A">
        <w:t xml:space="preserve"> The indexes were produced from 1848 to 1998 to help BDM staff identify individual entries in the (then) paper-based registers held in BDM offices and courts throughout the country.  Members of the public also used the indexes to identify the records they wanted to access.  After 1998, computerised and centralised registration of BDM life events made indexes largely redundant, and production ceased entirely in 2009.</w:t>
      </w:r>
    </w:p>
  </w:footnote>
  <w:footnote w:id="5">
    <w:p w:rsidR="002245D8" w:rsidRDefault="002245D8" w:rsidP="000D671A">
      <w:pPr>
        <w:pStyle w:val="FootnoteText"/>
        <w:ind w:right="-427"/>
      </w:pPr>
      <w:r>
        <w:rPr>
          <w:rStyle w:val="FootnoteReference"/>
        </w:rPr>
        <w:footnoteRef/>
      </w:r>
      <w:r>
        <w:t xml:space="preserve"> The Department is obliged to charge fees that maximise cost recovery outcomes in line with Treasury’s </w:t>
      </w:r>
      <w:r>
        <w:rPr>
          <w:i/>
        </w:rPr>
        <w:t xml:space="preserve">Guidelines for Setting Charges in the Public Sector </w:t>
      </w:r>
      <w:r w:rsidRPr="003D7C5A">
        <w:t>2002</w:t>
      </w:r>
      <w:r>
        <w:t>.</w:t>
      </w:r>
    </w:p>
  </w:footnote>
  <w:footnote w:id="6">
    <w:p w:rsidR="002245D8" w:rsidRPr="009E2F9A" w:rsidRDefault="002245D8" w:rsidP="00B85CF0">
      <w:pPr>
        <w:pStyle w:val="FootnoteText"/>
        <w:ind w:right="-427"/>
      </w:pPr>
      <w:r w:rsidRPr="009E2F9A">
        <w:rPr>
          <w:rStyle w:val="FootnoteReference"/>
          <w:sz w:val="20"/>
        </w:rPr>
        <w:footnoteRef/>
      </w:r>
      <w:r w:rsidRPr="009E2F9A">
        <w:t xml:space="preserve"> The current search fields on BDM Online do not include all </w:t>
      </w:r>
      <w:r>
        <w:t>historical i</w:t>
      </w:r>
      <w:r w:rsidRPr="009E2F9A">
        <w:t>nformation that s 78H of the BDMRRA 1995 authorises the Registrar-General to make available.</w:t>
      </w:r>
    </w:p>
  </w:footnote>
  <w:footnote w:id="7">
    <w:p w:rsidR="002245D8" w:rsidRDefault="002245D8">
      <w:pPr>
        <w:pStyle w:val="FootnoteText"/>
      </w:pPr>
      <w:r>
        <w:rPr>
          <w:rStyle w:val="FootnoteReference"/>
        </w:rPr>
        <w:footnoteRef/>
      </w:r>
      <w:r>
        <w:t xml:space="preserve"> Scotland, like New Zealand, discontinued the use of the word “illegitimate”, with retrospective effect, early in the 20th century.  Option 3 reflects how Scotland handles access requests for historical records that may contain confidential information (see </w:t>
      </w:r>
      <w:r w:rsidRPr="00E434D5">
        <w:rPr>
          <w:b/>
        </w:rPr>
        <w:t>Appendix A</w:t>
      </w:r>
      <w:r>
        <w:t>).</w:t>
      </w:r>
    </w:p>
  </w:footnote>
  <w:footnote w:id="8">
    <w:p w:rsidR="002245D8" w:rsidRDefault="002245D8">
      <w:pPr>
        <w:pStyle w:val="FootnoteText"/>
      </w:pPr>
      <w:r>
        <w:rPr>
          <w:rStyle w:val="FootnoteReference"/>
        </w:rPr>
        <w:footnoteRef/>
      </w:r>
      <w:r>
        <w:t xml:space="preserve"> The original digitisation process (1999–2001) involved 10+ staff over 3 years at a cost of approximately $10m.</w:t>
      </w:r>
    </w:p>
  </w:footnote>
  <w:footnote w:id="9">
    <w:p w:rsidR="002245D8" w:rsidRDefault="002245D8" w:rsidP="00CB1D40">
      <w:pPr>
        <w:pStyle w:val="FootnoteText"/>
        <w:ind w:right="-199"/>
      </w:pPr>
      <w:r>
        <w:rPr>
          <w:rStyle w:val="FootnoteReference"/>
        </w:rPr>
        <w:footnoteRef/>
      </w:r>
      <w:r>
        <w:t xml:space="preserve"> In the first full year of the online historical search function (the 2009/10 financial year) the percentage of historical record access requests to total requests increased to 17.28% – up from 9.94% in 2008/09.  However, that had reduced to 9.94% in 2014/15, and 9.89% in 2015/16.</w:t>
      </w:r>
    </w:p>
  </w:footnote>
  <w:footnote w:id="10">
    <w:p w:rsidR="002245D8" w:rsidRDefault="002245D8">
      <w:pPr>
        <w:pStyle w:val="FootnoteText"/>
      </w:pPr>
      <w:r>
        <w:rPr>
          <w:rStyle w:val="FootnoteReference"/>
        </w:rPr>
        <w:footnoteRef/>
      </w:r>
      <w:r>
        <w:t xml:space="preserve"> 269,830 in 2008/09 and </w:t>
      </w:r>
      <w:proofErr w:type="gramStart"/>
      <w:r w:rsidRPr="00FB4B4F">
        <w:t>270,292 in 2014/15</w:t>
      </w:r>
      <w:r>
        <w:t>;</w:t>
      </w:r>
      <w:proofErr w:type="gramEnd"/>
      <w:r>
        <w:t xml:space="preserve"> there was a slight increase to 282,869 in 2015/16.</w:t>
      </w:r>
    </w:p>
  </w:footnote>
  <w:footnote w:id="11">
    <w:p w:rsidR="002245D8" w:rsidRDefault="002245D8">
      <w:pPr>
        <w:pStyle w:val="FootnoteText"/>
      </w:pPr>
      <w:r>
        <w:rPr>
          <w:rStyle w:val="FootnoteReference"/>
        </w:rPr>
        <w:footnoteRef/>
      </w:r>
      <w:r>
        <w:t xml:space="preserve"> Burial and Cremation Act 1964, s </w:t>
      </w:r>
      <w:proofErr w:type="gramStart"/>
      <w:r>
        <w:t>46AA(</w:t>
      </w:r>
      <w:proofErr w:type="gramEnd"/>
      <w:r>
        <w:t>2).</w:t>
      </w:r>
    </w:p>
  </w:footnote>
  <w:footnote w:id="12">
    <w:p w:rsidR="002245D8" w:rsidRDefault="002245D8" w:rsidP="002245D8">
      <w:pPr>
        <w:pStyle w:val="FootnoteText"/>
        <w:ind w:left="227" w:hanging="227"/>
      </w:pPr>
      <w:r>
        <w:rPr>
          <w:rStyle w:val="FootnoteReference"/>
        </w:rPr>
        <w:footnoteRef/>
      </w:r>
      <w:r>
        <w:t xml:space="preserve"> BDMRRA 1995, s 34(1) requires a death to “be notified and registered in accordance with [Part 6]”; however, the provisions in Part 6 link notification to disposal of the body, not the fact of death.</w:t>
      </w:r>
    </w:p>
  </w:footnote>
  <w:footnote w:id="13">
    <w:p w:rsidR="002245D8" w:rsidRDefault="002245D8" w:rsidP="002245D8">
      <w:pPr>
        <w:pStyle w:val="FootnoteText"/>
        <w:ind w:left="227" w:right="-199" w:hanging="227"/>
      </w:pPr>
      <w:r>
        <w:rPr>
          <w:rStyle w:val="FootnoteReference"/>
        </w:rPr>
        <w:footnoteRef/>
      </w:r>
      <w:r>
        <w:t xml:space="preserve"> On average, 20 deaths a year are not notified.  It can take up to two years for the problem to come to light as a result of Ministry of Health cross-checks on the death information it receives from which it compiles mortality statistics (Schedule 1A of the BDMRRA 1995 refers).</w:t>
      </w:r>
    </w:p>
  </w:footnote>
  <w:footnote w:id="14">
    <w:p w:rsidR="002245D8" w:rsidRDefault="002245D8" w:rsidP="002245D8">
      <w:pPr>
        <w:pStyle w:val="FootnoteText"/>
        <w:ind w:left="227" w:right="-340" w:hanging="227"/>
      </w:pPr>
      <w:r>
        <w:rPr>
          <w:rStyle w:val="FootnoteReference"/>
        </w:rPr>
        <w:footnoteRef/>
      </w:r>
      <w:r>
        <w:t xml:space="preserve"> </w:t>
      </w:r>
      <w:proofErr w:type="gramStart"/>
      <w:r>
        <w:t xml:space="preserve">BDMRRA 1995, </w:t>
      </w:r>
      <w:proofErr w:type="spellStart"/>
      <w:r>
        <w:t>ss</w:t>
      </w:r>
      <w:proofErr w:type="spellEnd"/>
      <w:r>
        <w:t xml:space="preserve"> 5A, 9.</w:t>
      </w:r>
      <w:proofErr w:type="gramEnd"/>
      <w:r>
        <w:t xml:space="preserve">  Seventy per cent of preliminary notices of birth are completed electronically. </w:t>
      </w:r>
    </w:p>
  </w:footnote>
  <w:footnote w:id="15">
    <w:p w:rsidR="002245D8" w:rsidRDefault="002245D8" w:rsidP="002245D8">
      <w:pPr>
        <w:pStyle w:val="FootnoteText"/>
        <w:ind w:left="227" w:right="-766" w:hanging="227"/>
      </w:pPr>
      <w:r>
        <w:rPr>
          <w:rStyle w:val="FootnoteReference"/>
        </w:rPr>
        <w:footnoteRef/>
      </w:r>
      <w:r>
        <w:t xml:space="preserve"> The Law Commission recommended a complementary amendment to clarify it is the person making the </w:t>
      </w:r>
      <w:r w:rsidRPr="00B11378">
        <w:rPr>
          <w:u w:val="single"/>
        </w:rPr>
        <w:t>decision</w:t>
      </w:r>
      <w:r>
        <w:t xml:space="preserve"> about the disposal of the body who should notify the death to the Registrar-General (R8): see paras 88–89 of the EGI paper.  </w:t>
      </w:r>
      <w:r>
        <w:br/>
        <w:t>A RIS is not required to implement this recommendation, but it will be addressed in the BDMRR Amendment Bill.</w:t>
      </w:r>
    </w:p>
  </w:footnote>
  <w:footnote w:id="16">
    <w:p w:rsidR="002245D8" w:rsidRDefault="002245D8">
      <w:pPr>
        <w:pStyle w:val="FootnoteText"/>
      </w:pPr>
      <w:r w:rsidRPr="00287B20">
        <w:rPr>
          <w:rStyle w:val="FootnoteReference"/>
          <w:i/>
        </w:rPr>
        <w:footnoteRef/>
      </w:r>
      <w:r w:rsidRPr="00287B20">
        <w:rPr>
          <w:i/>
        </w:rPr>
        <w:t xml:space="preserve"> </w:t>
      </w:r>
      <w:proofErr w:type="gramStart"/>
      <w:r w:rsidR="00287B20" w:rsidRPr="00287B20">
        <w:rPr>
          <w:i/>
        </w:rPr>
        <w:t>Government Response to Law Commission Report on Burials and Cremations</w:t>
      </w:r>
      <w:r w:rsidR="00287B20">
        <w:t xml:space="preserve"> (20 April 2016) at [23].</w:t>
      </w:r>
      <w:proofErr w:type="gramEnd"/>
    </w:p>
  </w:footnote>
  <w:footnote w:id="17">
    <w:p w:rsidR="002245D8" w:rsidRDefault="002245D8" w:rsidP="00B57F6D">
      <w:pPr>
        <w:pStyle w:val="FootnoteText"/>
        <w:ind w:left="227" w:right="-624" w:hanging="227"/>
      </w:pPr>
      <w:r>
        <w:rPr>
          <w:rStyle w:val="FootnoteReference"/>
        </w:rPr>
        <w:footnoteRef/>
      </w:r>
      <w:r>
        <w:t xml:space="preserve"> The proposed NZ pay-for-view model is limited to BDM information, which the Department is responsible for.  It is not currently possible to link to records held by other agencies (</w:t>
      </w:r>
      <w:proofErr w:type="spellStart"/>
      <w:r>
        <w:t>eg</w:t>
      </w:r>
      <w:proofErr w:type="spellEnd"/>
      <w:r>
        <w:t>, local authority cemetery records, or wills and testaments admitted to probate).</w:t>
      </w:r>
    </w:p>
  </w:footnote>
  <w:footnote w:id="18">
    <w:p w:rsidR="002245D8" w:rsidRDefault="002245D8" w:rsidP="00B57F6D">
      <w:pPr>
        <w:pStyle w:val="FootnoteText"/>
        <w:ind w:left="227" w:right="-232" w:hanging="227"/>
      </w:pPr>
      <w:r>
        <w:rPr>
          <w:rStyle w:val="FootnoteReference"/>
        </w:rPr>
        <w:footnoteRef/>
      </w:r>
      <w:r>
        <w:t xml:space="preserve"> Civil partnerships date from 2005, and dissolutions date from 2007, so they will not be available as historical records until 2080 and 2082 respectively at the earliest.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D8" w:rsidRPr="001D5EC0" w:rsidRDefault="002245D8" w:rsidP="001D5EC0">
    <w:pPr>
      <w:pStyle w:val="Header"/>
      <w:tabs>
        <w:tab w:val="center" w:pos="4536"/>
      </w:tabs>
    </w:pPr>
    <w:r>
      <w:rPr>
        <w:rStyle w:val="Headersecurityclassification"/>
      </w:rPr>
      <w:tab/>
      <w:t>in confidence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D8" w:rsidRDefault="002245D8" w:rsidP="001B2C1E">
    <w:pPr>
      <w:pStyle w:val="Header"/>
      <w:jc w:val="center"/>
    </w:pPr>
    <w:r>
      <w:rPr>
        <w:rStyle w:val="Headersecurityclassification"/>
      </w:rPr>
      <w:t>in confidence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D8" w:rsidRDefault="002245D8" w:rsidP="00460B3F">
    <w:pPr>
      <w:pStyle w:val="Header"/>
      <w:tabs>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1">
    <w:nsid w:val="189428BA"/>
    <w:multiLevelType w:val="hybridMultilevel"/>
    <w:tmpl w:val="EBBC27CC"/>
    <w:lvl w:ilvl="0" w:tplc="8BF84A90">
      <w:start w:val="1"/>
      <w:numFmt w:val="bullet"/>
      <w:pStyle w:val="ListParagraph"/>
      <w:lvlText w:val=""/>
      <w:lvlJc w:val="left"/>
      <w:pPr>
        <w:ind w:left="1287" w:hanging="360"/>
      </w:pPr>
      <w:rPr>
        <w:rFonts w:ascii="Symbol" w:hAnsi="Symbol" w:hint="default"/>
        <w:sz w:val="18"/>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3">
    <w:nsid w:val="368F5832"/>
    <w:multiLevelType w:val="multilevel"/>
    <w:tmpl w:val="8ACE7E44"/>
    <w:lvl w:ilvl="0">
      <w:start w:val="1"/>
      <w:numFmt w:val="upperLetter"/>
      <w:pStyle w:val="Headingappendix"/>
      <w:suff w:val="space"/>
      <w:lvlText w:val="Appendix %1:"/>
      <w:lvlJc w:val="left"/>
      <w:pPr>
        <w:ind w:left="0" w:firstLine="0"/>
      </w:pPr>
      <w:rPr>
        <w:rFonts w:hint="default"/>
        <w:color w:val="000000" w:themeColor="text1"/>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nsid w:val="374F1B62"/>
    <w:multiLevelType w:val="multilevel"/>
    <w:tmpl w:val="3AEAB474"/>
    <w:lvl w:ilvl="0">
      <w:start w:val="1"/>
      <w:numFmt w:val="decimal"/>
      <w:lvlText w:val="%1."/>
      <w:lvlJc w:val="left"/>
      <w:pPr>
        <w:tabs>
          <w:tab w:val="num" w:pos="567"/>
        </w:tabs>
        <w:ind w:left="567" w:hanging="567"/>
      </w:pPr>
      <w:rPr>
        <w:rFonts w:hint="default"/>
      </w:rPr>
    </w:lvl>
    <w:lvl w:ilvl="1">
      <w:start w:val="1"/>
      <w:numFmt w:val="decimal"/>
      <w:lvlText w:val="%1.%2"/>
      <w:lvlJc w:val="left"/>
      <w:pPr>
        <w:ind w:left="1247" w:hanging="680"/>
      </w:pPr>
      <w:rPr>
        <w:rFonts w:hint="default"/>
      </w:rPr>
    </w:lvl>
    <w:lvl w:ilvl="2">
      <w:start w:val="1"/>
      <w:numFmt w:val="decimal"/>
      <w:lvlText w:val="%1.%2.%3"/>
      <w:lvlJc w:val="left"/>
      <w:pPr>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3EF03781"/>
    <w:multiLevelType w:val="multilevel"/>
    <w:tmpl w:val="2DB2798C"/>
    <w:lvl w:ilvl="0">
      <w:start w:val="1"/>
      <w:numFmt w:val="decimal"/>
      <w:pStyle w:val="Numberedpara3level1"/>
      <w:lvlText w:val="%1."/>
      <w:lvlJc w:val="left"/>
      <w:pPr>
        <w:tabs>
          <w:tab w:val="num" w:pos="567"/>
        </w:tabs>
        <w:ind w:left="567" w:hanging="567"/>
      </w:pPr>
      <w:rPr>
        <w:rFonts w:ascii="Calibri" w:hAnsi="Calibri" w:hint="default"/>
        <w:caps w:val="0"/>
        <w:strike w:val="0"/>
        <w:dstrike w:val="0"/>
        <w:vanish w:val="0"/>
        <w:sz w:val="24"/>
        <w:vertAlign w:val="baseline"/>
      </w:rPr>
    </w:lvl>
    <w:lvl w:ilvl="1">
      <w:start w:val="1"/>
      <w:numFmt w:val="decimal"/>
      <w:pStyle w:val="Numberedpara3level211"/>
      <w:lvlText w:val="%1.%2"/>
      <w:lvlJc w:val="left"/>
      <w:pPr>
        <w:ind w:left="1247" w:hanging="680"/>
      </w:pPr>
      <w:rPr>
        <w:rFonts w:ascii="Calibri" w:hAnsi="Calibri" w:hint="default"/>
        <w:caps w:val="0"/>
        <w:strike w:val="0"/>
        <w:dstrike w:val="0"/>
        <w:vanish w:val="0"/>
        <w:vertAlign w:val="baseline"/>
      </w:rPr>
    </w:lvl>
    <w:lvl w:ilvl="2">
      <w:start w:val="1"/>
      <w:numFmt w:val="decimal"/>
      <w:pStyle w:val="Numberedpara3level3111"/>
      <w:lvlText w:val="%1.%2.%3"/>
      <w:lvlJc w:val="left"/>
      <w:pPr>
        <w:ind w:left="2155" w:hanging="908"/>
      </w:pPr>
      <w:rPr>
        <w:rFonts w:ascii="Calibri" w:hAnsi="Calibri" w:hint="default"/>
        <w:caps w:val="0"/>
        <w:strike w:val="0"/>
        <w:dstrike w:val="0"/>
        <w:vanish w:val="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98E6CEB"/>
    <w:multiLevelType w:val="multilevel"/>
    <w:tmpl w:val="B3147ED6"/>
    <w:lvl w:ilvl="0">
      <w:start w:val="1"/>
      <w:numFmt w:val="decimal"/>
      <w:pStyle w:val="Numberedpara2level1"/>
      <w:lvlText w:val="%1."/>
      <w:lvlJc w:val="left"/>
      <w:pPr>
        <w:tabs>
          <w:tab w:val="num" w:pos="567"/>
        </w:tabs>
        <w:ind w:left="567" w:hanging="567"/>
      </w:pPr>
      <w:rPr>
        <w:rFonts w:hint="default"/>
      </w:rPr>
    </w:lvl>
    <w:lvl w:ilvl="1">
      <w:start w:val="1"/>
      <w:numFmt w:val="decimal"/>
      <w:pStyle w:val="Numberedpara2level2a"/>
      <w:lvlText w:val="%1.%2"/>
      <w:lvlJc w:val="left"/>
      <w:pPr>
        <w:ind w:left="1247" w:hanging="680"/>
      </w:pPr>
      <w:rPr>
        <w:rFonts w:hint="default"/>
      </w:rPr>
    </w:lvl>
    <w:lvl w:ilvl="2">
      <w:start w:val="1"/>
      <w:numFmt w:val="decimal"/>
      <w:pStyle w:val="Numberedpara2level3i"/>
      <w:lvlText w:val="%1.%2.%3"/>
      <w:lvlJc w:val="left"/>
      <w:pPr>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5FD40A31"/>
    <w:multiLevelType w:val="multilevel"/>
    <w:tmpl w:val="D7E882D2"/>
    <w:lvl w:ilvl="0">
      <w:start w:val="1"/>
      <w:numFmt w:val="bullet"/>
      <w:pStyle w:val="Bullet"/>
      <w:lvlText w:val=""/>
      <w:lvlJc w:val="left"/>
      <w:pPr>
        <w:ind w:left="360" w:hanging="360"/>
      </w:pPr>
      <w:rPr>
        <w:rFonts w:ascii="Symbol" w:hAnsi="Symbol" w:hint="default"/>
        <w:sz w:val="20"/>
      </w:rPr>
    </w:lvl>
    <w:lvl w:ilvl="1">
      <w:start w:val="1"/>
      <w:numFmt w:val="bullet"/>
      <w:pStyle w:val="Bulletlevel2"/>
      <w:lvlText w:val="○"/>
      <w:lvlJc w:val="left"/>
      <w:pPr>
        <w:ind w:left="714" w:hanging="357"/>
      </w:pPr>
      <w:rPr>
        <w:rFonts w:ascii="Courier New" w:hAnsi="Courier New" w:hint="default"/>
        <w:b/>
        <w:i w:val="0"/>
        <w:sz w:val="18"/>
      </w:rPr>
    </w:lvl>
    <w:lvl w:ilvl="2">
      <w:start w:val="1"/>
      <w:numFmt w:val="bullet"/>
      <w:lvlRestart w:val="0"/>
      <w:pStyle w:val="Bulletlevel3"/>
      <w:lvlText w:val="-"/>
      <w:lvlJc w:val="left"/>
      <w:pPr>
        <w:ind w:left="1072" w:hanging="358"/>
      </w:pPr>
      <w:rPr>
        <w:rFonts w:ascii="Arial" w:hAnsi="Arial" w:hint="default"/>
      </w:rPr>
    </w:lvl>
    <w:lvl w:ilvl="3">
      <w:start w:val="1"/>
      <w:numFmt w:val="none"/>
      <w:lvlRestart w:val="0"/>
      <w:suff w:val="nothing"/>
      <w:lvlText w:val=""/>
      <w:lvlJc w:val="left"/>
      <w:pPr>
        <w:ind w:left="1134" w:firstLine="0"/>
      </w:pPr>
      <w:rPr>
        <w:rFonts w:hint="default"/>
      </w:rPr>
    </w:lvl>
    <w:lvl w:ilvl="4">
      <w:start w:val="1"/>
      <w:numFmt w:val="none"/>
      <w:lvlRestart w:val="0"/>
      <w:lvlText w:val=""/>
      <w:lvlJc w:val="left"/>
      <w:pPr>
        <w:tabs>
          <w:tab w:val="num" w:pos="-284"/>
        </w:tabs>
        <w:ind w:left="-284" w:firstLine="0"/>
      </w:pPr>
      <w:rPr>
        <w:rFonts w:hint="default"/>
      </w:rPr>
    </w:lvl>
    <w:lvl w:ilvl="5">
      <w:start w:val="1"/>
      <w:numFmt w:val="none"/>
      <w:lvlRestart w:val="0"/>
      <w:lvlText w:val=""/>
      <w:lvlJc w:val="left"/>
      <w:pPr>
        <w:tabs>
          <w:tab w:val="num" w:pos="-284"/>
        </w:tabs>
        <w:ind w:left="-284" w:firstLine="0"/>
      </w:pPr>
      <w:rPr>
        <w:rFonts w:hint="default"/>
      </w:rPr>
    </w:lvl>
    <w:lvl w:ilvl="6">
      <w:start w:val="1"/>
      <w:numFmt w:val="none"/>
      <w:lvlRestart w:val="0"/>
      <w:lvlText w:val=""/>
      <w:lvlJc w:val="left"/>
      <w:pPr>
        <w:tabs>
          <w:tab w:val="num" w:pos="-284"/>
        </w:tabs>
        <w:ind w:left="-284" w:firstLine="0"/>
      </w:pPr>
      <w:rPr>
        <w:rFonts w:hint="default"/>
      </w:rPr>
    </w:lvl>
    <w:lvl w:ilvl="7">
      <w:start w:val="1"/>
      <w:numFmt w:val="none"/>
      <w:lvlRestart w:val="0"/>
      <w:lvlText w:val=""/>
      <w:lvlJc w:val="left"/>
      <w:pPr>
        <w:tabs>
          <w:tab w:val="num" w:pos="-284"/>
        </w:tabs>
        <w:ind w:left="-284" w:firstLine="0"/>
      </w:pPr>
      <w:rPr>
        <w:rFonts w:hint="default"/>
      </w:rPr>
    </w:lvl>
    <w:lvl w:ilvl="8">
      <w:start w:val="1"/>
      <w:numFmt w:val="none"/>
      <w:lvlRestart w:val="0"/>
      <w:lvlText w:val=""/>
      <w:lvlJc w:val="left"/>
      <w:pPr>
        <w:tabs>
          <w:tab w:val="num" w:pos="-284"/>
        </w:tabs>
        <w:ind w:left="-284" w:firstLine="0"/>
      </w:pPr>
      <w:rPr>
        <w:rFonts w:hint="default"/>
      </w:rPr>
    </w:lvl>
  </w:abstractNum>
  <w:abstractNum w:abstractNumId="22">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3">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4">
    <w:nsid w:val="6B2A7B0B"/>
    <w:multiLevelType w:val="multilevel"/>
    <w:tmpl w:val="F34E9048"/>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5">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6">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8"/>
  </w:num>
  <w:num w:numId="11">
    <w:abstractNumId w:val="20"/>
  </w:num>
  <w:num w:numId="12">
    <w:abstractNumId w:val="15"/>
  </w:num>
  <w:num w:numId="13">
    <w:abstractNumId w:val="11"/>
  </w:num>
  <w:num w:numId="14">
    <w:abstractNumId w:val="12"/>
  </w:num>
  <w:num w:numId="15">
    <w:abstractNumId w:val="21"/>
  </w:num>
  <w:num w:numId="16">
    <w:abstractNumId w:val="23"/>
  </w:num>
  <w:num w:numId="17">
    <w:abstractNumId w:val="25"/>
  </w:num>
  <w:num w:numId="18">
    <w:abstractNumId w:val="9"/>
  </w:num>
  <w:num w:numId="19">
    <w:abstractNumId w:val="13"/>
  </w:num>
  <w:num w:numId="20">
    <w:abstractNumId w:val="26"/>
  </w:num>
  <w:num w:numId="21">
    <w:abstractNumId w:val="24"/>
  </w:num>
  <w:num w:numId="22">
    <w:abstractNumId w:val="22"/>
  </w:num>
  <w:num w:numId="23">
    <w:abstractNumId w:val="17"/>
  </w:num>
  <w:num w:numId="24">
    <w:abstractNumId w:val="14"/>
  </w:num>
  <w:num w:numId="25">
    <w:abstractNumId w:val="10"/>
  </w:num>
  <w:num w:numId="26">
    <w:abstractNumId w:val="14"/>
    <w:lvlOverride w:ilvl="0">
      <w:lvl w:ilvl="0">
        <w:start w:val="100"/>
        <w:numFmt w:val="decimal"/>
        <w:lvlText w:val="%1."/>
        <w:lvlJc w:val="left"/>
        <w:pPr>
          <w:tabs>
            <w:tab w:val="num" w:pos="567"/>
          </w:tabs>
          <w:ind w:left="567" w:hanging="567"/>
        </w:pPr>
        <w:rPr>
          <w:rFonts w:hint="default"/>
        </w:rPr>
      </w:lvl>
    </w:lvlOverride>
    <w:lvlOverride w:ilvl="1">
      <w:lvl w:ilvl="1">
        <w:start w:val="1"/>
        <w:numFmt w:val="lowerLetter"/>
        <w:lvlText w:val="%2)"/>
        <w:lvlJc w:val="left"/>
        <w:pPr>
          <w:ind w:left="1247" w:hanging="680"/>
        </w:pPr>
        <w:rPr>
          <w:rFonts w:hint="default"/>
        </w:rPr>
      </w:lvl>
    </w:lvlOverride>
    <w:lvlOverride w:ilvl="2">
      <w:lvl w:ilvl="2">
        <w:start w:val="1"/>
        <w:numFmt w:val="lowerRoman"/>
        <w:lvlText w:val="%3)"/>
        <w:lvlJc w:val="left"/>
        <w:pPr>
          <w:ind w:left="2155" w:hanging="908"/>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14"/>
    <w:lvlOverride w:ilvl="0">
      <w:lvl w:ilvl="0">
        <w:start w:val="100"/>
        <w:numFmt w:val="decimal"/>
        <w:lvlText w:val="%1."/>
        <w:lvlJc w:val="left"/>
        <w:pPr>
          <w:tabs>
            <w:tab w:val="num" w:pos="567"/>
          </w:tabs>
          <w:ind w:left="567" w:hanging="567"/>
        </w:pPr>
        <w:rPr>
          <w:rFonts w:hint="default"/>
        </w:rPr>
      </w:lvl>
    </w:lvlOverride>
    <w:lvlOverride w:ilvl="1">
      <w:lvl w:ilvl="1">
        <w:start w:val="1"/>
        <w:numFmt w:val="decimal"/>
        <w:lvlText w:val="%1.%2"/>
        <w:lvlJc w:val="left"/>
        <w:pPr>
          <w:ind w:left="1247" w:hanging="680"/>
        </w:pPr>
        <w:rPr>
          <w:rFonts w:hint="default"/>
        </w:rPr>
      </w:lvl>
    </w:lvlOverride>
    <w:lvlOverride w:ilvl="2">
      <w:lvl w:ilvl="2">
        <w:start w:val="1"/>
        <w:numFmt w:val="decimal"/>
        <w:lvlText w:val="%1.%2.%3"/>
        <w:lvlJc w:val="left"/>
        <w:pPr>
          <w:ind w:left="2155" w:hanging="908"/>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19"/>
  </w:num>
  <w:num w:numId="29">
    <w:abstractNumId w:val="16"/>
  </w:num>
  <w:num w:numId="30">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4F8"/>
    <w:rsid w:val="00000B48"/>
    <w:rsid w:val="00002E7C"/>
    <w:rsid w:val="00003360"/>
    <w:rsid w:val="00005919"/>
    <w:rsid w:val="00010B11"/>
    <w:rsid w:val="000124F9"/>
    <w:rsid w:val="00015020"/>
    <w:rsid w:val="0001647B"/>
    <w:rsid w:val="00020010"/>
    <w:rsid w:val="00021C81"/>
    <w:rsid w:val="000222E9"/>
    <w:rsid w:val="00023CB1"/>
    <w:rsid w:val="0003002B"/>
    <w:rsid w:val="00034673"/>
    <w:rsid w:val="0003505B"/>
    <w:rsid w:val="00035759"/>
    <w:rsid w:val="00036671"/>
    <w:rsid w:val="00037226"/>
    <w:rsid w:val="000409E2"/>
    <w:rsid w:val="00042A13"/>
    <w:rsid w:val="00044EA1"/>
    <w:rsid w:val="0005649A"/>
    <w:rsid w:val="00060393"/>
    <w:rsid w:val="00063BB2"/>
    <w:rsid w:val="000644C5"/>
    <w:rsid w:val="00065F18"/>
    <w:rsid w:val="00067005"/>
    <w:rsid w:val="0007106F"/>
    <w:rsid w:val="000717F6"/>
    <w:rsid w:val="00073D4D"/>
    <w:rsid w:val="00076035"/>
    <w:rsid w:val="00077013"/>
    <w:rsid w:val="00082F23"/>
    <w:rsid w:val="00083D36"/>
    <w:rsid w:val="00091C3A"/>
    <w:rsid w:val="000958EA"/>
    <w:rsid w:val="00095FB3"/>
    <w:rsid w:val="0009651E"/>
    <w:rsid w:val="000A0DD7"/>
    <w:rsid w:val="000A13E6"/>
    <w:rsid w:val="000A4C47"/>
    <w:rsid w:val="000A6D98"/>
    <w:rsid w:val="000C038D"/>
    <w:rsid w:val="000C20D4"/>
    <w:rsid w:val="000D13C4"/>
    <w:rsid w:val="000D282B"/>
    <w:rsid w:val="000D399E"/>
    <w:rsid w:val="000D4AE1"/>
    <w:rsid w:val="000D4EFC"/>
    <w:rsid w:val="000D61F6"/>
    <w:rsid w:val="000D671A"/>
    <w:rsid w:val="000E3240"/>
    <w:rsid w:val="000E3DFF"/>
    <w:rsid w:val="000E44EC"/>
    <w:rsid w:val="000E44F8"/>
    <w:rsid w:val="000E677B"/>
    <w:rsid w:val="000F4ADF"/>
    <w:rsid w:val="000F4DA1"/>
    <w:rsid w:val="000F61AF"/>
    <w:rsid w:val="000F717E"/>
    <w:rsid w:val="0010171C"/>
    <w:rsid w:val="00101CC0"/>
    <w:rsid w:val="00102FAD"/>
    <w:rsid w:val="00103DC6"/>
    <w:rsid w:val="00106520"/>
    <w:rsid w:val="00111BEE"/>
    <w:rsid w:val="00113B86"/>
    <w:rsid w:val="00121870"/>
    <w:rsid w:val="00135741"/>
    <w:rsid w:val="00136CC1"/>
    <w:rsid w:val="00137F2E"/>
    <w:rsid w:val="00140ED2"/>
    <w:rsid w:val="00143E7C"/>
    <w:rsid w:val="00144244"/>
    <w:rsid w:val="001461DA"/>
    <w:rsid w:val="0015129A"/>
    <w:rsid w:val="00152A93"/>
    <w:rsid w:val="00156749"/>
    <w:rsid w:val="00161D57"/>
    <w:rsid w:val="0016433D"/>
    <w:rsid w:val="001778D8"/>
    <w:rsid w:val="001813D9"/>
    <w:rsid w:val="00184C0F"/>
    <w:rsid w:val="00187815"/>
    <w:rsid w:val="001906A5"/>
    <w:rsid w:val="00197EF1"/>
    <w:rsid w:val="001A5F55"/>
    <w:rsid w:val="001B2C1E"/>
    <w:rsid w:val="001B7493"/>
    <w:rsid w:val="001C0031"/>
    <w:rsid w:val="001C0C30"/>
    <w:rsid w:val="001C2DFE"/>
    <w:rsid w:val="001D00BA"/>
    <w:rsid w:val="001D0111"/>
    <w:rsid w:val="001D0EA1"/>
    <w:rsid w:val="001D1221"/>
    <w:rsid w:val="001D3393"/>
    <w:rsid w:val="001D5E96"/>
    <w:rsid w:val="001D5EC0"/>
    <w:rsid w:val="001D6AD8"/>
    <w:rsid w:val="001E5709"/>
    <w:rsid w:val="001E64FC"/>
    <w:rsid w:val="001F02FE"/>
    <w:rsid w:val="001F0724"/>
    <w:rsid w:val="002007DF"/>
    <w:rsid w:val="00205B3C"/>
    <w:rsid w:val="00205FE8"/>
    <w:rsid w:val="00206B8E"/>
    <w:rsid w:val="00206BA3"/>
    <w:rsid w:val="00211C77"/>
    <w:rsid w:val="00215160"/>
    <w:rsid w:val="00217664"/>
    <w:rsid w:val="002224B4"/>
    <w:rsid w:val="0022262C"/>
    <w:rsid w:val="00223188"/>
    <w:rsid w:val="002245D8"/>
    <w:rsid w:val="00225C21"/>
    <w:rsid w:val="00226A18"/>
    <w:rsid w:val="00226AC1"/>
    <w:rsid w:val="00226D5E"/>
    <w:rsid w:val="0023314D"/>
    <w:rsid w:val="00236F59"/>
    <w:rsid w:val="00237A3D"/>
    <w:rsid w:val="00240E83"/>
    <w:rsid w:val="00244DB8"/>
    <w:rsid w:val="002502D1"/>
    <w:rsid w:val="002532ED"/>
    <w:rsid w:val="00255152"/>
    <w:rsid w:val="00260A17"/>
    <w:rsid w:val="00260AF1"/>
    <w:rsid w:val="00264E9B"/>
    <w:rsid w:val="002703EC"/>
    <w:rsid w:val="00270EEC"/>
    <w:rsid w:val="002806A2"/>
    <w:rsid w:val="002818B3"/>
    <w:rsid w:val="00282F4A"/>
    <w:rsid w:val="00283411"/>
    <w:rsid w:val="00284A36"/>
    <w:rsid w:val="00287B20"/>
    <w:rsid w:val="00290C47"/>
    <w:rsid w:val="0029100C"/>
    <w:rsid w:val="00297CC7"/>
    <w:rsid w:val="002A0D1A"/>
    <w:rsid w:val="002A194F"/>
    <w:rsid w:val="002A22EE"/>
    <w:rsid w:val="002A43BE"/>
    <w:rsid w:val="002A4BD9"/>
    <w:rsid w:val="002A4FE7"/>
    <w:rsid w:val="002B1CEB"/>
    <w:rsid w:val="002D1F53"/>
    <w:rsid w:val="002D3125"/>
    <w:rsid w:val="002D4F42"/>
    <w:rsid w:val="002D614D"/>
    <w:rsid w:val="002E4665"/>
    <w:rsid w:val="002E57E9"/>
    <w:rsid w:val="002E7604"/>
    <w:rsid w:val="0030084C"/>
    <w:rsid w:val="00302244"/>
    <w:rsid w:val="003039E1"/>
    <w:rsid w:val="00305351"/>
    <w:rsid w:val="003061E8"/>
    <w:rsid w:val="003129BA"/>
    <w:rsid w:val="00313CA1"/>
    <w:rsid w:val="003148FC"/>
    <w:rsid w:val="00322134"/>
    <w:rsid w:val="00322503"/>
    <w:rsid w:val="00323307"/>
    <w:rsid w:val="00326C3E"/>
    <w:rsid w:val="00330820"/>
    <w:rsid w:val="00333DCC"/>
    <w:rsid w:val="00335468"/>
    <w:rsid w:val="00335873"/>
    <w:rsid w:val="003465C8"/>
    <w:rsid w:val="003550D7"/>
    <w:rsid w:val="00355EBE"/>
    <w:rsid w:val="003609CF"/>
    <w:rsid w:val="00360A40"/>
    <w:rsid w:val="00362639"/>
    <w:rsid w:val="00363488"/>
    <w:rsid w:val="0037016B"/>
    <w:rsid w:val="00370FC0"/>
    <w:rsid w:val="0037298A"/>
    <w:rsid w:val="00373134"/>
    <w:rsid w:val="00373206"/>
    <w:rsid w:val="003737ED"/>
    <w:rsid w:val="003742E6"/>
    <w:rsid w:val="00375B80"/>
    <w:rsid w:val="00376B75"/>
    <w:rsid w:val="00377352"/>
    <w:rsid w:val="00382248"/>
    <w:rsid w:val="00382B09"/>
    <w:rsid w:val="00385DB5"/>
    <w:rsid w:val="00395A6C"/>
    <w:rsid w:val="0039793A"/>
    <w:rsid w:val="003A10DA"/>
    <w:rsid w:val="003A12C8"/>
    <w:rsid w:val="003A6FFE"/>
    <w:rsid w:val="003A7695"/>
    <w:rsid w:val="003B3A23"/>
    <w:rsid w:val="003B6592"/>
    <w:rsid w:val="003C5379"/>
    <w:rsid w:val="003C772C"/>
    <w:rsid w:val="003D209C"/>
    <w:rsid w:val="003E54D4"/>
    <w:rsid w:val="003E556F"/>
    <w:rsid w:val="003E64E2"/>
    <w:rsid w:val="003E6BB9"/>
    <w:rsid w:val="003F1A2C"/>
    <w:rsid w:val="003F2B58"/>
    <w:rsid w:val="003F3BAF"/>
    <w:rsid w:val="003F5886"/>
    <w:rsid w:val="0040020C"/>
    <w:rsid w:val="0040107D"/>
    <w:rsid w:val="00401CA0"/>
    <w:rsid w:val="00405664"/>
    <w:rsid w:val="0040700B"/>
    <w:rsid w:val="00407F54"/>
    <w:rsid w:val="00407F55"/>
    <w:rsid w:val="00411341"/>
    <w:rsid w:val="00413966"/>
    <w:rsid w:val="00413B3F"/>
    <w:rsid w:val="00413D12"/>
    <w:rsid w:val="00415CDB"/>
    <w:rsid w:val="004162A6"/>
    <w:rsid w:val="00417D90"/>
    <w:rsid w:val="004231DC"/>
    <w:rsid w:val="0042551E"/>
    <w:rsid w:val="0042565B"/>
    <w:rsid w:val="00433AD8"/>
    <w:rsid w:val="00437757"/>
    <w:rsid w:val="00442158"/>
    <w:rsid w:val="00443037"/>
    <w:rsid w:val="004436A0"/>
    <w:rsid w:val="00445144"/>
    <w:rsid w:val="00446573"/>
    <w:rsid w:val="00454918"/>
    <w:rsid w:val="004552A0"/>
    <w:rsid w:val="00457E34"/>
    <w:rsid w:val="00460A83"/>
    <w:rsid w:val="00460B3F"/>
    <w:rsid w:val="0046167C"/>
    <w:rsid w:val="00464752"/>
    <w:rsid w:val="004715F4"/>
    <w:rsid w:val="0047386D"/>
    <w:rsid w:val="00473E2F"/>
    <w:rsid w:val="00474711"/>
    <w:rsid w:val="00476068"/>
    <w:rsid w:val="004763B3"/>
    <w:rsid w:val="00477619"/>
    <w:rsid w:val="0048349B"/>
    <w:rsid w:val="00483C38"/>
    <w:rsid w:val="004865C6"/>
    <w:rsid w:val="00486B5A"/>
    <w:rsid w:val="00486E6E"/>
    <w:rsid w:val="004875DF"/>
    <w:rsid w:val="00487C1D"/>
    <w:rsid w:val="00494C6F"/>
    <w:rsid w:val="004A1067"/>
    <w:rsid w:val="004A5823"/>
    <w:rsid w:val="004A7764"/>
    <w:rsid w:val="004B0AAF"/>
    <w:rsid w:val="004B0BC6"/>
    <w:rsid w:val="004B2D39"/>
    <w:rsid w:val="004B3924"/>
    <w:rsid w:val="004B49A5"/>
    <w:rsid w:val="004B69CF"/>
    <w:rsid w:val="004C4DDD"/>
    <w:rsid w:val="004C6953"/>
    <w:rsid w:val="004C7001"/>
    <w:rsid w:val="004D1706"/>
    <w:rsid w:val="004D243F"/>
    <w:rsid w:val="004D351D"/>
    <w:rsid w:val="004D53B3"/>
    <w:rsid w:val="004D684E"/>
    <w:rsid w:val="004D7473"/>
    <w:rsid w:val="004D75CC"/>
    <w:rsid w:val="004E64AF"/>
    <w:rsid w:val="004F12E2"/>
    <w:rsid w:val="004F1691"/>
    <w:rsid w:val="004F5DEF"/>
    <w:rsid w:val="004F6B7B"/>
    <w:rsid w:val="00501149"/>
    <w:rsid w:val="005011BB"/>
    <w:rsid w:val="00501C4B"/>
    <w:rsid w:val="00502BDD"/>
    <w:rsid w:val="00510D73"/>
    <w:rsid w:val="00512ACB"/>
    <w:rsid w:val="00516BB7"/>
    <w:rsid w:val="0052168E"/>
    <w:rsid w:val="0052216D"/>
    <w:rsid w:val="00526115"/>
    <w:rsid w:val="00532020"/>
    <w:rsid w:val="00533FAF"/>
    <w:rsid w:val="005366B6"/>
    <w:rsid w:val="00543D1E"/>
    <w:rsid w:val="005463A7"/>
    <w:rsid w:val="00547A48"/>
    <w:rsid w:val="00550A6F"/>
    <w:rsid w:val="0055440B"/>
    <w:rsid w:val="00554BCD"/>
    <w:rsid w:val="00557DE3"/>
    <w:rsid w:val="00561A97"/>
    <w:rsid w:val="00562C28"/>
    <w:rsid w:val="00563DAC"/>
    <w:rsid w:val="00564D4E"/>
    <w:rsid w:val="005675E0"/>
    <w:rsid w:val="00570A71"/>
    <w:rsid w:val="00570C00"/>
    <w:rsid w:val="00570CCE"/>
    <w:rsid w:val="00580CB3"/>
    <w:rsid w:val="0058135C"/>
    <w:rsid w:val="0058206B"/>
    <w:rsid w:val="0058227F"/>
    <w:rsid w:val="00582C93"/>
    <w:rsid w:val="005836AE"/>
    <w:rsid w:val="00585690"/>
    <w:rsid w:val="00591DD4"/>
    <w:rsid w:val="0059293A"/>
    <w:rsid w:val="00595B33"/>
    <w:rsid w:val="0059662F"/>
    <w:rsid w:val="00597964"/>
    <w:rsid w:val="005C0443"/>
    <w:rsid w:val="005C368A"/>
    <w:rsid w:val="005C3B84"/>
    <w:rsid w:val="005D0AEC"/>
    <w:rsid w:val="005D2FED"/>
    <w:rsid w:val="005D3066"/>
    <w:rsid w:val="005D3880"/>
    <w:rsid w:val="005D4A53"/>
    <w:rsid w:val="005D6332"/>
    <w:rsid w:val="005D6AF1"/>
    <w:rsid w:val="005E337A"/>
    <w:rsid w:val="005E4B13"/>
    <w:rsid w:val="005E4C02"/>
    <w:rsid w:val="005F01DF"/>
    <w:rsid w:val="005F5521"/>
    <w:rsid w:val="005F76CC"/>
    <w:rsid w:val="005F7FF8"/>
    <w:rsid w:val="006004C4"/>
    <w:rsid w:val="00600CA4"/>
    <w:rsid w:val="00601223"/>
    <w:rsid w:val="00601774"/>
    <w:rsid w:val="00602416"/>
    <w:rsid w:val="006025CE"/>
    <w:rsid w:val="006041F2"/>
    <w:rsid w:val="00604C3D"/>
    <w:rsid w:val="00605414"/>
    <w:rsid w:val="006064F5"/>
    <w:rsid w:val="00611E67"/>
    <w:rsid w:val="0061504C"/>
    <w:rsid w:val="006164B6"/>
    <w:rsid w:val="00617298"/>
    <w:rsid w:val="00620267"/>
    <w:rsid w:val="0062252C"/>
    <w:rsid w:val="00633D68"/>
    <w:rsid w:val="00637753"/>
    <w:rsid w:val="00650372"/>
    <w:rsid w:val="00651856"/>
    <w:rsid w:val="00655B4B"/>
    <w:rsid w:val="00661142"/>
    <w:rsid w:val="00662410"/>
    <w:rsid w:val="00662716"/>
    <w:rsid w:val="00672B3B"/>
    <w:rsid w:val="006755B3"/>
    <w:rsid w:val="00676C9F"/>
    <w:rsid w:val="00677B13"/>
    <w:rsid w:val="00677F4E"/>
    <w:rsid w:val="00681A08"/>
    <w:rsid w:val="00682C9D"/>
    <w:rsid w:val="00685ECF"/>
    <w:rsid w:val="006875B8"/>
    <w:rsid w:val="00687CEA"/>
    <w:rsid w:val="0069287D"/>
    <w:rsid w:val="00693C8F"/>
    <w:rsid w:val="00694E01"/>
    <w:rsid w:val="00695171"/>
    <w:rsid w:val="00695B75"/>
    <w:rsid w:val="006971AB"/>
    <w:rsid w:val="006A1A95"/>
    <w:rsid w:val="006A38B7"/>
    <w:rsid w:val="006A5783"/>
    <w:rsid w:val="006A5C31"/>
    <w:rsid w:val="006A6E34"/>
    <w:rsid w:val="006B1CB2"/>
    <w:rsid w:val="006B1DD1"/>
    <w:rsid w:val="006B3396"/>
    <w:rsid w:val="006C195E"/>
    <w:rsid w:val="006C1B7F"/>
    <w:rsid w:val="006D005A"/>
    <w:rsid w:val="006D1B12"/>
    <w:rsid w:val="006D4C1D"/>
    <w:rsid w:val="006D638F"/>
    <w:rsid w:val="006E3E64"/>
    <w:rsid w:val="006E7BF7"/>
    <w:rsid w:val="006F563E"/>
    <w:rsid w:val="00700B0D"/>
    <w:rsid w:val="007067B9"/>
    <w:rsid w:val="007068C8"/>
    <w:rsid w:val="0071033B"/>
    <w:rsid w:val="0071065D"/>
    <w:rsid w:val="00710FDB"/>
    <w:rsid w:val="0071482D"/>
    <w:rsid w:val="00715B8F"/>
    <w:rsid w:val="007169F8"/>
    <w:rsid w:val="0073106E"/>
    <w:rsid w:val="007361D6"/>
    <w:rsid w:val="00742251"/>
    <w:rsid w:val="00742CE8"/>
    <w:rsid w:val="00755142"/>
    <w:rsid w:val="00756BB7"/>
    <w:rsid w:val="0075764B"/>
    <w:rsid w:val="007576B8"/>
    <w:rsid w:val="007579AA"/>
    <w:rsid w:val="00760C01"/>
    <w:rsid w:val="00761293"/>
    <w:rsid w:val="007622E6"/>
    <w:rsid w:val="0076336A"/>
    <w:rsid w:val="00765FD1"/>
    <w:rsid w:val="00767C04"/>
    <w:rsid w:val="007735A7"/>
    <w:rsid w:val="007736A2"/>
    <w:rsid w:val="00781643"/>
    <w:rsid w:val="007916E3"/>
    <w:rsid w:val="007A0332"/>
    <w:rsid w:val="007A2389"/>
    <w:rsid w:val="007A50D5"/>
    <w:rsid w:val="007A6226"/>
    <w:rsid w:val="007B129D"/>
    <w:rsid w:val="007B2680"/>
    <w:rsid w:val="007B37DC"/>
    <w:rsid w:val="007B3C61"/>
    <w:rsid w:val="007B4D29"/>
    <w:rsid w:val="007C77C0"/>
    <w:rsid w:val="007D1918"/>
    <w:rsid w:val="007D2E2D"/>
    <w:rsid w:val="007D4071"/>
    <w:rsid w:val="007D4ED0"/>
    <w:rsid w:val="007D54E4"/>
    <w:rsid w:val="007D7F8C"/>
    <w:rsid w:val="007E1043"/>
    <w:rsid w:val="007E17B0"/>
    <w:rsid w:val="007E7839"/>
    <w:rsid w:val="007E7B78"/>
    <w:rsid w:val="007F03F2"/>
    <w:rsid w:val="007F504A"/>
    <w:rsid w:val="007F771D"/>
    <w:rsid w:val="008065D7"/>
    <w:rsid w:val="00812945"/>
    <w:rsid w:val="00816E30"/>
    <w:rsid w:val="0082264B"/>
    <w:rsid w:val="00823184"/>
    <w:rsid w:val="00825118"/>
    <w:rsid w:val="008266F5"/>
    <w:rsid w:val="00826B99"/>
    <w:rsid w:val="0082765B"/>
    <w:rsid w:val="008352B1"/>
    <w:rsid w:val="00835BD7"/>
    <w:rsid w:val="0084005E"/>
    <w:rsid w:val="008428E8"/>
    <w:rsid w:val="00843D71"/>
    <w:rsid w:val="00844509"/>
    <w:rsid w:val="00846F11"/>
    <w:rsid w:val="0084745A"/>
    <w:rsid w:val="00847BEA"/>
    <w:rsid w:val="008562E8"/>
    <w:rsid w:val="008566E8"/>
    <w:rsid w:val="00861C3B"/>
    <w:rsid w:val="0086429B"/>
    <w:rsid w:val="00867223"/>
    <w:rsid w:val="00870045"/>
    <w:rsid w:val="00876E5F"/>
    <w:rsid w:val="00884A12"/>
    <w:rsid w:val="0088589A"/>
    <w:rsid w:val="00885D66"/>
    <w:rsid w:val="0088686D"/>
    <w:rsid w:val="00890CE4"/>
    <w:rsid w:val="00891ED7"/>
    <w:rsid w:val="00897EA1"/>
    <w:rsid w:val="008A2966"/>
    <w:rsid w:val="008A2EF9"/>
    <w:rsid w:val="008A37BC"/>
    <w:rsid w:val="008A40B8"/>
    <w:rsid w:val="008A7178"/>
    <w:rsid w:val="008B6DE0"/>
    <w:rsid w:val="008B7B54"/>
    <w:rsid w:val="008B7D4B"/>
    <w:rsid w:val="008C2D6D"/>
    <w:rsid w:val="008C3187"/>
    <w:rsid w:val="008C5E4F"/>
    <w:rsid w:val="008D63B7"/>
    <w:rsid w:val="008D6A03"/>
    <w:rsid w:val="008D6CA7"/>
    <w:rsid w:val="008D704B"/>
    <w:rsid w:val="008E0817"/>
    <w:rsid w:val="008E7F8E"/>
    <w:rsid w:val="008E7FEE"/>
    <w:rsid w:val="008F1BEF"/>
    <w:rsid w:val="008F31F5"/>
    <w:rsid w:val="008F67F5"/>
    <w:rsid w:val="008F6BCE"/>
    <w:rsid w:val="008F7798"/>
    <w:rsid w:val="009003E5"/>
    <w:rsid w:val="00900C22"/>
    <w:rsid w:val="00900D4B"/>
    <w:rsid w:val="00902568"/>
    <w:rsid w:val="00903447"/>
    <w:rsid w:val="00905F9B"/>
    <w:rsid w:val="0090684E"/>
    <w:rsid w:val="009072D1"/>
    <w:rsid w:val="00907EAF"/>
    <w:rsid w:val="009122FA"/>
    <w:rsid w:val="00912D09"/>
    <w:rsid w:val="00915893"/>
    <w:rsid w:val="00915A7E"/>
    <w:rsid w:val="009170B9"/>
    <w:rsid w:val="009175C1"/>
    <w:rsid w:val="00917CFD"/>
    <w:rsid w:val="00923A87"/>
    <w:rsid w:val="00927482"/>
    <w:rsid w:val="0092754A"/>
    <w:rsid w:val="0093204E"/>
    <w:rsid w:val="00936FF5"/>
    <w:rsid w:val="0095112B"/>
    <w:rsid w:val="00951F28"/>
    <w:rsid w:val="0095712A"/>
    <w:rsid w:val="00966A10"/>
    <w:rsid w:val="0097389B"/>
    <w:rsid w:val="00973A6D"/>
    <w:rsid w:val="009758A5"/>
    <w:rsid w:val="00977CA2"/>
    <w:rsid w:val="00980E22"/>
    <w:rsid w:val="009839E1"/>
    <w:rsid w:val="00984B92"/>
    <w:rsid w:val="0098601D"/>
    <w:rsid w:val="009865AA"/>
    <w:rsid w:val="00987080"/>
    <w:rsid w:val="0098765A"/>
    <w:rsid w:val="0099470F"/>
    <w:rsid w:val="009968B0"/>
    <w:rsid w:val="009A6CB2"/>
    <w:rsid w:val="009B0982"/>
    <w:rsid w:val="009B0ADA"/>
    <w:rsid w:val="009B38A7"/>
    <w:rsid w:val="009B4C99"/>
    <w:rsid w:val="009C13FB"/>
    <w:rsid w:val="009C5208"/>
    <w:rsid w:val="009D2557"/>
    <w:rsid w:val="009D28CF"/>
    <w:rsid w:val="009D5555"/>
    <w:rsid w:val="009D7A44"/>
    <w:rsid w:val="009E2F9A"/>
    <w:rsid w:val="009E5D36"/>
    <w:rsid w:val="009E6375"/>
    <w:rsid w:val="009E7CA0"/>
    <w:rsid w:val="009E7FCC"/>
    <w:rsid w:val="009F3BE7"/>
    <w:rsid w:val="009F6FC8"/>
    <w:rsid w:val="00A04392"/>
    <w:rsid w:val="00A0462E"/>
    <w:rsid w:val="00A061F7"/>
    <w:rsid w:val="00A0637D"/>
    <w:rsid w:val="00A069CE"/>
    <w:rsid w:val="00A109D8"/>
    <w:rsid w:val="00A13E71"/>
    <w:rsid w:val="00A16003"/>
    <w:rsid w:val="00A167D7"/>
    <w:rsid w:val="00A230E6"/>
    <w:rsid w:val="00A23D39"/>
    <w:rsid w:val="00A23EC2"/>
    <w:rsid w:val="00A24FBB"/>
    <w:rsid w:val="00A3453E"/>
    <w:rsid w:val="00A34DDA"/>
    <w:rsid w:val="00A4232F"/>
    <w:rsid w:val="00A42ED2"/>
    <w:rsid w:val="00A44B33"/>
    <w:rsid w:val="00A50E00"/>
    <w:rsid w:val="00A52529"/>
    <w:rsid w:val="00A5302B"/>
    <w:rsid w:val="00A53624"/>
    <w:rsid w:val="00A54DFB"/>
    <w:rsid w:val="00A55EAF"/>
    <w:rsid w:val="00A5766B"/>
    <w:rsid w:val="00A61C3A"/>
    <w:rsid w:val="00A62701"/>
    <w:rsid w:val="00A639AE"/>
    <w:rsid w:val="00A6607D"/>
    <w:rsid w:val="00A7067E"/>
    <w:rsid w:val="00A7732D"/>
    <w:rsid w:val="00A77512"/>
    <w:rsid w:val="00A81BF3"/>
    <w:rsid w:val="00A83632"/>
    <w:rsid w:val="00A863E3"/>
    <w:rsid w:val="00A87E98"/>
    <w:rsid w:val="00A938BA"/>
    <w:rsid w:val="00A970F1"/>
    <w:rsid w:val="00A97BFB"/>
    <w:rsid w:val="00AA3EAE"/>
    <w:rsid w:val="00AB0BBC"/>
    <w:rsid w:val="00AB3A92"/>
    <w:rsid w:val="00AB3C88"/>
    <w:rsid w:val="00AB478B"/>
    <w:rsid w:val="00AB47AC"/>
    <w:rsid w:val="00AB4AD9"/>
    <w:rsid w:val="00AB7666"/>
    <w:rsid w:val="00AC6006"/>
    <w:rsid w:val="00AC74F8"/>
    <w:rsid w:val="00AD0DC9"/>
    <w:rsid w:val="00AD1D32"/>
    <w:rsid w:val="00AD1D40"/>
    <w:rsid w:val="00AD6E77"/>
    <w:rsid w:val="00AD72D6"/>
    <w:rsid w:val="00AD7A25"/>
    <w:rsid w:val="00AE2666"/>
    <w:rsid w:val="00AF3A5A"/>
    <w:rsid w:val="00AF3E15"/>
    <w:rsid w:val="00AF5218"/>
    <w:rsid w:val="00AF5909"/>
    <w:rsid w:val="00B03E5C"/>
    <w:rsid w:val="00B03FDB"/>
    <w:rsid w:val="00B0480E"/>
    <w:rsid w:val="00B06751"/>
    <w:rsid w:val="00B1026A"/>
    <w:rsid w:val="00B10ACE"/>
    <w:rsid w:val="00B11378"/>
    <w:rsid w:val="00B13C4B"/>
    <w:rsid w:val="00B1460F"/>
    <w:rsid w:val="00B179AB"/>
    <w:rsid w:val="00B21166"/>
    <w:rsid w:val="00B263AE"/>
    <w:rsid w:val="00B302E6"/>
    <w:rsid w:val="00B31BD4"/>
    <w:rsid w:val="00B33A6C"/>
    <w:rsid w:val="00B36025"/>
    <w:rsid w:val="00B369FB"/>
    <w:rsid w:val="00B37195"/>
    <w:rsid w:val="00B42C77"/>
    <w:rsid w:val="00B47091"/>
    <w:rsid w:val="00B5242B"/>
    <w:rsid w:val="00B56534"/>
    <w:rsid w:val="00B57A21"/>
    <w:rsid w:val="00B57F6D"/>
    <w:rsid w:val="00B62C3E"/>
    <w:rsid w:val="00B645DE"/>
    <w:rsid w:val="00B64B6A"/>
    <w:rsid w:val="00B65857"/>
    <w:rsid w:val="00B66698"/>
    <w:rsid w:val="00B71376"/>
    <w:rsid w:val="00B719F5"/>
    <w:rsid w:val="00B745DC"/>
    <w:rsid w:val="00B84350"/>
    <w:rsid w:val="00B84E9B"/>
    <w:rsid w:val="00B855A6"/>
    <w:rsid w:val="00B85CF0"/>
    <w:rsid w:val="00B91098"/>
    <w:rsid w:val="00B91904"/>
    <w:rsid w:val="00B92735"/>
    <w:rsid w:val="00B96998"/>
    <w:rsid w:val="00B969ED"/>
    <w:rsid w:val="00BA279D"/>
    <w:rsid w:val="00BA77F1"/>
    <w:rsid w:val="00BB0D90"/>
    <w:rsid w:val="00BB60C6"/>
    <w:rsid w:val="00BB7984"/>
    <w:rsid w:val="00BC0B07"/>
    <w:rsid w:val="00BC6A06"/>
    <w:rsid w:val="00BD006A"/>
    <w:rsid w:val="00BD137C"/>
    <w:rsid w:val="00BD5A87"/>
    <w:rsid w:val="00BE0F28"/>
    <w:rsid w:val="00BE3AB9"/>
    <w:rsid w:val="00BE3BC7"/>
    <w:rsid w:val="00BF1AB7"/>
    <w:rsid w:val="00BF7FE9"/>
    <w:rsid w:val="00C03596"/>
    <w:rsid w:val="00C05EEC"/>
    <w:rsid w:val="00C0611F"/>
    <w:rsid w:val="00C12B33"/>
    <w:rsid w:val="00C14679"/>
    <w:rsid w:val="00C15A13"/>
    <w:rsid w:val="00C16A7C"/>
    <w:rsid w:val="00C233DF"/>
    <w:rsid w:val="00C238D9"/>
    <w:rsid w:val="00C2493E"/>
    <w:rsid w:val="00C24A9D"/>
    <w:rsid w:val="00C2677E"/>
    <w:rsid w:val="00C30D64"/>
    <w:rsid w:val="00C31542"/>
    <w:rsid w:val="00C40A4B"/>
    <w:rsid w:val="00C416EB"/>
    <w:rsid w:val="00C4465B"/>
    <w:rsid w:val="00C450F4"/>
    <w:rsid w:val="00C6078D"/>
    <w:rsid w:val="00C657CF"/>
    <w:rsid w:val="00C65EF8"/>
    <w:rsid w:val="00C80D62"/>
    <w:rsid w:val="00C8388B"/>
    <w:rsid w:val="00C84944"/>
    <w:rsid w:val="00C96BFD"/>
    <w:rsid w:val="00C96C98"/>
    <w:rsid w:val="00CA03E2"/>
    <w:rsid w:val="00CA4B0A"/>
    <w:rsid w:val="00CA5358"/>
    <w:rsid w:val="00CA738D"/>
    <w:rsid w:val="00CB1D40"/>
    <w:rsid w:val="00CB1DCA"/>
    <w:rsid w:val="00CC3792"/>
    <w:rsid w:val="00CD001D"/>
    <w:rsid w:val="00CD502A"/>
    <w:rsid w:val="00CD64A6"/>
    <w:rsid w:val="00CE0ABD"/>
    <w:rsid w:val="00CE636F"/>
    <w:rsid w:val="00CF0945"/>
    <w:rsid w:val="00CF12CF"/>
    <w:rsid w:val="00CF4BE3"/>
    <w:rsid w:val="00D012A5"/>
    <w:rsid w:val="00D015A1"/>
    <w:rsid w:val="00D01971"/>
    <w:rsid w:val="00D02C00"/>
    <w:rsid w:val="00D0514D"/>
    <w:rsid w:val="00D060D2"/>
    <w:rsid w:val="00D07155"/>
    <w:rsid w:val="00D11270"/>
    <w:rsid w:val="00D13E2D"/>
    <w:rsid w:val="00D14394"/>
    <w:rsid w:val="00D1489F"/>
    <w:rsid w:val="00D242CD"/>
    <w:rsid w:val="00D2662D"/>
    <w:rsid w:val="00D27C07"/>
    <w:rsid w:val="00D341C3"/>
    <w:rsid w:val="00D35A83"/>
    <w:rsid w:val="00D42843"/>
    <w:rsid w:val="00D477E6"/>
    <w:rsid w:val="00D5152A"/>
    <w:rsid w:val="00D553B3"/>
    <w:rsid w:val="00D56695"/>
    <w:rsid w:val="00D57311"/>
    <w:rsid w:val="00D65145"/>
    <w:rsid w:val="00D70F0D"/>
    <w:rsid w:val="00D71D29"/>
    <w:rsid w:val="00D74314"/>
    <w:rsid w:val="00D7585F"/>
    <w:rsid w:val="00D81410"/>
    <w:rsid w:val="00D92505"/>
    <w:rsid w:val="00D925EE"/>
    <w:rsid w:val="00DA1DBE"/>
    <w:rsid w:val="00DA267C"/>
    <w:rsid w:val="00DA3688"/>
    <w:rsid w:val="00DA50F4"/>
    <w:rsid w:val="00DA5101"/>
    <w:rsid w:val="00DA5A00"/>
    <w:rsid w:val="00DA79EF"/>
    <w:rsid w:val="00DB0C0B"/>
    <w:rsid w:val="00DB3B74"/>
    <w:rsid w:val="00DB4252"/>
    <w:rsid w:val="00DB6057"/>
    <w:rsid w:val="00DB648F"/>
    <w:rsid w:val="00DB64D7"/>
    <w:rsid w:val="00DC144F"/>
    <w:rsid w:val="00DC3C68"/>
    <w:rsid w:val="00DC4D2D"/>
    <w:rsid w:val="00DC5870"/>
    <w:rsid w:val="00DD0384"/>
    <w:rsid w:val="00DD0721"/>
    <w:rsid w:val="00DD0901"/>
    <w:rsid w:val="00DD2751"/>
    <w:rsid w:val="00DD28F0"/>
    <w:rsid w:val="00DD3233"/>
    <w:rsid w:val="00DE16B6"/>
    <w:rsid w:val="00DE3323"/>
    <w:rsid w:val="00DE36CA"/>
    <w:rsid w:val="00DE7E63"/>
    <w:rsid w:val="00DF1304"/>
    <w:rsid w:val="00DF528F"/>
    <w:rsid w:val="00DF6D46"/>
    <w:rsid w:val="00DF6F50"/>
    <w:rsid w:val="00DF77A2"/>
    <w:rsid w:val="00E00B21"/>
    <w:rsid w:val="00E00B9E"/>
    <w:rsid w:val="00E100F4"/>
    <w:rsid w:val="00E23FDA"/>
    <w:rsid w:val="00E2422F"/>
    <w:rsid w:val="00E24732"/>
    <w:rsid w:val="00E25DAC"/>
    <w:rsid w:val="00E33ADD"/>
    <w:rsid w:val="00E366D3"/>
    <w:rsid w:val="00E367C5"/>
    <w:rsid w:val="00E37E71"/>
    <w:rsid w:val="00E42486"/>
    <w:rsid w:val="00E42847"/>
    <w:rsid w:val="00E434D5"/>
    <w:rsid w:val="00E46064"/>
    <w:rsid w:val="00E5022D"/>
    <w:rsid w:val="00E52276"/>
    <w:rsid w:val="00E53294"/>
    <w:rsid w:val="00E53855"/>
    <w:rsid w:val="00E541DF"/>
    <w:rsid w:val="00E5554F"/>
    <w:rsid w:val="00E5560B"/>
    <w:rsid w:val="00E6029C"/>
    <w:rsid w:val="00E604A1"/>
    <w:rsid w:val="00E64E9B"/>
    <w:rsid w:val="00E66128"/>
    <w:rsid w:val="00E707D9"/>
    <w:rsid w:val="00E73AA8"/>
    <w:rsid w:val="00E76D8C"/>
    <w:rsid w:val="00E80228"/>
    <w:rsid w:val="00E85EFB"/>
    <w:rsid w:val="00E86D2A"/>
    <w:rsid w:val="00E91FFD"/>
    <w:rsid w:val="00E942F4"/>
    <w:rsid w:val="00E957C7"/>
    <w:rsid w:val="00E978D9"/>
    <w:rsid w:val="00EA2ED4"/>
    <w:rsid w:val="00EA491A"/>
    <w:rsid w:val="00EB1583"/>
    <w:rsid w:val="00EB196B"/>
    <w:rsid w:val="00EB54A9"/>
    <w:rsid w:val="00EB6C74"/>
    <w:rsid w:val="00EC23FB"/>
    <w:rsid w:val="00ED5D96"/>
    <w:rsid w:val="00ED7681"/>
    <w:rsid w:val="00EE243C"/>
    <w:rsid w:val="00EF14A4"/>
    <w:rsid w:val="00EF42B4"/>
    <w:rsid w:val="00EF4421"/>
    <w:rsid w:val="00EF5327"/>
    <w:rsid w:val="00EF63C6"/>
    <w:rsid w:val="00F01C17"/>
    <w:rsid w:val="00F034FB"/>
    <w:rsid w:val="00F03FA5"/>
    <w:rsid w:val="00F05606"/>
    <w:rsid w:val="00F105F5"/>
    <w:rsid w:val="00F1075A"/>
    <w:rsid w:val="00F10806"/>
    <w:rsid w:val="00F10D15"/>
    <w:rsid w:val="00F13143"/>
    <w:rsid w:val="00F153B1"/>
    <w:rsid w:val="00F22E82"/>
    <w:rsid w:val="00F2483A"/>
    <w:rsid w:val="00F24E7B"/>
    <w:rsid w:val="00F25670"/>
    <w:rsid w:val="00F27763"/>
    <w:rsid w:val="00F337BF"/>
    <w:rsid w:val="00F33D14"/>
    <w:rsid w:val="00F34E71"/>
    <w:rsid w:val="00F419AD"/>
    <w:rsid w:val="00F456CC"/>
    <w:rsid w:val="00F46595"/>
    <w:rsid w:val="00F473B6"/>
    <w:rsid w:val="00F50F9D"/>
    <w:rsid w:val="00F52531"/>
    <w:rsid w:val="00F52E57"/>
    <w:rsid w:val="00F53E06"/>
    <w:rsid w:val="00F54188"/>
    <w:rsid w:val="00F54CC0"/>
    <w:rsid w:val="00F61F8A"/>
    <w:rsid w:val="00F631CF"/>
    <w:rsid w:val="00F64077"/>
    <w:rsid w:val="00F66597"/>
    <w:rsid w:val="00F71371"/>
    <w:rsid w:val="00F727A5"/>
    <w:rsid w:val="00F735F0"/>
    <w:rsid w:val="00F80F24"/>
    <w:rsid w:val="00F815D2"/>
    <w:rsid w:val="00F827D7"/>
    <w:rsid w:val="00F847A9"/>
    <w:rsid w:val="00F86809"/>
    <w:rsid w:val="00F91AAF"/>
    <w:rsid w:val="00F97707"/>
    <w:rsid w:val="00FA2D0B"/>
    <w:rsid w:val="00FA5FE9"/>
    <w:rsid w:val="00FA67D2"/>
    <w:rsid w:val="00FA7CB5"/>
    <w:rsid w:val="00FB01F7"/>
    <w:rsid w:val="00FB0E14"/>
    <w:rsid w:val="00FB302F"/>
    <w:rsid w:val="00FB4B4F"/>
    <w:rsid w:val="00FB5A92"/>
    <w:rsid w:val="00FB5FA7"/>
    <w:rsid w:val="00FC0B00"/>
    <w:rsid w:val="00FC1C69"/>
    <w:rsid w:val="00FC3739"/>
    <w:rsid w:val="00FD2ACB"/>
    <w:rsid w:val="00FE0FEA"/>
    <w:rsid w:val="00FE11D3"/>
    <w:rsid w:val="00FE5AD9"/>
    <w:rsid w:val="00FE70F3"/>
    <w:rsid w:val="00FE7A33"/>
    <w:rsid w:val="00FF25D3"/>
    <w:rsid w:val="00FF2EF6"/>
    <w:rsid w:val="00FF3A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0"/>
    <w:lsdException w:name="header" w:uiPriority="0"/>
    <w:lsdException w:name="footer" w:uiPriority="0"/>
    <w:lsdException w:name="caption" w:uiPriority="0" w:qFormat="1"/>
    <w:lsdException w:name="footnote reference" w:uiPriority="0"/>
    <w:lsdException w:name="List Number" w:semiHidden="0" w:unhideWhenUsed="0"/>
    <w:lsdException w:name="List 2" w:uiPriority="3"/>
    <w:lsdException w:name="List 4" w:semiHidden="0" w:unhideWhenUsed="0"/>
    <w:lsdException w:name="List 5" w:semiHidden="0" w:unhideWhenUsed="0"/>
    <w:lsdException w:name="Title" w:semiHidden="0" w:uiPriority="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276"/>
    <w:pPr>
      <w:keepLines/>
    </w:pPr>
    <w:rPr>
      <w:rFonts w:eastAsiaTheme="minorHAnsi"/>
      <w:lang w:eastAsia="en-US"/>
    </w:rPr>
  </w:style>
  <w:style w:type="paragraph" w:styleId="Heading1">
    <w:name w:val="heading 1"/>
    <w:basedOn w:val="Normal"/>
    <w:next w:val="Numberedpara3level1"/>
    <w:link w:val="Heading1Char"/>
    <w:qFormat/>
    <w:rsid w:val="003E54D4"/>
    <w:pPr>
      <w:keepNext/>
      <w:spacing w:before="240" w:after="120"/>
      <w:outlineLvl w:val="0"/>
    </w:pPr>
    <w:rPr>
      <w:b/>
      <w:sz w:val="28"/>
    </w:rPr>
  </w:style>
  <w:style w:type="paragraph" w:styleId="Heading2">
    <w:name w:val="heading 2"/>
    <w:basedOn w:val="Normal"/>
    <w:next w:val="Numberedpara3level1"/>
    <w:link w:val="Heading2Char"/>
    <w:qFormat/>
    <w:rsid w:val="00E52276"/>
    <w:pPr>
      <w:keepNext/>
      <w:spacing w:before="240" w:after="120"/>
      <w:outlineLvl w:val="1"/>
    </w:pPr>
    <w:rPr>
      <w:b/>
      <w:i/>
      <w:sz w:val="26"/>
    </w:rPr>
  </w:style>
  <w:style w:type="paragraph" w:styleId="Heading3">
    <w:name w:val="heading 3"/>
    <w:basedOn w:val="Normal"/>
    <w:next w:val="Normal"/>
    <w:link w:val="Heading3Char"/>
    <w:qFormat/>
    <w:rsid w:val="00E52276"/>
    <w:pPr>
      <w:keepNext/>
      <w:spacing w:before="240" w:after="120"/>
      <w:contextualSpacing/>
      <w:outlineLvl w:val="2"/>
    </w:pPr>
    <w:rPr>
      <w:rFonts w:cs="Arial"/>
      <w:bCs/>
      <w:i/>
      <w:sz w:val="26"/>
      <w:szCs w:val="26"/>
    </w:rPr>
  </w:style>
  <w:style w:type="paragraph" w:styleId="Heading4">
    <w:name w:val="heading 4"/>
    <w:basedOn w:val="Normal"/>
    <w:next w:val="Normal"/>
    <w:link w:val="Heading4Char"/>
    <w:semiHidden/>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11"/>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10"/>
      </w:numPr>
    </w:pPr>
  </w:style>
  <w:style w:type="numbering" w:styleId="ArticleSection">
    <w:name w:val="Outline List 3"/>
    <w:basedOn w:val="NoList"/>
    <w:semiHidden/>
    <w:rsid w:val="00065F18"/>
    <w:pPr>
      <w:numPr>
        <w:numId w:val="12"/>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65F18"/>
    <w:pPr>
      <w:numPr>
        <w:numId w:val="0"/>
      </w:numPr>
    </w:pPr>
  </w:style>
  <w:style w:type="paragraph" w:styleId="ListBullet2">
    <w:name w:val="List Bullet 2"/>
    <w:basedOn w:val="Normal"/>
    <w:uiPriority w:val="99"/>
    <w:semiHidden/>
    <w:rsid w:val="00065F18"/>
    <w:pPr>
      <w:numPr>
        <w:numId w:val="2"/>
      </w:numPr>
    </w:pPr>
  </w:style>
  <w:style w:type="paragraph" w:styleId="ListBullet3">
    <w:name w:val="List Bullet 3"/>
    <w:basedOn w:val="Normal"/>
    <w:uiPriority w:val="99"/>
    <w:semiHidden/>
    <w:rsid w:val="00065F18"/>
    <w:pPr>
      <w:numPr>
        <w:numId w:val="3"/>
      </w:numPr>
    </w:pPr>
  </w:style>
  <w:style w:type="paragraph" w:styleId="ListBullet4">
    <w:name w:val="List Bullet 4"/>
    <w:basedOn w:val="Normal"/>
    <w:uiPriority w:val="99"/>
    <w:semiHidden/>
    <w:rsid w:val="00065F18"/>
    <w:pPr>
      <w:numPr>
        <w:numId w:val="4"/>
      </w:numPr>
    </w:pPr>
  </w:style>
  <w:style w:type="paragraph" w:styleId="ListBullet5">
    <w:name w:val="List Bullet 5"/>
    <w:basedOn w:val="Normal"/>
    <w:uiPriority w:val="99"/>
    <w:semiHidden/>
    <w:rsid w:val="00065F18"/>
    <w:pPr>
      <w:numPr>
        <w:numId w:val="5"/>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Normal"/>
    <w:uiPriority w:val="99"/>
    <w:semiHidden/>
    <w:rsid w:val="00065F18"/>
    <w:pPr>
      <w:numPr>
        <w:numId w:val="1"/>
      </w:numPr>
    </w:pPr>
  </w:style>
  <w:style w:type="paragraph" w:styleId="ListNumber2">
    <w:name w:val="List Number 2"/>
    <w:basedOn w:val="Normal"/>
    <w:uiPriority w:val="99"/>
    <w:semiHidden/>
    <w:rsid w:val="00065F18"/>
    <w:pPr>
      <w:numPr>
        <w:numId w:val="6"/>
      </w:numPr>
    </w:pPr>
  </w:style>
  <w:style w:type="paragraph" w:styleId="ListNumber3">
    <w:name w:val="List Number 3"/>
    <w:basedOn w:val="Normal"/>
    <w:uiPriority w:val="99"/>
    <w:semiHidden/>
    <w:rsid w:val="00065F18"/>
    <w:pPr>
      <w:numPr>
        <w:numId w:val="7"/>
      </w:numPr>
    </w:pPr>
  </w:style>
  <w:style w:type="paragraph" w:styleId="ListNumber4">
    <w:name w:val="List Number 4"/>
    <w:basedOn w:val="Normal"/>
    <w:uiPriority w:val="99"/>
    <w:semiHidden/>
    <w:rsid w:val="00065F18"/>
    <w:pPr>
      <w:numPr>
        <w:numId w:val="8"/>
      </w:numPr>
    </w:pPr>
  </w:style>
  <w:style w:type="paragraph" w:styleId="ListNumber5">
    <w:name w:val="List Number 5"/>
    <w:basedOn w:val="Normal"/>
    <w:uiPriority w:val="99"/>
    <w:semiHidden/>
    <w:rsid w:val="00065F18"/>
    <w:pPr>
      <w:numPr>
        <w:numId w:val="9"/>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3E54D4"/>
    <w:rPr>
      <w:rFonts w:eastAsiaTheme="minorHAnsi"/>
      <w:b/>
      <w:sz w:val="28"/>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4"/>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065F18"/>
    <w:pPr>
      <w:numPr>
        <w:numId w:val="14"/>
      </w:numPr>
      <w:outlineLvl w:val="5"/>
    </w:pPr>
  </w:style>
  <w:style w:type="paragraph" w:customStyle="1" w:styleId="Headingnumbered2">
    <w:name w:val="Heading numbered 2"/>
    <w:basedOn w:val="Heading2"/>
    <w:next w:val="Normal"/>
    <w:uiPriority w:val="1"/>
    <w:semiHidden/>
    <w:rsid w:val="00065F18"/>
    <w:pPr>
      <w:numPr>
        <w:ilvl w:val="1"/>
        <w:numId w:val="14"/>
      </w:numPr>
      <w:outlineLvl w:val="6"/>
    </w:pPr>
  </w:style>
  <w:style w:type="paragraph" w:customStyle="1" w:styleId="Headingnumbered3">
    <w:name w:val="Heading numbered 3"/>
    <w:basedOn w:val="Normal"/>
    <w:next w:val="Normal"/>
    <w:uiPriority w:val="1"/>
    <w:semiHidden/>
    <w:rsid w:val="00065F18"/>
    <w:pPr>
      <w:numPr>
        <w:ilvl w:val="2"/>
        <w:numId w:val="14"/>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065F18"/>
    <w:pPr>
      <w:numPr>
        <w:ilvl w:val="3"/>
        <w:numId w:val="14"/>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unhideWhenUsed/>
    <w:rsid w:val="00065F18"/>
    <w:pPr>
      <w:numPr>
        <w:ilvl w:val="2"/>
        <w:numId w:val="25"/>
      </w:numPr>
      <w:spacing w:after="120"/>
    </w:pPr>
  </w:style>
  <w:style w:type="paragraph" w:customStyle="1" w:styleId="Numberedpara1level4i">
    <w:name w:val="Numbered para (1) level 4 (i)"/>
    <w:basedOn w:val="Normal"/>
    <w:semiHidden/>
    <w:unhideWhenUsed/>
    <w:rsid w:val="00065F18"/>
    <w:pPr>
      <w:numPr>
        <w:ilvl w:val="3"/>
        <w:numId w:val="25"/>
      </w:numPr>
      <w:spacing w:after="120"/>
    </w:pPr>
  </w:style>
  <w:style w:type="paragraph" w:customStyle="1" w:styleId="Bullet">
    <w:name w:val="Bullet"/>
    <w:basedOn w:val="Normal"/>
    <w:rsid w:val="00065F18"/>
    <w:pPr>
      <w:numPr>
        <w:numId w:val="15"/>
      </w:numPr>
      <w:spacing w:before="80" w:after="80"/>
    </w:pPr>
    <w:rPr>
      <w:noProof/>
    </w:rPr>
  </w:style>
  <w:style w:type="paragraph" w:customStyle="1" w:styleId="Bulletlevel2">
    <w:name w:val="Bullet level 2"/>
    <w:basedOn w:val="Normal"/>
    <w:uiPriority w:val="1"/>
    <w:semiHidden/>
    <w:rsid w:val="00065F18"/>
    <w:pPr>
      <w:numPr>
        <w:ilvl w:val="1"/>
        <w:numId w:val="15"/>
      </w:numPr>
      <w:spacing w:before="80" w:after="80"/>
    </w:pPr>
  </w:style>
  <w:style w:type="paragraph" w:customStyle="1" w:styleId="Bulletlevel3">
    <w:name w:val="Bullet level 3"/>
    <w:basedOn w:val="Normal"/>
    <w:uiPriority w:val="1"/>
    <w:semiHidden/>
    <w:rsid w:val="00065F18"/>
    <w:pPr>
      <w:numPr>
        <w:ilvl w:val="2"/>
        <w:numId w:val="15"/>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20"/>
      </w:numPr>
      <w:spacing w:before="80" w:after="80"/>
    </w:pPr>
  </w:style>
  <w:style w:type="paragraph" w:customStyle="1" w:styleId="List123">
    <w:name w:val="List 1 2 3"/>
    <w:basedOn w:val="Normal"/>
    <w:rsid w:val="00065F18"/>
    <w:pPr>
      <w:numPr>
        <w:numId w:val="21"/>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37298A"/>
    <w:pPr>
      <w:tabs>
        <w:tab w:val="right" w:leader="dot" w:pos="9072"/>
      </w:tabs>
      <w:spacing w:before="200" w:after="60"/>
      <w:ind w:right="567"/>
    </w:pPr>
    <w:rPr>
      <w:color w:val="000000" w:themeColor="text1"/>
    </w:rPr>
  </w:style>
  <w:style w:type="paragraph" w:styleId="TOC2">
    <w:name w:val="toc 2"/>
    <w:basedOn w:val="Normal"/>
    <w:next w:val="Normal"/>
    <w:uiPriority w:val="39"/>
    <w:rsid w:val="00473E2F"/>
    <w:pPr>
      <w:tabs>
        <w:tab w:val="right" w:leader="dot" w:pos="9072"/>
      </w:tabs>
      <w:spacing w:before="60" w:after="60"/>
      <w:ind w:left="425" w:right="567"/>
    </w:pPr>
    <w:rPr>
      <w:noProof/>
    </w:rPr>
  </w:style>
  <w:style w:type="paragraph" w:styleId="TOC3">
    <w:name w:val="toc 3"/>
    <w:basedOn w:val="Normal"/>
    <w:next w:val="Normal"/>
    <w:autoRedefine/>
    <w:uiPriority w:val="39"/>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065F18"/>
    <w:pPr>
      <w:spacing w:before="40" w:after="40"/>
    </w:pPr>
    <w:rPr>
      <w:b/>
      <w:color w:val="FFFFFF" w:themeColor="background1"/>
      <w:sz w:val="22"/>
    </w:rPr>
  </w:style>
  <w:style w:type="character" w:customStyle="1" w:styleId="Heading2Char">
    <w:name w:val="Heading 2 Char"/>
    <w:basedOn w:val="DefaultParagraphFont"/>
    <w:link w:val="Heading2"/>
    <w:rsid w:val="00E52276"/>
    <w:rPr>
      <w:rFonts w:eastAsiaTheme="minorHAnsi"/>
      <w:b/>
      <w:i/>
      <w:sz w:val="26"/>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6"/>
      </w:numPr>
    </w:pPr>
  </w:style>
  <w:style w:type="paragraph" w:customStyle="1" w:styleId="Tablebulletlevel2">
    <w:name w:val="Table bullet level 2"/>
    <w:basedOn w:val="Tablenormal0"/>
    <w:uiPriority w:val="99"/>
    <w:semiHidden/>
    <w:rsid w:val="00065F18"/>
    <w:pPr>
      <w:numPr>
        <w:ilvl w:val="1"/>
        <w:numId w:val="16"/>
      </w:numPr>
    </w:pPr>
  </w:style>
  <w:style w:type="paragraph" w:customStyle="1" w:styleId="TableBulletListLevel3">
    <w:name w:val="Table Bullet List Level 3"/>
    <w:basedOn w:val="BodyTextTable"/>
    <w:uiPriority w:val="11"/>
    <w:semiHidden/>
    <w:rsid w:val="00065F18"/>
    <w:pPr>
      <w:numPr>
        <w:ilvl w:val="2"/>
        <w:numId w:val="16"/>
      </w:numPr>
      <w:spacing w:before="60" w:after="60"/>
    </w:pPr>
  </w:style>
  <w:style w:type="paragraph" w:customStyle="1" w:styleId="Tablelist123">
    <w:name w:val="Table list 1 2 3"/>
    <w:basedOn w:val="Tablenormal0"/>
    <w:rsid w:val="00065F18"/>
    <w:pPr>
      <w:numPr>
        <w:numId w:val="18"/>
      </w:numPr>
    </w:pPr>
  </w:style>
  <w:style w:type="paragraph" w:customStyle="1" w:styleId="Tablelist123level2">
    <w:name w:val="Table list 1 2 3 level 2"/>
    <w:basedOn w:val="Tablenormal0"/>
    <w:semiHidden/>
    <w:rsid w:val="00065F18"/>
    <w:pPr>
      <w:numPr>
        <w:ilvl w:val="1"/>
        <w:numId w:val="18"/>
      </w:numPr>
    </w:pPr>
  </w:style>
  <w:style w:type="character" w:customStyle="1" w:styleId="Heading4Char">
    <w:name w:val="Heading 4 Char"/>
    <w:basedOn w:val="DefaultParagraphFont"/>
    <w:link w:val="Heading4"/>
    <w:semiHidden/>
    <w:rsid w:val="00264E9B"/>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7"/>
      </w:numPr>
    </w:pPr>
  </w:style>
  <w:style w:type="paragraph" w:customStyle="1" w:styleId="BodyTextTableLevel2">
    <w:name w:val="Body Text Table Level 2"/>
    <w:basedOn w:val="BodyTextTable"/>
    <w:uiPriority w:val="11"/>
    <w:semiHidden/>
    <w:rsid w:val="00065F18"/>
    <w:pPr>
      <w:numPr>
        <w:ilvl w:val="1"/>
        <w:numId w:val="17"/>
      </w:numPr>
    </w:pPr>
  </w:style>
  <w:style w:type="paragraph" w:customStyle="1" w:styleId="BodyTextTableLevel3">
    <w:name w:val="Body Text Table Level 3"/>
    <w:basedOn w:val="BodyTextTable"/>
    <w:uiPriority w:val="11"/>
    <w:semiHidden/>
    <w:rsid w:val="00065F18"/>
    <w:pPr>
      <w:numPr>
        <w:ilvl w:val="3"/>
        <w:numId w:val="18"/>
      </w:numPr>
    </w:pPr>
  </w:style>
  <w:style w:type="paragraph" w:styleId="Caption">
    <w:name w:val="caption"/>
    <w:basedOn w:val="Normal"/>
    <w:next w:val="Normal"/>
    <w:qFormat/>
    <w:rsid w:val="00662410"/>
    <w:pPr>
      <w:spacing w:before="80" w:after="80"/>
      <w:ind w:left="567"/>
    </w:pPr>
    <w:rPr>
      <w:b/>
      <w:bCs/>
      <w:sz w:val="22"/>
      <w:szCs w:val="20"/>
    </w:rPr>
  </w:style>
  <w:style w:type="paragraph" w:customStyle="1" w:styleId="WhiteSpace">
    <w:name w:val="White Space"/>
    <w:basedOn w:val="Normal"/>
    <w:uiPriority w:val="99"/>
    <w:semiHidden/>
    <w:rsid w:val="00065F18"/>
    <w:rPr>
      <w:sz w:val="12"/>
    </w:rPr>
  </w:style>
  <w:style w:type="paragraph" w:customStyle="1" w:styleId="Headingappendix">
    <w:name w:val="Heading appendix"/>
    <w:basedOn w:val="Heading1"/>
    <w:next w:val="Normal"/>
    <w:rsid w:val="001D5EC0"/>
    <w:pPr>
      <w:pageBreakBefore/>
      <w:numPr>
        <w:numId w:val="19"/>
      </w:numPr>
      <w:tabs>
        <w:tab w:val="left" w:pos="2268"/>
      </w:tabs>
      <w:spacing w:before="0"/>
      <w:outlineLvl w:val="7"/>
    </w:pPr>
    <w:rPr>
      <w:color w:val="000000" w:themeColor="text1"/>
    </w:rPr>
  </w:style>
  <w:style w:type="paragraph" w:customStyle="1" w:styleId="NotforContentsheading1">
    <w:name w:val="Not for Contents heading 1"/>
    <w:basedOn w:val="Normal"/>
    <w:next w:val="Normal"/>
    <w:rsid w:val="008C2D6D"/>
    <w:pPr>
      <w:spacing w:before="400"/>
    </w:pPr>
    <w:rPr>
      <w:b/>
      <w:color w:val="000000" w:themeColor="text1"/>
      <w:sz w:val="48"/>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20"/>
      </w:numPr>
      <w:spacing w:before="80" w:after="80"/>
    </w:pPr>
  </w:style>
  <w:style w:type="paragraph" w:customStyle="1" w:styleId="NotforContentsheading2">
    <w:name w:val="Not for Contents heading 2"/>
    <w:basedOn w:val="Normal"/>
    <w:next w:val="Normal"/>
    <w:rsid w:val="00B84E9B"/>
    <w:pPr>
      <w:spacing w:after="120"/>
    </w:pPr>
    <w:rPr>
      <w:b/>
      <w:sz w:val="32"/>
    </w:rPr>
  </w:style>
  <w:style w:type="character" w:customStyle="1" w:styleId="Heading3Char">
    <w:name w:val="Heading 3 Char"/>
    <w:link w:val="Heading3"/>
    <w:rsid w:val="00E52276"/>
    <w:rPr>
      <w:rFonts w:eastAsiaTheme="minorHAnsi" w:cs="Arial"/>
      <w:bCs/>
      <w:i/>
      <w:sz w:val="26"/>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Bullet"/>
    <w:uiPriority w:val="34"/>
    <w:semiHidden/>
    <w:qFormat/>
    <w:rsid w:val="00065F18"/>
    <w:pPr>
      <w:numPr>
        <w:numId w:val="13"/>
      </w:numPr>
    </w:pPr>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Footersecurityclassification">
    <w:name w:val="Footer security classification"/>
    <w:basedOn w:val="Footer"/>
    <w:qFormat/>
    <w:rsid w:val="001D5EC0"/>
    <w:rPr>
      <w:i w:val="0"/>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20"/>
      </w:numPr>
      <w:spacing w:before="80" w:after="80"/>
    </w:pPr>
  </w:style>
  <w:style w:type="paragraph" w:customStyle="1" w:styleId="List123level2">
    <w:name w:val="List 1 2 3 level 2"/>
    <w:basedOn w:val="Normal"/>
    <w:uiPriority w:val="1"/>
    <w:semiHidden/>
    <w:qFormat/>
    <w:rsid w:val="00065F18"/>
    <w:pPr>
      <w:numPr>
        <w:ilvl w:val="1"/>
        <w:numId w:val="21"/>
      </w:numPr>
    </w:pPr>
  </w:style>
  <w:style w:type="paragraph" w:customStyle="1" w:styleId="List123level3">
    <w:name w:val="List 1 2 3 level 3"/>
    <w:basedOn w:val="Normal"/>
    <w:uiPriority w:val="1"/>
    <w:semiHidden/>
    <w:qFormat/>
    <w:rsid w:val="00065F18"/>
    <w:pPr>
      <w:numPr>
        <w:ilvl w:val="2"/>
        <w:numId w:val="21"/>
      </w:numPr>
    </w:pPr>
  </w:style>
  <w:style w:type="paragraph" w:customStyle="1" w:styleId="Legislationsection">
    <w:name w:val="Legislation section"/>
    <w:basedOn w:val="Normal"/>
    <w:semiHidden/>
    <w:qFormat/>
    <w:rsid w:val="00065F18"/>
    <w:pPr>
      <w:numPr>
        <w:numId w:val="23"/>
      </w:numPr>
      <w:tabs>
        <w:tab w:val="left" w:pos="567"/>
      </w:tabs>
      <w:spacing w:after="60"/>
    </w:pPr>
    <w:rPr>
      <w:b/>
      <w:sz w:val="22"/>
    </w:rPr>
  </w:style>
  <w:style w:type="paragraph" w:customStyle="1" w:styleId="Legislationnumber">
    <w:name w:val="Legislation number"/>
    <w:basedOn w:val="Normal"/>
    <w:semiHidden/>
    <w:qFormat/>
    <w:rsid w:val="00065F18"/>
    <w:pPr>
      <w:numPr>
        <w:numId w:val="22"/>
      </w:numPr>
      <w:tabs>
        <w:tab w:val="left" w:pos="567"/>
      </w:tabs>
      <w:spacing w:before="60" w:after="60"/>
    </w:pPr>
    <w:rPr>
      <w:sz w:val="22"/>
    </w:rPr>
  </w:style>
  <w:style w:type="paragraph" w:customStyle="1" w:styleId="Legislationa">
    <w:name w:val="Legislation (a)"/>
    <w:basedOn w:val="Normal"/>
    <w:semiHidden/>
    <w:qFormat/>
    <w:rsid w:val="00065F18"/>
    <w:pPr>
      <w:numPr>
        <w:ilvl w:val="2"/>
        <w:numId w:val="23"/>
      </w:numPr>
      <w:spacing w:before="60" w:after="60"/>
    </w:pPr>
    <w:rPr>
      <w:sz w:val="22"/>
    </w:rPr>
  </w:style>
  <w:style w:type="paragraph" w:customStyle="1" w:styleId="Legislationi">
    <w:name w:val="Legislation (i)"/>
    <w:basedOn w:val="Normal"/>
    <w:semiHidden/>
    <w:qFormat/>
    <w:rsid w:val="00065F18"/>
    <w:pPr>
      <w:numPr>
        <w:ilvl w:val="3"/>
        <w:numId w:val="23"/>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level1">
    <w:name w:val="Numbered para (2) level 1"/>
    <w:basedOn w:val="Normal"/>
    <w:semiHidden/>
    <w:qFormat/>
    <w:rsid w:val="00065F18"/>
    <w:pPr>
      <w:numPr>
        <w:numId w:val="28"/>
      </w:numPr>
      <w:spacing w:after="120"/>
    </w:pPr>
  </w:style>
  <w:style w:type="paragraph" w:customStyle="1" w:styleId="Numberedpara2level2a">
    <w:name w:val="Numbered para (2) level 2 (a)"/>
    <w:basedOn w:val="Normal"/>
    <w:semiHidden/>
    <w:qFormat/>
    <w:rsid w:val="00065F18"/>
    <w:pPr>
      <w:numPr>
        <w:ilvl w:val="1"/>
        <w:numId w:val="28"/>
      </w:numPr>
      <w:spacing w:after="120"/>
    </w:pPr>
  </w:style>
  <w:style w:type="paragraph" w:customStyle="1" w:styleId="Numberedpara2level3i">
    <w:name w:val="Numbered para (2) level 3 (i)"/>
    <w:basedOn w:val="Normal"/>
    <w:semiHidden/>
    <w:qFormat/>
    <w:rsid w:val="00065F18"/>
    <w:pPr>
      <w:numPr>
        <w:ilvl w:val="2"/>
        <w:numId w:val="28"/>
      </w:numPr>
      <w:spacing w:after="120"/>
    </w:pPr>
  </w:style>
  <w:style w:type="paragraph" w:customStyle="1" w:styleId="Title2">
    <w:name w:val="Title 2"/>
    <w:basedOn w:val="Title"/>
    <w:semiHidden/>
    <w:qFormat/>
    <w:rsid w:val="00065F18"/>
    <w:rPr>
      <w:sz w:val="52"/>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Headersecurityclassification">
    <w:name w:val="Header security classification"/>
    <w:basedOn w:val="DefaultParagraphFont"/>
    <w:uiPriority w:val="1"/>
    <w:qFormat/>
    <w:rsid w:val="001D5EC0"/>
    <w:rPr>
      <w:rFonts w:ascii="Calibri" w:hAnsi="Calibri"/>
      <w:b/>
      <w:i w:val="0"/>
      <w:caps/>
      <w:smallCaps w:val="0"/>
      <w:color w:val="000000" w:themeColor="text1"/>
      <w:sz w:val="22"/>
    </w:rPr>
  </w:style>
  <w:style w:type="paragraph" w:customStyle="1" w:styleId="Numberedpara1level211">
    <w:name w:val="Numbered para (1) level 2 (1.1)"/>
    <w:basedOn w:val="Normal"/>
    <w:semiHidden/>
    <w:unhideWhenUsed/>
    <w:rsid w:val="00065F18"/>
    <w:pPr>
      <w:numPr>
        <w:ilvl w:val="1"/>
        <w:numId w:val="25"/>
      </w:numPr>
      <w:spacing w:after="120"/>
    </w:pPr>
  </w:style>
  <w:style w:type="paragraph" w:customStyle="1" w:styleId="Numberedpara11headingwithnumber">
    <w:name w:val="Numbered para (1) 1 (heading with number)"/>
    <w:basedOn w:val="Normal"/>
    <w:semiHidden/>
    <w:unhideWhenUsed/>
    <w:qFormat/>
    <w:rsid w:val="00065F18"/>
    <w:pPr>
      <w:numPr>
        <w:numId w:val="25"/>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FinancialtableLHC">
    <w:name w:val="Financial table LHC"/>
    <w:basedOn w:val="Normal"/>
    <w:semiHidden/>
    <w:qFormat/>
    <w:rsid w:val="00A5302B"/>
    <w:pPr>
      <w:spacing w:before="0" w:after="0"/>
      <w:contextualSpacing/>
    </w:pPr>
    <w:rPr>
      <w:sz w:val="22"/>
    </w:rPr>
  </w:style>
  <w:style w:type="paragraph" w:customStyle="1" w:styleId="Financialtablefigures">
    <w:name w:val="Financial table figures"/>
    <w:basedOn w:val="FinancialtableLHC"/>
    <w:semiHidden/>
    <w:qFormat/>
    <w:rsid w:val="00A5302B"/>
    <w:pPr>
      <w:jc w:val="right"/>
    </w:pPr>
  </w:style>
  <w:style w:type="paragraph" w:customStyle="1" w:styleId="Financialtableyears">
    <w:name w:val="Financial table years"/>
    <w:basedOn w:val="Financialtablefigures"/>
    <w:semiHidden/>
    <w:qFormat/>
    <w:rsid w:val="00A5302B"/>
    <w:pPr>
      <w:jc w:val="center"/>
    </w:pPr>
    <w:rPr>
      <w:b/>
      <w:sz w:val="20"/>
    </w:rPr>
  </w:style>
  <w:style w:type="paragraph" w:customStyle="1" w:styleId="Tablesource">
    <w:name w:val="Table source"/>
    <w:basedOn w:val="Normal"/>
    <w:qFormat/>
    <w:rsid w:val="00662410"/>
    <w:pPr>
      <w:spacing w:before="80" w:after="120"/>
      <w:ind w:left="567"/>
    </w:pPr>
    <w:rPr>
      <w:sz w:val="22"/>
    </w:rPr>
  </w:style>
  <w:style w:type="paragraph" w:customStyle="1" w:styleId="Numberedpara3subheading">
    <w:name w:val="Numbered para (3) subheading"/>
    <w:basedOn w:val="Normal"/>
    <w:next w:val="Normal"/>
    <w:semiHidden/>
    <w:qFormat/>
    <w:rsid w:val="0088686D"/>
    <w:pPr>
      <w:spacing w:before="240" w:after="120"/>
    </w:pPr>
    <w:rPr>
      <w:b/>
      <w:i/>
    </w:rPr>
  </w:style>
  <w:style w:type="paragraph" w:customStyle="1" w:styleId="Numberedpara3level1">
    <w:name w:val="Numbered para (3) level 1"/>
    <w:basedOn w:val="Normal"/>
    <w:qFormat/>
    <w:rsid w:val="0088686D"/>
    <w:pPr>
      <w:numPr>
        <w:numId w:val="29"/>
      </w:numPr>
      <w:spacing w:after="120"/>
    </w:pPr>
  </w:style>
  <w:style w:type="paragraph" w:customStyle="1" w:styleId="Numberedpara3level211">
    <w:name w:val="Numbered para (3) level 2 (1.1)"/>
    <w:basedOn w:val="Normal"/>
    <w:qFormat/>
    <w:rsid w:val="0088686D"/>
    <w:pPr>
      <w:numPr>
        <w:ilvl w:val="1"/>
        <w:numId w:val="29"/>
      </w:numPr>
      <w:spacing w:after="120"/>
    </w:pPr>
  </w:style>
  <w:style w:type="paragraph" w:customStyle="1" w:styleId="Numberedpara3level3111">
    <w:name w:val="Numbered para (3) level 3 (1.1.1)"/>
    <w:basedOn w:val="Normal"/>
    <w:qFormat/>
    <w:rsid w:val="0088686D"/>
    <w:pPr>
      <w:numPr>
        <w:ilvl w:val="2"/>
        <w:numId w:val="29"/>
      </w:numPr>
      <w:spacing w:after="120"/>
    </w:pPr>
  </w:style>
  <w:style w:type="paragraph" w:customStyle="1" w:styleId="Numberedpara3heading">
    <w:name w:val="Numbered para (3) heading"/>
    <w:basedOn w:val="Normal"/>
    <w:semiHidden/>
    <w:qFormat/>
    <w:rsid w:val="0088686D"/>
    <w:pPr>
      <w:keepNext/>
      <w:spacing w:before="200" w:after="120"/>
    </w:pPr>
    <w:rPr>
      <w:b/>
    </w:rPr>
  </w:style>
  <w:style w:type="table" w:customStyle="1" w:styleId="RIS">
    <w:name w:val="__RIS"/>
    <w:basedOn w:val="TableNormal"/>
    <w:uiPriority w:val="99"/>
    <w:rsid w:val="00FB0E14"/>
    <w:pPr>
      <w:spacing w:before="56" w:after="32"/>
    </w:pPr>
    <w:rPr>
      <w:rFonts w:eastAsiaTheme="minorHAnsi" w:cstheme="minorBidi"/>
      <w:sz w:val="22"/>
      <w:lang w:eastAsia="en-US"/>
    </w:rPr>
    <w:tblPr>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cantSplit/>
    </w:trPr>
    <w:tblStylePr w:type="firstRow">
      <w:pPr>
        <w:wordWrap/>
        <w:spacing w:beforeLines="0" w:before="60" w:beforeAutospacing="0" w:afterLines="0" w:after="24" w:afterAutospacing="0" w:line="240" w:lineRule="auto"/>
        <w:contextualSpacing w:val="0"/>
      </w:pPr>
      <w:rPr>
        <w:rFonts w:ascii="Calibri" w:hAnsi="Calibri"/>
        <w:b/>
        <w:color w:val="FFFFFF" w:themeColor="background1"/>
        <w:sz w:val="22"/>
      </w:rPr>
      <w:tblPr/>
      <w:trPr>
        <w:tblHeader/>
      </w:trPr>
      <w:tcPr>
        <w:tcBorders>
          <w:top w:val="single" w:sz="12" w:space="0" w:color="000000" w:themeColor="text1"/>
          <w:left w:val="single" w:sz="12" w:space="0" w:color="000000" w:themeColor="text1"/>
          <w:bottom w:val="nil"/>
          <w:right w:val="single" w:sz="12" w:space="0" w:color="000000" w:themeColor="text1"/>
          <w:insideH w:val="single" w:sz="6" w:space="0" w:color="FFFFFF" w:themeColor="background1"/>
          <w:insideV w:val="single" w:sz="6" w:space="0" w:color="FFFFFF" w:themeColor="background1"/>
          <w:tl2br w:val="nil"/>
          <w:tr2bl w:val="nil"/>
        </w:tcBorders>
        <w:shd w:val="clear" w:color="auto" w:fill="000000" w:themeFill="text1"/>
      </w:tcPr>
    </w:tblStylePr>
  </w:style>
  <w:style w:type="character" w:customStyle="1" w:styleId="Crossreferences">
    <w:name w:val="Cross references"/>
    <w:basedOn w:val="DefaultParagraphFont"/>
    <w:uiPriority w:val="1"/>
    <w:qFormat/>
    <w:rsid w:val="00E52276"/>
    <w:rPr>
      <w:i/>
      <w:u w:val="single"/>
    </w:rPr>
  </w:style>
  <w:style w:type="character" w:customStyle="1" w:styleId="apple-converted-space">
    <w:name w:val="apple-converted-space"/>
    <w:basedOn w:val="DefaultParagraphFont"/>
    <w:rsid w:val="00C061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0"/>
    <w:lsdException w:name="header" w:uiPriority="0"/>
    <w:lsdException w:name="footer" w:uiPriority="0"/>
    <w:lsdException w:name="caption" w:uiPriority="0" w:qFormat="1"/>
    <w:lsdException w:name="footnote reference" w:uiPriority="0"/>
    <w:lsdException w:name="List Number" w:semiHidden="0" w:unhideWhenUsed="0"/>
    <w:lsdException w:name="List 2" w:uiPriority="3"/>
    <w:lsdException w:name="List 4" w:semiHidden="0" w:unhideWhenUsed="0"/>
    <w:lsdException w:name="List 5" w:semiHidden="0" w:unhideWhenUsed="0"/>
    <w:lsdException w:name="Title" w:semiHidden="0" w:uiPriority="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276"/>
    <w:pPr>
      <w:keepLines/>
    </w:pPr>
    <w:rPr>
      <w:rFonts w:eastAsiaTheme="minorHAnsi"/>
      <w:lang w:eastAsia="en-US"/>
    </w:rPr>
  </w:style>
  <w:style w:type="paragraph" w:styleId="Heading1">
    <w:name w:val="heading 1"/>
    <w:basedOn w:val="Normal"/>
    <w:next w:val="Numberedpara3level1"/>
    <w:link w:val="Heading1Char"/>
    <w:qFormat/>
    <w:rsid w:val="003E54D4"/>
    <w:pPr>
      <w:keepNext/>
      <w:spacing w:before="240" w:after="120"/>
      <w:outlineLvl w:val="0"/>
    </w:pPr>
    <w:rPr>
      <w:b/>
      <w:sz w:val="28"/>
    </w:rPr>
  </w:style>
  <w:style w:type="paragraph" w:styleId="Heading2">
    <w:name w:val="heading 2"/>
    <w:basedOn w:val="Normal"/>
    <w:next w:val="Numberedpara3level1"/>
    <w:link w:val="Heading2Char"/>
    <w:qFormat/>
    <w:rsid w:val="00E52276"/>
    <w:pPr>
      <w:keepNext/>
      <w:spacing w:before="240" w:after="120"/>
      <w:outlineLvl w:val="1"/>
    </w:pPr>
    <w:rPr>
      <w:b/>
      <w:i/>
      <w:sz w:val="26"/>
    </w:rPr>
  </w:style>
  <w:style w:type="paragraph" w:styleId="Heading3">
    <w:name w:val="heading 3"/>
    <w:basedOn w:val="Normal"/>
    <w:next w:val="Normal"/>
    <w:link w:val="Heading3Char"/>
    <w:qFormat/>
    <w:rsid w:val="00E52276"/>
    <w:pPr>
      <w:keepNext/>
      <w:spacing w:before="240" w:after="120"/>
      <w:contextualSpacing/>
      <w:outlineLvl w:val="2"/>
    </w:pPr>
    <w:rPr>
      <w:rFonts w:cs="Arial"/>
      <w:bCs/>
      <w:i/>
      <w:sz w:val="26"/>
      <w:szCs w:val="26"/>
    </w:rPr>
  </w:style>
  <w:style w:type="paragraph" w:styleId="Heading4">
    <w:name w:val="heading 4"/>
    <w:basedOn w:val="Normal"/>
    <w:next w:val="Normal"/>
    <w:link w:val="Heading4Char"/>
    <w:semiHidden/>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11"/>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10"/>
      </w:numPr>
    </w:pPr>
  </w:style>
  <w:style w:type="numbering" w:styleId="ArticleSection">
    <w:name w:val="Outline List 3"/>
    <w:basedOn w:val="NoList"/>
    <w:semiHidden/>
    <w:rsid w:val="00065F18"/>
    <w:pPr>
      <w:numPr>
        <w:numId w:val="12"/>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65F18"/>
    <w:pPr>
      <w:numPr>
        <w:numId w:val="0"/>
      </w:numPr>
    </w:pPr>
  </w:style>
  <w:style w:type="paragraph" w:styleId="ListBullet2">
    <w:name w:val="List Bullet 2"/>
    <w:basedOn w:val="Normal"/>
    <w:uiPriority w:val="99"/>
    <w:semiHidden/>
    <w:rsid w:val="00065F18"/>
    <w:pPr>
      <w:numPr>
        <w:numId w:val="2"/>
      </w:numPr>
    </w:pPr>
  </w:style>
  <w:style w:type="paragraph" w:styleId="ListBullet3">
    <w:name w:val="List Bullet 3"/>
    <w:basedOn w:val="Normal"/>
    <w:uiPriority w:val="99"/>
    <w:semiHidden/>
    <w:rsid w:val="00065F18"/>
    <w:pPr>
      <w:numPr>
        <w:numId w:val="3"/>
      </w:numPr>
    </w:pPr>
  </w:style>
  <w:style w:type="paragraph" w:styleId="ListBullet4">
    <w:name w:val="List Bullet 4"/>
    <w:basedOn w:val="Normal"/>
    <w:uiPriority w:val="99"/>
    <w:semiHidden/>
    <w:rsid w:val="00065F18"/>
    <w:pPr>
      <w:numPr>
        <w:numId w:val="4"/>
      </w:numPr>
    </w:pPr>
  </w:style>
  <w:style w:type="paragraph" w:styleId="ListBullet5">
    <w:name w:val="List Bullet 5"/>
    <w:basedOn w:val="Normal"/>
    <w:uiPriority w:val="99"/>
    <w:semiHidden/>
    <w:rsid w:val="00065F18"/>
    <w:pPr>
      <w:numPr>
        <w:numId w:val="5"/>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Normal"/>
    <w:uiPriority w:val="99"/>
    <w:semiHidden/>
    <w:rsid w:val="00065F18"/>
    <w:pPr>
      <w:numPr>
        <w:numId w:val="1"/>
      </w:numPr>
    </w:pPr>
  </w:style>
  <w:style w:type="paragraph" w:styleId="ListNumber2">
    <w:name w:val="List Number 2"/>
    <w:basedOn w:val="Normal"/>
    <w:uiPriority w:val="99"/>
    <w:semiHidden/>
    <w:rsid w:val="00065F18"/>
    <w:pPr>
      <w:numPr>
        <w:numId w:val="6"/>
      </w:numPr>
    </w:pPr>
  </w:style>
  <w:style w:type="paragraph" w:styleId="ListNumber3">
    <w:name w:val="List Number 3"/>
    <w:basedOn w:val="Normal"/>
    <w:uiPriority w:val="99"/>
    <w:semiHidden/>
    <w:rsid w:val="00065F18"/>
    <w:pPr>
      <w:numPr>
        <w:numId w:val="7"/>
      </w:numPr>
    </w:pPr>
  </w:style>
  <w:style w:type="paragraph" w:styleId="ListNumber4">
    <w:name w:val="List Number 4"/>
    <w:basedOn w:val="Normal"/>
    <w:uiPriority w:val="99"/>
    <w:semiHidden/>
    <w:rsid w:val="00065F18"/>
    <w:pPr>
      <w:numPr>
        <w:numId w:val="8"/>
      </w:numPr>
    </w:pPr>
  </w:style>
  <w:style w:type="paragraph" w:styleId="ListNumber5">
    <w:name w:val="List Number 5"/>
    <w:basedOn w:val="Normal"/>
    <w:uiPriority w:val="99"/>
    <w:semiHidden/>
    <w:rsid w:val="00065F18"/>
    <w:pPr>
      <w:numPr>
        <w:numId w:val="9"/>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3E54D4"/>
    <w:rPr>
      <w:rFonts w:eastAsiaTheme="minorHAnsi"/>
      <w:b/>
      <w:sz w:val="28"/>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4"/>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065F18"/>
    <w:pPr>
      <w:numPr>
        <w:numId w:val="14"/>
      </w:numPr>
      <w:outlineLvl w:val="5"/>
    </w:pPr>
  </w:style>
  <w:style w:type="paragraph" w:customStyle="1" w:styleId="Headingnumbered2">
    <w:name w:val="Heading numbered 2"/>
    <w:basedOn w:val="Heading2"/>
    <w:next w:val="Normal"/>
    <w:uiPriority w:val="1"/>
    <w:semiHidden/>
    <w:rsid w:val="00065F18"/>
    <w:pPr>
      <w:numPr>
        <w:ilvl w:val="1"/>
        <w:numId w:val="14"/>
      </w:numPr>
      <w:outlineLvl w:val="6"/>
    </w:pPr>
  </w:style>
  <w:style w:type="paragraph" w:customStyle="1" w:styleId="Headingnumbered3">
    <w:name w:val="Heading numbered 3"/>
    <w:basedOn w:val="Normal"/>
    <w:next w:val="Normal"/>
    <w:uiPriority w:val="1"/>
    <w:semiHidden/>
    <w:rsid w:val="00065F18"/>
    <w:pPr>
      <w:numPr>
        <w:ilvl w:val="2"/>
        <w:numId w:val="14"/>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065F18"/>
    <w:pPr>
      <w:numPr>
        <w:ilvl w:val="3"/>
        <w:numId w:val="14"/>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unhideWhenUsed/>
    <w:rsid w:val="00065F18"/>
    <w:pPr>
      <w:numPr>
        <w:ilvl w:val="2"/>
        <w:numId w:val="25"/>
      </w:numPr>
      <w:spacing w:after="120"/>
    </w:pPr>
  </w:style>
  <w:style w:type="paragraph" w:customStyle="1" w:styleId="Numberedpara1level4i">
    <w:name w:val="Numbered para (1) level 4 (i)"/>
    <w:basedOn w:val="Normal"/>
    <w:semiHidden/>
    <w:unhideWhenUsed/>
    <w:rsid w:val="00065F18"/>
    <w:pPr>
      <w:numPr>
        <w:ilvl w:val="3"/>
        <w:numId w:val="25"/>
      </w:numPr>
      <w:spacing w:after="120"/>
    </w:pPr>
  </w:style>
  <w:style w:type="paragraph" w:customStyle="1" w:styleId="Bullet">
    <w:name w:val="Bullet"/>
    <w:basedOn w:val="Normal"/>
    <w:rsid w:val="00065F18"/>
    <w:pPr>
      <w:numPr>
        <w:numId w:val="15"/>
      </w:numPr>
      <w:spacing w:before="80" w:after="80"/>
    </w:pPr>
    <w:rPr>
      <w:noProof/>
    </w:rPr>
  </w:style>
  <w:style w:type="paragraph" w:customStyle="1" w:styleId="Bulletlevel2">
    <w:name w:val="Bullet level 2"/>
    <w:basedOn w:val="Normal"/>
    <w:uiPriority w:val="1"/>
    <w:semiHidden/>
    <w:rsid w:val="00065F18"/>
    <w:pPr>
      <w:numPr>
        <w:ilvl w:val="1"/>
        <w:numId w:val="15"/>
      </w:numPr>
      <w:spacing w:before="80" w:after="80"/>
    </w:pPr>
  </w:style>
  <w:style w:type="paragraph" w:customStyle="1" w:styleId="Bulletlevel3">
    <w:name w:val="Bullet level 3"/>
    <w:basedOn w:val="Normal"/>
    <w:uiPriority w:val="1"/>
    <w:semiHidden/>
    <w:rsid w:val="00065F18"/>
    <w:pPr>
      <w:numPr>
        <w:ilvl w:val="2"/>
        <w:numId w:val="15"/>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20"/>
      </w:numPr>
      <w:spacing w:before="80" w:after="80"/>
    </w:pPr>
  </w:style>
  <w:style w:type="paragraph" w:customStyle="1" w:styleId="List123">
    <w:name w:val="List 1 2 3"/>
    <w:basedOn w:val="Normal"/>
    <w:rsid w:val="00065F18"/>
    <w:pPr>
      <w:numPr>
        <w:numId w:val="21"/>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37298A"/>
    <w:pPr>
      <w:tabs>
        <w:tab w:val="right" w:leader="dot" w:pos="9072"/>
      </w:tabs>
      <w:spacing w:before="200" w:after="60"/>
      <w:ind w:right="567"/>
    </w:pPr>
    <w:rPr>
      <w:color w:val="000000" w:themeColor="text1"/>
    </w:rPr>
  </w:style>
  <w:style w:type="paragraph" w:styleId="TOC2">
    <w:name w:val="toc 2"/>
    <w:basedOn w:val="Normal"/>
    <w:next w:val="Normal"/>
    <w:uiPriority w:val="39"/>
    <w:rsid w:val="00473E2F"/>
    <w:pPr>
      <w:tabs>
        <w:tab w:val="right" w:leader="dot" w:pos="9072"/>
      </w:tabs>
      <w:spacing w:before="60" w:after="60"/>
      <w:ind w:left="425" w:right="567"/>
    </w:pPr>
    <w:rPr>
      <w:noProof/>
    </w:rPr>
  </w:style>
  <w:style w:type="paragraph" w:styleId="TOC3">
    <w:name w:val="toc 3"/>
    <w:basedOn w:val="Normal"/>
    <w:next w:val="Normal"/>
    <w:autoRedefine/>
    <w:uiPriority w:val="39"/>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065F18"/>
    <w:pPr>
      <w:spacing w:before="40" w:after="40"/>
    </w:pPr>
    <w:rPr>
      <w:b/>
      <w:color w:val="FFFFFF" w:themeColor="background1"/>
      <w:sz w:val="22"/>
    </w:rPr>
  </w:style>
  <w:style w:type="character" w:customStyle="1" w:styleId="Heading2Char">
    <w:name w:val="Heading 2 Char"/>
    <w:basedOn w:val="DefaultParagraphFont"/>
    <w:link w:val="Heading2"/>
    <w:rsid w:val="00E52276"/>
    <w:rPr>
      <w:rFonts w:eastAsiaTheme="minorHAnsi"/>
      <w:b/>
      <w:i/>
      <w:sz w:val="26"/>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6"/>
      </w:numPr>
    </w:pPr>
  </w:style>
  <w:style w:type="paragraph" w:customStyle="1" w:styleId="Tablebulletlevel2">
    <w:name w:val="Table bullet level 2"/>
    <w:basedOn w:val="Tablenormal0"/>
    <w:uiPriority w:val="99"/>
    <w:semiHidden/>
    <w:rsid w:val="00065F18"/>
    <w:pPr>
      <w:numPr>
        <w:ilvl w:val="1"/>
        <w:numId w:val="16"/>
      </w:numPr>
    </w:pPr>
  </w:style>
  <w:style w:type="paragraph" w:customStyle="1" w:styleId="TableBulletListLevel3">
    <w:name w:val="Table Bullet List Level 3"/>
    <w:basedOn w:val="BodyTextTable"/>
    <w:uiPriority w:val="11"/>
    <w:semiHidden/>
    <w:rsid w:val="00065F18"/>
    <w:pPr>
      <w:numPr>
        <w:ilvl w:val="2"/>
        <w:numId w:val="16"/>
      </w:numPr>
      <w:spacing w:before="60" w:after="60"/>
    </w:pPr>
  </w:style>
  <w:style w:type="paragraph" w:customStyle="1" w:styleId="Tablelist123">
    <w:name w:val="Table list 1 2 3"/>
    <w:basedOn w:val="Tablenormal0"/>
    <w:rsid w:val="00065F18"/>
    <w:pPr>
      <w:numPr>
        <w:numId w:val="18"/>
      </w:numPr>
    </w:pPr>
  </w:style>
  <w:style w:type="paragraph" w:customStyle="1" w:styleId="Tablelist123level2">
    <w:name w:val="Table list 1 2 3 level 2"/>
    <w:basedOn w:val="Tablenormal0"/>
    <w:semiHidden/>
    <w:rsid w:val="00065F18"/>
    <w:pPr>
      <w:numPr>
        <w:ilvl w:val="1"/>
        <w:numId w:val="18"/>
      </w:numPr>
    </w:pPr>
  </w:style>
  <w:style w:type="character" w:customStyle="1" w:styleId="Heading4Char">
    <w:name w:val="Heading 4 Char"/>
    <w:basedOn w:val="DefaultParagraphFont"/>
    <w:link w:val="Heading4"/>
    <w:semiHidden/>
    <w:rsid w:val="00264E9B"/>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7"/>
      </w:numPr>
    </w:pPr>
  </w:style>
  <w:style w:type="paragraph" w:customStyle="1" w:styleId="BodyTextTableLevel2">
    <w:name w:val="Body Text Table Level 2"/>
    <w:basedOn w:val="BodyTextTable"/>
    <w:uiPriority w:val="11"/>
    <w:semiHidden/>
    <w:rsid w:val="00065F18"/>
    <w:pPr>
      <w:numPr>
        <w:ilvl w:val="1"/>
        <w:numId w:val="17"/>
      </w:numPr>
    </w:pPr>
  </w:style>
  <w:style w:type="paragraph" w:customStyle="1" w:styleId="BodyTextTableLevel3">
    <w:name w:val="Body Text Table Level 3"/>
    <w:basedOn w:val="BodyTextTable"/>
    <w:uiPriority w:val="11"/>
    <w:semiHidden/>
    <w:rsid w:val="00065F18"/>
    <w:pPr>
      <w:numPr>
        <w:ilvl w:val="3"/>
        <w:numId w:val="18"/>
      </w:numPr>
    </w:pPr>
  </w:style>
  <w:style w:type="paragraph" w:styleId="Caption">
    <w:name w:val="caption"/>
    <w:basedOn w:val="Normal"/>
    <w:next w:val="Normal"/>
    <w:qFormat/>
    <w:rsid w:val="00662410"/>
    <w:pPr>
      <w:spacing w:before="80" w:after="80"/>
      <w:ind w:left="567"/>
    </w:pPr>
    <w:rPr>
      <w:b/>
      <w:bCs/>
      <w:sz w:val="22"/>
      <w:szCs w:val="20"/>
    </w:rPr>
  </w:style>
  <w:style w:type="paragraph" w:customStyle="1" w:styleId="WhiteSpace">
    <w:name w:val="White Space"/>
    <w:basedOn w:val="Normal"/>
    <w:uiPriority w:val="99"/>
    <w:semiHidden/>
    <w:rsid w:val="00065F18"/>
    <w:rPr>
      <w:sz w:val="12"/>
    </w:rPr>
  </w:style>
  <w:style w:type="paragraph" w:customStyle="1" w:styleId="Headingappendix">
    <w:name w:val="Heading appendix"/>
    <w:basedOn w:val="Heading1"/>
    <w:next w:val="Normal"/>
    <w:rsid w:val="001D5EC0"/>
    <w:pPr>
      <w:pageBreakBefore/>
      <w:numPr>
        <w:numId w:val="19"/>
      </w:numPr>
      <w:tabs>
        <w:tab w:val="left" w:pos="2268"/>
      </w:tabs>
      <w:spacing w:before="0"/>
      <w:outlineLvl w:val="7"/>
    </w:pPr>
    <w:rPr>
      <w:color w:val="000000" w:themeColor="text1"/>
    </w:rPr>
  </w:style>
  <w:style w:type="paragraph" w:customStyle="1" w:styleId="NotforContentsheading1">
    <w:name w:val="Not for Contents heading 1"/>
    <w:basedOn w:val="Normal"/>
    <w:next w:val="Normal"/>
    <w:rsid w:val="008C2D6D"/>
    <w:pPr>
      <w:spacing w:before="400"/>
    </w:pPr>
    <w:rPr>
      <w:b/>
      <w:color w:val="000000" w:themeColor="text1"/>
      <w:sz w:val="48"/>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20"/>
      </w:numPr>
      <w:spacing w:before="80" w:after="80"/>
    </w:pPr>
  </w:style>
  <w:style w:type="paragraph" w:customStyle="1" w:styleId="NotforContentsheading2">
    <w:name w:val="Not for Contents heading 2"/>
    <w:basedOn w:val="Normal"/>
    <w:next w:val="Normal"/>
    <w:rsid w:val="00B84E9B"/>
    <w:pPr>
      <w:spacing w:after="120"/>
    </w:pPr>
    <w:rPr>
      <w:b/>
      <w:sz w:val="32"/>
    </w:rPr>
  </w:style>
  <w:style w:type="character" w:customStyle="1" w:styleId="Heading3Char">
    <w:name w:val="Heading 3 Char"/>
    <w:link w:val="Heading3"/>
    <w:rsid w:val="00E52276"/>
    <w:rPr>
      <w:rFonts w:eastAsiaTheme="minorHAnsi" w:cs="Arial"/>
      <w:bCs/>
      <w:i/>
      <w:sz w:val="26"/>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Bullet"/>
    <w:uiPriority w:val="34"/>
    <w:semiHidden/>
    <w:qFormat/>
    <w:rsid w:val="00065F18"/>
    <w:pPr>
      <w:numPr>
        <w:numId w:val="13"/>
      </w:numPr>
    </w:pPr>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Footersecurityclassification">
    <w:name w:val="Footer security classification"/>
    <w:basedOn w:val="Footer"/>
    <w:qFormat/>
    <w:rsid w:val="001D5EC0"/>
    <w:rPr>
      <w:i w:val="0"/>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20"/>
      </w:numPr>
      <w:spacing w:before="80" w:after="80"/>
    </w:pPr>
  </w:style>
  <w:style w:type="paragraph" w:customStyle="1" w:styleId="List123level2">
    <w:name w:val="List 1 2 3 level 2"/>
    <w:basedOn w:val="Normal"/>
    <w:uiPriority w:val="1"/>
    <w:semiHidden/>
    <w:qFormat/>
    <w:rsid w:val="00065F18"/>
    <w:pPr>
      <w:numPr>
        <w:ilvl w:val="1"/>
        <w:numId w:val="21"/>
      </w:numPr>
    </w:pPr>
  </w:style>
  <w:style w:type="paragraph" w:customStyle="1" w:styleId="List123level3">
    <w:name w:val="List 1 2 3 level 3"/>
    <w:basedOn w:val="Normal"/>
    <w:uiPriority w:val="1"/>
    <w:semiHidden/>
    <w:qFormat/>
    <w:rsid w:val="00065F18"/>
    <w:pPr>
      <w:numPr>
        <w:ilvl w:val="2"/>
        <w:numId w:val="21"/>
      </w:numPr>
    </w:pPr>
  </w:style>
  <w:style w:type="paragraph" w:customStyle="1" w:styleId="Legislationsection">
    <w:name w:val="Legislation section"/>
    <w:basedOn w:val="Normal"/>
    <w:semiHidden/>
    <w:qFormat/>
    <w:rsid w:val="00065F18"/>
    <w:pPr>
      <w:numPr>
        <w:numId w:val="23"/>
      </w:numPr>
      <w:tabs>
        <w:tab w:val="left" w:pos="567"/>
      </w:tabs>
      <w:spacing w:after="60"/>
    </w:pPr>
    <w:rPr>
      <w:b/>
      <w:sz w:val="22"/>
    </w:rPr>
  </w:style>
  <w:style w:type="paragraph" w:customStyle="1" w:styleId="Legislationnumber">
    <w:name w:val="Legislation number"/>
    <w:basedOn w:val="Normal"/>
    <w:semiHidden/>
    <w:qFormat/>
    <w:rsid w:val="00065F18"/>
    <w:pPr>
      <w:numPr>
        <w:numId w:val="22"/>
      </w:numPr>
      <w:tabs>
        <w:tab w:val="left" w:pos="567"/>
      </w:tabs>
      <w:spacing w:before="60" w:after="60"/>
    </w:pPr>
    <w:rPr>
      <w:sz w:val="22"/>
    </w:rPr>
  </w:style>
  <w:style w:type="paragraph" w:customStyle="1" w:styleId="Legislationa">
    <w:name w:val="Legislation (a)"/>
    <w:basedOn w:val="Normal"/>
    <w:semiHidden/>
    <w:qFormat/>
    <w:rsid w:val="00065F18"/>
    <w:pPr>
      <w:numPr>
        <w:ilvl w:val="2"/>
        <w:numId w:val="23"/>
      </w:numPr>
      <w:spacing w:before="60" w:after="60"/>
    </w:pPr>
    <w:rPr>
      <w:sz w:val="22"/>
    </w:rPr>
  </w:style>
  <w:style w:type="paragraph" w:customStyle="1" w:styleId="Legislationi">
    <w:name w:val="Legislation (i)"/>
    <w:basedOn w:val="Normal"/>
    <w:semiHidden/>
    <w:qFormat/>
    <w:rsid w:val="00065F18"/>
    <w:pPr>
      <w:numPr>
        <w:ilvl w:val="3"/>
        <w:numId w:val="23"/>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level1">
    <w:name w:val="Numbered para (2) level 1"/>
    <w:basedOn w:val="Normal"/>
    <w:semiHidden/>
    <w:qFormat/>
    <w:rsid w:val="00065F18"/>
    <w:pPr>
      <w:numPr>
        <w:numId w:val="28"/>
      </w:numPr>
      <w:spacing w:after="120"/>
    </w:pPr>
  </w:style>
  <w:style w:type="paragraph" w:customStyle="1" w:styleId="Numberedpara2level2a">
    <w:name w:val="Numbered para (2) level 2 (a)"/>
    <w:basedOn w:val="Normal"/>
    <w:semiHidden/>
    <w:qFormat/>
    <w:rsid w:val="00065F18"/>
    <w:pPr>
      <w:numPr>
        <w:ilvl w:val="1"/>
        <w:numId w:val="28"/>
      </w:numPr>
      <w:spacing w:after="120"/>
    </w:pPr>
  </w:style>
  <w:style w:type="paragraph" w:customStyle="1" w:styleId="Numberedpara2level3i">
    <w:name w:val="Numbered para (2) level 3 (i)"/>
    <w:basedOn w:val="Normal"/>
    <w:semiHidden/>
    <w:qFormat/>
    <w:rsid w:val="00065F18"/>
    <w:pPr>
      <w:numPr>
        <w:ilvl w:val="2"/>
        <w:numId w:val="28"/>
      </w:numPr>
      <w:spacing w:after="120"/>
    </w:pPr>
  </w:style>
  <w:style w:type="paragraph" w:customStyle="1" w:styleId="Title2">
    <w:name w:val="Title 2"/>
    <w:basedOn w:val="Title"/>
    <w:semiHidden/>
    <w:qFormat/>
    <w:rsid w:val="00065F18"/>
    <w:rPr>
      <w:sz w:val="52"/>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Headersecurityclassification">
    <w:name w:val="Header security classification"/>
    <w:basedOn w:val="DefaultParagraphFont"/>
    <w:uiPriority w:val="1"/>
    <w:qFormat/>
    <w:rsid w:val="001D5EC0"/>
    <w:rPr>
      <w:rFonts w:ascii="Calibri" w:hAnsi="Calibri"/>
      <w:b/>
      <w:i w:val="0"/>
      <w:caps/>
      <w:smallCaps w:val="0"/>
      <w:color w:val="000000" w:themeColor="text1"/>
      <w:sz w:val="22"/>
    </w:rPr>
  </w:style>
  <w:style w:type="paragraph" w:customStyle="1" w:styleId="Numberedpara1level211">
    <w:name w:val="Numbered para (1) level 2 (1.1)"/>
    <w:basedOn w:val="Normal"/>
    <w:semiHidden/>
    <w:unhideWhenUsed/>
    <w:rsid w:val="00065F18"/>
    <w:pPr>
      <w:numPr>
        <w:ilvl w:val="1"/>
        <w:numId w:val="25"/>
      </w:numPr>
      <w:spacing w:after="120"/>
    </w:pPr>
  </w:style>
  <w:style w:type="paragraph" w:customStyle="1" w:styleId="Numberedpara11headingwithnumber">
    <w:name w:val="Numbered para (1) 1 (heading with number)"/>
    <w:basedOn w:val="Normal"/>
    <w:semiHidden/>
    <w:unhideWhenUsed/>
    <w:qFormat/>
    <w:rsid w:val="00065F18"/>
    <w:pPr>
      <w:numPr>
        <w:numId w:val="25"/>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FinancialtableLHC">
    <w:name w:val="Financial table LHC"/>
    <w:basedOn w:val="Normal"/>
    <w:semiHidden/>
    <w:qFormat/>
    <w:rsid w:val="00A5302B"/>
    <w:pPr>
      <w:spacing w:before="0" w:after="0"/>
      <w:contextualSpacing/>
    </w:pPr>
    <w:rPr>
      <w:sz w:val="22"/>
    </w:rPr>
  </w:style>
  <w:style w:type="paragraph" w:customStyle="1" w:styleId="Financialtablefigures">
    <w:name w:val="Financial table figures"/>
    <w:basedOn w:val="FinancialtableLHC"/>
    <w:semiHidden/>
    <w:qFormat/>
    <w:rsid w:val="00A5302B"/>
    <w:pPr>
      <w:jc w:val="right"/>
    </w:pPr>
  </w:style>
  <w:style w:type="paragraph" w:customStyle="1" w:styleId="Financialtableyears">
    <w:name w:val="Financial table years"/>
    <w:basedOn w:val="Financialtablefigures"/>
    <w:semiHidden/>
    <w:qFormat/>
    <w:rsid w:val="00A5302B"/>
    <w:pPr>
      <w:jc w:val="center"/>
    </w:pPr>
    <w:rPr>
      <w:b/>
      <w:sz w:val="20"/>
    </w:rPr>
  </w:style>
  <w:style w:type="paragraph" w:customStyle="1" w:styleId="Tablesource">
    <w:name w:val="Table source"/>
    <w:basedOn w:val="Normal"/>
    <w:qFormat/>
    <w:rsid w:val="00662410"/>
    <w:pPr>
      <w:spacing w:before="80" w:after="120"/>
      <w:ind w:left="567"/>
    </w:pPr>
    <w:rPr>
      <w:sz w:val="22"/>
    </w:rPr>
  </w:style>
  <w:style w:type="paragraph" w:customStyle="1" w:styleId="Numberedpara3subheading">
    <w:name w:val="Numbered para (3) subheading"/>
    <w:basedOn w:val="Normal"/>
    <w:next w:val="Normal"/>
    <w:semiHidden/>
    <w:qFormat/>
    <w:rsid w:val="0088686D"/>
    <w:pPr>
      <w:spacing w:before="240" w:after="120"/>
    </w:pPr>
    <w:rPr>
      <w:b/>
      <w:i/>
    </w:rPr>
  </w:style>
  <w:style w:type="paragraph" w:customStyle="1" w:styleId="Numberedpara3level1">
    <w:name w:val="Numbered para (3) level 1"/>
    <w:basedOn w:val="Normal"/>
    <w:qFormat/>
    <w:rsid w:val="0088686D"/>
    <w:pPr>
      <w:numPr>
        <w:numId w:val="29"/>
      </w:numPr>
      <w:spacing w:after="120"/>
    </w:pPr>
  </w:style>
  <w:style w:type="paragraph" w:customStyle="1" w:styleId="Numberedpara3level211">
    <w:name w:val="Numbered para (3) level 2 (1.1)"/>
    <w:basedOn w:val="Normal"/>
    <w:qFormat/>
    <w:rsid w:val="0088686D"/>
    <w:pPr>
      <w:numPr>
        <w:ilvl w:val="1"/>
        <w:numId w:val="29"/>
      </w:numPr>
      <w:spacing w:after="120"/>
    </w:pPr>
  </w:style>
  <w:style w:type="paragraph" w:customStyle="1" w:styleId="Numberedpara3level3111">
    <w:name w:val="Numbered para (3) level 3 (1.1.1)"/>
    <w:basedOn w:val="Normal"/>
    <w:qFormat/>
    <w:rsid w:val="0088686D"/>
    <w:pPr>
      <w:numPr>
        <w:ilvl w:val="2"/>
        <w:numId w:val="29"/>
      </w:numPr>
      <w:spacing w:after="120"/>
    </w:pPr>
  </w:style>
  <w:style w:type="paragraph" w:customStyle="1" w:styleId="Numberedpara3heading">
    <w:name w:val="Numbered para (3) heading"/>
    <w:basedOn w:val="Normal"/>
    <w:semiHidden/>
    <w:qFormat/>
    <w:rsid w:val="0088686D"/>
    <w:pPr>
      <w:keepNext/>
      <w:spacing w:before="200" w:after="120"/>
    </w:pPr>
    <w:rPr>
      <w:b/>
    </w:rPr>
  </w:style>
  <w:style w:type="table" w:customStyle="1" w:styleId="RIS">
    <w:name w:val="__RIS"/>
    <w:basedOn w:val="TableNormal"/>
    <w:uiPriority w:val="99"/>
    <w:rsid w:val="00FB0E14"/>
    <w:pPr>
      <w:spacing w:before="56" w:after="32"/>
    </w:pPr>
    <w:rPr>
      <w:rFonts w:eastAsiaTheme="minorHAnsi" w:cstheme="minorBidi"/>
      <w:sz w:val="22"/>
      <w:lang w:eastAsia="en-US"/>
    </w:rPr>
    <w:tblPr>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cantSplit/>
    </w:trPr>
    <w:tblStylePr w:type="firstRow">
      <w:pPr>
        <w:wordWrap/>
        <w:spacing w:beforeLines="0" w:before="60" w:beforeAutospacing="0" w:afterLines="0" w:after="24" w:afterAutospacing="0" w:line="240" w:lineRule="auto"/>
        <w:contextualSpacing w:val="0"/>
      </w:pPr>
      <w:rPr>
        <w:rFonts w:ascii="Calibri" w:hAnsi="Calibri"/>
        <w:b/>
        <w:color w:val="FFFFFF" w:themeColor="background1"/>
        <w:sz w:val="22"/>
      </w:rPr>
      <w:tblPr/>
      <w:trPr>
        <w:tblHeader/>
      </w:trPr>
      <w:tcPr>
        <w:tcBorders>
          <w:top w:val="single" w:sz="12" w:space="0" w:color="000000" w:themeColor="text1"/>
          <w:left w:val="single" w:sz="12" w:space="0" w:color="000000" w:themeColor="text1"/>
          <w:bottom w:val="nil"/>
          <w:right w:val="single" w:sz="12" w:space="0" w:color="000000" w:themeColor="text1"/>
          <w:insideH w:val="single" w:sz="6" w:space="0" w:color="FFFFFF" w:themeColor="background1"/>
          <w:insideV w:val="single" w:sz="6" w:space="0" w:color="FFFFFF" w:themeColor="background1"/>
          <w:tl2br w:val="nil"/>
          <w:tr2bl w:val="nil"/>
        </w:tcBorders>
        <w:shd w:val="clear" w:color="auto" w:fill="000000" w:themeFill="text1"/>
      </w:tcPr>
    </w:tblStylePr>
  </w:style>
  <w:style w:type="character" w:customStyle="1" w:styleId="Crossreferences">
    <w:name w:val="Cross references"/>
    <w:basedOn w:val="DefaultParagraphFont"/>
    <w:uiPriority w:val="1"/>
    <w:qFormat/>
    <w:rsid w:val="00E52276"/>
    <w:rPr>
      <w:i/>
      <w:u w:val="single"/>
    </w:rPr>
  </w:style>
  <w:style w:type="character" w:customStyle="1" w:styleId="apple-converted-space">
    <w:name w:val="apple-converted-space"/>
    <w:basedOn w:val="DefaultParagraphFont"/>
    <w:rsid w:val="00C06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971A"/>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DD076-D3B7-4659-8762-B49917B97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773D274E.dotm</Template>
  <TotalTime>1</TotalTime>
  <Pages>23</Pages>
  <Words>7008</Words>
  <Characters>40993</Characters>
  <Application>Microsoft Office Word</Application>
  <DocSecurity>4</DocSecurity>
  <Lines>341</Lines>
  <Paragraphs>95</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47906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Nijman</dc:creator>
  <cp:lastModifiedBy>Cathy Nijman</cp:lastModifiedBy>
  <cp:revision>2</cp:revision>
  <cp:lastPrinted>2017-02-07T00:58:00Z</cp:lastPrinted>
  <dcterms:created xsi:type="dcterms:W3CDTF">2017-07-18T00:57:00Z</dcterms:created>
  <dcterms:modified xsi:type="dcterms:W3CDTF">2017-07-18T00:57:00Z</dcterms:modified>
</cp:coreProperties>
</file>