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31FB" w14:textId="77777777" w:rsidR="003A0E96" w:rsidRDefault="003A0E96" w:rsidP="003A0E96">
      <w:pPr>
        <w:pStyle w:val="Heading2"/>
        <w:rPr>
          <w:lang w:eastAsia="en-NZ"/>
        </w:rPr>
      </w:pPr>
      <w:r w:rsidRPr="00B76E5B">
        <w:rPr>
          <w:lang w:eastAsia="en-NZ"/>
        </w:rPr>
        <w:t>Consultation on Rules Setting Local Government Performance Measures</w:t>
      </w:r>
    </w:p>
    <w:p w14:paraId="7EE02D64" w14:textId="77777777" w:rsidR="003A0E96" w:rsidRDefault="003A0E96" w:rsidP="003A0E96">
      <w:pPr>
        <w:keepLines w:val="0"/>
        <w:spacing w:before="100" w:beforeAutospacing="1" w:after="100" w:afterAutospacing="1"/>
      </w:pPr>
      <w:r w:rsidRPr="003648B2">
        <w:t>In accordance with section 261</w:t>
      </w:r>
      <w:proofErr w:type="gramStart"/>
      <w:r w:rsidRPr="003648B2">
        <w:t>B(</w:t>
      </w:r>
      <w:proofErr w:type="gramEnd"/>
      <w:r w:rsidRPr="003648B2">
        <w:t>3) of the Local Government Act 2002, the Secretar</w:t>
      </w:r>
      <w:r>
        <w:t xml:space="preserve">y </w:t>
      </w:r>
      <w:r w:rsidRPr="003648B2">
        <w:t>for</w:t>
      </w:r>
      <w:r>
        <w:t xml:space="preserve"> </w:t>
      </w:r>
      <w:r w:rsidRPr="003648B2">
        <w:t>Local Government intends to make a</w:t>
      </w:r>
      <w:r>
        <w:t>n amendment to the r</w:t>
      </w:r>
      <w:r w:rsidRPr="003648B2">
        <w:t>ule specifying performance measures for the activity group of water supply.</w:t>
      </w:r>
      <w:r>
        <w:t xml:space="preserve"> </w:t>
      </w:r>
    </w:p>
    <w:p w14:paraId="793A52E8" w14:textId="77777777" w:rsidR="003A0E96" w:rsidRDefault="003A0E96" w:rsidP="003A0E96">
      <w:pPr>
        <w:keepLines w:val="0"/>
        <w:spacing w:before="100" w:beforeAutospacing="1" w:after="100" w:afterAutospacing="1"/>
      </w:pPr>
      <w:r w:rsidRPr="002633D1">
        <w:t xml:space="preserve">The purpose of the performance measures is to enable the public to compare the level of service provided for each group of activities by different local authorities. The current measures, </w:t>
      </w:r>
      <w:r w:rsidRPr="002633D1">
        <w:rPr>
          <w:b/>
          <w:bCs/>
          <w:i/>
          <w:iCs/>
        </w:rPr>
        <w:t>the Non-Financial Performance Measures Rules 2013</w:t>
      </w:r>
      <w:r w:rsidRPr="002633D1">
        <w:t xml:space="preserve"> </w:t>
      </w:r>
      <w:r>
        <w:t xml:space="preserve">(the Rules) </w:t>
      </w:r>
      <w:r w:rsidRPr="002633D1">
        <w:t xml:space="preserve">are available on </w:t>
      </w:r>
      <w:hyperlink r:id="rId12" w:anchor="performance-measures" w:history="1">
        <w:r>
          <w:rPr>
            <w:rStyle w:val="Hyperlink"/>
          </w:rPr>
          <w:t>the Department of Internal Affairs website</w:t>
        </w:r>
      </w:hyperlink>
      <w:r>
        <w:t xml:space="preserve">. </w:t>
      </w:r>
    </w:p>
    <w:p w14:paraId="4D8B789B" w14:textId="77777777" w:rsidR="003A0E96" w:rsidRDefault="003A0E96" w:rsidP="003A0E96">
      <w:pPr>
        <w:pStyle w:val="Heading3"/>
      </w:pPr>
      <w:r>
        <w:t>Proposed amendments</w:t>
      </w:r>
    </w:p>
    <w:p w14:paraId="7A9EA28E" w14:textId="77777777" w:rsidR="003A0E96" w:rsidRPr="002633D1" w:rsidRDefault="003A0E96" w:rsidP="003A0E96">
      <w:pPr>
        <w:keepLines w:val="0"/>
        <w:spacing w:before="100" w:beforeAutospacing="1" w:after="100" w:afterAutospacing="1"/>
        <w:rPr>
          <w:i/>
          <w:iCs/>
        </w:rPr>
      </w:pPr>
      <w:r w:rsidRPr="002633D1">
        <w:t>The Rules set specific performance measures for water supply. Performance measure 1 (safety of drinking water)</w:t>
      </w:r>
      <w:r>
        <w:t xml:space="preserve"> currently </w:t>
      </w:r>
      <w:r w:rsidRPr="002633D1">
        <w:t>requires councils to report “</w:t>
      </w:r>
      <w:r w:rsidRPr="002633D1">
        <w:rPr>
          <w:i/>
          <w:iCs/>
        </w:rPr>
        <w:t>the extent to which the local authority’s drinking water supplies comply with:</w:t>
      </w:r>
    </w:p>
    <w:p w14:paraId="32CF1008" w14:textId="77777777" w:rsidR="003A0E96" w:rsidRPr="002633D1" w:rsidRDefault="003A0E96" w:rsidP="003A0E96">
      <w:pPr>
        <w:keepLines w:val="0"/>
        <w:spacing w:before="100" w:beforeAutospacing="1" w:after="100" w:afterAutospacing="1"/>
        <w:rPr>
          <w:i/>
          <w:iCs/>
        </w:rPr>
      </w:pPr>
      <w:r w:rsidRPr="002633D1">
        <w:rPr>
          <w:i/>
          <w:iCs/>
        </w:rPr>
        <w:t>(a) part 4 of the drinking-water standards (bacteria compliance criteria), and</w:t>
      </w:r>
    </w:p>
    <w:p w14:paraId="4CA6D2DB" w14:textId="77777777" w:rsidR="003A0E96" w:rsidRPr="002633D1" w:rsidRDefault="003A0E96" w:rsidP="003A0E96">
      <w:pPr>
        <w:keepLines w:val="0"/>
        <w:spacing w:before="100" w:beforeAutospacing="1" w:after="100" w:afterAutospacing="1"/>
        <w:rPr>
          <w:i/>
          <w:iCs/>
        </w:rPr>
      </w:pPr>
      <w:r w:rsidRPr="002633D1">
        <w:rPr>
          <w:i/>
          <w:iCs/>
        </w:rPr>
        <w:t>(b) part 5 of the drinking-water standards (protozoal compliance criteria).”</w:t>
      </w:r>
    </w:p>
    <w:p w14:paraId="36F3EE21" w14:textId="77777777" w:rsidR="003A0E96" w:rsidRDefault="003A0E96" w:rsidP="003A0E96">
      <w:pPr>
        <w:keepLines w:val="0"/>
        <w:spacing w:before="100" w:beforeAutospacing="1" w:after="100" w:afterAutospacing="1"/>
      </w:pPr>
      <w:r w:rsidRPr="002633D1">
        <w:t xml:space="preserve">The drinking-water standards referred to in this measure are the Drinking-water Standards for New Zealand 2005. These standards were repealed and replaced by the Water Services (Drinking Water Standards for New Zealand) Regulations 2022 following the transfer of regulatory responsibilities to </w:t>
      </w:r>
      <w:proofErr w:type="spellStart"/>
      <w:r w:rsidRPr="002633D1">
        <w:t>Taumata</w:t>
      </w:r>
      <w:proofErr w:type="spellEnd"/>
      <w:r w:rsidRPr="002633D1">
        <w:t xml:space="preserve"> </w:t>
      </w:r>
      <w:proofErr w:type="spellStart"/>
      <w:r w:rsidRPr="002633D1">
        <w:t>Arowai</w:t>
      </w:r>
      <w:proofErr w:type="spellEnd"/>
      <w:r w:rsidRPr="002633D1">
        <w:t>.</w:t>
      </w:r>
    </w:p>
    <w:p w14:paraId="47034845" w14:textId="77777777" w:rsidR="003A0E96" w:rsidRDefault="003A0E96" w:rsidP="003A0E96">
      <w:pPr>
        <w:keepLines w:val="0"/>
      </w:pPr>
      <w:r>
        <w:t xml:space="preserve">The proposed amendment will replace the references to the 2005 standards with references to the equivalent standards in the </w:t>
      </w:r>
      <w:r w:rsidRPr="002633D1">
        <w:t>Water Services (Drinking Water Standards for New Zealand) Regulations 2022</w:t>
      </w:r>
      <w:r>
        <w:t xml:space="preserve">. The current drinking water standards can be viewed on </w:t>
      </w:r>
      <w:hyperlink r:id="rId13" w:history="1">
        <w:r w:rsidRPr="00EE36D5">
          <w:rPr>
            <w:rStyle w:val="Hyperlink"/>
          </w:rPr>
          <w:t>the New Zealand Legislation website</w:t>
        </w:r>
      </w:hyperlink>
      <w:r>
        <w:t xml:space="preserve">. </w:t>
      </w:r>
    </w:p>
    <w:p w14:paraId="63F86890" w14:textId="77777777" w:rsidR="003A0E96" w:rsidRDefault="003A0E96" w:rsidP="003A0E96">
      <w:pPr>
        <w:keepLines w:val="0"/>
      </w:pPr>
      <w:r>
        <w:br w:type="page"/>
      </w:r>
    </w:p>
    <w:p w14:paraId="4BD052EC" w14:textId="77777777" w:rsidR="003A0E96" w:rsidRDefault="003A0E96" w:rsidP="003A0E96">
      <w:pPr>
        <w:keepLines w:val="0"/>
        <w:rPr>
          <w:rFonts w:cs="Arial"/>
          <w:b/>
          <w:bCs/>
          <w:color w:val="1F546B"/>
          <w:sz w:val="28"/>
          <w:szCs w:val="26"/>
        </w:rPr>
      </w:pPr>
      <w:r>
        <w:lastRenderedPageBreak/>
        <w:t xml:space="preserve">A table of proposed changes is included here: </w:t>
      </w:r>
    </w:p>
    <w:tbl>
      <w:tblPr>
        <w:tblStyle w:val="DIATable"/>
        <w:tblW w:w="0" w:type="auto"/>
        <w:tblLook w:val="04A0" w:firstRow="1" w:lastRow="0" w:firstColumn="1" w:lastColumn="0" w:noHBand="0" w:noVBand="1"/>
      </w:tblPr>
      <w:tblGrid>
        <w:gridCol w:w="1635"/>
        <w:gridCol w:w="3372"/>
        <w:gridCol w:w="3926"/>
      </w:tblGrid>
      <w:tr w:rsidR="003A0E96" w14:paraId="3CBD433C" w14:textId="77777777" w:rsidTr="00845327">
        <w:trPr>
          <w:cnfStyle w:val="100000000000" w:firstRow="1" w:lastRow="0" w:firstColumn="0" w:lastColumn="0" w:oddVBand="0" w:evenVBand="0" w:oddHBand="0" w:evenHBand="0" w:firstRowFirstColumn="0" w:firstRowLastColumn="0" w:lastRowFirstColumn="0" w:lastRowLastColumn="0"/>
        </w:trPr>
        <w:tc>
          <w:tcPr>
            <w:tcW w:w="1635" w:type="dxa"/>
          </w:tcPr>
          <w:p w14:paraId="120A162F" w14:textId="77777777" w:rsidR="003A0E96" w:rsidRPr="00B51910" w:rsidRDefault="003A0E96" w:rsidP="00845327">
            <w:pPr>
              <w:spacing w:after="0"/>
              <w:rPr>
                <w:rFonts w:asciiTheme="minorHAnsi" w:hAnsiTheme="minorHAnsi" w:cstheme="minorHAnsi"/>
                <w:b w:val="0"/>
                <w:bCs/>
                <w:sz w:val="24"/>
              </w:rPr>
            </w:pPr>
            <w:r w:rsidRPr="00B51910">
              <w:rPr>
                <w:rFonts w:asciiTheme="minorHAnsi" w:hAnsiTheme="minorHAnsi" w:cstheme="minorHAnsi"/>
                <w:b w:val="0"/>
                <w:bCs/>
                <w:sz w:val="24"/>
              </w:rPr>
              <w:t xml:space="preserve">Section </w:t>
            </w:r>
          </w:p>
        </w:tc>
        <w:tc>
          <w:tcPr>
            <w:tcW w:w="3372" w:type="dxa"/>
          </w:tcPr>
          <w:p w14:paraId="2801B283" w14:textId="77777777" w:rsidR="003A0E96" w:rsidRPr="00B51910" w:rsidRDefault="003A0E96" w:rsidP="00845327">
            <w:pPr>
              <w:spacing w:after="0"/>
              <w:rPr>
                <w:rFonts w:asciiTheme="minorHAnsi" w:hAnsiTheme="minorHAnsi" w:cstheme="minorHAnsi"/>
                <w:b w:val="0"/>
                <w:bCs/>
                <w:sz w:val="24"/>
              </w:rPr>
            </w:pPr>
            <w:r w:rsidRPr="00B51910">
              <w:rPr>
                <w:rFonts w:asciiTheme="minorHAnsi" w:hAnsiTheme="minorHAnsi" w:cstheme="minorHAnsi"/>
                <w:b w:val="0"/>
                <w:bCs/>
                <w:sz w:val="24"/>
              </w:rPr>
              <w:t xml:space="preserve">Current wording </w:t>
            </w:r>
          </w:p>
        </w:tc>
        <w:tc>
          <w:tcPr>
            <w:tcW w:w="3926" w:type="dxa"/>
          </w:tcPr>
          <w:p w14:paraId="642A1039" w14:textId="77777777" w:rsidR="003A0E96" w:rsidRPr="00B51910" w:rsidRDefault="003A0E96" w:rsidP="00845327">
            <w:pPr>
              <w:spacing w:after="0"/>
              <w:rPr>
                <w:rFonts w:asciiTheme="minorHAnsi" w:hAnsiTheme="minorHAnsi" w:cstheme="minorHAnsi"/>
                <w:b w:val="0"/>
                <w:bCs/>
                <w:sz w:val="24"/>
              </w:rPr>
            </w:pPr>
            <w:r w:rsidRPr="00B51910">
              <w:rPr>
                <w:rFonts w:asciiTheme="minorHAnsi" w:hAnsiTheme="minorHAnsi" w:cstheme="minorHAnsi"/>
                <w:b w:val="0"/>
                <w:bCs/>
                <w:sz w:val="24"/>
              </w:rPr>
              <w:t xml:space="preserve">Proposed changes </w:t>
            </w:r>
          </w:p>
        </w:tc>
      </w:tr>
      <w:tr w:rsidR="003A0E96" w14:paraId="497FE726" w14:textId="77777777" w:rsidTr="00845327">
        <w:tc>
          <w:tcPr>
            <w:tcW w:w="1635" w:type="dxa"/>
          </w:tcPr>
          <w:p w14:paraId="43C9172F" w14:textId="77777777" w:rsidR="003A0E96" w:rsidRPr="00B51910" w:rsidRDefault="003A0E96" w:rsidP="00845327">
            <w:pPr>
              <w:spacing w:after="0"/>
              <w:rPr>
                <w:rFonts w:asciiTheme="minorHAnsi" w:hAnsiTheme="minorHAnsi" w:cstheme="minorHAnsi"/>
                <w:b/>
                <w:bCs/>
                <w:sz w:val="24"/>
              </w:rPr>
            </w:pPr>
            <w:r w:rsidRPr="00B51910">
              <w:rPr>
                <w:rFonts w:asciiTheme="minorHAnsi" w:hAnsiTheme="minorHAnsi" w:cstheme="minorHAnsi"/>
                <w:b/>
                <w:bCs/>
                <w:sz w:val="24"/>
              </w:rPr>
              <w:t xml:space="preserve">Section 3, Interpretation </w:t>
            </w:r>
          </w:p>
        </w:tc>
        <w:tc>
          <w:tcPr>
            <w:tcW w:w="3372" w:type="dxa"/>
          </w:tcPr>
          <w:p w14:paraId="148B3D5E" w14:textId="77777777" w:rsidR="003A0E96" w:rsidRPr="00B51910" w:rsidRDefault="003A0E96" w:rsidP="00845327">
            <w:pPr>
              <w:spacing w:before="120" w:after="120" w:line="280" w:lineRule="atLeast"/>
              <w:rPr>
                <w:rFonts w:asciiTheme="minorHAnsi" w:hAnsiTheme="minorHAnsi" w:cstheme="minorHAnsi"/>
                <w:szCs w:val="22"/>
              </w:rPr>
            </w:pPr>
            <w:r w:rsidRPr="00B51910">
              <w:rPr>
                <w:rFonts w:asciiTheme="minorHAnsi" w:hAnsiTheme="minorHAnsi" w:cstheme="minorHAnsi"/>
                <w:szCs w:val="22"/>
              </w:rPr>
              <w:t>In these rules, unless the context otherwise requires, -</w:t>
            </w:r>
          </w:p>
          <w:p w14:paraId="3CBE0A14" w14:textId="77777777" w:rsidR="003A0E96" w:rsidRPr="00B51910" w:rsidRDefault="003A0E96" w:rsidP="00845327">
            <w:pPr>
              <w:pStyle w:val="text1"/>
              <w:shd w:val="clear" w:color="auto" w:fill="FFFFFF"/>
              <w:spacing w:before="120" w:after="120" w:line="280" w:lineRule="atLeast"/>
              <w:rPr>
                <w:rFonts w:asciiTheme="minorHAnsi" w:hAnsiTheme="minorHAnsi" w:cstheme="minorHAnsi"/>
                <w:szCs w:val="22"/>
              </w:rPr>
            </w:pPr>
            <w:r w:rsidRPr="00B51910">
              <w:rPr>
                <w:rStyle w:val="HTMLDefinition"/>
                <w:rFonts w:asciiTheme="minorHAnsi" w:hAnsiTheme="minorHAnsi" w:cstheme="minorHAnsi"/>
                <w:b/>
                <w:bCs/>
                <w:i w:val="0"/>
                <w:szCs w:val="22"/>
              </w:rPr>
              <w:t>abatement notice</w:t>
            </w:r>
            <w:r w:rsidRPr="00B51910">
              <w:rPr>
                <w:rFonts w:asciiTheme="minorHAnsi" w:hAnsiTheme="minorHAnsi" w:cstheme="minorHAnsi"/>
                <w:szCs w:val="22"/>
              </w:rPr>
              <w:t xml:space="preserve"> means a notice served under </w:t>
            </w:r>
            <w:hyperlink r:id="rId14" w:history="1">
              <w:r w:rsidRPr="00B51910">
                <w:rPr>
                  <w:rFonts w:asciiTheme="minorHAnsi" w:hAnsiTheme="minorHAnsi" w:cstheme="minorHAnsi"/>
                  <w:szCs w:val="22"/>
                  <w:shd w:val="clear" w:color="auto" w:fill="FFFFFF"/>
                </w:rPr>
                <w:t>section 322</w:t>
              </w:r>
            </w:hyperlink>
            <w:r w:rsidRPr="00B51910">
              <w:rPr>
                <w:rFonts w:asciiTheme="minorHAnsi" w:hAnsiTheme="minorHAnsi" w:cstheme="minorHAnsi"/>
                <w:szCs w:val="22"/>
              </w:rPr>
              <w:t xml:space="preserve"> of the Resource Management Act 1991</w:t>
            </w:r>
          </w:p>
          <w:p w14:paraId="61956D51" w14:textId="77777777" w:rsidR="003A0E96" w:rsidRPr="00B51910" w:rsidRDefault="003A0E96" w:rsidP="00845327">
            <w:pPr>
              <w:shd w:val="clear" w:color="auto" w:fill="FFFFFF"/>
              <w:spacing w:before="120" w:after="120" w:line="280" w:lineRule="atLeast"/>
              <w:rPr>
                <w:rStyle w:val="HTMLDefinition"/>
                <w:rFonts w:asciiTheme="minorHAnsi" w:hAnsiTheme="minorHAnsi" w:cstheme="minorHAnsi"/>
                <w:b/>
                <w:bCs/>
                <w:i w:val="0"/>
                <w:color w:val="000000"/>
                <w:szCs w:val="22"/>
              </w:rPr>
            </w:pPr>
            <w:r w:rsidRPr="00B51910">
              <w:rPr>
                <w:rStyle w:val="HTMLDefinition"/>
                <w:rFonts w:asciiTheme="minorHAnsi" w:hAnsiTheme="minorHAnsi" w:cstheme="minorHAnsi"/>
                <w:b/>
                <w:bCs/>
                <w:i w:val="0"/>
                <w:color w:val="000000"/>
                <w:szCs w:val="22"/>
              </w:rPr>
              <w:t xml:space="preserve">conviction </w:t>
            </w:r>
            <w:r w:rsidRPr="00B51910">
              <w:rPr>
                <w:rStyle w:val="HTMLDefinition"/>
                <w:rFonts w:asciiTheme="minorHAnsi" w:hAnsiTheme="minorHAnsi" w:cstheme="minorHAnsi"/>
                <w:bCs/>
                <w:i w:val="0"/>
                <w:color w:val="000000"/>
                <w:szCs w:val="22"/>
              </w:rPr>
              <w:t>means the conviction of an offence under section 343C of the Resource Management Act 1991</w:t>
            </w:r>
          </w:p>
          <w:p w14:paraId="3C8FA447" w14:textId="77777777" w:rsidR="003A0E96" w:rsidRPr="00B51910" w:rsidRDefault="003A0E96" w:rsidP="00845327">
            <w:pPr>
              <w:shd w:val="clear" w:color="auto" w:fill="FFFFFF"/>
              <w:spacing w:before="120" w:after="120" w:line="280" w:lineRule="atLeast"/>
              <w:rPr>
                <w:rStyle w:val="HTMLDefinition"/>
                <w:rFonts w:asciiTheme="minorHAnsi" w:hAnsiTheme="minorHAnsi" w:cstheme="minorHAnsi"/>
                <w:b/>
                <w:bCs/>
                <w:i w:val="0"/>
                <w:iCs w:val="0"/>
                <w:color w:val="000000"/>
                <w:szCs w:val="22"/>
              </w:rPr>
            </w:pPr>
            <w:r w:rsidRPr="00B51910">
              <w:rPr>
                <w:rStyle w:val="HTMLDefinition"/>
                <w:rFonts w:asciiTheme="minorHAnsi" w:hAnsiTheme="minorHAnsi" w:cstheme="minorHAnsi"/>
                <w:b/>
                <w:bCs/>
                <w:i w:val="0"/>
                <w:color w:val="000000"/>
                <w:szCs w:val="22"/>
              </w:rPr>
              <w:t>drinking water</w:t>
            </w:r>
            <w:r w:rsidRPr="00B51910">
              <w:rPr>
                <w:rStyle w:val="HTMLDefinition"/>
                <w:rFonts w:asciiTheme="minorHAnsi" w:hAnsiTheme="minorHAnsi" w:cstheme="minorHAnsi"/>
                <w:b/>
                <w:bCs/>
                <w:color w:val="000000"/>
                <w:szCs w:val="22"/>
              </w:rPr>
              <w:t xml:space="preserve"> </w:t>
            </w:r>
            <w:r w:rsidRPr="00B51910">
              <w:rPr>
                <w:rStyle w:val="tightinline1"/>
                <w:rFonts w:asciiTheme="minorHAnsi" w:hAnsiTheme="minorHAnsi" w:cstheme="minorHAnsi"/>
                <w:color w:val="000000"/>
                <w:szCs w:val="22"/>
                <w:lang w:val="en"/>
              </w:rPr>
              <w:t>has the same meaning as in section 69G of the Health Act 1956</w:t>
            </w:r>
          </w:p>
          <w:p w14:paraId="6D9E0830" w14:textId="77777777" w:rsidR="003A0E96" w:rsidRPr="00B51910" w:rsidRDefault="003A0E96" w:rsidP="00845327">
            <w:pPr>
              <w:shd w:val="clear" w:color="auto" w:fill="FFFFFF"/>
              <w:spacing w:before="120" w:after="120" w:line="280" w:lineRule="atLeast"/>
              <w:rPr>
                <w:rStyle w:val="tightinline1"/>
                <w:rFonts w:asciiTheme="minorHAnsi" w:hAnsiTheme="minorHAnsi" w:cstheme="minorHAnsi"/>
                <w:color w:val="000000"/>
                <w:szCs w:val="22"/>
                <w:lang w:val="en"/>
              </w:rPr>
            </w:pPr>
            <w:r w:rsidRPr="00B51910">
              <w:rPr>
                <w:rStyle w:val="HTMLDefinition"/>
                <w:rFonts w:asciiTheme="minorHAnsi" w:hAnsiTheme="minorHAnsi" w:cstheme="minorHAnsi"/>
                <w:b/>
                <w:bCs/>
                <w:i w:val="0"/>
                <w:color w:val="000000"/>
                <w:szCs w:val="22"/>
              </w:rPr>
              <w:t>drinking–water supply</w:t>
            </w:r>
            <w:r w:rsidRPr="00B51910">
              <w:rPr>
                <w:rStyle w:val="HTMLDefinition"/>
                <w:rFonts w:asciiTheme="minorHAnsi" w:hAnsiTheme="minorHAnsi" w:cstheme="minorHAnsi"/>
                <w:b/>
                <w:bCs/>
                <w:color w:val="000000"/>
                <w:szCs w:val="22"/>
              </w:rPr>
              <w:t xml:space="preserve"> </w:t>
            </w:r>
            <w:r w:rsidRPr="00B51910">
              <w:rPr>
                <w:rStyle w:val="tightinline1"/>
                <w:rFonts w:asciiTheme="minorHAnsi" w:hAnsiTheme="minorHAnsi" w:cstheme="minorHAnsi"/>
                <w:color w:val="000000"/>
                <w:szCs w:val="22"/>
                <w:lang w:val="en"/>
              </w:rPr>
              <w:t xml:space="preserve">has the same meaning as in section 69G of the Health Act 1956 </w:t>
            </w:r>
          </w:p>
          <w:p w14:paraId="62AD15D1" w14:textId="77777777" w:rsidR="003A0E96" w:rsidRPr="00B51910" w:rsidRDefault="003A0E96" w:rsidP="00845327">
            <w:pPr>
              <w:shd w:val="clear" w:color="auto" w:fill="FFFFFF"/>
              <w:spacing w:before="120" w:after="120" w:line="280" w:lineRule="atLeast"/>
              <w:rPr>
                <w:rFonts w:asciiTheme="minorHAnsi" w:hAnsiTheme="minorHAnsi" w:cstheme="minorHAnsi"/>
                <w:color w:val="000000"/>
                <w:szCs w:val="22"/>
                <w:lang w:val="en"/>
              </w:rPr>
            </w:pPr>
            <w:r w:rsidRPr="00B51910">
              <w:rPr>
                <w:rStyle w:val="HTMLDefinition"/>
                <w:rFonts w:asciiTheme="minorHAnsi" w:hAnsiTheme="minorHAnsi" w:cstheme="minorHAnsi"/>
                <w:b/>
                <w:bCs/>
                <w:i w:val="0"/>
                <w:color w:val="000000"/>
                <w:szCs w:val="22"/>
              </w:rPr>
              <w:t>drinking–water standards</w:t>
            </w:r>
            <w:r w:rsidRPr="00B51910">
              <w:rPr>
                <w:rStyle w:val="HTMLDefinition"/>
                <w:rFonts w:asciiTheme="minorHAnsi" w:hAnsiTheme="minorHAnsi" w:cstheme="minorHAnsi"/>
                <w:b/>
                <w:bCs/>
                <w:color w:val="000000"/>
                <w:szCs w:val="22"/>
              </w:rPr>
              <w:t xml:space="preserve"> </w:t>
            </w:r>
            <w:proofErr w:type="gramStart"/>
            <w:r w:rsidRPr="00B51910">
              <w:rPr>
                <w:rStyle w:val="tightinline1"/>
                <w:rFonts w:asciiTheme="minorHAnsi" w:hAnsiTheme="minorHAnsi" w:cstheme="minorHAnsi"/>
                <w:color w:val="000000"/>
                <w:szCs w:val="22"/>
                <w:lang w:val="en"/>
              </w:rPr>
              <w:t>means</w:t>
            </w:r>
            <w:proofErr w:type="gramEnd"/>
            <w:r w:rsidRPr="00B51910">
              <w:rPr>
                <w:rStyle w:val="tightinline1"/>
                <w:rFonts w:asciiTheme="minorHAnsi" w:hAnsiTheme="minorHAnsi" w:cstheme="minorHAnsi"/>
                <w:color w:val="000000"/>
                <w:szCs w:val="22"/>
                <w:lang w:val="en"/>
              </w:rPr>
              <w:t xml:space="preserve"> —</w:t>
            </w:r>
          </w:p>
          <w:p w14:paraId="252AE0D9" w14:textId="77777777" w:rsidR="003A0E96" w:rsidRPr="00B51910" w:rsidRDefault="003A0E96" w:rsidP="00845327">
            <w:pPr>
              <w:shd w:val="clear" w:color="auto" w:fill="FFFFFF"/>
              <w:spacing w:before="120" w:after="120" w:line="280" w:lineRule="atLeast"/>
              <w:ind w:left="567" w:hanging="567"/>
              <w:rPr>
                <w:rFonts w:asciiTheme="minorHAnsi" w:hAnsiTheme="minorHAnsi" w:cstheme="minorHAnsi"/>
                <w:szCs w:val="22"/>
                <w:lang w:val="en"/>
              </w:rPr>
            </w:pPr>
            <w:r w:rsidRPr="00B51910">
              <w:rPr>
                <w:rFonts w:asciiTheme="minorHAnsi" w:hAnsiTheme="minorHAnsi" w:cstheme="minorHAnsi"/>
                <w:color w:val="000000"/>
                <w:szCs w:val="22"/>
                <w:lang w:val="en"/>
              </w:rPr>
              <w:t>(a)</w:t>
            </w:r>
            <w:r w:rsidRPr="00B51910">
              <w:rPr>
                <w:rFonts w:asciiTheme="minorHAnsi" w:hAnsiTheme="minorHAnsi" w:cstheme="minorHAnsi"/>
                <w:color w:val="000000"/>
                <w:szCs w:val="22"/>
                <w:lang w:val="en"/>
              </w:rPr>
              <w:tab/>
              <w:t xml:space="preserve">standards issued or adopted </w:t>
            </w:r>
            <w:r w:rsidRPr="00B51910">
              <w:rPr>
                <w:rFonts w:asciiTheme="minorHAnsi" w:hAnsiTheme="minorHAnsi" w:cstheme="minorHAnsi"/>
                <w:szCs w:val="22"/>
                <w:lang w:val="en"/>
              </w:rPr>
              <w:t xml:space="preserve">under </w:t>
            </w:r>
            <w:hyperlink r:id="rId15" w:tgtFrame="_parent" w:history="1">
              <w:r w:rsidRPr="00B51910">
                <w:rPr>
                  <w:rStyle w:val="Hyperlink"/>
                  <w:rFonts w:asciiTheme="minorHAnsi" w:hAnsiTheme="minorHAnsi" w:cstheme="minorHAnsi"/>
                  <w:szCs w:val="22"/>
                  <w:lang w:val="en"/>
                </w:rPr>
                <w:t>section 69O</w:t>
              </w:r>
            </w:hyperlink>
            <w:r w:rsidRPr="00B51910">
              <w:rPr>
                <w:rFonts w:asciiTheme="minorHAnsi" w:hAnsiTheme="minorHAnsi" w:cstheme="minorHAnsi"/>
                <w:szCs w:val="22"/>
                <w:lang w:val="en"/>
              </w:rPr>
              <w:t xml:space="preserve"> of the Health Act 1956; or</w:t>
            </w:r>
          </w:p>
          <w:p w14:paraId="7900AA36" w14:textId="77777777" w:rsidR="003A0E96" w:rsidRPr="00C06475" w:rsidRDefault="003A0E96" w:rsidP="00845327">
            <w:pPr>
              <w:shd w:val="clear" w:color="auto" w:fill="FFFFFF"/>
              <w:spacing w:after="120" w:line="280" w:lineRule="atLeast"/>
              <w:ind w:left="567" w:hanging="567"/>
              <w:rPr>
                <w:rFonts w:asciiTheme="minorHAnsi" w:hAnsiTheme="minorHAnsi" w:cstheme="minorHAnsi"/>
                <w:i/>
                <w:iCs/>
                <w:szCs w:val="22"/>
                <w:lang w:val="en"/>
              </w:rPr>
            </w:pPr>
            <w:r w:rsidRPr="00B51910">
              <w:rPr>
                <w:rFonts w:asciiTheme="minorHAnsi" w:hAnsiTheme="minorHAnsi" w:cstheme="minorHAnsi"/>
                <w:szCs w:val="22"/>
                <w:lang w:val="en"/>
              </w:rPr>
              <w:t>(b)</w:t>
            </w:r>
            <w:r w:rsidRPr="00B51910">
              <w:rPr>
                <w:rFonts w:asciiTheme="minorHAnsi" w:hAnsiTheme="minorHAnsi" w:cstheme="minorHAnsi"/>
                <w:szCs w:val="22"/>
                <w:lang w:val="en"/>
              </w:rPr>
              <w:tab/>
              <w:t xml:space="preserve">if section 14(5) of the </w:t>
            </w:r>
            <w:proofErr w:type="gramStart"/>
            <w:r w:rsidRPr="00B51910">
              <w:rPr>
                <w:rFonts w:asciiTheme="minorHAnsi" w:hAnsiTheme="minorHAnsi" w:cstheme="minorHAnsi"/>
                <w:szCs w:val="22"/>
                <w:lang w:val="en"/>
              </w:rPr>
              <w:t>Health</w:t>
            </w:r>
            <w:proofErr w:type="gramEnd"/>
            <w:r w:rsidRPr="00B51910">
              <w:rPr>
                <w:rFonts w:asciiTheme="minorHAnsi" w:hAnsiTheme="minorHAnsi" w:cstheme="minorHAnsi"/>
                <w:szCs w:val="22"/>
                <w:lang w:val="en"/>
              </w:rPr>
              <w:t xml:space="preserve"> (Drinking Water) Amendment Act 2007 applies, the </w:t>
            </w:r>
            <w:r w:rsidRPr="00B51910">
              <w:rPr>
                <w:rStyle w:val="italic1"/>
                <w:rFonts w:asciiTheme="minorHAnsi" w:hAnsiTheme="minorHAnsi" w:cstheme="minorHAnsi"/>
                <w:szCs w:val="22"/>
                <w:lang w:val="en"/>
              </w:rPr>
              <w:t>Drinking-Water Standards for New Zealand 2000</w:t>
            </w:r>
          </w:p>
        </w:tc>
        <w:tc>
          <w:tcPr>
            <w:tcW w:w="3926" w:type="dxa"/>
          </w:tcPr>
          <w:p w14:paraId="298EE177" w14:textId="77777777" w:rsidR="003A0E96" w:rsidRPr="00B51910" w:rsidRDefault="003A0E96" w:rsidP="00845327">
            <w:pPr>
              <w:spacing w:before="120" w:after="120" w:line="280" w:lineRule="atLeast"/>
              <w:rPr>
                <w:rFonts w:asciiTheme="minorHAnsi" w:hAnsiTheme="minorHAnsi" w:cstheme="minorHAnsi"/>
                <w:szCs w:val="22"/>
              </w:rPr>
            </w:pPr>
            <w:r w:rsidRPr="00B51910">
              <w:rPr>
                <w:rFonts w:asciiTheme="minorHAnsi" w:hAnsiTheme="minorHAnsi" w:cstheme="minorHAnsi"/>
                <w:szCs w:val="22"/>
              </w:rPr>
              <w:t>In these rules, unless the context otherwise requires, -</w:t>
            </w:r>
          </w:p>
          <w:p w14:paraId="696C51D8" w14:textId="77777777" w:rsidR="003A0E96" w:rsidRPr="00B51910" w:rsidRDefault="003A0E96" w:rsidP="00845327">
            <w:pPr>
              <w:pStyle w:val="text1"/>
              <w:shd w:val="clear" w:color="auto" w:fill="FFFFFF"/>
              <w:spacing w:before="120" w:after="120" w:line="280" w:lineRule="atLeast"/>
              <w:rPr>
                <w:rFonts w:asciiTheme="minorHAnsi" w:hAnsiTheme="minorHAnsi" w:cstheme="minorHAnsi"/>
                <w:szCs w:val="22"/>
              </w:rPr>
            </w:pPr>
            <w:r w:rsidRPr="00B51910">
              <w:rPr>
                <w:rStyle w:val="HTMLDefinition"/>
                <w:rFonts w:asciiTheme="minorHAnsi" w:hAnsiTheme="minorHAnsi" w:cstheme="minorHAnsi"/>
                <w:b/>
                <w:bCs/>
                <w:i w:val="0"/>
                <w:szCs w:val="22"/>
              </w:rPr>
              <w:t>abatement notice</w:t>
            </w:r>
            <w:r w:rsidRPr="00B51910">
              <w:rPr>
                <w:rFonts w:asciiTheme="minorHAnsi" w:hAnsiTheme="minorHAnsi" w:cstheme="minorHAnsi"/>
                <w:szCs w:val="22"/>
              </w:rPr>
              <w:t xml:space="preserve"> means a notice served under </w:t>
            </w:r>
            <w:hyperlink r:id="rId16" w:history="1">
              <w:r w:rsidRPr="00B51910">
                <w:rPr>
                  <w:rFonts w:asciiTheme="minorHAnsi" w:hAnsiTheme="minorHAnsi" w:cstheme="minorHAnsi"/>
                  <w:szCs w:val="22"/>
                  <w:shd w:val="clear" w:color="auto" w:fill="FFFFFF"/>
                </w:rPr>
                <w:t>section 322</w:t>
              </w:r>
            </w:hyperlink>
            <w:r w:rsidRPr="00B51910">
              <w:rPr>
                <w:rFonts w:asciiTheme="minorHAnsi" w:hAnsiTheme="minorHAnsi" w:cstheme="minorHAnsi"/>
                <w:szCs w:val="22"/>
              </w:rPr>
              <w:t xml:space="preserve"> of the Resource Management Act 1991</w:t>
            </w:r>
          </w:p>
          <w:p w14:paraId="7B8CAD79" w14:textId="77777777" w:rsidR="003A0E96" w:rsidRPr="00B51910" w:rsidRDefault="003A0E96" w:rsidP="00845327">
            <w:pPr>
              <w:shd w:val="clear" w:color="auto" w:fill="FFFFFF"/>
              <w:spacing w:before="120" w:after="120" w:line="280" w:lineRule="atLeast"/>
              <w:rPr>
                <w:rStyle w:val="HTMLDefinition"/>
                <w:rFonts w:asciiTheme="minorHAnsi" w:hAnsiTheme="minorHAnsi" w:cstheme="minorHAnsi"/>
                <w:b/>
                <w:bCs/>
                <w:i w:val="0"/>
                <w:color w:val="000000"/>
                <w:szCs w:val="22"/>
              </w:rPr>
            </w:pPr>
            <w:r w:rsidRPr="00B51910">
              <w:rPr>
                <w:rStyle w:val="HTMLDefinition"/>
                <w:rFonts w:asciiTheme="minorHAnsi" w:hAnsiTheme="minorHAnsi" w:cstheme="minorHAnsi"/>
                <w:b/>
                <w:bCs/>
                <w:i w:val="0"/>
                <w:color w:val="000000"/>
                <w:szCs w:val="22"/>
              </w:rPr>
              <w:t xml:space="preserve">conviction </w:t>
            </w:r>
            <w:r w:rsidRPr="00B51910">
              <w:rPr>
                <w:rStyle w:val="HTMLDefinition"/>
                <w:rFonts w:asciiTheme="minorHAnsi" w:hAnsiTheme="minorHAnsi" w:cstheme="minorHAnsi"/>
                <w:bCs/>
                <w:i w:val="0"/>
                <w:color w:val="000000"/>
                <w:szCs w:val="22"/>
              </w:rPr>
              <w:t>means the conviction of an offence under section 343C of the Resource Management Act 1991</w:t>
            </w:r>
          </w:p>
          <w:p w14:paraId="5EE7EB46" w14:textId="77777777" w:rsidR="003A0E96" w:rsidRPr="00B51910" w:rsidRDefault="003A0E96" w:rsidP="00845327">
            <w:pPr>
              <w:shd w:val="clear" w:color="auto" w:fill="FFFFFF"/>
              <w:spacing w:before="120" w:after="120" w:line="280" w:lineRule="atLeast"/>
              <w:rPr>
                <w:rStyle w:val="HTMLDefinition"/>
                <w:rFonts w:asciiTheme="minorHAnsi" w:hAnsiTheme="minorHAnsi" w:cstheme="minorHAnsi"/>
                <w:b/>
                <w:bCs/>
                <w:i w:val="0"/>
                <w:iCs w:val="0"/>
                <w:color w:val="000000"/>
                <w:szCs w:val="22"/>
              </w:rPr>
            </w:pPr>
            <w:r w:rsidRPr="00B51910">
              <w:rPr>
                <w:rStyle w:val="HTMLDefinition"/>
                <w:rFonts w:asciiTheme="minorHAnsi" w:hAnsiTheme="minorHAnsi" w:cstheme="minorHAnsi"/>
                <w:b/>
                <w:bCs/>
                <w:i w:val="0"/>
                <w:color w:val="000000"/>
                <w:szCs w:val="22"/>
              </w:rPr>
              <w:t>drinking water</w:t>
            </w:r>
            <w:r w:rsidRPr="00B51910">
              <w:rPr>
                <w:rStyle w:val="HTMLDefinition"/>
                <w:rFonts w:asciiTheme="minorHAnsi" w:hAnsiTheme="minorHAnsi" w:cstheme="minorHAnsi"/>
                <w:b/>
                <w:bCs/>
                <w:color w:val="000000"/>
                <w:szCs w:val="22"/>
              </w:rPr>
              <w:t xml:space="preserve"> </w:t>
            </w:r>
            <w:r w:rsidRPr="00B51910">
              <w:rPr>
                <w:rStyle w:val="tightinline1"/>
                <w:rFonts w:asciiTheme="minorHAnsi" w:hAnsiTheme="minorHAnsi" w:cstheme="minorHAnsi"/>
                <w:color w:val="000000"/>
                <w:szCs w:val="22"/>
                <w:lang w:val="en"/>
              </w:rPr>
              <w:t>has the same meaning as in section 6 of the Water Services Act 2021</w:t>
            </w:r>
          </w:p>
          <w:p w14:paraId="0239C110" w14:textId="77777777" w:rsidR="003A0E96" w:rsidRPr="00B51910" w:rsidRDefault="003A0E96" w:rsidP="00845327">
            <w:pPr>
              <w:shd w:val="clear" w:color="auto" w:fill="FFFFFF"/>
              <w:spacing w:before="120" w:after="120" w:line="280" w:lineRule="atLeast"/>
              <w:rPr>
                <w:rStyle w:val="tightinline1"/>
                <w:rFonts w:asciiTheme="minorHAnsi" w:hAnsiTheme="minorHAnsi" w:cstheme="minorHAnsi"/>
                <w:color w:val="000000"/>
                <w:szCs w:val="22"/>
                <w:lang w:val="en"/>
              </w:rPr>
            </w:pPr>
            <w:r w:rsidRPr="00B51910">
              <w:rPr>
                <w:rStyle w:val="HTMLDefinition"/>
                <w:rFonts w:asciiTheme="minorHAnsi" w:hAnsiTheme="minorHAnsi" w:cstheme="minorHAnsi"/>
                <w:b/>
                <w:bCs/>
                <w:i w:val="0"/>
                <w:color w:val="000000"/>
                <w:szCs w:val="22"/>
              </w:rPr>
              <w:t>drinking–water supply</w:t>
            </w:r>
            <w:r w:rsidRPr="00B51910">
              <w:rPr>
                <w:rStyle w:val="HTMLDefinition"/>
                <w:rFonts w:asciiTheme="minorHAnsi" w:hAnsiTheme="minorHAnsi" w:cstheme="minorHAnsi"/>
                <w:b/>
                <w:bCs/>
                <w:color w:val="000000"/>
                <w:szCs w:val="22"/>
              </w:rPr>
              <w:t xml:space="preserve"> </w:t>
            </w:r>
            <w:r w:rsidRPr="00B51910">
              <w:rPr>
                <w:rStyle w:val="tightinline1"/>
                <w:rFonts w:asciiTheme="minorHAnsi" w:hAnsiTheme="minorHAnsi" w:cstheme="minorHAnsi"/>
                <w:color w:val="000000"/>
                <w:szCs w:val="22"/>
                <w:lang w:val="en"/>
              </w:rPr>
              <w:t>has the same meaning as in section 9 of the Water Services Act 2021</w:t>
            </w:r>
          </w:p>
          <w:p w14:paraId="7CB0341D" w14:textId="77777777" w:rsidR="003A0E96" w:rsidRPr="00B51910" w:rsidRDefault="003A0E96" w:rsidP="00845327">
            <w:pPr>
              <w:shd w:val="clear" w:color="auto" w:fill="FFFFFF"/>
              <w:spacing w:before="120" w:after="120" w:line="280" w:lineRule="atLeast"/>
              <w:rPr>
                <w:rFonts w:asciiTheme="minorHAnsi" w:hAnsiTheme="minorHAnsi" w:cstheme="minorHAnsi"/>
                <w:color w:val="000000"/>
                <w:szCs w:val="22"/>
                <w:lang w:val="en"/>
              </w:rPr>
            </w:pPr>
            <w:r w:rsidRPr="00B51910">
              <w:rPr>
                <w:rStyle w:val="HTMLDefinition"/>
                <w:rFonts w:asciiTheme="minorHAnsi" w:hAnsiTheme="minorHAnsi" w:cstheme="minorHAnsi"/>
                <w:b/>
                <w:bCs/>
                <w:i w:val="0"/>
                <w:color w:val="000000"/>
                <w:szCs w:val="22"/>
              </w:rPr>
              <w:t>drinking–water standards</w:t>
            </w:r>
            <w:r w:rsidRPr="00B51910">
              <w:rPr>
                <w:rStyle w:val="HTMLDefinition"/>
                <w:rFonts w:asciiTheme="minorHAnsi" w:hAnsiTheme="minorHAnsi" w:cstheme="minorHAnsi"/>
                <w:b/>
                <w:bCs/>
                <w:color w:val="000000"/>
                <w:szCs w:val="22"/>
              </w:rPr>
              <w:t xml:space="preserve"> </w:t>
            </w:r>
            <w:proofErr w:type="gramStart"/>
            <w:r w:rsidRPr="00B51910">
              <w:rPr>
                <w:rStyle w:val="tightinline1"/>
                <w:rFonts w:asciiTheme="minorHAnsi" w:hAnsiTheme="minorHAnsi" w:cstheme="minorHAnsi"/>
                <w:color w:val="000000"/>
                <w:szCs w:val="22"/>
                <w:lang w:val="en"/>
              </w:rPr>
              <w:t>means</w:t>
            </w:r>
            <w:proofErr w:type="gramEnd"/>
            <w:r w:rsidRPr="00B51910">
              <w:rPr>
                <w:rStyle w:val="tightinline1"/>
                <w:rFonts w:asciiTheme="minorHAnsi" w:hAnsiTheme="minorHAnsi" w:cstheme="minorHAnsi"/>
                <w:color w:val="000000"/>
                <w:szCs w:val="22"/>
                <w:lang w:val="en"/>
              </w:rPr>
              <w:t xml:space="preserve"> standards made under section 47 of the Water Services Act 2021</w:t>
            </w:r>
          </w:p>
          <w:p w14:paraId="0ECC2A50" w14:textId="77777777" w:rsidR="003A0E96" w:rsidRPr="00B51910" w:rsidRDefault="003A0E96" w:rsidP="00845327">
            <w:pPr>
              <w:spacing w:after="0"/>
              <w:rPr>
                <w:rFonts w:asciiTheme="minorHAnsi" w:hAnsiTheme="minorHAnsi" w:cstheme="minorHAnsi"/>
                <w:b/>
                <w:bCs/>
                <w:szCs w:val="22"/>
              </w:rPr>
            </w:pPr>
          </w:p>
        </w:tc>
      </w:tr>
      <w:tr w:rsidR="003A0E96" w14:paraId="09EB9013" w14:textId="77777777" w:rsidTr="00845327">
        <w:tc>
          <w:tcPr>
            <w:tcW w:w="1635" w:type="dxa"/>
          </w:tcPr>
          <w:p w14:paraId="4AD37D76" w14:textId="77777777" w:rsidR="003A0E96" w:rsidRPr="00C06475" w:rsidRDefault="003A0E96" w:rsidP="00845327">
            <w:pPr>
              <w:spacing w:after="0"/>
              <w:rPr>
                <w:rFonts w:asciiTheme="minorHAnsi" w:hAnsiTheme="minorHAnsi" w:cstheme="minorHAnsi"/>
                <w:b/>
                <w:bCs/>
                <w:sz w:val="24"/>
              </w:rPr>
            </w:pPr>
            <w:r w:rsidRPr="00C06475">
              <w:rPr>
                <w:rFonts w:asciiTheme="minorHAnsi" w:hAnsiTheme="minorHAnsi" w:cstheme="minorHAnsi"/>
                <w:b/>
                <w:bCs/>
                <w:sz w:val="24"/>
              </w:rPr>
              <w:t>Part 2 – Performance Measures</w:t>
            </w:r>
          </w:p>
          <w:p w14:paraId="2E80FDD9" w14:textId="77777777" w:rsidR="003A0E96" w:rsidRPr="00C06475" w:rsidRDefault="003A0E96" w:rsidP="00845327">
            <w:pPr>
              <w:spacing w:after="0"/>
              <w:rPr>
                <w:rFonts w:asciiTheme="minorHAnsi" w:hAnsiTheme="minorHAnsi" w:cstheme="minorHAnsi"/>
                <w:b/>
                <w:bCs/>
                <w:sz w:val="24"/>
              </w:rPr>
            </w:pPr>
            <w:r w:rsidRPr="00C06475">
              <w:rPr>
                <w:rFonts w:asciiTheme="minorHAnsi" w:hAnsiTheme="minorHAnsi" w:cstheme="minorHAnsi"/>
                <w:b/>
                <w:bCs/>
                <w:sz w:val="24"/>
              </w:rPr>
              <w:t>Sub-part 1 - Water supply</w:t>
            </w:r>
          </w:p>
          <w:p w14:paraId="2597297A" w14:textId="77777777" w:rsidR="003A0E96" w:rsidRDefault="003A0E96" w:rsidP="00845327">
            <w:pPr>
              <w:spacing w:after="0"/>
              <w:rPr>
                <w:rFonts w:asciiTheme="minorHAnsi" w:hAnsiTheme="minorHAnsi"/>
                <w:b/>
                <w:bCs/>
              </w:rPr>
            </w:pPr>
          </w:p>
        </w:tc>
        <w:tc>
          <w:tcPr>
            <w:tcW w:w="3372" w:type="dxa"/>
          </w:tcPr>
          <w:p w14:paraId="331EF747" w14:textId="77777777" w:rsidR="003A0E96" w:rsidRPr="00B51910" w:rsidRDefault="003A0E96" w:rsidP="00845327">
            <w:pPr>
              <w:pStyle w:val="Heading2"/>
              <w:spacing w:before="120" w:after="240" w:line="280" w:lineRule="atLeast"/>
              <w:outlineLvl w:val="1"/>
              <w:rPr>
                <w:color w:val="auto"/>
                <w:sz w:val="22"/>
                <w:szCs w:val="22"/>
              </w:rPr>
            </w:pPr>
            <w:r w:rsidRPr="00B51910">
              <w:rPr>
                <w:color w:val="auto"/>
                <w:sz w:val="22"/>
                <w:szCs w:val="22"/>
              </w:rPr>
              <w:t>Performance measure 1 (safety of drinking water)</w:t>
            </w:r>
          </w:p>
          <w:p w14:paraId="46011CFC" w14:textId="77777777" w:rsidR="003A0E96" w:rsidRPr="00B51910" w:rsidRDefault="003A0E96" w:rsidP="00845327">
            <w:pPr>
              <w:spacing w:after="120"/>
              <w:rPr>
                <w:szCs w:val="22"/>
              </w:rPr>
            </w:pPr>
            <w:r w:rsidRPr="00B51910">
              <w:rPr>
                <w:szCs w:val="22"/>
              </w:rPr>
              <w:t>The extent to which the local authority’s drinking water supply complies with:</w:t>
            </w:r>
          </w:p>
          <w:p w14:paraId="33C1C03F" w14:textId="77777777" w:rsidR="003A0E96" w:rsidRPr="00B51910" w:rsidRDefault="003A0E96" w:rsidP="003A0E96">
            <w:pPr>
              <w:pStyle w:val="Heading6"/>
              <w:numPr>
                <w:ilvl w:val="5"/>
                <w:numId w:val="25"/>
              </w:numPr>
              <w:tabs>
                <w:tab w:val="num" w:pos="360"/>
                <w:tab w:val="left" w:pos="851"/>
              </w:tabs>
              <w:spacing w:before="120" w:after="120" w:line="280" w:lineRule="atLeast"/>
              <w:ind w:left="851" w:hanging="851"/>
              <w:outlineLvl w:val="5"/>
              <w:rPr>
                <w:b w:val="0"/>
                <w:bCs w:val="0"/>
                <w:i w:val="0"/>
              </w:rPr>
            </w:pPr>
            <w:r w:rsidRPr="00B51910">
              <w:rPr>
                <w:b w:val="0"/>
                <w:bCs w:val="0"/>
                <w:i w:val="0"/>
              </w:rPr>
              <w:t>part 4 of the drinking-water standards (bacteria compliance criteria), and</w:t>
            </w:r>
          </w:p>
          <w:p w14:paraId="2AF8FC6B" w14:textId="77777777" w:rsidR="003A0E96" w:rsidRPr="00C06475" w:rsidRDefault="003A0E96" w:rsidP="003A0E96">
            <w:pPr>
              <w:pStyle w:val="Heading6"/>
              <w:numPr>
                <w:ilvl w:val="5"/>
                <w:numId w:val="25"/>
              </w:numPr>
              <w:tabs>
                <w:tab w:val="num" w:pos="360"/>
                <w:tab w:val="left" w:pos="851"/>
              </w:tabs>
              <w:spacing w:before="120" w:after="120" w:line="280" w:lineRule="atLeast"/>
              <w:ind w:left="851" w:hanging="851"/>
              <w:outlineLvl w:val="5"/>
              <w:rPr>
                <w:b w:val="0"/>
                <w:bCs w:val="0"/>
                <w:i w:val="0"/>
              </w:rPr>
            </w:pPr>
            <w:r w:rsidRPr="00B51910">
              <w:rPr>
                <w:b w:val="0"/>
                <w:bCs w:val="0"/>
                <w:i w:val="0"/>
              </w:rPr>
              <w:t>part 5 of the drinking-water standards (protozoal compliance criteria).</w:t>
            </w:r>
          </w:p>
        </w:tc>
        <w:tc>
          <w:tcPr>
            <w:tcW w:w="3926" w:type="dxa"/>
          </w:tcPr>
          <w:p w14:paraId="2CF84BF2" w14:textId="77777777" w:rsidR="003A0E96" w:rsidRPr="00B51910" w:rsidRDefault="003A0E96" w:rsidP="00845327">
            <w:pPr>
              <w:pStyle w:val="Heading2"/>
              <w:spacing w:before="120" w:after="240" w:line="280" w:lineRule="atLeast"/>
              <w:outlineLvl w:val="1"/>
              <w:rPr>
                <w:color w:val="auto"/>
                <w:sz w:val="22"/>
                <w:szCs w:val="22"/>
              </w:rPr>
            </w:pPr>
            <w:r w:rsidRPr="00B51910">
              <w:rPr>
                <w:color w:val="auto"/>
                <w:sz w:val="22"/>
                <w:szCs w:val="22"/>
              </w:rPr>
              <w:t>Performance measure 1 (safety of drinking water)</w:t>
            </w:r>
          </w:p>
          <w:p w14:paraId="4C8649CC" w14:textId="77777777" w:rsidR="003A0E96" w:rsidRDefault="003A0E96" w:rsidP="00845327">
            <w:pPr>
              <w:spacing w:after="120"/>
            </w:pPr>
            <w:r>
              <w:t>The extent to which the local authority’s drinking water supply complies with Table 1 of the Water Services (Drinking Water Standards for New Zealand) Regulations 2022</w:t>
            </w:r>
          </w:p>
          <w:p w14:paraId="56C9EA81" w14:textId="77777777" w:rsidR="003A0E96" w:rsidRDefault="003A0E96" w:rsidP="003A0E96">
            <w:pPr>
              <w:numPr>
                <w:ilvl w:val="2"/>
                <w:numId w:val="26"/>
              </w:numPr>
              <w:spacing w:after="120"/>
            </w:pPr>
            <w:proofErr w:type="spellStart"/>
            <w:r>
              <w:t>Determinand</w:t>
            </w:r>
            <w:proofErr w:type="spellEnd"/>
            <w:r>
              <w:t xml:space="preserve"> – </w:t>
            </w:r>
            <w:r w:rsidRPr="00845327">
              <w:rPr>
                <w:i/>
                <w:iCs/>
              </w:rPr>
              <w:t>Escherichia coli</w:t>
            </w:r>
          </w:p>
          <w:p w14:paraId="1B363713" w14:textId="77777777" w:rsidR="003A0E96" w:rsidRPr="00C06475" w:rsidRDefault="003A0E96" w:rsidP="003A0E96">
            <w:pPr>
              <w:numPr>
                <w:ilvl w:val="2"/>
                <w:numId w:val="26"/>
              </w:numPr>
              <w:spacing w:after="120"/>
            </w:pPr>
            <w:proofErr w:type="spellStart"/>
            <w:r>
              <w:t>Determinand</w:t>
            </w:r>
            <w:proofErr w:type="spellEnd"/>
            <w:r>
              <w:t xml:space="preserve"> – Total pathogenic protozoa</w:t>
            </w:r>
          </w:p>
        </w:tc>
      </w:tr>
    </w:tbl>
    <w:p w14:paraId="2D02D6E9" w14:textId="77777777" w:rsidR="003A0E96" w:rsidRDefault="003A0E96" w:rsidP="003A0E96">
      <w:pPr>
        <w:keepLines w:val="0"/>
        <w:rPr>
          <w:rFonts w:cs="Arial"/>
          <w:b/>
          <w:bCs/>
          <w:color w:val="1F546B"/>
          <w:sz w:val="28"/>
          <w:szCs w:val="26"/>
        </w:rPr>
      </w:pPr>
    </w:p>
    <w:p w14:paraId="60FB7059" w14:textId="77777777" w:rsidR="003A0E96" w:rsidRDefault="003A0E96" w:rsidP="003A0E96">
      <w:pPr>
        <w:keepLines w:val="0"/>
        <w:rPr>
          <w:rFonts w:cs="Arial"/>
          <w:b/>
          <w:bCs/>
          <w:color w:val="1F546B"/>
          <w:sz w:val="28"/>
          <w:szCs w:val="26"/>
        </w:rPr>
      </w:pPr>
      <w:r>
        <w:rPr>
          <w:rFonts w:cs="Arial"/>
          <w:b/>
          <w:bCs/>
          <w:color w:val="1F546B"/>
          <w:sz w:val="28"/>
          <w:szCs w:val="26"/>
        </w:rPr>
        <w:br w:type="page"/>
      </w:r>
    </w:p>
    <w:p w14:paraId="29120004" w14:textId="77777777" w:rsidR="003A0E96" w:rsidRPr="009A7936" w:rsidRDefault="003A0E96" w:rsidP="003A0E96">
      <w:pPr>
        <w:keepLines w:val="0"/>
        <w:rPr>
          <w:rFonts w:cs="Arial"/>
          <w:b/>
          <w:bCs/>
          <w:color w:val="1F546B"/>
          <w:sz w:val="28"/>
          <w:szCs w:val="26"/>
        </w:rPr>
      </w:pPr>
      <w:r w:rsidRPr="002633D1">
        <w:rPr>
          <w:rFonts w:cs="Arial"/>
          <w:b/>
          <w:bCs/>
          <w:color w:val="1F546B"/>
          <w:sz w:val="28"/>
          <w:szCs w:val="26"/>
        </w:rPr>
        <w:lastRenderedPageBreak/>
        <w:t>Consultation information</w:t>
      </w:r>
      <w:r>
        <w:t xml:space="preserve"> </w:t>
      </w:r>
    </w:p>
    <w:p w14:paraId="329772B2" w14:textId="77777777" w:rsidR="003A0E96" w:rsidRDefault="003A0E96" w:rsidP="003A0E96">
      <w:pPr>
        <w:keepLines w:val="0"/>
      </w:pPr>
      <w:r w:rsidRPr="003648B2">
        <w:t xml:space="preserve">The Secretary is now consulting on the draft performance measures. </w:t>
      </w:r>
      <w:r>
        <w:br/>
      </w:r>
      <w:r>
        <w:br/>
        <w:t>To provide feedback or for further information on the proposed amendments, contact the Department of Internal Affairs:</w:t>
      </w:r>
    </w:p>
    <w:p w14:paraId="7717D6F3" w14:textId="77777777" w:rsidR="003A0E96" w:rsidRDefault="003A0E96" w:rsidP="003A0E96">
      <w:pPr>
        <w:pStyle w:val="ListParagraph"/>
        <w:keepLines w:val="0"/>
        <w:numPr>
          <w:ilvl w:val="0"/>
          <w:numId w:val="27"/>
        </w:numPr>
      </w:pPr>
      <w:r>
        <w:t xml:space="preserve">email: </w:t>
      </w:r>
      <w:hyperlink r:id="rId17" w:history="1">
        <w:r w:rsidRPr="00922679">
          <w:rPr>
            <w:rStyle w:val="Hyperlink"/>
          </w:rPr>
          <w:t>councils@dia.govt.nz</w:t>
        </w:r>
      </w:hyperlink>
      <w:r>
        <w:t xml:space="preserve">; or </w:t>
      </w:r>
    </w:p>
    <w:p w14:paraId="689E22A2" w14:textId="77777777" w:rsidR="003A0E96" w:rsidRDefault="003A0E96" w:rsidP="003A0E96">
      <w:pPr>
        <w:pStyle w:val="ListParagraph"/>
        <w:keepLines w:val="0"/>
        <w:numPr>
          <w:ilvl w:val="0"/>
          <w:numId w:val="27"/>
        </w:numPr>
      </w:pPr>
      <w:r>
        <w:t xml:space="preserve">post: Local Government Branch, </w:t>
      </w:r>
      <w:r w:rsidRPr="003648B2">
        <w:t>Department of Internal Affairs, PO Box 805, Wellington 6140</w:t>
      </w:r>
    </w:p>
    <w:p w14:paraId="15A39285" w14:textId="77777777" w:rsidR="003A0E96" w:rsidRPr="003648B2" w:rsidRDefault="003A0E96" w:rsidP="003A0E96">
      <w:pPr>
        <w:keepLines w:val="0"/>
      </w:pPr>
      <w:r w:rsidRPr="003648B2">
        <w:t xml:space="preserve">Consultation closes at 5.00pm on </w:t>
      </w:r>
      <w:r>
        <w:t>10 May 2024</w:t>
      </w:r>
      <w:r w:rsidRPr="003648B2">
        <w:t>.</w:t>
      </w:r>
    </w:p>
    <w:p w14:paraId="065B3ED3" w14:textId="77777777" w:rsidR="00AE478C" w:rsidRPr="00603635" w:rsidRDefault="00AE478C" w:rsidP="00603635"/>
    <w:sectPr w:rsidR="00AE478C" w:rsidRPr="00603635" w:rsidSect="00CF4BE3">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102B" w14:textId="77777777" w:rsidR="005543F3" w:rsidRDefault="005543F3">
      <w:r>
        <w:separator/>
      </w:r>
    </w:p>
    <w:p w14:paraId="51F605F4" w14:textId="77777777" w:rsidR="005543F3" w:rsidRDefault="005543F3"/>
    <w:p w14:paraId="664F54A7" w14:textId="77777777" w:rsidR="005543F3" w:rsidRDefault="005543F3"/>
  </w:endnote>
  <w:endnote w:type="continuationSeparator" w:id="0">
    <w:p w14:paraId="2D240AB6" w14:textId="77777777" w:rsidR="005543F3" w:rsidRDefault="005543F3">
      <w:r>
        <w:continuationSeparator/>
      </w:r>
    </w:p>
    <w:p w14:paraId="5ABBC121" w14:textId="77777777" w:rsidR="005543F3" w:rsidRDefault="005543F3"/>
    <w:p w14:paraId="6FED0719" w14:textId="77777777" w:rsidR="005543F3" w:rsidRDefault="00554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DC52"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86A"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16AF"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7736" w14:textId="77777777" w:rsidR="005543F3" w:rsidRDefault="005543F3" w:rsidP="00FB1990">
      <w:pPr>
        <w:pStyle w:val="Spacer"/>
      </w:pPr>
      <w:r>
        <w:separator/>
      </w:r>
    </w:p>
    <w:p w14:paraId="63F9FB14" w14:textId="77777777" w:rsidR="005543F3" w:rsidRDefault="005543F3" w:rsidP="00FB1990">
      <w:pPr>
        <w:pStyle w:val="Spacer"/>
      </w:pPr>
    </w:p>
  </w:footnote>
  <w:footnote w:type="continuationSeparator" w:id="0">
    <w:p w14:paraId="1D1C56CC" w14:textId="77777777" w:rsidR="005543F3" w:rsidRDefault="005543F3">
      <w:r>
        <w:continuationSeparator/>
      </w:r>
    </w:p>
    <w:p w14:paraId="633A848F" w14:textId="77777777" w:rsidR="005543F3" w:rsidRDefault="005543F3"/>
    <w:p w14:paraId="56FC417B" w14:textId="77777777" w:rsidR="005543F3" w:rsidRDefault="00554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CDAD"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7D46"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B7E6"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31B629D"/>
    <w:multiLevelType w:val="hybridMultilevel"/>
    <w:tmpl w:val="B82AB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5A934A7"/>
    <w:multiLevelType w:val="multilevel"/>
    <w:tmpl w:val="E26AB862"/>
    <w:lvl w:ilvl="0">
      <w:start w:val="1"/>
      <w:numFmt w:val="decimal"/>
      <w:lvlText w:val="%1."/>
      <w:lvlJc w:val="left"/>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8F39E9"/>
    <w:multiLevelType w:val="multilevel"/>
    <w:tmpl w:val="E26AB862"/>
    <w:lvl w:ilvl="0">
      <w:start w:val="1"/>
      <w:numFmt w:val="decimal"/>
      <w:lvlText w:val="%1."/>
      <w:lvlJc w:val="left"/>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1146431870">
    <w:abstractNumId w:val="5"/>
  </w:num>
  <w:num w:numId="2" w16cid:durableId="191890701">
    <w:abstractNumId w:val="4"/>
  </w:num>
  <w:num w:numId="3" w16cid:durableId="1682513907">
    <w:abstractNumId w:val="3"/>
  </w:num>
  <w:num w:numId="4" w16cid:durableId="979576771">
    <w:abstractNumId w:val="2"/>
  </w:num>
  <w:num w:numId="5" w16cid:durableId="2086416366">
    <w:abstractNumId w:val="1"/>
  </w:num>
  <w:num w:numId="6" w16cid:durableId="1461722357">
    <w:abstractNumId w:val="0"/>
  </w:num>
  <w:num w:numId="7" w16cid:durableId="1481926500">
    <w:abstractNumId w:val="19"/>
  </w:num>
  <w:num w:numId="8" w16cid:durableId="1820683368">
    <w:abstractNumId w:val="20"/>
  </w:num>
  <w:num w:numId="9" w16cid:durableId="1268807196">
    <w:abstractNumId w:val="15"/>
  </w:num>
  <w:num w:numId="10" w16cid:durableId="212355838">
    <w:abstractNumId w:val="10"/>
  </w:num>
  <w:num w:numId="11" w16cid:durableId="954676889">
    <w:abstractNumId w:val="21"/>
  </w:num>
  <w:num w:numId="12" w16cid:durableId="1396854399">
    <w:abstractNumId w:val="23"/>
  </w:num>
  <w:num w:numId="13" w16cid:durableId="1896117418">
    <w:abstractNumId w:val="25"/>
  </w:num>
  <w:num w:numId="14" w16cid:durableId="1460224792">
    <w:abstractNumId w:val="7"/>
  </w:num>
  <w:num w:numId="15" w16cid:durableId="1247575352">
    <w:abstractNumId w:val="13"/>
  </w:num>
  <w:num w:numId="16" w16cid:durableId="1792901116">
    <w:abstractNumId w:val="26"/>
  </w:num>
  <w:num w:numId="17" w16cid:durableId="51469360">
    <w:abstractNumId w:val="24"/>
  </w:num>
  <w:num w:numId="18" w16cid:durableId="537160155">
    <w:abstractNumId w:val="22"/>
  </w:num>
  <w:num w:numId="19" w16cid:durableId="487787985">
    <w:abstractNumId w:val="17"/>
  </w:num>
  <w:num w:numId="20" w16cid:durableId="1672103090">
    <w:abstractNumId w:val="14"/>
  </w:num>
  <w:num w:numId="21" w16cid:durableId="1689526882">
    <w:abstractNumId w:val="9"/>
  </w:num>
  <w:num w:numId="22" w16cid:durableId="1085109500">
    <w:abstractNumId w:val="6"/>
  </w:num>
  <w:num w:numId="23" w16cid:durableId="1451316737">
    <w:abstractNumId w:val="11"/>
  </w:num>
  <w:num w:numId="24" w16cid:durableId="1506821125">
    <w:abstractNumId w:val="8"/>
  </w:num>
  <w:num w:numId="25" w16cid:durableId="164982414">
    <w:abstractNumId w:val="16"/>
  </w:num>
  <w:num w:numId="26" w16cid:durableId="59254759">
    <w:abstractNumId w:val="18"/>
  </w:num>
  <w:num w:numId="27" w16cid:durableId="27879880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9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0E96"/>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0CE5"/>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3F3"/>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49FF"/>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DEADB"/>
  <w15:chartTrackingRefBased/>
  <w15:docId w15:val="{A5F2F4B6-D443-4AF5-BD3F-7429EDC8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0" w:unhideWhenUsed="1" w:qFormat="1"/>
    <w:lsdException w:name="heading 5" w:uiPriority="1" w:unhideWhenUsed="1" w:qFormat="1"/>
    <w:lsdException w:name="heading 6"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96"/>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aliases w:val="h2,H2,h2 main heading,sub-para,Heading 2 Para2,Attribute Heading 2,proj2,proj21,proj22,proj23,proj24,proj25,proj26,proj27,proj28,proj29,proj210,proj211,proj212,proj221,proj231,proj241,proj251,proj261,proj271,proj281,proj291,proj2101,proj2111,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aliases w:val="(I)a,H6,Sub5Para,h6,L1 PIP,a,b,Heading 6(unused),Legal Level 1.,Level 6,Sub Label,(I),a.,a.1,as,heading6,Body Text 5,sub-dash,heading 6,(Section),(Section)1,(Section)2,(Section)3,(Section)4,(Section)5,(Section)6,(Section)7,(Section)8"/>
    <w:basedOn w:val="Normal"/>
    <w:next w:val="Normal"/>
    <w:link w:val="Heading6Char"/>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aliases w:val="h2 Char,H2 Char,h2 main heading Char,sub-para Char,Heading 2 Para2 Char,Attribute Heading 2 Char,proj2 Char,proj21 Char,proj22 Char,proj23 Char,proj24 Char,proj25 Char,proj26 Char,proj27 Char,proj28 Char,proj29 Char,proj210 Char,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uiPriority w:val="9"/>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aliases w:val="(I)a Char,H6 Char,Sub5Para Char,h6 Char,L1 PIP Char,a Char,b Char,Heading 6(unused) Char,Legal Level 1. Char,Level 6 Char,Sub Label Char,(I) Char,a. Char,a.1 Char,as Char,heading6 Char,Body Text 5 Char,sub-dash Char,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ext1">
    <w:name w:val="text1"/>
    <w:basedOn w:val="Normal"/>
    <w:rsid w:val="003A0E96"/>
    <w:pPr>
      <w:keepLines w:val="0"/>
      <w:spacing w:before="0" w:after="0" w:line="288" w:lineRule="atLeast"/>
    </w:pPr>
    <w:rPr>
      <w:rFonts w:ascii="Times New Roman" w:eastAsia="Times New Roman" w:hAnsi="Times New Roman"/>
      <w:color w:val="000000"/>
      <w:lang w:eastAsia="en-NZ"/>
    </w:rPr>
  </w:style>
  <w:style w:type="character" w:customStyle="1" w:styleId="tightinline1">
    <w:name w:val="tightinline1"/>
    <w:rsid w:val="003A0E96"/>
  </w:style>
  <w:style w:type="character" w:customStyle="1" w:styleId="italic1">
    <w:name w:val="italic1"/>
    <w:rsid w:val="003A0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t.nz/regulation/public/2022/0168/latest/whol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ia.govt.nz/Resource-material-Our-Policy-Advice-Areas-Local-Government-Policy" TargetMode="External"/><Relationship Id="rId17" Type="http://schemas.openxmlformats.org/officeDocument/2006/relationships/hyperlink" Target="mailto:councils@dia.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co.nz/act/public/1991/0069/latest/link.aspx?id=DLM2385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xisnexis.com:80/nz/legal/search/enhRunRemoteLink.do?ersKey=23_T18344345701&amp;backKey=20_T18344345741&amp;homeCsi=274497&amp;A=0.1363728991554236&amp;urlEnc=ISO-8859-1&amp;&amp;dpsi=0069&amp;remotekey1=REFPTID&amp;refpt=1956A65S69O&amp;service=DOC-ID&amp;origdpsi=006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co.nz/act/public/1991/0069/latest/link.aspx?id=DLM23856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esentation Document DIA" ma:contentTypeID="0x0101005496552013C0BA46BE88192D5C6EB20B00D58CA4CF3C65403AB0809D9EF248C59B006B471F68A8C0694D8D8E7DA7814EE30E00A22DE45DE97FC648B8014F7F82D8F873" ma:contentTypeVersion="8" ma:contentTypeDescription="Use for all presentations created within DIA for internal or external use" ma:contentTypeScope="" ma:versionID="360e99cfc2b229be406d66df028ecd16">
  <xsd:schema xmlns:xsd="http://www.w3.org/2001/XMLSchema" xmlns:xs="http://www.w3.org/2001/XMLSchema" xmlns:p="http://schemas.microsoft.com/office/2006/metadata/properties" xmlns:ns3="01be4277-2979-4a68-876d-b92b25fceece" xmlns:ns4="f54e2983-00ce-40fc-8108-18f351fc47bf" targetNamespace="http://schemas.microsoft.com/office/2006/metadata/properties" ma:root="true" ma:fieldsID="6cf1181b52f580f1af89c7b42eb9d114" ns3:_="" ns4:_="">
    <xsd:import namespace="01be4277-2979-4a68-876d-b92b25fceece"/>
    <xsd:import namespace="f54e2983-00ce-40fc-8108-18f351fc47b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cff0ddf232c47f2a2233c5008913c29" minOccurs="0"/>
                <xsd:element ref="ns4:DIANotes" minOccurs="0"/>
                <xsd:element ref="ns4:_dlc_DocId" minOccurs="0"/>
                <xsd:element ref="ns4:_dlc_DocIdUrl" minOccurs="0"/>
                <xsd:element ref="ns4:_dlc_DocIdPersistId" minOccurs="0"/>
                <xsd:element ref="ns4:DIAEventDate" minOccurs="0"/>
                <xsd:element ref="ns4:ge192917acb1427799917aa262304b5d" minOccurs="0"/>
                <xsd:element ref="ns4:DIAEventName" minOccurs="0"/>
                <xsd:element ref="ns4:DIAPersonAssigned" minOccurs="0"/>
                <xsd:element ref="ns4:d6a84d57cee7474b9c1a0903570d244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6846810d-c185-478f-809e-44ae03981e35"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lcff0ddf232c47f2a2233c5008913c29" ma:index="14"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DIAEventDate" ma:index="20" nillable="true" ma:displayName="Event Date" ma:description="Use to specify the date of the event" ma:format="DateOnly" ma:internalName="DIAEventDate">
      <xsd:simpleType>
        <xsd:restriction base="dms:DateTime"/>
      </xsd:simpleType>
    </xsd:element>
    <xsd:element name="ge192917acb1427799917aa262304b5d" ma:index="21" nillable="true" ma:taxonomy="true" ma:internalName="ge192917acb1427799917aa262304b5d" ma:taxonomyFieldName="DIACountry" ma:displayName="Country" ma:fieldId="{0e192917-acb1-4277-9991-7aa262304b5d}" ma:sspId="caf61cd4-0327-4679-8f8a-6e41773e81e7" ma:termSetId="b1c69ef2-d2ae-4a6b-b4bf-681c9c6aca55" ma:anchorId="00000000-0000-0000-0000-000000000000" ma:open="false" ma:isKeyword="false">
      <xsd:complexType>
        <xsd:sequence>
          <xsd:element ref="pc:Terms" minOccurs="0" maxOccurs="1"/>
        </xsd:sequence>
      </xsd:complexType>
    </xsd:element>
    <xsd:element name="DIAEventName" ma:index="23" nillable="true" ma:displayName="Event Name" ma:description="Name of the event" ma:internalName="DIAEventName">
      <xsd:simpleType>
        <xsd:restriction base="dms:Text"/>
      </xsd:simpleType>
    </xsd:element>
    <xsd:element name="DIAPersonAssigned" ma:index="24" nillable="true" ma:displayName="Person Assigned" ma:description="Use for the name of the person assigned to an investigation or complaint" ma:internalName="DIAPersonAssign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6a84d57cee7474b9c1a0903570d2445" ma:index="25" nillable="true" ma:taxonomy="true" ma:internalName="d6a84d57cee7474b9c1a0903570d2445" ma:taxonomyFieldName="DIAEventorVisitType" ma:displayName="Event or Visit Type" ma:fieldId="{d6a84d57-cee7-474b-9c1a-0903570d2445}" ma:sspId="caf61cd4-0327-4679-8f8a-6e41773e81e7" ma:termSetId="95138d95-0fa4-4547-8973-ca02b03759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EventDate xmlns="f54e2983-00ce-40fc-8108-18f351fc47bf" xsi:nil="true"/>
    <DIAEventName xmlns="f54e2983-00ce-40fc-8108-18f351fc47bf" xsi:nil="true"/>
    <ge192917acb1427799917aa262304b5d xmlns="f54e2983-00ce-40fc-8108-18f351fc47bf">
      <Terms xmlns="http://schemas.microsoft.com/office/infopath/2007/PartnerControls"/>
    </ge192917acb1427799917aa262304b5d>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DIAPersonAssigned xmlns="f54e2983-00ce-40fc-8108-18f351fc47bf">
      <UserInfo>
        <DisplayName/>
        <AccountId xsi:nil="true"/>
        <AccountType/>
      </UserInfo>
    </DIAPersonAssigned>
    <d6a84d57cee7474b9c1a0903570d2445 xmlns="f54e2983-00ce-40fc-8108-18f351fc47bf">
      <Terms xmlns="http://schemas.microsoft.com/office/infopath/2007/PartnerControls"/>
    </d6a84d57cee7474b9c1a0903570d2445>
    <TaxCatchAll xmlns="f54e2983-00ce-40fc-8108-18f351fc47bf">
      <Value>2</Value>
      <Value>1</Value>
    </TaxCatchAll>
    <DIANotes xmlns="f54e2983-00ce-40fc-8108-18f351fc47bf" xsi:nil="true"/>
    <_dlc_DocId xmlns="f54e2983-00ce-40fc-8108-18f351fc47bf">3W2DU3RAJ5R2-1665216969-1077</_dlc_DocId>
    <_dlc_DocIdUrl xmlns="f54e2983-00ce-40fc-8108-18f351fc47bf">
      <Url>https://dia.cohesion.net.nz/Sites/LGV/PAO/CPF/_layouts/15/DocIdRedir.aspx?ID=3W2DU3RAJ5R2-1665216969-1077</Url>
      <Description>3W2DU3RAJ5R2-1665216969-1077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3E7E97-4B08-41AE-9137-2C04025FC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81AF6-D9AB-4406-996A-389CC2F4E6A2}">
  <ds:schemaRefs>
    <ds:schemaRef ds:uri="http://schemas.openxmlformats.org/officeDocument/2006/bibliography"/>
  </ds:schemaRefs>
</ds:datastoreItem>
</file>

<file path=customXml/itemProps3.xml><?xml version="1.0" encoding="utf-8"?>
<ds:datastoreItem xmlns:ds="http://schemas.openxmlformats.org/officeDocument/2006/customXml" ds:itemID="{05B97F7D-EAF4-4AAB-A586-79E2FCEE9798}">
  <ds:schemaRefs>
    <ds:schemaRef ds:uri="http://schemas.microsoft.com/office/2006/metadata/properties"/>
    <ds:schemaRef ds:uri="http://schemas.microsoft.com/office/infopath/2007/PartnerControls"/>
    <ds:schemaRef ds:uri="01be4277-2979-4a68-876d-b92b25fceece"/>
    <ds:schemaRef ds:uri="f54e2983-00ce-40fc-8108-18f351fc47bf"/>
  </ds:schemaRefs>
</ds:datastoreItem>
</file>

<file path=customXml/itemProps4.xml><?xml version="1.0" encoding="utf-8"?>
<ds:datastoreItem xmlns:ds="http://schemas.openxmlformats.org/officeDocument/2006/customXml" ds:itemID="{74336AF0-631F-4EC3-9CD5-B0DC1DB76D7A}">
  <ds:schemaRefs>
    <ds:schemaRef ds:uri="http://schemas.microsoft.com/sharepoint/v3/contenttype/forms"/>
  </ds:schemaRefs>
</ds:datastoreItem>
</file>

<file path=customXml/itemProps5.xml><?xml version="1.0" encoding="utf-8"?>
<ds:datastoreItem xmlns:ds="http://schemas.openxmlformats.org/officeDocument/2006/customXml" ds:itemID="{D27BB527-990E-4F9A-BFC1-F72260369E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 Tari Taiwhenua Department of Internal Affairs</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dc:creator>
  <cp:keywords/>
  <dc:description/>
  <cp:lastModifiedBy>Lauren Thompson</cp:lastModifiedBy>
  <cp:revision>2</cp:revision>
  <cp:lastPrinted>2024-04-18T04:49:00Z</cp:lastPrinted>
  <dcterms:created xsi:type="dcterms:W3CDTF">2024-04-17T23:13:00Z</dcterms:created>
  <dcterms:modified xsi:type="dcterms:W3CDTF">2024-04-18T05:02:00Z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0x0101005496552013C0BA46BE88192D5C6EB20B00D58CA4CF3C65403AB0809D9EF248C59B006B471F68A8C0694D8D8E7DA7814EE30E00A22DE45DE97FC648B8014F7F82D8F873</vt:lpwstr>
  </property>
  <property fmtid="{D5CDD505-2E9C-101B-9397-08002B2CF9AE}" pid="3" name="C3Topic">
    <vt:lpwstr/>
  </property>
  <property fmtid="{D5CDD505-2E9C-101B-9397-08002B2CF9AE}" pid="4" name="TaxKeyword">
    <vt:lpwstr/>
  </property>
  <property fmtid="{D5CDD505-2E9C-101B-9397-08002B2CF9AE}" pid="5" name="i234661d9f7a423e8a2378db11976a3c">
    <vt:lpwstr>Correspondence|dcd6b05f-dc80-4336-b228-09aebf3d212c</vt:lpwstr>
  </property>
  <property fmtid="{D5CDD505-2E9C-101B-9397-08002B2CF9AE}" pid="6" name="DIAEmailContentType">
    <vt:lpwstr>2;#Correspondence|dcd6b05f-dc80-4336-b228-09aebf3d212c</vt:lpwstr>
  </property>
  <property fmtid="{D5CDD505-2E9C-101B-9397-08002B2CF9AE}" pid="7" name="DIASecurityClassification">
    <vt:lpwstr>1;#UNCLASSIFIED|875d92a8-67e2-4a32-9472-8fe99549e1eb</vt:lpwstr>
  </property>
  <property fmtid="{D5CDD505-2E9C-101B-9397-08002B2CF9AE}" pid="8" name="DIAEventorVisitType">
    <vt:lpwstr/>
  </property>
  <property fmtid="{D5CDD505-2E9C-101B-9397-08002B2CF9AE}" pid="9" name="DIACountry">
    <vt:lpwstr/>
  </property>
  <property fmtid="{D5CDD505-2E9C-101B-9397-08002B2CF9AE}" pid="10" name="_dlc_DocIdItemGuid">
    <vt:lpwstr>7b18b75e-88b8-4506-a275-099c48fc6086</vt:lpwstr>
  </property>
</Properties>
</file>