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8AC2" w14:textId="77777777" w:rsidR="00B06DF9" w:rsidRDefault="00B06DF9" w:rsidP="00B06DF9">
      <w:pPr>
        <w:pStyle w:val="Heading3"/>
        <w:spacing w:before="120"/>
        <w:rPr>
          <w:sz w:val="36"/>
          <w:szCs w:val="36"/>
        </w:rPr>
      </w:pPr>
      <w:r>
        <w:rPr>
          <w:sz w:val="36"/>
          <w:szCs w:val="36"/>
        </w:rPr>
        <w:t>Candidate Information for the Film and Literature Board of Review</w:t>
      </w:r>
    </w:p>
    <w:p w14:paraId="5AEDF789" w14:textId="77777777" w:rsidR="00B06DF9" w:rsidRDefault="00B06DF9" w:rsidP="00B06DF9">
      <w:pPr>
        <w:spacing w:after="120"/>
        <w:rPr>
          <w:sz w:val="22"/>
          <w:szCs w:val="22"/>
        </w:rPr>
      </w:pPr>
      <w:r>
        <w:rPr>
          <w:sz w:val="22"/>
          <w:szCs w:val="22"/>
        </w:rPr>
        <w:t>The Minister of Internal Affairs (the Minister) is seeking expressions of interest for appointment as the President and one member of the Film and Literature Board of Review (the Board). </w:t>
      </w:r>
    </w:p>
    <w:p w14:paraId="763E3269" w14:textId="77777777" w:rsidR="00B06DF9" w:rsidRDefault="00B06DF9" w:rsidP="00B06DF9">
      <w:pPr>
        <w:pStyle w:val="Heading3"/>
        <w:spacing w:before="120"/>
        <w:rPr>
          <w:b w:val="0"/>
          <w:bCs w:val="0"/>
          <w:szCs w:val="28"/>
        </w:rPr>
      </w:pPr>
      <w:r>
        <w:rPr>
          <w:szCs w:val="28"/>
        </w:rPr>
        <w:t>About the Board</w:t>
      </w:r>
    </w:p>
    <w:p w14:paraId="4B20D8B6" w14:textId="77777777" w:rsidR="00B06DF9" w:rsidRDefault="00B06DF9" w:rsidP="00B06DF9">
      <w:pPr>
        <w:spacing w:after="120" w:line="276" w:lineRule="auto"/>
        <w:rPr>
          <w:rFonts w:asciiTheme="minorHAnsi" w:hAnsiTheme="minorHAnsi" w:cstheme="minorHAnsi"/>
          <w:color w:val="000000"/>
          <w:sz w:val="22"/>
          <w:szCs w:val="22"/>
          <w:lang w:eastAsia="en-NZ"/>
        </w:rPr>
      </w:pPr>
      <w:bookmarkStart w:id="0" w:name="_Hlk109742039"/>
      <w:r>
        <w:rPr>
          <w:rFonts w:asciiTheme="minorHAnsi" w:hAnsiTheme="minorHAnsi" w:cstheme="minorHAnsi"/>
          <w:color w:val="000000"/>
          <w:sz w:val="22"/>
          <w:szCs w:val="22"/>
          <w:lang w:eastAsia="en-NZ"/>
        </w:rPr>
        <w:t xml:space="preserve">The Board is a statutory appeal body, established under section 91 of the </w:t>
      </w:r>
      <w:bookmarkStart w:id="1" w:name="_Hlk160016090"/>
      <w:r>
        <w:rPr>
          <w:rFonts w:asciiTheme="minorHAnsi" w:hAnsiTheme="minorHAnsi" w:cstheme="minorHAnsi"/>
          <w:color w:val="000000"/>
          <w:sz w:val="22"/>
          <w:szCs w:val="22"/>
          <w:lang w:eastAsia="en-NZ"/>
        </w:rPr>
        <w:t xml:space="preserve">Films, Videos and Publications Act 1993 </w:t>
      </w:r>
      <w:bookmarkEnd w:id="1"/>
      <w:r>
        <w:rPr>
          <w:rFonts w:asciiTheme="minorHAnsi" w:hAnsiTheme="minorHAnsi" w:cstheme="minorHAnsi"/>
          <w:color w:val="000000"/>
          <w:sz w:val="22"/>
          <w:szCs w:val="22"/>
          <w:lang w:eastAsia="en-NZ"/>
        </w:rPr>
        <w:t xml:space="preserve">(the Act), to review classification decisions of the Office of Film and Literature Classification. </w:t>
      </w:r>
      <w:bookmarkEnd w:id="0"/>
      <w:r>
        <w:rPr>
          <w:rFonts w:asciiTheme="minorHAnsi" w:hAnsiTheme="minorHAnsi" w:cstheme="minorHAnsi"/>
          <w:color w:val="000000"/>
          <w:sz w:val="22"/>
          <w:szCs w:val="22"/>
          <w:lang w:eastAsia="en-NZ"/>
        </w:rPr>
        <w:t>Members are appointed for terms of up to three years and may be reappointed for one further term.</w:t>
      </w:r>
    </w:p>
    <w:p w14:paraId="46268D9E" w14:textId="77777777" w:rsidR="00B06DF9" w:rsidRDefault="00B06DF9" w:rsidP="00B06DF9">
      <w:pPr>
        <w:pStyle w:val="Heading3"/>
        <w:spacing w:before="120"/>
        <w:rPr>
          <w:szCs w:val="28"/>
        </w:rPr>
      </w:pPr>
      <w:r>
        <w:rPr>
          <w:szCs w:val="28"/>
        </w:rPr>
        <w:t>Membership, commitment and fees</w:t>
      </w:r>
    </w:p>
    <w:p w14:paraId="5013B586" w14:textId="77777777" w:rsidR="00B06DF9" w:rsidRDefault="00B06DF9" w:rsidP="00B06DF9">
      <w:pPr>
        <w:spacing w:after="120"/>
        <w:rPr>
          <w:sz w:val="22"/>
          <w:szCs w:val="22"/>
        </w:rPr>
      </w:pPr>
      <w:r>
        <w:rPr>
          <w:sz w:val="22"/>
          <w:szCs w:val="22"/>
        </w:rPr>
        <w:t>The Board consists of up to nine members appointed by the Minister under the Act. Fees are $580 per day for the President and $380 per day for members. The Board conducts three to six reviews per year on average.</w:t>
      </w:r>
    </w:p>
    <w:p w14:paraId="1F27A854" w14:textId="77777777" w:rsidR="00B06DF9" w:rsidRDefault="00B06DF9" w:rsidP="00B06DF9">
      <w:pPr>
        <w:pStyle w:val="Heading3"/>
        <w:spacing w:before="120"/>
        <w:rPr>
          <w:szCs w:val="28"/>
        </w:rPr>
      </w:pPr>
      <w:r>
        <w:rPr>
          <w:szCs w:val="28"/>
        </w:rPr>
        <w:t>Selection Criteria</w:t>
      </w:r>
    </w:p>
    <w:p w14:paraId="4F715F67" w14:textId="77777777" w:rsidR="00B06DF9" w:rsidRPr="00E13269" w:rsidRDefault="00B06DF9" w:rsidP="00B06DF9">
      <w:pPr>
        <w:pStyle w:val="Numberedpara3level1"/>
        <w:numPr>
          <w:ilvl w:val="0"/>
          <w:numId w:val="0"/>
        </w:numPr>
        <w:ind w:left="567" w:hanging="567"/>
        <w:rPr>
          <w:rFonts w:asciiTheme="minorHAnsi" w:hAnsiTheme="minorHAnsi"/>
          <w:sz w:val="22"/>
          <w:szCs w:val="22"/>
        </w:rPr>
      </w:pPr>
      <w:r w:rsidRPr="00E13269">
        <w:rPr>
          <w:rFonts w:asciiTheme="minorHAnsi" w:hAnsiTheme="minorHAnsi"/>
          <w:sz w:val="22"/>
          <w:szCs w:val="22"/>
        </w:rPr>
        <w:t>Applicants should have a mix of expertise in:</w:t>
      </w:r>
    </w:p>
    <w:p w14:paraId="4B65D7CC" w14:textId="77777777" w:rsidR="00B06DF9" w:rsidRPr="00E13269" w:rsidRDefault="00B06DF9" w:rsidP="00B06DF9">
      <w:pPr>
        <w:pStyle w:val="Numberedpara3level1"/>
        <w:numPr>
          <w:ilvl w:val="0"/>
          <w:numId w:val="26"/>
        </w:numPr>
        <w:spacing w:before="60" w:after="60"/>
        <w:ind w:left="1282"/>
        <w:rPr>
          <w:sz w:val="22"/>
          <w:szCs w:val="22"/>
        </w:rPr>
      </w:pPr>
      <w:r w:rsidRPr="00E13269">
        <w:rPr>
          <w:sz w:val="22"/>
          <w:szCs w:val="22"/>
        </w:rPr>
        <w:t>law;</w:t>
      </w:r>
    </w:p>
    <w:p w14:paraId="1D147DBC" w14:textId="77777777" w:rsidR="00B06DF9" w:rsidRPr="00E13269" w:rsidRDefault="00B06DF9" w:rsidP="00B06DF9">
      <w:pPr>
        <w:pStyle w:val="Numberedpara3level1"/>
        <w:numPr>
          <w:ilvl w:val="0"/>
          <w:numId w:val="26"/>
        </w:numPr>
        <w:spacing w:before="60" w:after="60"/>
        <w:ind w:left="1282"/>
        <w:rPr>
          <w:sz w:val="22"/>
          <w:szCs w:val="22"/>
        </w:rPr>
      </w:pPr>
      <w:r w:rsidRPr="00E13269">
        <w:rPr>
          <w:sz w:val="22"/>
          <w:szCs w:val="22"/>
        </w:rPr>
        <w:t>clinical psychology;</w:t>
      </w:r>
    </w:p>
    <w:p w14:paraId="362859DB" w14:textId="77777777" w:rsidR="00B06DF9" w:rsidRPr="00E13269" w:rsidRDefault="00B06DF9" w:rsidP="00B06DF9">
      <w:pPr>
        <w:pStyle w:val="Numberedpara3level1"/>
        <w:numPr>
          <w:ilvl w:val="0"/>
          <w:numId w:val="26"/>
        </w:numPr>
        <w:spacing w:before="60" w:after="60"/>
        <w:ind w:left="1282"/>
        <w:rPr>
          <w:sz w:val="22"/>
          <w:szCs w:val="22"/>
        </w:rPr>
      </w:pPr>
      <w:r w:rsidRPr="00E13269">
        <w:rPr>
          <w:sz w:val="22"/>
          <w:szCs w:val="22"/>
        </w:rPr>
        <w:t>creative digital arts;</w:t>
      </w:r>
    </w:p>
    <w:p w14:paraId="450C081E" w14:textId="77777777" w:rsidR="00B06DF9" w:rsidRPr="00E13269" w:rsidRDefault="00B06DF9" w:rsidP="00B06DF9">
      <w:pPr>
        <w:pStyle w:val="Numberedpara3level1"/>
        <w:numPr>
          <w:ilvl w:val="0"/>
          <w:numId w:val="26"/>
        </w:numPr>
        <w:spacing w:before="60" w:after="60"/>
        <w:ind w:left="1282"/>
        <w:rPr>
          <w:sz w:val="22"/>
          <w:szCs w:val="22"/>
        </w:rPr>
      </w:pPr>
      <w:r w:rsidRPr="00E13269">
        <w:rPr>
          <w:sz w:val="22"/>
          <w:szCs w:val="22"/>
        </w:rPr>
        <w:t>creative media; and</w:t>
      </w:r>
    </w:p>
    <w:p w14:paraId="79A02D67" w14:textId="77777777" w:rsidR="00B06DF9" w:rsidRPr="00E13269" w:rsidRDefault="00B06DF9" w:rsidP="00B06DF9">
      <w:pPr>
        <w:pStyle w:val="Numberedpara3level1"/>
        <w:numPr>
          <w:ilvl w:val="0"/>
          <w:numId w:val="26"/>
        </w:numPr>
        <w:spacing w:before="60" w:after="60"/>
        <w:ind w:left="1282"/>
        <w:rPr>
          <w:sz w:val="22"/>
          <w:szCs w:val="22"/>
        </w:rPr>
      </w:pPr>
      <w:r w:rsidRPr="00E13269">
        <w:rPr>
          <w:sz w:val="22"/>
          <w:szCs w:val="22"/>
        </w:rPr>
        <w:t>youth and youth issues.</w:t>
      </w:r>
    </w:p>
    <w:p w14:paraId="10FAC5B4" w14:textId="77777777" w:rsidR="00B06DF9" w:rsidRPr="00E13269" w:rsidRDefault="00B06DF9" w:rsidP="00B06DF9">
      <w:pPr>
        <w:spacing w:after="120"/>
        <w:rPr>
          <w:sz w:val="22"/>
          <w:szCs w:val="22"/>
        </w:rPr>
      </w:pPr>
      <w:r w:rsidRPr="00E13269">
        <w:rPr>
          <w:sz w:val="22"/>
          <w:szCs w:val="22"/>
        </w:rPr>
        <w:t>Applicants must have a high level of maturity. Given the Board’s role as an expert tribunal reviewing objectionable publications and material, members must be able to view sexually explicit, violent, sensitive and controversial material without undue distress.</w:t>
      </w:r>
    </w:p>
    <w:p w14:paraId="7F7F3279" w14:textId="77777777" w:rsidR="00B06DF9" w:rsidRPr="0062556F" w:rsidRDefault="00B06DF9" w:rsidP="00B06DF9">
      <w:pPr>
        <w:spacing w:after="120"/>
        <w:rPr>
          <w:rFonts w:cs="Arial"/>
          <w:b/>
          <w:bCs/>
          <w:color w:val="1F546B"/>
        </w:rPr>
      </w:pPr>
      <w:r w:rsidRPr="0062556F">
        <w:rPr>
          <w:rFonts w:cs="Arial"/>
          <w:b/>
          <w:bCs/>
          <w:color w:val="1F546B"/>
        </w:rPr>
        <w:t>Presiding member</w:t>
      </w:r>
    </w:p>
    <w:p w14:paraId="4DC052FA" w14:textId="77777777" w:rsidR="00B06DF9" w:rsidRPr="00E13269" w:rsidRDefault="00B06DF9" w:rsidP="00B06DF9">
      <w:pPr>
        <w:spacing w:after="120"/>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 xml:space="preserve">The Act specifies that the President must have held a practising certificate as a barrister or solicitor for at least seven years. </w:t>
      </w:r>
    </w:p>
    <w:p w14:paraId="663C26F2" w14:textId="77777777" w:rsidR="00B06DF9" w:rsidRPr="00E13269" w:rsidRDefault="00B06DF9" w:rsidP="00B06DF9">
      <w:pPr>
        <w:spacing w:before="80" w:after="80"/>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Applicants for the President’s role are sought who have:</w:t>
      </w:r>
    </w:p>
    <w:p w14:paraId="2CAF01DC" w14:textId="77777777" w:rsidR="00B06DF9" w:rsidRPr="00E13269" w:rsidRDefault="00B06DF9" w:rsidP="00B06DF9">
      <w:pPr>
        <w:pStyle w:val="ListParagraph"/>
        <w:numPr>
          <w:ilvl w:val="0"/>
          <w:numId w:val="25"/>
        </w:numPr>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 xml:space="preserve">knowledge of public law; </w:t>
      </w:r>
    </w:p>
    <w:p w14:paraId="50E716A2" w14:textId="77777777" w:rsidR="00B06DF9" w:rsidRPr="00E13269" w:rsidRDefault="00B06DF9" w:rsidP="00B06DF9">
      <w:pPr>
        <w:pStyle w:val="ListParagraph"/>
        <w:numPr>
          <w:ilvl w:val="0"/>
          <w:numId w:val="25"/>
        </w:numPr>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public decision-making;</w:t>
      </w:r>
    </w:p>
    <w:p w14:paraId="4C5C2A27" w14:textId="77777777" w:rsidR="00B06DF9" w:rsidRPr="00E13269" w:rsidRDefault="00B06DF9" w:rsidP="00B06DF9">
      <w:pPr>
        <w:pStyle w:val="ListParagraph"/>
        <w:numPr>
          <w:ilvl w:val="0"/>
          <w:numId w:val="25"/>
        </w:numPr>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 xml:space="preserve">human rights experience; and </w:t>
      </w:r>
    </w:p>
    <w:p w14:paraId="06CA0A31" w14:textId="77777777" w:rsidR="00B06DF9" w:rsidRPr="00E13269" w:rsidRDefault="00B06DF9" w:rsidP="00B06DF9">
      <w:pPr>
        <w:pStyle w:val="ListParagraph"/>
        <w:numPr>
          <w:ilvl w:val="0"/>
          <w:numId w:val="25"/>
        </w:numPr>
        <w:rPr>
          <w:rFonts w:asciiTheme="minorHAnsi" w:hAnsiTheme="minorHAnsi" w:cstheme="minorHAnsi"/>
          <w:color w:val="000000"/>
          <w:sz w:val="22"/>
          <w:szCs w:val="22"/>
          <w:lang w:eastAsia="en-NZ"/>
        </w:rPr>
      </w:pPr>
      <w:r w:rsidRPr="00E13269">
        <w:rPr>
          <w:rFonts w:asciiTheme="minorHAnsi" w:hAnsiTheme="minorHAnsi" w:cstheme="minorHAnsi"/>
          <w:color w:val="000000"/>
          <w:sz w:val="22"/>
          <w:szCs w:val="22"/>
          <w:lang w:eastAsia="en-NZ"/>
        </w:rPr>
        <w:t xml:space="preserve">the ability to coordinate a team with varying experience, backgrounds and skill sets. </w:t>
      </w:r>
    </w:p>
    <w:p w14:paraId="0FF59C1F" w14:textId="77777777" w:rsidR="00B06DF9" w:rsidRDefault="00B06DF9" w:rsidP="00B06DF9">
      <w:pPr>
        <w:pStyle w:val="Heading3"/>
        <w:spacing w:before="120"/>
      </w:pPr>
      <w:r>
        <w:t>Conflicts of interest</w:t>
      </w:r>
    </w:p>
    <w:p w14:paraId="5C730C14" w14:textId="77777777" w:rsidR="00B06DF9" w:rsidRDefault="00B06DF9" w:rsidP="00B06DF9">
      <w:pPr>
        <w:spacing w:after="120"/>
        <w:rPr>
          <w:sz w:val="22"/>
          <w:szCs w:val="22"/>
        </w:rPr>
      </w:pPr>
      <w:r>
        <w:rPr>
          <w:sz w:val="22"/>
          <w:szCs w:val="22"/>
        </w:rPr>
        <w:t>Candidates must declare any actual or perceived conflicts of interest, or any other matter that may make their appointment inappropriate. The Department may check the accuracy of any information provided.</w:t>
      </w:r>
    </w:p>
    <w:p w14:paraId="44A34BA8" w14:textId="77777777" w:rsidR="00B06DF9" w:rsidRDefault="00B06DF9" w:rsidP="00B06DF9">
      <w:pPr>
        <w:pStyle w:val="Heading3"/>
        <w:spacing w:before="120"/>
        <w:rPr>
          <w:rFonts w:asciiTheme="minorHAnsi" w:hAnsiTheme="minorHAnsi" w:cstheme="minorHAnsi"/>
        </w:rPr>
      </w:pPr>
      <w:r>
        <w:rPr>
          <w:rFonts w:asciiTheme="minorHAnsi" w:hAnsiTheme="minorHAnsi" w:cstheme="minorHAnsi"/>
        </w:rPr>
        <w:t xml:space="preserve">Diversity of representation </w:t>
      </w:r>
    </w:p>
    <w:p w14:paraId="479A578E" w14:textId="77777777" w:rsidR="00B06DF9" w:rsidRPr="00E13269" w:rsidRDefault="00B06DF9" w:rsidP="00B06DF9">
      <w:pPr>
        <w:rPr>
          <w:sz w:val="22"/>
          <w:szCs w:val="22"/>
        </w:rPr>
      </w:pPr>
      <w:r w:rsidRPr="00E13269">
        <w:rPr>
          <w:sz w:val="22"/>
          <w:szCs w:val="22"/>
        </w:rPr>
        <w:t>Expressions of interest are welcomed from candidates who can offer a range of cultural and personal perspectives. This includes candidates from groups that have historically been underrepresented at a governance level, such as younger candidates, Māori, Pasifika, recent migrants, gender diverse New Zealanders and people living with disabilities.</w:t>
      </w:r>
    </w:p>
    <w:p w14:paraId="071DAF2B" w14:textId="77777777" w:rsidR="00B06DF9" w:rsidRDefault="00B06DF9" w:rsidP="00B06DF9">
      <w:pPr>
        <w:pStyle w:val="Heading3"/>
        <w:spacing w:before="120"/>
        <w:rPr>
          <w:rFonts w:asciiTheme="minorHAnsi" w:hAnsiTheme="minorHAnsi" w:cstheme="minorHAnsi"/>
        </w:rPr>
      </w:pPr>
      <w:r>
        <w:rPr>
          <w:rFonts w:asciiTheme="minorHAnsi" w:hAnsiTheme="minorHAnsi" w:cstheme="minorHAnsi"/>
        </w:rPr>
        <w:lastRenderedPageBreak/>
        <w:t>How to apply</w:t>
      </w:r>
    </w:p>
    <w:p w14:paraId="18D5AA2A" w14:textId="7852BAFA" w:rsidR="00B06DF9" w:rsidRPr="00E13269" w:rsidRDefault="00B06DF9" w:rsidP="00B06DF9">
      <w:pPr>
        <w:rPr>
          <w:sz w:val="22"/>
          <w:szCs w:val="22"/>
        </w:rPr>
      </w:pPr>
      <w:r w:rsidRPr="00E13269">
        <w:rPr>
          <w:sz w:val="22"/>
          <w:szCs w:val="22"/>
        </w:rPr>
        <w:t xml:space="preserve">Candidates need to complete an expression of interest form, provide a current curriculum vitae, a cover letter and photo identification (New Zealand Drivers Licence or a passport). These need to be sent to </w:t>
      </w:r>
      <w:r w:rsidRPr="00E13269">
        <w:rPr>
          <w:b/>
          <w:sz w:val="22"/>
          <w:szCs w:val="22"/>
        </w:rPr>
        <w:t>appointments@dia.govt.nz</w:t>
      </w:r>
      <w:r w:rsidRPr="00E13269">
        <w:rPr>
          <w:sz w:val="22"/>
          <w:szCs w:val="22"/>
        </w:rPr>
        <w:t xml:space="preserve"> by </w:t>
      </w:r>
      <w:r w:rsidRPr="00850CA6">
        <w:rPr>
          <w:b/>
          <w:bCs/>
          <w:sz w:val="22"/>
          <w:szCs w:val="22"/>
        </w:rPr>
        <w:t xml:space="preserve">5.00pm on </w:t>
      </w:r>
      <w:r w:rsidR="00850CA6" w:rsidRPr="00850CA6">
        <w:rPr>
          <w:b/>
          <w:bCs/>
          <w:sz w:val="22"/>
          <w:szCs w:val="22"/>
        </w:rPr>
        <w:t>24</w:t>
      </w:r>
      <w:r w:rsidRPr="00850CA6">
        <w:rPr>
          <w:b/>
          <w:bCs/>
          <w:sz w:val="22"/>
          <w:szCs w:val="22"/>
        </w:rPr>
        <w:t xml:space="preserve"> May 2024</w:t>
      </w:r>
      <w:r w:rsidRPr="00E13269">
        <w:rPr>
          <w:sz w:val="22"/>
          <w:szCs w:val="22"/>
        </w:rPr>
        <w:t xml:space="preserve">. </w:t>
      </w:r>
    </w:p>
    <w:p w14:paraId="57EDC0CF" w14:textId="77777777" w:rsidR="00B06DF9" w:rsidRPr="00E13269" w:rsidRDefault="00B06DF9" w:rsidP="00B06DF9">
      <w:pPr>
        <w:rPr>
          <w:sz w:val="22"/>
          <w:szCs w:val="22"/>
        </w:rPr>
      </w:pPr>
      <w:r w:rsidRPr="00E13269">
        <w:rPr>
          <w:sz w:val="22"/>
          <w:szCs w:val="22"/>
        </w:rPr>
        <w:t xml:space="preserve">Please </w:t>
      </w:r>
      <w:r w:rsidRPr="00E13269">
        <w:rPr>
          <w:b/>
          <w:bCs/>
          <w:sz w:val="22"/>
          <w:szCs w:val="22"/>
        </w:rPr>
        <w:t>clearly indicate on your application</w:t>
      </w:r>
      <w:r w:rsidRPr="00E13269">
        <w:rPr>
          <w:sz w:val="22"/>
          <w:szCs w:val="22"/>
        </w:rPr>
        <w:t xml:space="preserve"> if you are applying for the presiding member or member role.</w:t>
      </w:r>
    </w:p>
    <w:p w14:paraId="570A9DD7" w14:textId="77777777" w:rsidR="00B06DF9" w:rsidRPr="00E13269" w:rsidRDefault="00B06DF9" w:rsidP="00B06DF9">
      <w:pPr>
        <w:rPr>
          <w:sz w:val="22"/>
          <w:szCs w:val="22"/>
        </w:rPr>
      </w:pPr>
      <w:r w:rsidRPr="00E13269">
        <w:rPr>
          <w:sz w:val="22"/>
          <w:szCs w:val="22"/>
        </w:rPr>
        <w:t xml:space="preserve">Expression of interest forms are available on the Department of Internal Affairs’ website at </w:t>
      </w:r>
      <w:hyperlink r:id="rId8" w:history="1">
        <w:r w:rsidRPr="00E13269">
          <w:rPr>
            <w:rStyle w:val="Hyperlink"/>
            <w:sz w:val="22"/>
            <w:szCs w:val="22"/>
          </w:rPr>
          <w:t>https://www.dia.govt.nz/Appointments-to-Statutory-Bodies</w:t>
        </w:r>
      </w:hyperlink>
      <w:r w:rsidRPr="00E13269">
        <w:rPr>
          <w:sz w:val="22"/>
          <w:szCs w:val="22"/>
        </w:rPr>
        <w:t xml:space="preserve">. </w:t>
      </w:r>
    </w:p>
    <w:p w14:paraId="40084DAC" w14:textId="77777777" w:rsidR="00AE478C" w:rsidRPr="00603635" w:rsidRDefault="00AE478C" w:rsidP="00603635"/>
    <w:sectPr w:rsidR="00AE478C" w:rsidRPr="00603635" w:rsidSect="00FE678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BB42" w14:textId="77777777" w:rsidR="00FE678F" w:rsidRDefault="00FE678F">
      <w:r>
        <w:separator/>
      </w:r>
    </w:p>
    <w:p w14:paraId="53A3C28B" w14:textId="77777777" w:rsidR="00FE678F" w:rsidRDefault="00FE678F"/>
    <w:p w14:paraId="4C6B3A18" w14:textId="77777777" w:rsidR="00FE678F" w:rsidRDefault="00FE678F"/>
  </w:endnote>
  <w:endnote w:type="continuationSeparator" w:id="0">
    <w:p w14:paraId="5018BE7C" w14:textId="77777777" w:rsidR="00FE678F" w:rsidRDefault="00FE678F">
      <w:r>
        <w:continuationSeparator/>
      </w:r>
    </w:p>
    <w:p w14:paraId="60507555" w14:textId="77777777" w:rsidR="00FE678F" w:rsidRDefault="00FE678F"/>
    <w:p w14:paraId="09B2395D" w14:textId="77777777" w:rsidR="00FE678F" w:rsidRDefault="00FE6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B01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46D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382B"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7221" w14:textId="77777777" w:rsidR="00FE678F" w:rsidRDefault="00FE678F" w:rsidP="00FB1990">
      <w:pPr>
        <w:pStyle w:val="Spacer"/>
      </w:pPr>
      <w:r>
        <w:separator/>
      </w:r>
    </w:p>
    <w:p w14:paraId="3A2D26D8" w14:textId="77777777" w:rsidR="00FE678F" w:rsidRDefault="00FE678F" w:rsidP="00FB1990">
      <w:pPr>
        <w:pStyle w:val="Spacer"/>
      </w:pPr>
    </w:p>
  </w:footnote>
  <w:footnote w:type="continuationSeparator" w:id="0">
    <w:p w14:paraId="0A3A9A33" w14:textId="77777777" w:rsidR="00FE678F" w:rsidRDefault="00FE678F">
      <w:r>
        <w:continuationSeparator/>
      </w:r>
    </w:p>
    <w:p w14:paraId="053A4044" w14:textId="77777777" w:rsidR="00FE678F" w:rsidRDefault="00FE678F"/>
    <w:p w14:paraId="26C02AD9" w14:textId="77777777" w:rsidR="00FE678F" w:rsidRDefault="00FE6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B358"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487"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D150"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A7C4100"/>
    <w:multiLevelType w:val="hybridMultilevel"/>
    <w:tmpl w:val="E2CAD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C803434"/>
    <w:multiLevelType w:val="hybridMultilevel"/>
    <w:tmpl w:val="B81202C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1890528446">
    <w:abstractNumId w:val="5"/>
  </w:num>
  <w:num w:numId="2" w16cid:durableId="918909730">
    <w:abstractNumId w:val="4"/>
  </w:num>
  <w:num w:numId="3" w16cid:durableId="771517203">
    <w:abstractNumId w:val="3"/>
  </w:num>
  <w:num w:numId="4" w16cid:durableId="926769521">
    <w:abstractNumId w:val="2"/>
  </w:num>
  <w:num w:numId="5" w16cid:durableId="1090735958">
    <w:abstractNumId w:val="1"/>
  </w:num>
  <w:num w:numId="6" w16cid:durableId="401567655">
    <w:abstractNumId w:val="0"/>
  </w:num>
  <w:num w:numId="7" w16cid:durableId="1767730887">
    <w:abstractNumId w:val="17"/>
  </w:num>
  <w:num w:numId="8" w16cid:durableId="711927901">
    <w:abstractNumId w:val="18"/>
  </w:num>
  <w:num w:numId="9" w16cid:durableId="1430663776">
    <w:abstractNumId w:val="15"/>
  </w:num>
  <w:num w:numId="10" w16cid:durableId="445396505">
    <w:abstractNumId w:val="10"/>
  </w:num>
  <w:num w:numId="11" w16cid:durableId="902836034">
    <w:abstractNumId w:val="19"/>
  </w:num>
  <w:num w:numId="12" w16cid:durableId="811292525">
    <w:abstractNumId w:val="21"/>
  </w:num>
  <w:num w:numId="13" w16cid:durableId="546529721">
    <w:abstractNumId w:val="24"/>
  </w:num>
  <w:num w:numId="14" w16cid:durableId="809706607">
    <w:abstractNumId w:val="7"/>
  </w:num>
  <w:num w:numId="15" w16cid:durableId="1395736212">
    <w:abstractNumId w:val="13"/>
  </w:num>
  <w:num w:numId="16" w16cid:durableId="1216353935">
    <w:abstractNumId w:val="25"/>
  </w:num>
  <w:num w:numId="17" w16cid:durableId="61877788">
    <w:abstractNumId w:val="22"/>
  </w:num>
  <w:num w:numId="18" w16cid:durableId="786895444">
    <w:abstractNumId w:val="20"/>
  </w:num>
  <w:num w:numId="19" w16cid:durableId="1903439885">
    <w:abstractNumId w:val="16"/>
  </w:num>
  <w:num w:numId="20" w16cid:durableId="102310002">
    <w:abstractNumId w:val="14"/>
  </w:num>
  <w:num w:numId="21" w16cid:durableId="1562979233">
    <w:abstractNumId w:val="9"/>
  </w:num>
  <w:num w:numId="22" w16cid:durableId="1154445593">
    <w:abstractNumId w:val="6"/>
  </w:num>
  <w:num w:numId="23" w16cid:durableId="908807819">
    <w:abstractNumId w:val="12"/>
  </w:num>
  <w:num w:numId="24" w16cid:durableId="1821312471">
    <w:abstractNumId w:val="8"/>
  </w:num>
  <w:num w:numId="25" w16cid:durableId="1214077911">
    <w:abstractNumId w:val="11"/>
  </w:num>
  <w:num w:numId="26" w16cid:durableId="122725888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savePreviewPicture/>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6DF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5617"/>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50CA6"/>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06DF9"/>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678F"/>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6F880"/>
  <w15:chartTrackingRefBased/>
  <w15:docId w15:val="{EED3EE8C-0D55-495D-985B-6D2BCD2B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F9"/>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govt.nz/Appointments-to-Statutory-Bod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1C24-2D77-4480-ABD8-6BC65FC7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Company>Te Tari Taiwhenua Department of Internal Affairs</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Vincent</dc:creator>
  <cp:keywords/>
  <dc:description/>
  <cp:lastModifiedBy>Nick Vincent</cp:lastModifiedBy>
  <cp:revision>2</cp:revision>
  <cp:lastPrinted>2014-03-27T01:47:00Z</cp:lastPrinted>
  <dcterms:created xsi:type="dcterms:W3CDTF">2024-04-15T01:40:00Z</dcterms:created>
  <dcterms:modified xsi:type="dcterms:W3CDTF">2024-04-16T22:33:00Z</dcterms:modified>
</cp:coreProperties>
</file>