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B881A8" w14:textId="77777777" w:rsidR="00B00FA0" w:rsidRPr="00BC4E63" w:rsidRDefault="005867CA" w:rsidP="00463884">
      <w:pPr>
        <w:pStyle w:val="Body"/>
      </w:pPr>
      <w:bookmarkStart w:id="0" w:name="_GoBack"/>
      <w:r w:rsidRPr="00BC4E63">
        <w:rPr>
          <w:noProof/>
          <w:lang w:val="en-NZ" w:eastAsia="en-NZ"/>
        </w:rPr>
        <w:drawing>
          <wp:anchor distT="0" distB="0" distL="114300" distR="114300" simplePos="0" relativeHeight="251658243" behindDoc="1" locked="0" layoutInCell="1" allowOverlap="1" wp14:anchorId="68A30001" wp14:editId="5F2F7BE0">
            <wp:simplePos x="0" y="0"/>
            <wp:positionH relativeFrom="page">
              <wp:posOffset>323850</wp:posOffset>
            </wp:positionH>
            <wp:positionV relativeFrom="page">
              <wp:posOffset>323850</wp:posOffset>
            </wp:positionV>
            <wp:extent cx="6876000" cy="9900000"/>
            <wp:effectExtent l="0" t="0" r="1270" b="6350"/>
            <wp:wrapNone/>
            <wp:docPr id="3" name="CoverIM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18055842.jpg"/>
                    <pic:cNvPicPr/>
                  </pic:nvPicPr>
                  <pic:blipFill>
                    <a:blip r:link="rId13"/>
                    <a:stretch>
                      <a:fillRect/>
                    </a:stretch>
                  </pic:blipFill>
                  <pic:spPr>
                    <a:xfrm>
                      <a:off x="0" y="0"/>
                      <a:ext cx="6876000" cy="9900000"/>
                    </a:xfrm>
                    <a:prstGeom prst="rect">
                      <a:avLst/>
                    </a:prstGeom>
                  </pic:spPr>
                </pic:pic>
              </a:graphicData>
            </a:graphic>
            <wp14:sizeRelH relativeFrom="page">
              <wp14:pctWidth>0</wp14:pctWidth>
            </wp14:sizeRelH>
            <wp14:sizeRelV relativeFrom="page">
              <wp14:pctHeight>0</wp14:pctHeight>
            </wp14:sizeRelV>
          </wp:anchor>
        </w:drawing>
      </w:r>
      <w:bookmarkStart w:id="1" w:name="_Ref516735722"/>
      <w:bookmarkEnd w:id="1"/>
      <w:bookmarkEnd w:id="0"/>
      <w:r w:rsidR="00DE1E18" w:rsidRPr="00BC4E63">
        <w:rPr>
          <w:noProof/>
          <w:lang w:val="en-NZ" w:eastAsia="en-NZ"/>
        </w:rPr>
        <w:drawing>
          <wp:anchor distT="0" distB="0" distL="114300" distR="114300" simplePos="0" relativeHeight="251658241" behindDoc="0" locked="1" layoutInCell="1" allowOverlap="1" wp14:anchorId="5DE22461" wp14:editId="479A7341">
            <wp:simplePos x="0" y="0"/>
            <wp:positionH relativeFrom="page">
              <wp:posOffset>648335</wp:posOffset>
            </wp:positionH>
            <wp:positionV relativeFrom="page">
              <wp:posOffset>648335</wp:posOffset>
            </wp:positionV>
            <wp:extent cx="851535" cy="819785"/>
            <wp:effectExtent l="0" t="0" r="5715" b="0"/>
            <wp:wrapNone/>
            <wp:docPr id="267" name="Picture 262" descr="Logo_Option_3_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Logo_Option_3_tran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153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9E4365">
        <w:tab/>
      </w:r>
      <w:r w:rsidR="009E4365">
        <w:tab/>
      </w:r>
      <w:r w:rsidR="009E4365">
        <w:tab/>
      </w:r>
      <w:r w:rsidR="009E4365">
        <w:tab/>
        <w:t xml:space="preserve">   </w:t>
      </w:r>
      <w:r w:rsidR="009E4365">
        <w:rPr>
          <w:noProof/>
          <w:lang w:val="en-NZ" w:eastAsia="en-NZ"/>
        </w:rPr>
        <w:drawing>
          <wp:inline distT="0" distB="0" distL="0" distR="0" wp14:anchorId="0B447289" wp14:editId="5BEAB727">
            <wp:extent cx="1536065" cy="749935"/>
            <wp:effectExtent l="0" t="0" r="698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6065" cy="749935"/>
                    </a:xfrm>
                    <a:prstGeom prst="rect">
                      <a:avLst/>
                    </a:prstGeom>
                    <a:noFill/>
                  </pic:spPr>
                </pic:pic>
              </a:graphicData>
            </a:graphic>
          </wp:inline>
        </w:drawing>
      </w:r>
      <w:r w:rsidR="009E4365">
        <w:t xml:space="preserve">                      </w:t>
      </w:r>
      <w:r w:rsidR="009E4365">
        <w:rPr>
          <w:noProof/>
          <w:lang w:val="en-NZ" w:eastAsia="en-NZ"/>
        </w:rPr>
        <w:drawing>
          <wp:inline distT="0" distB="0" distL="0" distR="0" wp14:anchorId="568134A6" wp14:editId="35CDAA35">
            <wp:extent cx="1664335" cy="70739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4335" cy="707390"/>
                    </a:xfrm>
                    <a:prstGeom prst="rect">
                      <a:avLst/>
                    </a:prstGeom>
                    <a:noFill/>
                  </pic:spPr>
                </pic:pic>
              </a:graphicData>
            </a:graphic>
          </wp:inline>
        </w:drawing>
      </w:r>
      <w:r w:rsidR="009E4365">
        <w:tab/>
      </w:r>
      <w:r w:rsidR="009E4365">
        <w:tab/>
      </w:r>
      <w:r w:rsidR="009E4365">
        <w:tab/>
      </w:r>
      <w:r w:rsidR="009E4365">
        <w:tab/>
      </w:r>
      <w:r w:rsidR="009E4365">
        <w:tab/>
      </w:r>
      <w:r w:rsidR="009E4365">
        <w:tab/>
      </w:r>
      <w:r w:rsidR="009E4365">
        <w:tab/>
      </w:r>
    </w:p>
    <w:p w14:paraId="4D52F6D4" w14:textId="77777777" w:rsidR="00531B8A" w:rsidRPr="00BC4E63" w:rsidRDefault="00531B8A" w:rsidP="00590A2C"/>
    <w:p w14:paraId="02D3F2F8" w14:textId="77777777" w:rsidR="00683489" w:rsidRPr="00BC4E63" w:rsidRDefault="00683489" w:rsidP="00C46BEF">
      <w:pPr>
        <w:pStyle w:val="CoverDate"/>
        <w:framePr w:wrap="around"/>
      </w:pPr>
    </w:p>
    <w:tbl>
      <w:tblPr>
        <w:tblpPr w:leftFromText="181" w:rightFromText="181" w:horzAnchor="page" w:tblpXSpec="center" w:tblpYSpec="bottom"/>
        <w:tblW w:w="10000" w:type="dxa"/>
        <w:tblCellMar>
          <w:bottom w:w="284" w:type="dxa"/>
        </w:tblCellMar>
        <w:tblLook w:val="01E0" w:firstRow="1" w:lastRow="1" w:firstColumn="1" w:lastColumn="1" w:noHBand="0" w:noVBand="0"/>
      </w:tblPr>
      <w:tblGrid>
        <w:gridCol w:w="10000"/>
      </w:tblGrid>
      <w:tr w:rsidR="00A13CAA" w:rsidRPr="00BC4E63" w14:paraId="0F90C37F" w14:textId="77777777" w:rsidTr="00D10F54">
        <w:tc>
          <w:tcPr>
            <w:tcW w:w="10000" w:type="dxa"/>
            <w:shd w:val="clear" w:color="auto" w:fill="auto"/>
          </w:tcPr>
          <w:bookmarkStart w:id="2" w:name="TitleFields"/>
          <w:p w14:paraId="181CC04E" w14:textId="77777777" w:rsidR="00A13CAA" w:rsidRPr="00BC4E63" w:rsidRDefault="00A13CAA" w:rsidP="00016C46">
            <w:pPr>
              <w:pStyle w:val="Cover-Client"/>
              <w:spacing w:after="91"/>
            </w:pPr>
            <w:r w:rsidRPr="00BC4E63">
              <w:fldChar w:fldCharType="begin"/>
            </w:r>
            <w:r w:rsidRPr="00BC4E63">
              <w:instrText xml:space="preserve"> DOCPROPERTY "Client"  \* MERGEFORMAT </w:instrText>
            </w:r>
            <w:r w:rsidRPr="00BC4E63">
              <w:fldChar w:fldCharType="separate"/>
            </w:r>
            <w:r w:rsidR="001922DD">
              <w:t>Department of Internal Affairs</w:t>
            </w:r>
            <w:r w:rsidRPr="00BC4E63">
              <w:fldChar w:fldCharType="end"/>
            </w:r>
          </w:p>
          <w:p w14:paraId="220A2A43" w14:textId="77777777" w:rsidR="00A13CAA" w:rsidRPr="00BC4E63" w:rsidRDefault="008B514E" w:rsidP="00016C46">
            <w:pPr>
              <w:pStyle w:val="Project"/>
              <w:spacing w:before="91" w:after="91"/>
            </w:pPr>
            <w:r>
              <w:fldChar w:fldCharType="begin"/>
            </w:r>
            <w:r>
              <w:instrText xml:space="preserve"> DOCPROPERTY "Project"  \* MERGEFORMAT </w:instrText>
            </w:r>
            <w:r>
              <w:fldChar w:fldCharType="separate"/>
            </w:r>
            <w:r w:rsidR="001922DD">
              <w:t>Three Waters Review</w:t>
            </w:r>
            <w:r>
              <w:fldChar w:fldCharType="end"/>
            </w:r>
          </w:p>
          <w:p w14:paraId="7B04001D" w14:textId="77777777" w:rsidR="005345F5" w:rsidRPr="00302077" w:rsidRDefault="008B514E" w:rsidP="00302077">
            <w:pPr>
              <w:pStyle w:val="Subject"/>
              <w:framePr w:hSpace="0" w:wrap="auto" w:hAnchor="text" w:xAlign="left" w:yAlign="inline"/>
              <w:spacing w:before="91" w:after="91"/>
            </w:pPr>
            <w:r>
              <w:fldChar w:fldCharType="begin"/>
            </w:r>
            <w:r>
              <w:instrText xml:space="preserve"> DOCPROPERTY  GHDSubject  \* MERGEFORMAT </w:instrText>
            </w:r>
            <w:r>
              <w:fldChar w:fldCharType="separate"/>
            </w:r>
            <w:r w:rsidR="001922DD">
              <w:t>Cost Estimates for upgrading Wastewater Treatment Plants to meet Objectives of the NPS Freshwater</w:t>
            </w:r>
            <w:r>
              <w:fldChar w:fldCharType="end"/>
            </w:r>
          </w:p>
          <w:p w14:paraId="63854614" w14:textId="77777777" w:rsidR="005345F5" w:rsidRPr="00BC4E63" w:rsidRDefault="0040322D" w:rsidP="005345F5">
            <w:pPr>
              <w:pStyle w:val="Project"/>
              <w:spacing w:before="91" w:after="91"/>
            </w:pPr>
            <w:r>
              <w:t>Final Report</w:t>
            </w:r>
          </w:p>
          <w:p w14:paraId="0ADE5C8A" w14:textId="77777777" w:rsidR="00A13CAA" w:rsidRPr="00BC4E63" w:rsidRDefault="00302077" w:rsidP="00016C46">
            <w:pPr>
              <w:pStyle w:val="CoverDate"/>
              <w:framePr w:hSpace="0" w:wrap="auto" w:vAnchor="margin" w:hAnchor="text" w:xAlign="left" w:yAlign="inline"/>
              <w:spacing w:after="30"/>
            </w:pPr>
            <w:r>
              <w:fldChar w:fldCharType="begin"/>
            </w:r>
            <w:r>
              <w:instrText xml:space="preserve"> DATE  \@ "MMMM yyyy"  \* MERGEFORMAT </w:instrText>
            </w:r>
            <w:r>
              <w:fldChar w:fldCharType="separate"/>
            </w:r>
            <w:r w:rsidR="008B514E">
              <w:t>October 2018</w:t>
            </w:r>
            <w:r>
              <w:fldChar w:fldCharType="end"/>
            </w:r>
          </w:p>
        </w:tc>
      </w:tr>
      <w:bookmarkEnd w:id="2"/>
    </w:tbl>
    <w:p w14:paraId="3FA89CCE" w14:textId="77777777" w:rsidR="00683489" w:rsidRPr="00BC4E63" w:rsidRDefault="00683489" w:rsidP="00590A2C"/>
    <w:p w14:paraId="1FB285AB" w14:textId="77777777" w:rsidR="00766F98" w:rsidRPr="00BC4E63" w:rsidRDefault="00766F98" w:rsidP="007D7375">
      <w:pPr>
        <w:sectPr w:rsidR="00766F98" w:rsidRPr="00BC4E63" w:rsidSect="005867CA">
          <w:headerReference w:type="even" r:id="rId17"/>
          <w:headerReference w:type="default" r:id="rId18"/>
          <w:footerReference w:type="even" r:id="rId19"/>
          <w:footerReference w:type="default" r:id="rId20"/>
          <w:headerReference w:type="first" r:id="rId21"/>
          <w:footerReference w:type="first" r:id="rId22"/>
          <w:pgSz w:w="11907" w:h="16839" w:code="9"/>
          <w:pgMar w:top="1134" w:right="1134" w:bottom="1134" w:left="1134" w:header="709" w:footer="295" w:gutter="0"/>
          <w:cols w:space="708"/>
          <w:titlePg/>
          <w:docGrid w:linePitch="360"/>
        </w:sectPr>
      </w:pPr>
    </w:p>
    <w:p w14:paraId="1EBEC412" w14:textId="77777777" w:rsidR="00D07C2E" w:rsidRDefault="00F84A04" w:rsidP="00590A2C">
      <w:pPr>
        <w:pStyle w:val="Heading1-NoTOC"/>
      </w:pPr>
      <w:r w:rsidRPr="00BC4E63">
        <w:lastRenderedPageBreak/>
        <w:t>Executive s</w:t>
      </w:r>
      <w:r w:rsidR="00D07C2E" w:rsidRPr="00BC4E63">
        <w:t>ummary</w:t>
      </w:r>
    </w:p>
    <w:p w14:paraId="17749CF1" w14:textId="77777777" w:rsidR="00FF2E89" w:rsidRDefault="00FF2E89" w:rsidP="00D16F84">
      <w:pPr>
        <w:pStyle w:val="Body"/>
        <w:ind w:left="0"/>
      </w:pPr>
    </w:p>
    <w:p w14:paraId="6FB57814" w14:textId="77777777" w:rsidR="00CB2E9A" w:rsidRDefault="00D16F84" w:rsidP="00D16F84">
      <w:pPr>
        <w:pStyle w:val="Body"/>
        <w:ind w:left="0"/>
      </w:pPr>
      <w:r>
        <w:t>Boffa Miskell Ltd (Boffa Miskell) and GHD Ltd (GHD) were commissioned by the Department of Internal Affairs to scope the national</w:t>
      </w:r>
      <w:r w:rsidR="00A31743">
        <w:t xml:space="preserve"> </w:t>
      </w:r>
      <w:r>
        <w:t xml:space="preserve">level compliance cost for local authority wastewater </w:t>
      </w:r>
      <w:r w:rsidR="00BA2B06">
        <w:t xml:space="preserve">treatment plants (WWTPs) </w:t>
      </w:r>
      <w:r>
        <w:t>to meet National Policy Statement (NPS) water quality criteria for Freshwate</w:t>
      </w:r>
      <w:r w:rsidR="0016267C">
        <w:t xml:space="preserve">r Management (NPS Freshwater). </w:t>
      </w:r>
      <w:r w:rsidR="00CB2E9A" w:rsidRPr="00CB2E9A">
        <w:t xml:space="preserve">The Wastewater Specialists (TWWS) provided technical support and localised knowledge </w:t>
      </w:r>
      <w:r w:rsidR="00A31743" w:rsidRPr="00CB2E9A">
        <w:t>o</w:t>
      </w:r>
      <w:r w:rsidR="00A31743">
        <w:t>f</w:t>
      </w:r>
      <w:r w:rsidR="00CB2E9A" w:rsidRPr="00CB2E9A">
        <w:t xml:space="preserve"> WWTP operation around New Zealand.</w:t>
      </w:r>
    </w:p>
    <w:p w14:paraId="1FCC8FC1" w14:textId="77777777" w:rsidR="00D16F84" w:rsidRDefault="00D16F84" w:rsidP="00D16F84">
      <w:pPr>
        <w:pStyle w:val="Body"/>
        <w:ind w:left="0"/>
      </w:pPr>
      <w:r>
        <w:t xml:space="preserve">The project is one part of the Three Waters Review, which the </w:t>
      </w:r>
      <w:r w:rsidR="00A107EE">
        <w:t xml:space="preserve">Department of Internal Affairs </w:t>
      </w:r>
      <w:r>
        <w:t xml:space="preserve">is undertaking to gain a better understanding of the challenges facing three water services. </w:t>
      </w:r>
      <w:r w:rsidR="0055384D" w:rsidRPr="0055384D">
        <w:t>The project specifically considers discharges from WWTPs to freshwater receiving environments, and reviews the benefits and associated costs of upgrading these to achieve improved receiving water quality.</w:t>
      </w:r>
    </w:p>
    <w:p w14:paraId="05B39597" w14:textId="77777777" w:rsidR="002F598D" w:rsidRDefault="002E4434" w:rsidP="00BA2B06">
      <w:pPr>
        <w:pStyle w:val="Body"/>
        <w:ind w:left="0"/>
      </w:pPr>
      <w:r>
        <w:t xml:space="preserve">There are </w:t>
      </w:r>
      <w:r w:rsidR="002F160E">
        <w:t xml:space="preserve">321 </w:t>
      </w:r>
      <w:r w:rsidRPr="002E4434">
        <w:t>publicly owned WWTPs operating in New Zealand</w:t>
      </w:r>
      <w:r w:rsidR="00D21FAC">
        <w:t xml:space="preserve"> </w:t>
      </w:r>
      <w:r w:rsidR="002F598D">
        <w:t xml:space="preserve">identified in the study </w:t>
      </w:r>
      <w:r w:rsidR="00D21FAC">
        <w:t xml:space="preserve">and of these 152 </w:t>
      </w:r>
      <w:r w:rsidR="000546F7">
        <w:t xml:space="preserve">(47 percent) </w:t>
      </w:r>
      <w:r w:rsidR="00D21FAC">
        <w:t>discharge to freshwater</w:t>
      </w:r>
      <w:r w:rsidR="000546F7">
        <w:t>, serving a total estimated population of 644,900 (13 percent of New Zealand’s total population)</w:t>
      </w:r>
      <w:r w:rsidR="00D21FAC">
        <w:t xml:space="preserve">. </w:t>
      </w:r>
    </w:p>
    <w:p w14:paraId="557E775A" w14:textId="77777777" w:rsidR="00F501CB" w:rsidRDefault="00F501CB" w:rsidP="00E66F34">
      <w:pPr>
        <w:pStyle w:val="Body"/>
        <w:ind w:left="0"/>
      </w:pPr>
      <w:r w:rsidRPr="00F501CB">
        <w:t xml:space="preserve">At the time of writing this document, </w:t>
      </w:r>
      <w:r>
        <w:t>Regional C</w:t>
      </w:r>
      <w:r w:rsidRPr="00F501CB">
        <w:t xml:space="preserve">ouncils </w:t>
      </w:r>
      <w:r w:rsidR="00B5299A">
        <w:t xml:space="preserve">across the country </w:t>
      </w:r>
      <w:r>
        <w:t>are</w:t>
      </w:r>
      <w:r w:rsidRPr="00F501CB">
        <w:t xml:space="preserve"> in varying stages of implementing the NPS Freshwater.</w:t>
      </w:r>
      <w:r>
        <w:t xml:space="preserve"> </w:t>
      </w:r>
      <w:r w:rsidR="00CB2E9A" w:rsidRPr="00CB2E9A">
        <w:t xml:space="preserve">To provide a consistent </w:t>
      </w:r>
      <w:r w:rsidR="00CB2E9A">
        <w:t xml:space="preserve">approach </w:t>
      </w:r>
      <w:r w:rsidR="00CB2E9A" w:rsidRPr="00CB2E9A">
        <w:t xml:space="preserve">and </w:t>
      </w:r>
      <w:r w:rsidR="00CB2E9A">
        <w:t xml:space="preserve">an </w:t>
      </w:r>
      <w:r w:rsidR="00CB2E9A" w:rsidRPr="00CB2E9A">
        <w:t xml:space="preserve">aspirational </w:t>
      </w:r>
      <w:r w:rsidR="00CB2E9A">
        <w:t>target,</w:t>
      </w:r>
      <w:r w:rsidR="00CB2E9A" w:rsidRPr="00CB2E9A">
        <w:t xml:space="preserve"> </w:t>
      </w:r>
      <w:r w:rsidR="00CB2E9A">
        <w:t>the</w:t>
      </w:r>
      <w:r w:rsidR="00CB2E9A" w:rsidRPr="00CB2E9A" w:rsidDel="00CB2E9A">
        <w:t xml:space="preserve"> </w:t>
      </w:r>
      <w:r w:rsidR="00CB2E9A">
        <w:t xml:space="preserve">study assumes that </w:t>
      </w:r>
      <w:r w:rsidR="0016267C" w:rsidRPr="0016267C">
        <w:t>NPS Freshwater B Attribute</w:t>
      </w:r>
      <w:r w:rsidR="00B5299A">
        <w:t xml:space="preserve"> states</w:t>
      </w:r>
      <w:r w:rsidR="0016267C" w:rsidRPr="0016267C">
        <w:t xml:space="preserve"> </w:t>
      </w:r>
      <w:r w:rsidR="00CB2E9A" w:rsidRPr="00CB2E9A">
        <w:t>for Escherichia coli (</w:t>
      </w:r>
      <w:r w:rsidR="00CB2E9A" w:rsidRPr="002E4434">
        <w:rPr>
          <w:i/>
        </w:rPr>
        <w:t xml:space="preserve">E. </w:t>
      </w:r>
      <w:r w:rsidR="00C83BE4" w:rsidRPr="002E4434">
        <w:rPr>
          <w:i/>
        </w:rPr>
        <w:t>coli</w:t>
      </w:r>
      <w:r w:rsidR="00CB2E9A" w:rsidRPr="00CB2E9A">
        <w:t xml:space="preserve">), </w:t>
      </w:r>
      <w:r w:rsidR="00A31743">
        <w:t>t</w:t>
      </w:r>
      <w:r w:rsidR="00A31743" w:rsidRPr="00CB2E9A">
        <w:t xml:space="preserve">otal </w:t>
      </w:r>
      <w:r w:rsidR="00A31743">
        <w:t>n</w:t>
      </w:r>
      <w:r w:rsidR="00A31743" w:rsidRPr="00CB2E9A">
        <w:t>itrates</w:t>
      </w:r>
      <w:r w:rsidR="00CB2E9A" w:rsidRPr="00CB2E9A">
        <w:t xml:space="preserve"> and </w:t>
      </w:r>
      <w:r w:rsidR="00A31743">
        <w:t>a</w:t>
      </w:r>
      <w:r w:rsidR="00A31743" w:rsidRPr="00CB2E9A">
        <w:t>mmonia</w:t>
      </w:r>
      <w:r w:rsidR="00CB2E9A" w:rsidRPr="00CB2E9A">
        <w:t xml:space="preserve"> </w:t>
      </w:r>
      <w:r w:rsidR="00B5299A">
        <w:t>are the target to</w:t>
      </w:r>
      <w:r w:rsidR="00CB2E9A">
        <w:t xml:space="preserve"> be met in receiving waters.</w:t>
      </w:r>
      <w:r w:rsidR="00CB2E9A" w:rsidRPr="00CB2E9A">
        <w:t xml:space="preserve"> </w:t>
      </w:r>
      <w:r w:rsidR="00352212" w:rsidRPr="00E66F34">
        <w:t>This is consistent with the NPS Freshwater requirement</w:t>
      </w:r>
      <w:r w:rsidR="004504AA">
        <w:t>s</w:t>
      </w:r>
      <w:r w:rsidR="00352212" w:rsidRPr="00E66F34">
        <w:t xml:space="preserve"> that regional councils improve water quality over time</w:t>
      </w:r>
      <w:r w:rsidR="00921A17" w:rsidRPr="00E66F34">
        <w:t xml:space="preserve"> in relation to human health</w:t>
      </w:r>
      <w:r w:rsidR="004504AA">
        <w:t xml:space="preserve">, and must maintain </w:t>
      </w:r>
      <w:r w:rsidR="003F5DE8">
        <w:t xml:space="preserve">or improve </w:t>
      </w:r>
      <w:r w:rsidR="004504AA">
        <w:t>water quality over time in relation to ecosystem health</w:t>
      </w:r>
      <w:r w:rsidR="00352212" w:rsidRPr="00E66F34">
        <w:t xml:space="preserve">.  It is also consistent with community expectations for high water </w:t>
      </w:r>
      <w:r w:rsidR="002954B2" w:rsidRPr="00E66F34">
        <w:t xml:space="preserve">quality </w:t>
      </w:r>
      <w:r w:rsidR="00352212" w:rsidRPr="00E66F34">
        <w:t>requirements to be applied to discharges of sewage effluent.</w:t>
      </w:r>
    </w:p>
    <w:p w14:paraId="6FB5AC0E" w14:textId="77777777" w:rsidR="002F598D" w:rsidRDefault="0022240C" w:rsidP="002F598D">
      <w:pPr>
        <w:pStyle w:val="Body"/>
        <w:ind w:left="0"/>
      </w:pPr>
      <w:r w:rsidRPr="0022240C">
        <w:t xml:space="preserve">The majority of centralised WWTPs in New Zealand </w:t>
      </w:r>
      <w:r w:rsidR="00CB2E9A">
        <w:t xml:space="preserve">were </w:t>
      </w:r>
      <w:r w:rsidRPr="0022240C">
        <w:t>cons</w:t>
      </w:r>
      <w:r w:rsidR="00A060DD">
        <w:t>tructed over the past 60 years</w:t>
      </w:r>
      <w:r w:rsidR="00B5299A">
        <w:t xml:space="preserve"> and approximately</w:t>
      </w:r>
      <w:r>
        <w:t xml:space="preserve"> 60%</w:t>
      </w:r>
      <w:r w:rsidRPr="0022240C">
        <w:t xml:space="preserve"> of WWT</w:t>
      </w:r>
      <w:r>
        <w:t>P</w:t>
      </w:r>
      <w:r w:rsidRPr="0022240C">
        <w:t xml:space="preserve">s discharging to freshwater use </w:t>
      </w:r>
      <w:r w:rsidR="00B5299A">
        <w:t xml:space="preserve">waste stabilisation pond </w:t>
      </w:r>
      <w:r w:rsidRPr="0022240C">
        <w:t xml:space="preserve">technology. In general, the effluent quality from a </w:t>
      </w:r>
      <w:r w:rsidR="005E207C">
        <w:t xml:space="preserve">waste stabilisation pond </w:t>
      </w:r>
      <w:r w:rsidRPr="0022240C">
        <w:t>based WWTP is relatively poor in comparison to more modern treatment technologies, in particular with regard to ammonia.</w:t>
      </w:r>
      <w:r>
        <w:t xml:space="preserve"> </w:t>
      </w:r>
    </w:p>
    <w:p w14:paraId="279698A9" w14:textId="77777777" w:rsidR="00EA1311" w:rsidRDefault="002F598D" w:rsidP="003727EF">
      <w:pPr>
        <w:pStyle w:val="Body"/>
        <w:ind w:left="0"/>
      </w:pPr>
      <w:r w:rsidRPr="002F598D">
        <w:t xml:space="preserve">To achieve the requirements of the NPS Freshwater in the key attributes, a number of possible treatment processes were assessed. This assessment looked at the ability of each type of process upgrade to understand if it could achieve the outcomes required to meet </w:t>
      </w:r>
      <w:r w:rsidR="00631A11">
        <w:t xml:space="preserve">the </w:t>
      </w:r>
      <w:r w:rsidRPr="002F598D">
        <w:t>Attribute B state at the point of discharge.</w:t>
      </w:r>
      <w:r>
        <w:t xml:space="preserve"> </w:t>
      </w:r>
      <w:r w:rsidR="00F37527" w:rsidRPr="00F37527">
        <w:t>The study assessment of all relevant WWTPs showed that only upgrade</w:t>
      </w:r>
      <w:r w:rsidR="00E66F34">
        <w:t>s</w:t>
      </w:r>
      <w:r w:rsidR="00F37527" w:rsidRPr="00F37527">
        <w:t xml:space="preserve"> to a Biological Nutrient Removal (BNR) – Activated Sludge </w:t>
      </w:r>
      <w:r w:rsidR="00C67568">
        <w:t>P</w:t>
      </w:r>
      <w:r w:rsidR="00C67568" w:rsidRPr="00F37527">
        <w:t xml:space="preserve">lant </w:t>
      </w:r>
      <w:r w:rsidR="00F37527" w:rsidRPr="00F37527">
        <w:t xml:space="preserve">with Ultra Violet (UV) </w:t>
      </w:r>
      <w:r w:rsidR="00EA1311">
        <w:t>d</w:t>
      </w:r>
      <w:r w:rsidR="00EA1311" w:rsidRPr="00F37527">
        <w:t xml:space="preserve">isinfection </w:t>
      </w:r>
      <w:r w:rsidR="00F37527" w:rsidRPr="00F37527">
        <w:t xml:space="preserve">would </w:t>
      </w:r>
      <w:r w:rsidR="007668C9">
        <w:t xml:space="preserve">reliably </w:t>
      </w:r>
      <w:r w:rsidR="00F37527" w:rsidRPr="00F37527">
        <w:t xml:space="preserve">give the outcomes required in all parameters. This outcome was carried forward into </w:t>
      </w:r>
      <w:r w:rsidR="00A31743">
        <w:t>an</w:t>
      </w:r>
      <w:r w:rsidR="00F37527" w:rsidRPr="00F37527">
        <w:t xml:space="preserve"> overall cost assessment and used to develop numbers for a national cost envelope.</w:t>
      </w:r>
      <w:r w:rsidR="009859BE" w:rsidRPr="009859BE">
        <w:t xml:space="preserve"> </w:t>
      </w:r>
    </w:p>
    <w:p w14:paraId="576B63BC" w14:textId="77777777" w:rsidR="008967BD" w:rsidRDefault="00C67568" w:rsidP="003727EF">
      <w:pPr>
        <w:pStyle w:val="Body"/>
        <w:ind w:left="0"/>
      </w:pPr>
      <w:r>
        <w:t>T</w:t>
      </w:r>
      <w:r w:rsidR="009859BE" w:rsidRPr="009859BE">
        <w:t>he assessment process has a focus on receiving water quality impacts and ignores a range of other typical and site specific WWTP upgrade considerations (e.g. asset condition and population growth potential).</w:t>
      </w:r>
      <w:r w:rsidR="00C30AC3">
        <w:t xml:space="preserve"> </w:t>
      </w:r>
    </w:p>
    <w:p w14:paraId="4DDE030E" w14:textId="77777777" w:rsidR="00EA1311" w:rsidRDefault="00F37527" w:rsidP="003727EF">
      <w:pPr>
        <w:pStyle w:val="Body"/>
        <w:ind w:left="0"/>
      </w:pPr>
      <w:r>
        <w:t>Table ES-1</w:t>
      </w:r>
      <w:r w:rsidR="006F4B86">
        <w:t xml:space="preserve"> </w:t>
      </w:r>
      <w:r>
        <w:t>following</w:t>
      </w:r>
      <w:r w:rsidR="006F4B86">
        <w:t xml:space="preserve"> summarise</w:t>
      </w:r>
      <w:r>
        <w:t>s</w:t>
      </w:r>
      <w:r w:rsidR="006F4B86">
        <w:t xml:space="preserve"> the costs associated with upgrading all WWTP discharges to meet </w:t>
      </w:r>
      <w:r w:rsidR="006B6FC9">
        <w:t xml:space="preserve">the </w:t>
      </w:r>
      <w:r w:rsidR="006F4B86">
        <w:t xml:space="preserve">Attribute B </w:t>
      </w:r>
      <w:r w:rsidR="006B6FC9">
        <w:t>state</w:t>
      </w:r>
      <w:r w:rsidR="006F4B86">
        <w:t xml:space="preserve"> in the WWTP discharge</w:t>
      </w:r>
      <w:r w:rsidR="00C30AC3">
        <w:t xml:space="preserve">; the total capital cost </w:t>
      </w:r>
      <w:r w:rsidR="00B5299A">
        <w:t xml:space="preserve">for </w:t>
      </w:r>
      <w:r w:rsidR="005E207C">
        <w:t xml:space="preserve">New </w:t>
      </w:r>
      <w:r w:rsidR="00B5299A">
        <w:t>Zealand</w:t>
      </w:r>
      <w:r w:rsidR="00C30AC3">
        <w:t xml:space="preserve"> is estimated at $1</w:t>
      </w:r>
      <w:r w:rsidR="008967BD">
        <w:t>.4</w:t>
      </w:r>
      <w:r w:rsidR="00C30AC3">
        <w:t xml:space="preserve"> to $2</w:t>
      </w:r>
      <w:r w:rsidR="00607499">
        <w:t>.1</w:t>
      </w:r>
      <w:r w:rsidR="008967BD">
        <w:t xml:space="preserve"> Billion</w:t>
      </w:r>
      <w:r w:rsidR="00C30AC3">
        <w:t>.</w:t>
      </w:r>
      <w:r w:rsidR="00EA1311" w:rsidRPr="00EA1311">
        <w:t xml:space="preserve"> </w:t>
      </w:r>
    </w:p>
    <w:p w14:paraId="59280F2B" w14:textId="77777777" w:rsidR="00F37527" w:rsidRDefault="00EA1311" w:rsidP="003727EF">
      <w:pPr>
        <w:pStyle w:val="Body"/>
        <w:ind w:left="0"/>
      </w:pPr>
      <w:r w:rsidRPr="00EA1311">
        <w:t>Of the WWTPs</w:t>
      </w:r>
      <w:r w:rsidR="0072024A">
        <w:t xml:space="preserve"> discharging to fresh</w:t>
      </w:r>
      <w:r w:rsidR="00C6401D">
        <w:t>water that require upgrading</w:t>
      </w:r>
      <w:r w:rsidRPr="00EA1311">
        <w:t xml:space="preserve">, </w:t>
      </w:r>
      <w:r w:rsidR="00A35040" w:rsidRPr="00EA1311">
        <w:t>8</w:t>
      </w:r>
      <w:r w:rsidR="00A35040">
        <w:t>2</w:t>
      </w:r>
      <w:r w:rsidRPr="00EA1311">
        <w:t>% are servicing minor</w:t>
      </w:r>
      <w:r w:rsidR="00C6401D">
        <w:t xml:space="preserve"> (&lt;5001 people)</w:t>
      </w:r>
      <w:r w:rsidRPr="00EA1311">
        <w:t xml:space="preserve"> or small populations (&lt;501 people). The annual cost impact of the WWTP upgrades is greatest for the small communities (&lt;501 people) at approximately $3,576 for each affected household</w:t>
      </w:r>
      <w:r w:rsidR="00C6401D">
        <w:t>.  T</w:t>
      </w:r>
      <w:r w:rsidRPr="00EA1311">
        <w:t>he average annual cost impact is $1,138 per affected household. The higher cost for the small communities represents the</w:t>
      </w:r>
      <w:r w:rsidR="001D4F16">
        <w:t xml:space="preserve"> impact that sharing the cost of upgrades has on a smaller number of affected households.</w:t>
      </w:r>
      <w:r w:rsidRPr="00EA1311">
        <w:t xml:space="preserve"> </w:t>
      </w:r>
      <w:r w:rsidR="00D90FD2">
        <w:rPr>
          <w:lang w:eastAsia="en-AU"/>
        </w:rPr>
        <w:t xml:space="preserve">The annual cost impact is based on an interest rate of 6% per annum and </w:t>
      </w:r>
      <w:r w:rsidR="00D90FD2">
        <w:rPr>
          <w:lang w:eastAsia="en-AU"/>
        </w:rPr>
        <w:lastRenderedPageBreak/>
        <w:t>repayment term of 25 years, plus the increase in annual operation expense associated with the upgrades</w:t>
      </w:r>
      <w:r w:rsidR="00D90FD2">
        <w:rPr>
          <w:rStyle w:val="FootnoteReference"/>
          <w:lang w:eastAsia="en-AU"/>
        </w:rPr>
        <w:footnoteReference w:id="2"/>
      </w:r>
      <w:r w:rsidR="00D90FD2">
        <w:rPr>
          <w:lang w:eastAsia="en-AU"/>
        </w:rPr>
        <w:t xml:space="preserve">. The annual cost impact per household affected assumes that the costs associated with a WWTP upgrade will be </w:t>
      </w:r>
      <w:r w:rsidR="00620218">
        <w:rPr>
          <w:lang w:eastAsia="en-AU"/>
        </w:rPr>
        <w:t xml:space="preserve">met </w:t>
      </w:r>
      <w:r w:rsidR="00D90FD2">
        <w:rPr>
          <w:lang w:eastAsia="en-AU"/>
        </w:rPr>
        <w:t>by the households contributing to that plant.</w:t>
      </w:r>
      <w:r w:rsidR="001D4F16">
        <w:t xml:space="preserve"> </w:t>
      </w:r>
    </w:p>
    <w:p w14:paraId="0CEB8380" w14:textId="77777777" w:rsidR="005E207C" w:rsidRDefault="005E207C" w:rsidP="003727EF">
      <w:pPr>
        <w:pStyle w:val="Body"/>
        <w:ind w:left="0"/>
      </w:pPr>
    </w:p>
    <w:p w14:paraId="422087E3" w14:textId="77777777" w:rsidR="00F37527" w:rsidRPr="00F37527" w:rsidRDefault="00F37527" w:rsidP="00FF2E89">
      <w:pPr>
        <w:pStyle w:val="Body"/>
        <w:ind w:left="1134" w:hanging="1134"/>
        <w:rPr>
          <w:b/>
        </w:rPr>
      </w:pPr>
      <w:r w:rsidRPr="00F37527">
        <w:rPr>
          <w:b/>
        </w:rPr>
        <w:t xml:space="preserve">Table ES-1 </w:t>
      </w:r>
      <w:r w:rsidR="002B694F">
        <w:rPr>
          <w:b/>
        </w:rPr>
        <w:t xml:space="preserve"> </w:t>
      </w:r>
      <w:r>
        <w:rPr>
          <w:b/>
        </w:rPr>
        <w:t xml:space="preserve">Estimate of capital </w:t>
      </w:r>
      <w:r w:rsidR="005B509A">
        <w:rPr>
          <w:b/>
        </w:rPr>
        <w:t>c</w:t>
      </w:r>
      <w:r>
        <w:rPr>
          <w:b/>
        </w:rPr>
        <w:t xml:space="preserve">ost to </w:t>
      </w:r>
      <w:r w:rsidR="005B509A">
        <w:rPr>
          <w:b/>
        </w:rPr>
        <w:t>u</w:t>
      </w:r>
      <w:r>
        <w:rPr>
          <w:b/>
        </w:rPr>
        <w:t xml:space="preserve">pgrade WWTPs </w:t>
      </w:r>
      <w:r w:rsidR="005B509A">
        <w:rPr>
          <w:b/>
        </w:rPr>
        <w:t>d</w:t>
      </w:r>
      <w:r>
        <w:rPr>
          <w:b/>
        </w:rPr>
        <w:t xml:space="preserve">ischarging to </w:t>
      </w:r>
      <w:r w:rsidR="005B509A">
        <w:rPr>
          <w:b/>
        </w:rPr>
        <w:t>f</w:t>
      </w:r>
      <w:r>
        <w:rPr>
          <w:b/>
        </w:rPr>
        <w:t xml:space="preserve">reshwater to meet NPS Freshwater Attribute B </w:t>
      </w:r>
      <w:r w:rsidR="00772F46">
        <w:rPr>
          <w:b/>
        </w:rPr>
        <w:t xml:space="preserve">state </w:t>
      </w:r>
      <w:r w:rsidR="00E66F34">
        <w:rPr>
          <w:b/>
        </w:rPr>
        <w:t>in the discharge</w:t>
      </w:r>
    </w:p>
    <w:tbl>
      <w:tblPr>
        <w:tblStyle w:val="Table-Style3"/>
        <w:tblW w:w="5000" w:type="pct"/>
        <w:jc w:val="center"/>
        <w:tblInd w:w="0" w:type="dxa"/>
        <w:tblLook w:val="04A0" w:firstRow="1" w:lastRow="0" w:firstColumn="1" w:lastColumn="0" w:noHBand="0" w:noVBand="1"/>
      </w:tblPr>
      <w:tblGrid>
        <w:gridCol w:w="2262"/>
        <w:gridCol w:w="1191"/>
        <w:gridCol w:w="1191"/>
        <w:gridCol w:w="2322"/>
        <w:gridCol w:w="2322"/>
      </w:tblGrid>
      <w:tr w:rsidR="0021047A" w14:paraId="2FAA6B6C" w14:textId="77777777" w:rsidTr="00033247">
        <w:trPr>
          <w:cnfStyle w:val="100000000000" w:firstRow="1" w:lastRow="0" w:firstColumn="0" w:lastColumn="0" w:oddVBand="0" w:evenVBand="0" w:oddHBand="0" w:evenHBand="0" w:firstRowFirstColumn="0" w:firstRowLastColumn="0" w:lastRowFirstColumn="0" w:lastRowLastColumn="0"/>
          <w:tblHeader/>
          <w:jc w:val="center"/>
        </w:trPr>
        <w:tc>
          <w:tcPr>
            <w:tcW w:w="1218" w:type="pct"/>
            <w:vAlign w:val="center"/>
          </w:tcPr>
          <w:p w14:paraId="7509E6C1" w14:textId="77777777" w:rsidR="000217E8" w:rsidRPr="002F357B" w:rsidRDefault="000217E8" w:rsidP="00033247">
            <w:pPr>
              <w:pStyle w:val="Body"/>
              <w:ind w:left="0"/>
              <w:rPr>
                <w:szCs w:val="20"/>
              </w:rPr>
            </w:pPr>
            <w:r w:rsidRPr="002F357B">
              <w:rPr>
                <w:szCs w:val="20"/>
              </w:rPr>
              <w:t>Region</w:t>
            </w:r>
          </w:p>
        </w:tc>
        <w:tc>
          <w:tcPr>
            <w:tcW w:w="641" w:type="pct"/>
          </w:tcPr>
          <w:p w14:paraId="17E66B68" w14:textId="77777777" w:rsidR="000217E8" w:rsidRPr="002F357B" w:rsidRDefault="000217E8" w:rsidP="00033247">
            <w:pPr>
              <w:pStyle w:val="Body"/>
              <w:ind w:left="0"/>
              <w:jc w:val="center"/>
              <w:rPr>
                <w:szCs w:val="20"/>
              </w:rPr>
            </w:pPr>
            <w:r w:rsidRPr="002F357B">
              <w:rPr>
                <w:szCs w:val="20"/>
              </w:rPr>
              <w:t>No. WWTPs affected</w:t>
            </w:r>
          </w:p>
        </w:tc>
        <w:tc>
          <w:tcPr>
            <w:tcW w:w="641" w:type="pct"/>
          </w:tcPr>
          <w:p w14:paraId="7DB340D4" w14:textId="77777777" w:rsidR="000217E8" w:rsidRPr="002F357B" w:rsidRDefault="000217E8" w:rsidP="00033247">
            <w:pPr>
              <w:pStyle w:val="Body"/>
              <w:ind w:left="0"/>
              <w:jc w:val="center"/>
              <w:rPr>
                <w:szCs w:val="20"/>
              </w:rPr>
            </w:pPr>
            <w:r w:rsidRPr="002F357B">
              <w:rPr>
                <w:szCs w:val="20"/>
              </w:rPr>
              <w:t xml:space="preserve">Pop </w:t>
            </w:r>
            <w:r w:rsidR="00772F46" w:rsidRPr="002F357B">
              <w:rPr>
                <w:szCs w:val="20"/>
              </w:rPr>
              <w:t>affected</w:t>
            </w:r>
          </w:p>
        </w:tc>
        <w:tc>
          <w:tcPr>
            <w:tcW w:w="1250" w:type="pct"/>
          </w:tcPr>
          <w:p w14:paraId="60CB133A" w14:textId="77777777" w:rsidR="00FF2E89" w:rsidRDefault="000217E8" w:rsidP="00033247">
            <w:pPr>
              <w:pStyle w:val="Body"/>
              <w:ind w:left="0"/>
              <w:jc w:val="center"/>
              <w:rPr>
                <w:szCs w:val="20"/>
              </w:rPr>
            </w:pPr>
            <w:r w:rsidRPr="002F357B">
              <w:rPr>
                <w:szCs w:val="20"/>
              </w:rPr>
              <w:t>E</w:t>
            </w:r>
            <w:r w:rsidR="0016267C" w:rsidRPr="002F357B">
              <w:rPr>
                <w:szCs w:val="20"/>
              </w:rPr>
              <w:t>st</w:t>
            </w:r>
            <w:r w:rsidRPr="002F357B">
              <w:rPr>
                <w:szCs w:val="20"/>
              </w:rPr>
              <w:t xml:space="preserve">imate of </w:t>
            </w:r>
            <w:r w:rsidR="00772F46" w:rsidRPr="002F357B">
              <w:rPr>
                <w:szCs w:val="20"/>
              </w:rPr>
              <w:t>probable capital cost</w:t>
            </w:r>
          </w:p>
          <w:p w14:paraId="69AD8ED4" w14:textId="77777777" w:rsidR="000217E8" w:rsidRPr="002F357B" w:rsidRDefault="000217E8" w:rsidP="00033247">
            <w:pPr>
              <w:pStyle w:val="Body"/>
              <w:ind w:left="0"/>
              <w:jc w:val="center"/>
              <w:rPr>
                <w:szCs w:val="20"/>
              </w:rPr>
            </w:pPr>
            <w:r w:rsidRPr="002F357B">
              <w:rPr>
                <w:szCs w:val="20"/>
              </w:rPr>
              <w:t xml:space="preserve">($ </w:t>
            </w:r>
            <w:r w:rsidR="005E207C" w:rsidRPr="002F357B">
              <w:rPr>
                <w:rFonts w:cs="Arial"/>
                <w:szCs w:val="20"/>
              </w:rPr>
              <w:t>Million</w:t>
            </w:r>
            <w:r w:rsidRPr="002F357B">
              <w:rPr>
                <w:szCs w:val="20"/>
              </w:rPr>
              <w:t>)</w:t>
            </w:r>
          </w:p>
        </w:tc>
        <w:tc>
          <w:tcPr>
            <w:tcW w:w="1250" w:type="pct"/>
          </w:tcPr>
          <w:p w14:paraId="424D5766" w14:textId="77777777" w:rsidR="005E207C" w:rsidRPr="002F357B" w:rsidRDefault="000217E8" w:rsidP="00033247">
            <w:pPr>
              <w:pStyle w:val="Body"/>
              <w:ind w:left="0"/>
              <w:jc w:val="center"/>
              <w:rPr>
                <w:rFonts w:cs="Arial"/>
                <w:szCs w:val="20"/>
              </w:rPr>
            </w:pPr>
            <w:r w:rsidRPr="002F357B">
              <w:rPr>
                <w:szCs w:val="20"/>
              </w:rPr>
              <w:t xml:space="preserve">Estimate of </w:t>
            </w:r>
            <w:r w:rsidR="00772F46" w:rsidRPr="002F357B">
              <w:rPr>
                <w:szCs w:val="20"/>
              </w:rPr>
              <w:t>probable operating cost</w:t>
            </w:r>
          </w:p>
          <w:p w14:paraId="2C1EAB9D" w14:textId="77777777" w:rsidR="000217E8" w:rsidRPr="002F357B" w:rsidRDefault="000217E8" w:rsidP="00033247">
            <w:pPr>
              <w:pStyle w:val="Body"/>
              <w:ind w:left="0"/>
              <w:jc w:val="center"/>
              <w:rPr>
                <w:szCs w:val="20"/>
              </w:rPr>
            </w:pPr>
            <w:r w:rsidRPr="002F357B">
              <w:rPr>
                <w:szCs w:val="20"/>
              </w:rPr>
              <w:t>(</w:t>
            </w:r>
            <w:r w:rsidR="001C1361" w:rsidRPr="002F357B">
              <w:rPr>
                <w:szCs w:val="20"/>
              </w:rPr>
              <w:t xml:space="preserve">$ </w:t>
            </w:r>
            <w:r w:rsidR="005E207C" w:rsidRPr="002F357B">
              <w:rPr>
                <w:rFonts w:cs="Arial"/>
                <w:szCs w:val="20"/>
              </w:rPr>
              <w:t xml:space="preserve">Million </w:t>
            </w:r>
            <w:r w:rsidRPr="002F357B">
              <w:rPr>
                <w:szCs w:val="20"/>
              </w:rPr>
              <w:t>per annum)</w:t>
            </w:r>
          </w:p>
        </w:tc>
      </w:tr>
      <w:tr w:rsidR="0021047A" w14:paraId="099E9B08" w14:textId="77777777" w:rsidTr="00FF2E89">
        <w:trPr>
          <w:jc w:val="center"/>
        </w:trPr>
        <w:tc>
          <w:tcPr>
            <w:tcW w:w="1218" w:type="pct"/>
          </w:tcPr>
          <w:p w14:paraId="37E7C95B" w14:textId="77777777" w:rsidR="000217E8" w:rsidRPr="002F357B" w:rsidRDefault="000217E8" w:rsidP="00545D03">
            <w:pPr>
              <w:pStyle w:val="Body"/>
              <w:ind w:left="0"/>
              <w:rPr>
                <w:szCs w:val="20"/>
              </w:rPr>
            </w:pPr>
            <w:r w:rsidRPr="002F357B">
              <w:rPr>
                <w:szCs w:val="20"/>
              </w:rPr>
              <w:t>Auckland</w:t>
            </w:r>
          </w:p>
        </w:tc>
        <w:tc>
          <w:tcPr>
            <w:tcW w:w="641" w:type="pct"/>
            <w:vAlign w:val="bottom"/>
          </w:tcPr>
          <w:p w14:paraId="52246799" w14:textId="77777777" w:rsidR="000217E8" w:rsidRPr="002F357B" w:rsidRDefault="00815FED" w:rsidP="001C1361">
            <w:pPr>
              <w:pStyle w:val="Body"/>
              <w:ind w:left="0"/>
              <w:jc w:val="center"/>
              <w:rPr>
                <w:rFonts w:cs="Arial"/>
                <w:szCs w:val="20"/>
              </w:rPr>
            </w:pPr>
            <w:r w:rsidRPr="002F357B">
              <w:rPr>
                <w:szCs w:val="20"/>
              </w:rPr>
              <w:t>4</w:t>
            </w:r>
          </w:p>
        </w:tc>
        <w:tc>
          <w:tcPr>
            <w:tcW w:w="641" w:type="pct"/>
            <w:vAlign w:val="bottom"/>
          </w:tcPr>
          <w:p w14:paraId="59A7339E" w14:textId="77777777" w:rsidR="000217E8" w:rsidRPr="002F357B" w:rsidRDefault="00815FED" w:rsidP="001C1361">
            <w:pPr>
              <w:pStyle w:val="Body"/>
              <w:ind w:left="0"/>
              <w:jc w:val="center"/>
              <w:rPr>
                <w:rFonts w:cs="Arial"/>
                <w:szCs w:val="20"/>
              </w:rPr>
            </w:pPr>
            <w:r w:rsidRPr="002F357B">
              <w:rPr>
                <w:szCs w:val="20"/>
              </w:rPr>
              <w:t>10,030</w:t>
            </w:r>
          </w:p>
        </w:tc>
        <w:tc>
          <w:tcPr>
            <w:tcW w:w="1250" w:type="pct"/>
            <w:vAlign w:val="bottom"/>
          </w:tcPr>
          <w:p w14:paraId="7E7428D5" w14:textId="77777777" w:rsidR="000217E8" w:rsidRPr="002F357B" w:rsidRDefault="004A1190" w:rsidP="001C1361">
            <w:pPr>
              <w:pStyle w:val="Body"/>
              <w:ind w:left="0"/>
              <w:jc w:val="center"/>
              <w:rPr>
                <w:rFonts w:cs="Arial"/>
                <w:szCs w:val="20"/>
              </w:rPr>
            </w:pPr>
            <w:r w:rsidRPr="002F357B">
              <w:rPr>
                <w:rFonts w:cs="Arial"/>
                <w:color w:val="000000"/>
                <w:szCs w:val="20"/>
              </w:rPr>
              <w:t xml:space="preserve"> </w:t>
            </w:r>
            <w:r w:rsidR="001C1361" w:rsidRPr="002F357B">
              <w:rPr>
                <w:rFonts w:cs="Arial"/>
                <w:color w:val="000000"/>
                <w:szCs w:val="20"/>
              </w:rPr>
              <w:t>$32 - $48</w:t>
            </w:r>
            <w:r w:rsidRPr="002F357B">
              <w:rPr>
                <w:rFonts w:cs="Arial"/>
                <w:color w:val="000000"/>
                <w:szCs w:val="20"/>
              </w:rPr>
              <w:t xml:space="preserve"> </w:t>
            </w:r>
          </w:p>
        </w:tc>
        <w:tc>
          <w:tcPr>
            <w:tcW w:w="1250" w:type="pct"/>
            <w:vAlign w:val="bottom"/>
          </w:tcPr>
          <w:p w14:paraId="494F7DEC" w14:textId="77777777" w:rsidR="000217E8" w:rsidRPr="002F357B" w:rsidRDefault="00AE2FDC" w:rsidP="001C1361">
            <w:pPr>
              <w:pStyle w:val="Body"/>
              <w:ind w:left="0"/>
              <w:jc w:val="center"/>
              <w:rPr>
                <w:rFonts w:cs="Arial"/>
                <w:szCs w:val="20"/>
              </w:rPr>
            </w:pPr>
            <w:r w:rsidRPr="002F357B">
              <w:rPr>
                <w:szCs w:val="20"/>
              </w:rPr>
              <w:t xml:space="preserve"> $0.59 - $0.89 </w:t>
            </w:r>
          </w:p>
        </w:tc>
      </w:tr>
      <w:tr w:rsidR="0021047A" w14:paraId="7B279B2B" w14:textId="77777777" w:rsidTr="00FF2E89">
        <w:trPr>
          <w:jc w:val="center"/>
        </w:trPr>
        <w:tc>
          <w:tcPr>
            <w:tcW w:w="1218" w:type="pct"/>
          </w:tcPr>
          <w:p w14:paraId="24AE42A5" w14:textId="77777777" w:rsidR="000217E8" w:rsidRPr="002F357B" w:rsidRDefault="000217E8" w:rsidP="000217E8">
            <w:pPr>
              <w:pStyle w:val="Body"/>
              <w:ind w:left="0"/>
              <w:rPr>
                <w:szCs w:val="20"/>
              </w:rPr>
            </w:pPr>
            <w:r w:rsidRPr="002F357B">
              <w:rPr>
                <w:szCs w:val="20"/>
              </w:rPr>
              <w:t>Bay of Plenty</w:t>
            </w:r>
          </w:p>
        </w:tc>
        <w:tc>
          <w:tcPr>
            <w:tcW w:w="641" w:type="pct"/>
            <w:vAlign w:val="bottom"/>
          </w:tcPr>
          <w:p w14:paraId="4C3F8B62" w14:textId="77777777" w:rsidR="000217E8" w:rsidRPr="002F357B" w:rsidRDefault="001C1361" w:rsidP="001C1361">
            <w:pPr>
              <w:pStyle w:val="Body"/>
              <w:ind w:left="0"/>
              <w:jc w:val="center"/>
              <w:rPr>
                <w:rFonts w:cs="Arial"/>
                <w:szCs w:val="20"/>
              </w:rPr>
            </w:pPr>
            <w:r w:rsidRPr="002F357B">
              <w:rPr>
                <w:szCs w:val="20"/>
              </w:rPr>
              <w:t>6</w:t>
            </w:r>
          </w:p>
        </w:tc>
        <w:tc>
          <w:tcPr>
            <w:tcW w:w="641" w:type="pct"/>
            <w:vAlign w:val="bottom"/>
          </w:tcPr>
          <w:p w14:paraId="3CD30778" w14:textId="77777777" w:rsidR="000217E8" w:rsidRPr="002F357B" w:rsidRDefault="001C1361" w:rsidP="001C1361">
            <w:pPr>
              <w:pStyle w:val="Body"/>
              <w:ind w:left="0"/>
              <w:jc w:val="center"/>
              <w:rPr>
                <w:rFonts w:cs="Arial"/>
                <w:szCs w:val="20"/>
              </w:rPr>
            </w:pPr>
            <w:r w:rsidRPr="002F357B">
              <w:rPr>
                <w:szCs w:val="20"/>
              </w:rPr>
              <w:t>20,320</w:t>
            </w:r>
          </w:p>
        </w:tc>
        <w:tc>
          <w:tcPr>
            <w:tcW w:w="1250" w:type="pct"/>
            <w:vAlign w:val="bottom"/>
          </w:tcPr>
          <w:p w14:paraId="06D24A68" w14:textId="77777777" w:rsidR="000217E8" w:rsidRPr="002F357B" w:rsidRDefault="004A1190" w:rsidP="001C1361">
            <w:pPr>
              <w:pStyle w:val="Body"/>
              <w:ind w:left="0"/>
              <w:jc w:val="center"/>
              <w:rPr>
                <w:rFonts w:cs="Arial"/>
                <w:szCs w:val="20"/>
              </w:rPr>
            </w:pPr>
            <w:r w:rsidRPr="002F357B">
              <w:rPr>
                <w:rFonts w:cs="Arial"/>
                <w:color w:val="000000"/>
                <w:szCs w:val="20"/>
              </w:rPr>
              <w:t xml:space="preserve"> $55 - $83 </w:t>
            </w:r>
          </w:p>
        </w:tc>
        <w:tc>
          <w:tcPr>
            <w:tcW w:w="1250" w:type="pct"/>
            <w:vAlign w:val="bottom"/>
          </w:tcPr>
          <w:p w14:paraId="4C7D3A04" w14:textId="77777777" w:rsidR="000217E8" w:rsidRPr="002F357B" w:rsidRDefault="004A1190" w:rsidP="001C1361">
            <w:pPr>
              <w:pStyle w:val="Body"/>
              <w:ind w:left="0"/>
              <w:jc w:val="center"/>
              <w:rPr>
                <w:rFonts w:cs="Arial"/>
                <w:szCs w:val="20"/>
              </w:rPr>
            </w:pPr>
            <w:r w:rsidRPr="002F357B">
              <w:rPr>
                <w:szCs w:val="20"/>
              </w:rPr>
              <w:t xml:space="preserve"> </w:t>
            </w:r>
            <w:r w:rsidR="001C1361" w:rsidRPr="002F357B">
              <w:rPr>
                <w:szCs w:val="20"/>
              </w:rPr>
              <w:t>$1.2</w:t>
            </w:r>
            <w:r w:rsidR="00AE2FDC" w:rsidRPr="002F357B">
              <w:rPr>
                <w:szCs w:val="20"/>
              </w:rPr>
              <w:t xml:space="preserve"> - $1.8</w:t>
            </w:r>
            <w:r w:rsidR="001C1361" w:rsidRPr="002F357B">
              <w:rPr>
                <w:szCs w:val="20"/>
              </w:rPr>
              <w:t xml:space="preserve"> </w:t>
            </w:r>
          </w:p>
        </w:tc>
      </w:tr>
      <w:tr w:rsidR="0021047A" w14:paraId="369E29AC" w14:textId="77777777" w:rsidTr="00FF2E89">
        <w:trPr>
          <w:jc w:val="center"/>
        </w:trPr>
        <w:tc>
          <w:tcPr>
            <w:tcW w:w="1218" w:type="pct"/>
          </w:tcPr>
          <w:p w14:paraId="3978BA28" w14:textId="77777777" w:rsidR="000217E8" w:rsidRPr="002F357B" w:rsidRDefault="000217E8" w:rsidP="00545D03">
            <w:pPr>
              <w:pStyle w:val="Body"/>
              <w:ind w:left="0"/>
              <w:rPr>
                <w:szCs w:val="20"/>
              </w:rPr>
            </w:pPr>
            <w:r w:rsidRPr="002F357B">
              <w:rPr>
                <w:szCs w:val="20"/>
              </w:rPr>
              <w:t>Canterbury</w:t>
            </w:r>
          </w:p>
        </w:tc>
        <w:tc>
          <w:tcPr>
            <w:tcW w:w="641" w:type="pct"/>
            <w:vAlign w:val="bottom"/>
          </w:tcPr>
          <w:p w14:paraId="678A5BD5" w14:textId="77777777" w:rsidR="000217E8" w:rsidRPr="002F357B" w:rsidRDefault="001C1361" w:rsidP="001C1361">
            <w:pPr>
              <w:pStyle w:val="Body"/>
              <w:ind w:left="0"/>
              <w:jc w:val="center"/>
              <w:rPr>
                <w:rFonts w:cs="Arial"/>
                <w:szCs w:val="20"/>
              </w:rPr>
            </w:pPr>
            <w:r w:rsidRPr="002F357B">
              <w:rPr>
                <w:szCs w:val="20"/>
              </w:rPr>
              <w:t>12</w:t>
            </w:r>
          </w:p>
        </w:tc>
        <w:tc>
          <w:tcPr>
            <w:tcW w:w="641" w:type="pct"/>
            <w:vAlign w:val="bottom"/>
          </w:tcPr>
          <w:p w14:paraId="41F1E946" w14:textId="77777777" w:rsidR="000217E8" w:rsidRPr="002F357B" w:rsidRDefault="001C1361" w:rsidP="001C1361">
            <w:pPr>
              <w:pStyle w:val="Body"/>
              <w:ind w:left="0"/>
              <w:jc w:val="center"/>
              <w:rPr>
                <w:rFonts w:cs="Arial"/>
                <w:szCs w:val="20"/>
              </w:rPr>
            </w:pPr>
            <w:r w:rsidRPr="002F357B">
              <w:rPr>
                <w:szCs w:val="20"/>
              </w:rPr>
              <w:t>5,</w:t>
            </w:r>
            <w:r w:rsidR="004A1190" w:rsidRPr="002F357B">
              <w:rPr>
                <w:szCs w:val="20"/>
              </w:rPr>
              <w:t>270</w:t>
            </w:r>
          </w:p>
        </w:tc>
        <w:tc>
          <w:tcPr>
            <w:tcW w:w="1250" w:type="pct"/>
            <w:vAlign w:val="bottom"/>
          </w:tcPr>
          <w:p w14:paraId="788EF5AC" w14:textId="77777777" w:rsidR="000217E8" w:rsidRPr="002F357B" w:rsidRDefault="004A1190" w:rsidP="001C1361">
            <w:pPr>
              <w:pStyle w:val="Body"/>
              <w:ind w:left="0"/>
              <w:jc w:val="center"/>
              <w:rPr>
                <w:rFonts w:cs="Arial"/>
                <w:szCs w:val="20"/>
              </w:rPr>
            </w:pPr>
            <w:r w:rsidRPr="002F357B">
              <w:rPr>
                <w:rFonts w:cs="Arial"/>
                <w:color w:val="000000"/>
                <w:szCs w:val="20"/>
              </w:rPr>
              <w:t xml:space="preserve"> $31</w:t>
            </w:r>
            <w:r w:rsidR="001C1361" w:rsidRPr="002F357B">
              <w:rPr>
                <w:rFonts w:cs="Arial"/>
                <w:color w:val="000000"/>
                <w:szCs w:val="20"/>
              </w:rPr>
              <w:t xml:space="preserve"> - $46</w:t>
            </w:r>
            <w:r w:rsidRPr="002F357B">
              <w:rPr>
                <w:rFonts w:cs="Arial"/>
                <w:color w:val="000000"/>
                <w:szCs w:val="20"/>
              </w:rPr>
              <w:t xml:space="preserve"> </w:t>
            </w:r>
          </w:p>
        </w:tc>
        <w:tc>
          <w:tcPr>
            <w:tcW w:w="1250" w:type="pct"/>
            <w:vAlign w:val="bottom"/>
          </w:tcPr>
          <w:p w14:paraId="1F73C01F" w14:textId="77777777" w:rsidR="000217E8" w:rsidRPr="002F357B" w:rsidRDefault="004A1190" w:rsidP="001C1361">
            <w:pPr>
              <w:pStyle w:val="Body"/>
              <w:ind w:left="0"/>
              <w:jc w:val="center"/>
              <w:rPr>
                <w:rFonts w:cs="Arial"/>
                <w:szCs w:val="20"/>
              </w:rPr>
            </w:pPr>
            <w:r w:rsidRPr="002F357B">
              <w:rPr>
                <w:szCs w:val="20"/>
              </w:rPr>
              <w:t xml:space="preserve"> </w:t>
            </w:r>
            <w:r w:rsidR="001C1361" w:rsidRPr="002F357B">
              <w:rPr>
                <w:szCs w:val="20"/>
              </w:rPr>
              <w:t xml:space="preserve">$0.28 - $0.41 </w:t>
            </w:r>
          </w:p>
        </w:tc>
      </w:tr>
      <w:tr w:rsidR="0021047A" w14:paraId="05725FB5" w14:textId="77777777" w:rsidTr="00FF2E89">
        <w:trPr>
          <w:jc w:val="center"/>
        </w:trPr>
        <w:tc>
          <w:tcPr>
            <w:tcW w:w="1218" w:type="pct"/>
          </w:tcPr>
          <w:p w14:paraId="6CB17F1A" w14:textId="77777777" w:rsidR="000217E8" w:rsidRPr="002F357B" w:rsidRDefault="00815FED" w:rsidP="00545D03">
            <w:pPr>
              <w:pStyle w:val="Body"/>
              <w:ind w:left="0"/>
              <w:rPr>
                <w:szCs w:val="20"/>
              </w:rPr>
            </w:pPr>
            <w:r w:rsidRPr="002F357B">
              <w:rPr>
                <w:szCs w:val="20"/>
              </w:rPr>
              <w:t>Gisborne</w:t>
            </w:r>
          </w:p>
        </w:tc>
        <w:tc>
          <w:tcPr>
            <w:tcW w:w="641" w:type="pct"/>
            <w:vAlign w:val="bottom"/>
          </w:tcPr>
          <w:p w14:paraId="7065FD8E" w14:textId="77777777" w:rsidR="000217E8" w:rsidRPr="002F357B" w:rsidRDefault="001C1361" w:rsidP="001C1361">
            <w:pPr>
              <w:pStyle w:val="Body"/>
              <w:ind w:left="0"/>
              <w:jc w:val="center"/>
              <w:rPr>
                <w:rFonts w:cs="Arial"/>
                <w:szCs w:val="20"/>
              </w:rPr>
            </w:pPr>
            <w:r w:rsidRPr="002F357B">
              <w:rPr>
                <w:szCs w:val="20"/>
              </w:rPr>
              <w:t>1</w:t>
            </w:r>
          </w:p>
        </w:tc>
        <w:tc>
          <w:tcPr>
            <w:tcW w:w="641" w:type="pct"/>
            <w:vAlign w:val="bottom"/>
          </w:tcPr>
          <w:p w14:paraId="13BD2D32" w14:textId="77777777" w:rsidR="000217E8" w:rsidRPr="002F357B" w:rsidRDefault="004A1190" w:rsidP="001C1361">
            <w:pPr>
              <w:pStyle w:val="Body"/>
              <w:ind w:left="0"/>
              <w:jc w:val="center"/>
              <w:rPr>
                <w:rFonts w:cs="Arial"/>
                <w:szCs w:val="20"/>
              </w:rPr>
            </w:pPr>
            <w:r w:rsidRPr="002F357B">
              <w:rPr>
                <w:szCs w:val="20"/>
              </w:rPr>
              <w:t>640</w:t>
            </w:r>
          </w:p>
        </w:tc>
        <w:tc>
          <w:tcPr>
            <w:tcW w:w="1250" w:type="pct"/>
            <w:vAlign w:val="bottom"/>
          </w:tcPr>
          <w:p w14:paraId="5B7B8D56" w14:textId="77777777" w:rsidR="000217E8" w:rsidRPr="002F357B" w:rsidRDefault="004A1190" w:rsidP="001C1361">
            <w:pPr>
              <w:pStyle w:val="Body"/>
              <w:ind w:left="0"/>
              <w:jc w:val="center"/>
              <w:rPr>
                <w:rFonts w:cs="Arial"/>
                <w:szCs w:val="20"/>
              </w:rPr>
            </w:pPr>
            <w:r w:rsidRPr="002F357B">
              <w:rPr>
                <w:rFonts w:cs="Arial"/>
                <w:color w:val="000000"/>
                <w:szCs w:val="20"/>
              </w:rPr>
              <w:t xml:space="preserve"> $3.5 - $5.2 </w:t>
            </w:r>
          </w:p>
        </w:tc>
        <w:tc>
          <w:tcPr>
            <w:tcW w:w="1250" w:type="pct"/>
            <w:vAlign w:val="bottom"/>
          </w:tcPr>
          <w:p w14:paraId="2DEA0298" w14:textId="77777777" w:rsidR="000217E8" w:rsidRPr="002F357B" w:rsidRDefault="004A1190" w:rsidP="001C1361">
            <w:pPr>
              <w:pStyle w:val="Body"/>
              <w:ind w:left="0"/>
              <w:jc w:val="center"/>
              <w:rPr>
                <w:rFonts w:cs="Arial"/>
                <w:szCs w:val="20"/>
              </w:rPr>
            </w:pPr>
            <w:r w:rsidRPr="002F357B">
              <w:rPr>
                <w:szCs w:val="20"/>
              </w:rPr>
              <w:t xml:space="preserve"> </w:t>
            </w:r>
            <w:r w:rsidR="001C1361" w:rsidRPr="002F357B">
              <w:rPr>
                <w:szCs w:val="20"/>
              </w:rPr>
              <w:t>$0.</w:t>
            </w:r>
            <w:r w:rsidRPr="002F357B">
              <w:rPr>
                <w:szCs w:val="20"/>
              </w:rPr>
              <w:t>034</w:t>
            </w:r>
            <w:r w:rsidR="001C1361" w:rsidRPr="002F357B">
              <w:rPr>
                <w:szCs w:val="20"/>
              </w:rPr>
              <w:t xml:space="preserve"> - $0.05 </w:t>
            </w:r>
          </w:p>
        </w:tc>
      </w:tr>
      <w:tr w:rsidR="0021047A" w14:paraId="2FCBA64A" w14:textId="77777777" w:rsidTr="00FF2E89">
        <w:trPr>
          <w:jc w:val="center"/>
        </w:trPr>
        <w:tc>
          <w:tcPr>
            <w:tcW w:w="1218" w:type="pct"/>
          </w:tcPr>
          <w:p w14:paraId="0FCE581B" w14:textId="77777777" w:rsidR="000217E8" w:rsidRPr="002F357B" w:rsidRDefault="00815FED" w:rsidP="000217E8">
            <w:pPr>
              <w:pStyle w:val="Body"/>
              <w:ind w:left="0"/>
              <w:rPr>
                <w:szCs w:val="20"/>
              </w:rPr>
            </w:pPr>
            <w:r w:rsidRPr="002F357B">
              <w:rPr>
                <w:szCs w:val="20"/>
              </w:rPr>
              <w:t>Hawke’s Bay</w:t>
            </w:r>
          </w:p>
        </w:tc>
        <w:tc>
          <w:tcPr>
            <w:tcW w:w="641" w:type="pct"/>
            <w:vAlign w:val="bottom"/>
          </w:tcPr>
          <w:p w14:paraId="7A16C3DE" w14:textId="77777777" w:rsidR="000217E8" w:rsidRPr="002F357B" w:rsidRDefault="001C1361" w:rsidP="001C1361">
            <w:pPr>
              <w:pStyle w:val="Body"/>
              <w:ind w:left="0"/>
              <w:jc w:val="center"/>
              <w:rPr>
                <w:rFonts w:cs="Arial"/>
                <w:szCs w:val="20"/>
              </w:rPr>
            </w:pPr>
            <w:r w:rsidRPr="002F357B">
              <w:rPr>
                <w:szCs w:val="20"/>
              </w:rPr>
              <w:t>5</w:t>
            </w:r>
          </w:p>
        </w:tc>
        <w:tc>
          <w:tcPr>
            <w:tcW w:w="641" w:type="pct"/>
            <w:vAlign w:val="bottom"/>
          </w:tcPr>
          <w:p w14:paraId="56652777" w14:textId="77777777" w:rsidR="000217E8" w:rsidRPr="002F357B" w:rsidRDefault="001C1361" w:rsidP="001C1361">
            <w:pPr>
              <w:pStyle w:val="Body"/>
              <w:ind w:left="0"/>
              <w:jc w:val="center"/>
              <w:rPr>
                <w:rFonts w:cs="Arial"/>
                <w:szCs w:val="20"/>
              </w:rPr>
            </w:pPr>
            <w:r w:rsidRPr="002F357B">
              <w:rPr>
                <w:szCs w:val="20"/>
              </w:rPr>
              <w:t>7,</w:t>
            </w:r>
            <w:r w:rsidR="004A1190" w:rsidRPr="002F357B">
              <w:rPr>
                <w:szCs w:val="20"/>
              </w:rPr>
              <w:t>960</w:t>
            </w:r>
          </w:p>
        </w:tc>
        <w:tc>
          <w:tcPr>
            <w:tcW w:w="1250" w:type="pct"/>
            <w:vAlign w:val="bottom"/>
          </w:tcPr>
          <w:p w14:paraId="01A7D7D3" w14:textId="77777777" w:rsidR="000217E8" w:rsidRPr="002F357B" w:rsidRDefault="004A1190" w:rsidP="001C1361">
            <w:pPr>
              <w:pStyle w:val="Body"/>
              <w:ind w:left="0"/>
              <w:jc w:val="center"/>
              <w:rPr>
                <w:rFonts w:cs="Arial"/>
                <w:szCs w:val="20"/>
              </w:rPr>
            </w:pPr>
            <w:r w:rsidRPr="002F357B">
              <w:rPr>
                <w:rFonts w:cs="Arial"/>
                <w:color w:val="000000"/>
                <w:szCs w:val="20"/>
              </w:rPr>
              <w:t xml:space="preserve"> $34 - $52 </w:t>
            </w:r>
          </w:p>
        </w:tc>
        <w:tc>
          <w:tcPr>
            <w:tcW w:w="1250" w:type="pct"/>
            <w:vAlign w:val="bottom"/>
          </w:tcPr>
          <w:p w14:paraId="1F0F7A18" w14:textId="77777777" w:rsidR="000217E8" w:rsidRPr="002F357B" w:rsidRDefault="004A1190" w:rsidP="001C1361">
            <w:pPr>
              <w:pStyle w:val="Body"/>
              <w:ind w:left="0"/>
              <w:jc w:val="center"/>
              <w:rPr>
                <w:rFonts w:cs="Arial"/>
                <w:szCs w:val="20"/>
              </w:rPr>
            </w:pPr>
            <w:r w:rsidRPr="002F357B">
              <w:rPr>
                <w:szCs w:val="20"/>
              </w:rPr>
              <w:t xml:space="preserve"> </w:t>
            </w:r>
            <w:r w:rsidR="001C1361" w:rsidRPr="002F357B">
              <w:rPr>
                <w:szCs w:val="20"/>
              </w:rPr>
              <w:t xml:space="preserve">$0.63 - $0.94 </w:t>
            </w:r>
          </w:p>
        </w:tc>
      </w:tr>
      <w:tr w:rsidR="0021047A" w14:paraId="5C6D7EE4" w14:textId="77777777" w:rsidTr="00FF2E89">
        <w:trPr>
          <w:jc w:val="center"/>
        </w:trPr>
        <w:tc>
          <w:tcPr>
            <w:tcW w:w="1218" w:type="pct"/>
          </w:tcPr>
          <w:p w14:paraId="32B7335F" w14:textId="77777777" w:rsidR="000217E8" w:rsidRPr="002F357B" w:rsidRDefault="007668C9" w:rsidP="007668C9">
            <w:pPr>
              <w:pStyle w:val="Body"/>
              <w:ind w:left="0"/>
              <w:rPr>
                <w:szCs w:val="20"/>
              </w:rPr>
            </w:pPr>
            <w:r w:rsidRPr="002F357B">
              <w:rPr>
                <w:szCs w:val="20"/>
              </w:rPr>
              <w:t>Man</w:t>
            </w:r>
            <w:r>
              <w:rPr>
                <w:szCs w:val="20"/>
              </w:rPr>
              <w:t>a</w:t>
            </w:r>
            <w:r w:rsidRPr="002F357B">
              <w:rPr>
                <w:szCs w:val="20"/>
              </w:rPr>
              <w:t>watu</w:t>
            </w:r>
            <w:r w:rsidR="000217E8" w:rsidRPr="002F357B">
              <w:rPr>
                <w:szCs w:val="20"/>
              </w:rPr>
              <w:t>-Wanganui</w:t>
            </w:r>
          </w:p>
        </w:tc>
        <w:tc>
          <w:tcPr>
            <w:tcW w:w="641" w:type="pct"/>
            <w:vAlign w:val="bottom"/>
          </w:tcPr>
          <w:p w14:paraId="393A9479" w14:textId="77777777" w:rsidR="000217E8" w:rsidRPr="002F357B" w:rsidRDefault="001C1361" w:rsidP="001C1361">
            <w:pPr>
              <w:pStyle w:val="Body"/>
              <w:ind w:left="0"/>
              <w:jc w:val="center"/>
              <w:rPr>
                <w:rFonts w:cs="Arial"/>
                <w:szCs w:val="20"/>
              </w:rPr>
            </w:pPr>
            <w:r w:rsidRPr="002F357B">
              <w:rPr>
                <w:szCs w:val="20"/>
              </w:rPr>
              <w:t>24</w:t>
            </w:r>
          </w:p>
        </w:tc>
        <w:tc>
          <w:tcPr>
            <w:tcW w:w="641" w:type="pct"/>
            <w:vAlign w:val="bottom"/>
          </w:tcPr>
          <w:p w14:paraId="175EB6B2" w14:textId="77777777" w:rsidR="000217E8" w:rsidRPr="002F357B" w:rsidRDefault="001C1361" w:rsidP="001C1361">
            <w:pPr>
              <w:pStyle w:val="Body"/>
              <w:ind w:left="0"/>
              <w:jc w:val="center"/>
              <w:rPr>
                <w:rFonts w:cs="Arial"/>
                <w:szCs w:val="20"/>
              </w:rPr>
            </w:pPr>
            <w:r w:rsidRPr="002F357B">
              <w:rPr>
                <w:szCs w:val="20"/>
              </w:rPr>
              <w:t>132,</w:t>
            </w:r>
            <w:r w:rsidR="004A1190" w:rsidRPr="002F357B">
              <w:rPr>
                <w:szCs w:val="20"/>
              </w:rPr>
              <w:t>940</w:t>
            </w:r>
          </w:p>
        </w:tc>
        <w:tc>
          <w:tcPr>
            <w:tcW w:w="1250" w:type="pct"/>
            <w:vAlign w:val="bottom"/>
          </w:tcPr>
          <w:p w14:paraId="27938689" w14:textId="77777777" w:rsidR="000217E8" w:rsidRPr="002F357B" w:rsidRDefault="004A1190" w:rsidP="001C1361">
            <w:pPr>
              <w:pStyle w:val="Body"/>
              <w:ind w:left="0"/>
              <w:jc w:val="center"/>
              <w:rPr>
                <w:rFonts w:cs="Arial"/>
                <w:szCs w:val="20"/>
              </w:rPr>
            </w:pPr>
            <w:r w:rsidRPr="002F357B">
              <w:rPr>
                <w:rFonts w:cs="Arial"/>
                <w:color w:val="000000"/>
                <w:szCs w:val="20"/>
              </w:rPr>
              <w:t xml:space="preserve"> $330 - $500 </w:t>
            </w:r>
          </w:p>
        </w:tc>
        <w:tc>
          <w:tcPr>
            <w:tcW w:w="1250" w:type="pct"/>
            <w:vAlign w:val="bottom"/>
          </w:tcPr>
          <w:p w14:paraId="619CEE44" w14:textId="77777777" w:rsidR="000217E8" w:rsidRPr="002F357B" w:rsidRDefault="004A1190" w:rsidP="001C1361">
            <w:pPr>
              <w:pStyle w:val="Body"/>
              <w:ind w:left="0"/>
              <w:jc w:val="center"/>
              <w:rPr>
                <w:rFonts w:cs="Arial"/>
                <w:szCs w:val="20"/>
              </w:rPr>
            </w:pPr>
            <w:r w:rsidRPr="002F357B">
              <w:rPr>
                <w:szCs w:val="20"/>
              </w:rPr>
              <w:t xml:space="preserve"> $13 - $20 </w:t>
            </w:r>
          </w:p>
        </w:tc>
      </w:tr>
      <w:tr w:rsidR="0021047A" w14:paraId="26B052B4" w14:textId="77777777" w:rsidTr="00FF2E89">
        <w:trPr>
          <w:jc w:val="center"/>
        </w:trPr>
        <w:tc>
          <w:tcPr>
            <w:tcW w:w="1218" w:type="pct"/>
          </w:tcPr>
          <w:p w14:paraId="6FA9E903" w14:textId="77777777" w:rsidR="000217E8" w:rsidRPr="002F357B" w:rsidRDefault="000217E8" w:rsidP="00545D03">
            <w:pPr>
              <w:pStyle w:val="Body"/>
              <w:ind w:left="0"/>
              <w:rPr>
                <w:szCs w:val="20"/>
              </w:rPr>
            </w:pPr>
            <w:r w:rsidRPr="002F357B">
              <w:rPr>
                <w:szCs w:val="20"/>
              </w:rPr>
              <w:t>Marlborough</w:t>
            </w:r>
          </w:p>
        </w:tc>
        <w:tc>
          <w:tcPr>
            <w:tcW w:w="641" w:type="pct"/>
            <w:vAlign w:val="bottom"/>
          </w:tcPr>
          <w:p w14:paraId="645CFF6A" w14:textId="77777777" w:rsidR="000217E8" w:rsidRPr="002F357B" w:rsidRDefault="001C1361" w:rsidP="001C1361">
            <w:pPr>
              <w:pStyle w:val="Body"/>
              <w:ind w:left="0"/>
              <w:jc w:val="center"/>
              <w:rPr>
                <w:rFonts w:cs="Arial"/>
                <w:szCs w:val="20"/>
              </w:rPr>
            </w:pPr>
            <w:r w:rsidRPr="002F357B">
              <w:rPr>
                <w:szCs w:val="20"/>
              </w:rPr>
              <w:t>1</w:t>
            </w:r>
          </w:p>
        </w:tc>
        <w:tc>
          <w:tcPr>
            <w:tcW w:w="641" w:type="pct"/>
            <w:vAlign w:val="bottom"/>
          </w:tcPr>
          <w:p w14:paraId="5EBF71ED" w14:textId="77777777" w:rsidR="000217E8" w:rsidRPr="002F357B" w:rsidRDefault="004A1190" w:rsidP="001C1361">
            <w:pPr>
              <w:pStyle w:val="Body"/>
              <w:ind w:left="0"/>
              <w:jc w:val="center"/>
              <w:rPr>
                <w:rFonts w:cs="Arial"/>
                <w:szCs w:val="20"/>
              </w:rPr>
            </w:pPr>
            <w:r w:rsidRPr="002F357B">
              <w:rPr>
                <w:szCs w:val="20"/>
              </w:rPr>
              <w:t>690</w:t>
            </w:r>
          </w:p>
        </w:tc>
        <w:tc>
          <w:tcPr>
            <w:tcW w:w="1250" w:type="pct"/>
            <w:vAlign w:val="bottom"/>
          </w:tcPr>
          <w:p w14:paraId="71828AEE" w14:textId="77777777" w:rsidR="000217E8" w:rsidRPr="002F357B" w:rsidRDefault="004A1190" w:rsidP="001C1361">
            <w:pPr>
              <w:pStyle w:val="Body"/>
              <w:ind w:left="0"/>
              <w:jc w:val="center"/>
              <w:rPr>
                <w:rFonts w:cs="Arial"/>
                <w:szCs w:val="20"/>
              </w:rPr>
            </w:pPr>
            <w:r w:rsidRPr="002F357B">
              <w:rPr>
                <w:rFonts w:cs="Arial"/>
                <w:color w:val="000000"/>
                <w:szCs w:val="20"/>
              </w:rPr>
              <w:t xml:space="preserve"> </w:t>
            </w:r>
            <w:r w:rsidR="001C1361" w:rsidRPr="002F357B">
              <w:rPr>
                <w:rFonts w:cs="Arial"/>
                <w:color w:val="000000"/>
                <w:szCs w:val="20"/>
              </w:rPr>
              <w:t>$2.</w:t>
            </w:r>
            <w:r w:rsidRPr="002F357B">
              <w:rPr>
                <w:rFonts w:cs="Arial"/>
                <w:color w:val="000000"/>
                <w:szCs w:val="20"/>
              </w:rPr>
              <w:t>7</w:t>
            </w:r>
            <w:r w:rsidR="001C1361" w:rsidRPr="002F357B">
              <w:rPr>
                <w:rFonts w:cs="Arial"/>
                <w:color w:val="000000"/>
                <w:szCs w:val="20"/>
              </w:rPr>
              <w:t xml:space="preserve"> - $4.</w:t>
            </w:r>
            <w:r w:rsidRPr="002F357B">
              <w:rPr>
                <w:rFonts w:cs="Arial"/>
                <w:color w:val="000000"/>
                <w:szCs w:val="20"/>
              </w:rPr>
              <w:t xml:space="preserve">1 </w:t>
            </w:r>
          </w:p>
        </w:tc>
        <w:tc>
          <w:tcPr>
            <w:tcW w:w="1250" w:type="pct"/>
            <w:vAlign w:val="bottom"/>
          </w:tcPr>
          <w:p w14:paraId="3818B3A3" w14:textId="77777777" w:rsidR="000217E8" w:rsidRPr="002F357B" w:rsidRDefault="004A1190" w:rsidP="001C1361">
            <w:pPr>
              <w:pStyle w:val="Body"/>
              <w:ind w:left="0"/>
              <w:jc w:val="center"/>
              <w:rPr>
                <w:rFonts w:cs="Arial"/>
                <w:szCs w:val="20"/>
              </w:rPr>
            </w:pPr>
            <w:r w:rsidRPr="002F357B">
              <w:rPr>
                <w:szCs w:val="20"/>
              </w:rPr>
              <w:t xml:space="preserve"> </w:t>
            </w:r>
            <w:r w:rsidR="001C1361" w:rsidRPr="002F357B">
              <w:rPr>
                <w:szCs w:val="20"/>
              </w:rPr>
              <w:t>$0.</w:t>
            </w:r>
            <w:r w:rsidRPr="002F357B">
              <w:rPr>
                <w:szCs w:val="20"/>
              </w:rPr>
              <w:t>021</w:t>
            </w:r>
            <w:r w:rsidR="001C1361" w:rsidRPr="002F357B">
              <w:rPr>
                <w:szCs w:val="20"/>
              </w:rPr>
              <w:t xml:space="preserve"> - $0.</w:t>
            </w:r>
            <w:r w:rsidRPr="002F357B">
              <w:rPr>
                <w:szCs w:val="20"/>
              </w:rPr>
              <w:t>032</w:t>
            </w:r>
            <w:r w:rsidR="001C1361" w:rsidRPr="002F357B">
              <w:rPr>
                <w:szCs w:val="20"/>
              </w:rPr>
              <w:t xml:space="preserve"> </w:t>
            </w:r>
          </w:p>
        </w:tc>
      </w:tr>
      <w:tr w:rsidR="0021047A" w14:paraId="36C29131" w14:textId="77777777" w:rsidTr="00FF2E89">
        <w:trPr>
          <w:jc w:val="center"/>
        </w:trPr>
        <w:tc>
          <w:tcPr>
            <w:tcW w:w="1218" w:type="pct"/>
          </w:tcPr>
          <w:p w14:paraId="556178BD" w14:textId="77777777" w:rsidR="000217E8" w:rsidRPr="002F357B" w:rsidRDefault="000217E8" w:rsidP="00545D03">
            <w:pPr>
              <w:pStyle w:val="Body"/>
              <w:ind w:left="0"/>
              <w:rPr>
                <w:szCs w:val="20"/>
              </w:rPr>
            </w:pPr>
            <w:r w:rsidRPr="002F357B">
              <w:rPr>
                <w:szCs w:val="20"/>
              </w:rPr>
              <w:t>Nelson</w:t>
            </w:r>
          </w:p>
        </w:tc>
        <w:tc>
          <w:tcPr>
            <w:tcW w:w="641" w:type="pct"/>
            <w:vAlign w:val="bottom"/>
          </w:tcPr>
          <w:p w14:paraId="1761D117" w14:textId="77777777" w:rsidR="000217E8" w:rsidRPr="002F357B" w:rsidRDefault="001C1361" w:rsidP="001C1361">
            <w:pPr>
              <w:pStyle w:val="Body"/>
              <w:ind w:left="0"/>
              <w:jc w:val="center"/>
              <w:rPr>
                <w:rFonts w:cs="Arial"/>
                <w:szCs w:val="20"/>
              </w:rPr>
            </w:pPr>
            <w:r w:rsidRPr="002F357B">
              <w:rPr>
                <w:szCs w:val="20"/>
              </w:rPr>
              <w:t>0</w:t>
            </w:r>
          </w:p>
        </w:tc>
        <w:tc>
          <w:tcPr>
            <w:tcW w:w="641" w:type="pct"/>
            <w:vAlign w:val="bottom"/>
          </w:tcPr>
          <w:p w14:paraId="1E9F1E73" w14:textId="77777777" w:rsidR="000217E8" w:rsidRPr="002F357B" w:rsidRDefault="001C1361" w:rsidP="001C1361">
            <w:pPr>
              <w:pStyle w:val="Body"/>
              <w:ind w:left="0"/>
              <w:jc w:val="center"/>
              <w:rPr>
                <w:rFonts w:cs="Arial"/>
                <w:szCs w:val="20"/>
              </w:rPr>
            </w:pPr>
            <w:r w:rsidRPr="002F357B">
              <w:rPr>
                <w:szCs w:val="20"/>
              </w:rPr>
              <w:t>0</w:t>
            </w:r>
          </w:p>
        </w:tc>
        <w:tc>
          <w:tcPr>
            <w:tcW w:w="1250" w:type="pct"/>
            <w:vAlign w:val="bottom"/>
          </w:tcPr>
          <w:p w14:paraId="595FD301" w14:textId="77777777" w:rsidR="000217E8" w:rsidRPr="002F357B" w:rsidRDefault="004A1190" w:rsidP="001C1361">
            <w:pPr>
              <w:pStyle w:val="Body"/>
              <w:ind w:left="0"/>
              <w:jc w:val="center"/>
              <w:rPr>
                <w:rFonts w:cs="Arial"/>
                <w:szCs w:val="20"/>
              </w:rPr>
            </w:pPr>
            <w:r w:rsidRPr="002F357B">
              <w:rPr>
                <w:rFonts w:cs="Arial"/>
                <w:color w:val="000000"/>
                <w:szCs w:val="20"/>
              </w:rPr>
              <w:t xml:space="preserve"> - </w:t>
            </w:r>
          </w:p>
        </w:tc>
        <w:tc>
          <w:tcPr>
            <w:tcW w:w="1250" w:type="pct"/>
            <w:vAlign w:val="bottom"/>
          </w:tcPr>
          <w:p w14:paraId="4C2EB42A" w14:textId="77777777" w:rsidR="000217E8" w:rsidRPr="002F357B" w:rsidRDefault="004A1190" w:rsidP="001C1361">
            <w:pPr>
              <w:pStyle w:val="Body"/>
              <w:ind w:left="0"/>
              <w:jc w:val="center"/>
              <w:rPr>
                <w:rFonts w:cs="Arial"/>
                <w:szCs w:val="20"/>
              </w:rPr>
            </w:pPr>
            <w:r w:rsidRPr="002F357B">
              <w:rPr>
                <w:szCs w:val="20"/>
              </w:rPr>
              <w:t xml:space="preserve"> </w:t>
            </w:r>
            <w:r w:rsidR="001C1361" w:rsidRPr="002F357B">
              <w:rPr>
                <w:szCs w:val="20"/>
              </w:rPr>
              <w:t xml:space="preserve">- </w:t>
            </w:r>
          </w:p>
        </w:tc>
      </w:tr>
      <w:tr w:rsidR="0021047A" w14:paraId="26F7AC51" w14:textId="77777777" w:rsidTr="00FF2E89">
        <w:trPr>
          <w:jc w:val="center"/>
        </w:trPr>
        <w:tc>
          <w:tcPr>
            <w:tcW w:w="1218" w:type="pct"/>
          </w:tcPr>
          <w:p w14:paraId="6148C7C9" w14:textId="77777777" w:rsidR="000217E8" w:rsidRPr="002F357B" w:rsidRDefault="000217E8" w:rsidP="00545D03">
            <w:pPr>
              <w:pStyle w:val="Body"/>
              <w:ind w:left="0"/>
              <w:rPr>
                <w:szCs w:val="20"/>
              </w:rPr>
            </w:pPr>
            <w:r w:rsidRPr="002F357B">
              <w:rPr>
                <w:szCs w:val="20"/>
              </w:rPr>
              <w:t>Northland</w:t>
            </w:r>
          </w:p>
        </w:tc>
        <w:tc>
          <w:tcPr>
            <w:tcW w:w="641" w:type="pct"/>
            <w:vAlign w:val="bottom"/>
          </w:tcPr>
          <w:p w14:paraId="402552B2" w14:textId="77777777" w:rsidR="000217E8" w:rsidRPr="002F357B" w:rsidRDefault="001C1361" w:rsidP="001C1361">
            <w:pPr>
              <w:pStyle w:val="Body"/>
              <w:ind w:left="0"/>
              <w:jc w:val="center"/>
              <w:rPr>
                <w:rFonts w:cs="Arial"/>
                <w:szCs w:val="20"/>
              </w:rPr>
            </w:pPr>
            <w:r w:rsidRPr="002F357B">
              <w:rPr>
                <w:szCs w:val="20"/>
              </w:rPr>
              <w:t>11</w:t>
            </w:r>
          </w:p>
        </w:tc>
        <w:tc>
          <w:tcPr>
            <w:tcW w:w="641" w:type="pct"/>
            <w:vAlign w:val="bottom"/>
          </w:tcPr>
          <w:p w14:paraId="72E246FC" w14:textId="77777777" w:rsidR="000217E8" w:rsidRPr="002F357B" w:rsidRDefault="001C1361" w:rsidP="001C1361">
            <w:pPr>
              <w:pStyle w:val="Body"/>
              <w:ind w:left="0"/>
              <w:jc w:val="center"/>
              <w:rPr>
                <w:rFonts w:cs="Arial"/>
                <w:szCs w:val="20"/>
              </w:rPr>
            </w:pPr>
            <w:r w:rsidRPr="002F357B">
              <w:rPr>
                <w:szCs w:val="20"/>
              </w:rPr>
              <w:t>26,</w:t>
            </w:r>
            <w:r w:rsidR="004A1190" w:rsidRPr="002F357B">
              <w:rPr>
                <w:szCs w:val="20"/>
              </w:rPr>
              <w:t>560</w:t>
            </w:r>
          </w:p>
        </w:tc>
        <w:tc>
          <w:tcPr>
            <w:tcW w:w="1250" w:type="pct"/>
            <w:vAlign w:val="bottom"/>
          </w:tcPr>
          <w:p w14:paraId="6DCA26F5" w14:textId="77777777" w:rsidR="000217E8" w:rsidRPr="002F357B" w:rsidRDefault="004A1190" w:rsidP="001C1361">
            <w:pPr>
              <w:pStyle w:val="Body"/>
              <w:ind w:left="0"/>
              <w:jc w:val="center"/>
              <w:rPr>
                <w:rFonts w:cs="Arial"/>
                <w:szCs w:val="20"/>
              </w:rPr>
            </w:pPr>
            <w:r w:rsidRPr="002F357B">
              <w:rPr>
                <w:rFonts w:cs="Arial"/>
                <w:color w:val="000000"/>
                <w:szCs w:val="20"/>
              </w:rPr>
              <w:t xml:space="preserve"> $100 - $150 </w:t>
            </w:r>
          </w:p>
        </w:tc>
        <w:tc>
          <w:tcPr>
            <w:tcW w:w="1250" w:type="pct"/>
            <w:vAlign w:val="bottom"/>
          </w:tcPr>
          <w:p w14:paraId="7F45771E" w14:textId="77777777" w:rsidR="000217E8" w:rsidRPr="002F357B" w:rsidRDefault="004A1190" w:rsidP="001C1361">
            <w:pPr>
              <w:pStyle w:val="Body"/>
              <w:ind w:left="0"/>
              <w:jc w:val="center"/>
              <w:rPr>
                <w:rFonts w:cs="Arial"/>
                <w:szCs w:val="20"/>
              </w:rPr>
            </w:pPr>
            <w:r w:rsidRPr="002F357B">
              <w:rPr>
                <w:szCs w:val="20"/>
              </w:rPr>
              <w:t xml:space="preserve"> </w:t>
            </w:r>
            <w:r w:rsidR="001C1361" w:rsidRPr="002F357B">
              <w:rPr>
                <w:szCs w:val="20"/>
              </w:rPr>
              <w:t>$2.</w:t>
            </w:r>
            <w:r w:rsidRPr="002F357B">
              <w:rPr>
                <w:szCs w:val="20"/>
              </w:rPr>
              <w:t>1</w:t>
            </w:r>
            <w:r w:rsidR="001C1361" w:rsidRPr="002F357B">
              <w:rPr>
                <w:szCs w:val="20"/>
              </w:rPr>
              <w:t xml:space="preserve"> - $3.</w:t>
            </w:r>
            <w:r w:rsidRPr="002F357B">
              <w:rPr>
                <w:szCs w:val="20"/>
              </w:rPr>
              <w:t>2</w:t>
            </w:r>
            <w:r w:rsidR="001C1361" w:rsidRPr="002F357B">
              <w:rPr>
                <w:szCs w:val="20"/>
              </w:rPr>
              <w:t xml:space="preserve"> </w:t>
            </w:r>
          </w:p>
        </w:tc>
      </w:tr>
      <w:tr w:rsidR="0021047A" w14:paraId="687DE529" w14:textId="77777777" w:rsidTr="00FF2E89">
        <w:trPr>
          <w:jc w:val="center"/>
        </w:trPr>
        <w:tc>
          <w:tcPr>
            <w:tcW w:w="1218" w:type="pct"/>
          </w:tcPr>
          <w:p w14:paraId="069A60FE" w14:textId="77777777" w:rsidR="000217E8" w:rsidRPr="002F357B" w:rsidRDefault="000217E8" w:rsidP="00545D03">
            <w:pPr>
              <w:pStyle w:val="Body"/>
              <w:ind w:left="0"/>
              <w:rPr>
                <w:szCs w:val="20"/>
              </w:rPr>
            </w:pPr>
            <w:r w:rsidRPr="002F357B">
              <w:rPr>
                <w:szCs w:val="20"/>
              </w:rPr>
              <w:t xml:space="preserve">Otago </w:t>
            </w:r>
          </w:p>
        </w:tc>
        <w:tc>
          <w:tcPr>
            <w:tcW w:w="641" w:type="pct"/>
            <w:vAlign w:val="bottom"/>
          </w:tcPr>
          <w:p w14:paraId="6B87A146" w14:textId="77777777" w:rsidR="000217E8" w:rsidRPr="002F357B" w:rsidRDefault="001C1361" w:rsidP="001C1361">
            <w:pPr>
              <w:pStyle w:val="Body"/>
              <w:ind w:left="0"/>
              <w:jc w:val="center"/>
              <w:rPr>
                <w:rFonts w:cs="Arial"/>
                <w:szCs w:val="20"/>
              </w:rPr>
            </w:pPr>
            <w:r w:rsidRPr="002F357B">
              <w:rPr>
                <w:szCs w:val="20"/>
              </w:rPr>
              <w:t>20</w:t>
            </w:r>
          </w:p>
        </w:tc>
        <w:tc>
          <w:tcPr>
            <w:tcW w:w="641" w:type="pct"/>
            <w:vAlign w:val="bottom"/>
          </w:tcPr>
          <w:p w14:paraId="4D42F2B0" w14:textId="77777777" w:rsidR="000217E8" w:rsidRPr="002F357B" w:rsidRDefault="001C1361" w:rsidP="001C1361">
            <w:pPr>
              <w:pStyle w:val="Body"/>
              <w:ind w:left="0"/>
              <w:jc w:val="center"/>
              <w:rPr>
                <w:rFonts w:cs="Arial"/>
                <w:szCs w:val="20"/>
              </w:rPr>
            </w:pPr>
            <w:r w:rsidRPr="002F357B">
              <w:rPr>
                <w:szCs w:val="20"/>
              </w:rPr>
              <w:t>23,</w:t>
            </w:r>
            <w:r w:rsidR="004A1190" w:rsidRPr="002F357B">
              <w:rPr>
                <w:szCs w:val="20"/>
              </w:rPr>
              <w:t>590</w:t>
            </w:r>
          </w:p>
        </w:tc>
        <w:tc>
          <w:tcPr>
            <w:tcW w:w="1250" w:type="pct"/>
            <w:vAlign w:val="bottom"/>
          </w:tcPr>
          <w:p w14:paraId="1C65384F" w14:textId="77777777" w:rsidR="000217E8" w:rsidRPr="002F357B" w:rsidRDefault="004A1190" w:rsidP="001C1361">
            <w:pPr>
              <w:pStyle w:val="Body"/>
              <w:ind w:left="0"/>
              <w:jc w:val="center"/>
              <w:rPr>
                <w:rFonts w:cs="Arial"/>
                <w:szCs w:val="20"/>
              </w:rPr>
            </w:pPr>
            <w:r w:rsidRPr="002F357B">
              <w:rPr>
                <w:rFonts w:cs="Arial"/>
                <w:color w:val="000000"/>
                <w:szCs w:val="20"/>
              </w:rPr>
              <w:t xml:space="preserve"> $120 - $180 </w:t>
            </w:r>
          </w:p>
        </w:tc>
        <w:tc>
          <w:tcPr>
            <w:tcW w:w="1250" w:type="pct"/>
            <w:vAlign w:val="bottom"/>
          </w:tcPr>
          <w:p w14:paraId="722DF787" w14:textId="77777777" w:rsidR="000217E8" w:rsidRPr="002F357B" w:rsidRDefault="004A1190" w:rsidP="001C1361">
            <w:pPr>
              <w:pStyle w:val="Body"/>
              <w:ind w:left="0"/>
              <w:jc w:val="center"/>
              <w:rPr>
                <w:rFonts w:cs="Arial"/>
                <w:szCs w:val="20"/>
              </w:rPr>
            </w:pPr>
            <w:r w:rsidRPr="002F357B">
              <w:rPr>
                <w:szCs w:val="20"/>
              </w:rPr>
              <w:t xml:space="preserve"> </w:t>
            </w:r>
            <w:r w:rsidR="001C1361" w:rsidRPr="002F357B">
              <w:rPr>
                <w:szCs w:val="20"/>
              </w:rPr>
              <w:t>$2.</w:t>
            </w:r>
            <w:r w:rsidR="00AE2FDC" w:rsidRPr="002F357B">
              <w:rPr>
                <w:szCs w:val="20"/>
              </w:rPr>
              <w:t>1 - $</w:t>
            </w:r>
            <w:r w:rsidR="001C1361" w:rsidRPr="002F357B">
              <w:rPr>
                <w:szCs w:val="20"/>
              </w:rPr>
              <w:t>3</w:t>
            </w:r>
            <w:r w:rsidR="00AE2FDC" w:rsidRPr="002F357B">
              <w:rPr>
                <w:szCs w:val="20"/>
              </w:rPr>
              <w:t>.1</w:t>
            </w:r>
            <w:r w:rsidR="001C1361" w:rsidRPr="002F357B">
              <w:rPr>
                <w:szCs w:val="20"/>
              </w:rPr>
              <w:t xml:space="preserve"> </w:t>
            </w:r>
          </w:p>
        </w:tc>
      </w:tr>
      <w:tr w:rsidR="0021047A" w14:paraId="04D96418" w14:textId="77777777" w:rsidTr="00FF2E89">
        <w:trPr>
          <w:jc w:val="center"/>
        </w:trPr>
        <w:tc>
          <w:tcPr>
            <w:tcW w:w="1218" w:type="pct"/>
          </w:tcPr>
          <w:p w14:paraId="40CD3E1F" w14:textId="77777777" w:rsidR="000217E8" w:rsidRPr="002F357B" w:rsidRDefault="000217E8" w:rsidP="00545D03">
            <w:pPr>
              <w:pStyle w:val="Body"/>
              <w:ind w:left="0"/>
              <w:rPr>
                <w:szCs w:val="20"/>
              </w:rPr>
            </w:pPr>
            <w:r w:rsidRPr="002F357B">
              <w:rPr>
                <w:szCs w:val="20"/>
              </w:rPr>
              <w:t>Southland</w:t>
            </w:r>
          </w:p>
        </w:tc>
        <w:tc>
          <w:tcPr>
            <w:tcW w:w="641" w:type="pct"/>
            <w:vAlign w:val="bottom"/>
          </w:tcPr>
          <w:p w14:paraId="1CD4F824" w14:textId="77777777" w:rsidR="000217E8" w:rsidRPr="002F357B" w:rsidRDefault="001C1361" w:rsidP="001C1361">
            <w:pPr>
              <w:pStyle w:val="Body"/>
              <w:ind w:left="0"/>
              <w:jc w:val="center"/>
              <w:rPr>
                <w:rFonts w:cs="Arial"/>
                <w:szCs w:val="20"/>
              </w:rPr>
            </w:pPr>
            <w:r w:rsidRPr="002F357B">
              <w:rPr>
                <w:szCs w:val="20"/>
              </w:rPr>
              <w:t>14</w:t>
            </w:r>
          </w:p>
        </w:tc>
        <w:tc>
          <w:tcPr>
            <w:tcW w:w="641" w:type="pct"/>
            <w:vAlign w:val="bottom"/>
          </w:tcPr>
          <w:p w14:paraId="31403E7E" w14:textId="77777777" w:rsidR="000217E8" w:rsidRPr="002F357B" w:rsidRDefault="001C1361" w:rsidP="001C1361">
            <w:pPr>
              <w:pStyle w:val="Body"/>
              <w:ind w:left="0"/>
              <w:jc w:val="center"/>
              <w:rPr>
                <w:rFonts w:cs="Arial"/>
                <w:szCs w:val="20"/>
              </w:rPr>
            </w:pPr>
            <w:r w:rsidRPr="002F357B">
              <w:rPr>
                <w:szCs w:val="20"/>
              </w:rPr>
              <w:t>20,</w:t>
            </w:r>
            <w:r w:rsidR="004A1190" w:rsidRPr="002F357B">
              <w:rPr>
                <w:szCs w:val="20"/>
              </w:rPr>
              <w:t>150</w:t>
            </w:r>
          </w:p>
        </w:tc>
        <w:tc>
          <w:tcPr>
            <w:tcW w:w="1250" w:type="pct"/>
            <w:vAlign w:val="bottom"/>
          </w:tcPr>
          <w:p w14:paraId="08AA3135" w14:textId="77777777" w:rsidR="000217E8" w:rsidRPr="002F357B" w:rsidRDefault="004A1190" w:rsidP="001C1361">
            <w:pPr>
              <w:pStyle w:val="Body"/>
              <w:ind w:left="0"/>
              <w:jc w:val="center"/>
              <w:rPr>
                <w:rFonts w:cs="Arial"/>
                <w:szCs w:val="20"/>
              </w:rPr>
            </w:pPr>
            <w:r w:rsidRPr="002F357B">
              <w:rPr>
                <w:rFonts w:cs="Arial"/>
                <w:color w:val="000000"/>
                <w:szCs w:val="20"/>
              </w:rPr>
              <w:t xml:space="preserve"> $84 - $130 </w:t>
            </w:r>
          </w:p>
        </w:tc>
        <w:tc>
          <w:tcPr>
            <w:tcW w:w="1250" w:type="pct"/>
            <w:vAlign w:val="bottom"/>
          </w:tcPr>
          <w:p w14:paraId="042E7209" w14:textId="77777777" w:rsidR="000217E8" w:rsidRPr="002F357B" w:rsidRDefault="004A1190" w:rsidP="001C1361">
            <w:pPr>
              <w:pStyle w:val="Body"/>
              <w:ind w:left="0"/>
              <w:jc w:val="center"/>
              <w:rPr>
                <w:rFonts w:cs="Arial"/>
                <w:szCs w:val="20"/>
              </w:rPr>
            </w:pPr>
            <w:r w:rsidRPr="002F357B">
              <w:rPr>
                <w:szCs w:val="20"/>
              </w:rPr>
              <w:t xml:space="preserve"> </w:t>
            </w:r>
            <w:r w:rsidR="001C1361" w:rsidRPr="002F357B">
              <w:rPr>
                <w:szCs w:val="20"/>
              </w:rPr>
              <w:t>$1.</w:t>
            </w:r>
            <w:r w:rsidRPr="002F357B">
              <w:rPr>
                <w:szCs w:val="20"/>
              </w:rPr>
              <w:t>6</w:t>
            </w:r>
            <w:r w:rsidR="001C1361" w:rsidRPr="002F357B">
              <w:rPr>
                <w:szCs w:val="20"/>
              </w:rPr>
              <w:t xml:space="preserve"> - $2.</w:t>
            </w:r>
            <w:r w:rsidRPr="002F357B">
              <w:rPr>
                <w:szCs w:val="20"/>
              </w:rPr>
              <w:t>4</w:t>
            </w:r>
            <w:r w:rsidR="001C1361" w:rsidRPr="002F357B">
              <w:rPr>
                <w:szCs w:val="20"/>
              </w:rPr>
              <w:t xml:space="preserve"> </w:t>
            </w:r>
          </w:p>
        </w:tc>
      </w:tr>
      <w:tr w:rsidR="0021047A" w14:paraId="0396EA71" w14:textId="77777777" w:rsidTr="00FF2E89">
        <w:trPr>
          <w:jc w:val="center"/>
        </w:trPr>
        <w:tc>
          <w:tcPr>
            <w:tcW w:w="1218" w:type="pct"/>
          </w:tcPr>
          <w:p w14:paraId="22E18F43" w14:textId="77777777" w:rsidR="000217E8" w:rsidRPr="002F357B" w:rsidRDefault="000217E8" w:rsidP="00545D03">
            <w:pPr>
              <w:pStyle w:val="Body"/>
              <w:ind w:left="0"/>
              <w:rPr>
                <w:szCs w:val="20"/>
              </w:rPr>
            </w:pPr>
            <w:r w:rsidRPr="002F357B">
              <w:rPr>
                <w:szCs w:val="20"/>
              </w:rPr>
              <w:t>Taranaki</w:t>
            </w:r>
          </w:p>
        </w:tc>
        <w:tc>
          <w:tcPr>
            <w:tcW w:w="641" w:type="pct"/>
            <w:vAlign w:val="bottom"/>
          </w:tcPr>
          <w:p w14:paraId="4241CD10" w14:textId="77777777" w:rsidR="000217E8" w:rsidRPr="002F357B" w:rsidRDefault="001C1361" w:rsidP="001C1361">
            <w:pPr>
              <w:pStyle w:val="Body"/>
              <w:ind w:left="0"/>
              <w:jc w:val="center"/>
              <w:rPr>
                <w:rFonts w:cs="Arial"/>
                <w:szCs w:val="20"/>
              </w:rPr>
            </w:pPr>
            <w:r w:rsidRPr="002F357B">
              <w:rPr>
                <w:szCs w:val="20"/>
              </w:rPr>
              <w:t>5</w:t>
            </w:r>
          </w:p>
        </w:tc>
        <w:tc>
          <w:tcPr>
            <w:tcW w:w="641" w:type="pct"/>
            <w:vAlign w:val="bottom"/>
          </w:tcPr>
          <w:p w14:paraId="7164C2D7" w14:textId="77777777" w:rsidR="000217E8" w:rsidRPr="002F357B" w:rsidRDefault="001C1361" w:rsidP="001C1361">
            <w:pPr>
              <w:pStyle w:val="Body"/>
              <w:ind w:left="0"/>
              <w:jc w:val="center"/>
              <w:rPr>
                <w:rFonts w:cs="Arial"/>
                <w:szCs w:val="20"/>
              </w:rPr>
            </w:pPr>
            <w:r w:rsidRPr="002F357B">
              <w:rPr>
                <w:szCs w:val="20"/>
              </w:rPr>
              <w:t>9,</w:t>
            </w:r>
            <w:r w:rsidR="004A1190" w:rsidRPr="002F357B">
              <w:rPr>
                <w:szCs w:val="20"/>
              </w:rPr>
              <w:t>620</w:t>
            </w:r>
          </w:p>
        </w:tc>
        <w:tc>
          <w:tcPr>
            <w:tcW w:w="1250" w:type="pct"/>
            <w:vAlign w:val="bottom"/>
          </w:tcPr>
          <w:p w14:paraId="41939EC0" w14:textId="77777777" w:rsidR="000217E8" w:rsidRPr="002F357B" w:rsidRDefault="004A1190" w:rsidP="001C1361">
            <w:pPr>
              <w:pStyle w:val="Body"/>
              <w:ind w:left="0"/>
              <w:jc w:val="center"/>
              <w:rPr>
                <w:rFonts w:cs="Arial"/>
                <w:szCs w:val="20"/>
              </w:rPr>
            </w:pPr>
            <w:r w:rsidRPr="002F357B">
              <w:rPr>
                <w:rFonts w:cs="Arial"/>
                <w:color w:val="000000"/>
                <w:szCs w:val="20"/>
              </w:rPr>
              <w:t xml:space="preserve"> $74 - $110 </w:t>
            </w:r>
          </w:p>
        </w:tc>
        <w:tc>
          <w:tcPr>
            <w:tcW w:w="1250" w:type="pct"/>
            <w:vAlign w:val="bottom"/>
          </w:tcPr>
          <w:p w14:paraId="573E1420" w14:textId="77777777" w:rsidR="000217E8" w:rsidRPr="002F357B" w:rsidRDefault="004A1190" w:rsidP="001C1361">
            <w:pPr>
              <w:pStyle w:val="Body"/>
              <w:ind w:left="0"/>
              <w:jc w:val="center"/>
              <w:rPr>
                <w:rFonts w:cs="Arial"/>
                <w:szCs w:val="20"/>
              </w:rPr>
            </w:pPr>
            <w:r w:rsidRPr="002F357B">
              <w:rPr>
                <w:szCs w:val="20"/>
              </w:rPr>
              <w:t xml:space="preserve"> </w:t>
            </w:r>
            <w:r w:rsidR="001C1361" w:rsidRPr="002F357B">
              <w:rPr>
                <w:szCs w:val="20"/>
              </w:rPr>
              <w:t>$2.</w:t>
            </w:r>
            <w:r w:rsidRPr="002F357B">
              <w:rPr>
                <w:szCs w:val="20"/>
              </w:rPr>
              <w:t>6</w:t>
            </w:r>
            <w:r w:rsidR="001C1361" w:rsidRPr="002F357B">
              <w:rPr>
                <w:szCs w:val="20"/>
              </w:rPr>
              <w:t xml:space="preserve"> - $3.</w:t>
            </w:r>
            <w:r w:rsidRPr="002F357B">
              <w:rPr>
                <w:szCs w:val="20"/>
              </w:rPr>
              <w:t>8</w:t>
            </w:r>
            <w:r w:rsidR="001C1361" w:rsidRPr="002F357B">
              <w:rPr>
                <w:szCs w:val="20"/>
              </w:rPr>
              <w:t xml:space="preserve"> </w:t>
            </w:r>
          </w:p>
        </w:tc>
      </w:tr>
      <w:tr w:rsidR="0021047A" w14:paraId="022146E1" w14:textId="77777777" w:rsidTr="00FF2E89">
        <w:trPr>
          <w:jc w:val="center"/>
        </w:trPr>
        <w:tc>
          <w:tcPr>
            <w:tcW w:w="1218" w:type="pct"/>
          </w:tcPr>
          <w:p w14:paraId="4FACAA38" w14:textId="77777777" w:rsidR="000217E8" w:rsidRPr="002F357B" w:rsidRDefault="000217E8" w:rsidP="00545D03">
            <w:pPr>
              <w:pStyle w:val="Body"/>
              <w:ind w:left="0"/>
              <w:rPr>
                <w:szCs w:val="20"/>
              </w:rPr>
            </w:pPr>
            <w:r w:rsidRPr="002F357B">
              <w:rPr>
                <w:szCs w:val="20"/>
              </w:rPr>
              <w:t>Tasman</w:t>
            </w:r>
          </w:p>
        </w:tc>
        <w:tc>
          <w:tcPr>
            <w:tcW w:w="641" w:type="pct"/>
            <w:vAlign w:val="bottom"/>
          </w:tcPr>
          <w:p w14:paraId="2E0B16E3" w14:textId="77777777" w:rsidR="000217E8" w:rsidRPr="002F357B" w:rsidRDefault="001C1361" w:rsidP="001C1361">
            <w:pPr>
              <w:pStyle w:val="Body"/>
              <w:ind w:left="0"/>
              <w:jc w:val="center"/>
              <w:rPr>
                <w:rFonts w:cs="Arial"/>
                <w:szCs w:val="20"/>
              </w:rPr>
            </w:pPr>
            <w:r w:rsidRPr="002F357B">
              <w:rPr>
                <w:szCs w:val="20"/>
              </w:rPr>
              <w:t>3</w:t>
            </w:r>
          </w:p>
        </w:tc>
        <w:tc>
          <w:tcPr>
            <w:tcW w:w="641" w:type="pct"/>
            <w:vAlign w:val="bottom"/>
          </w:tcPr>
          <w:p w14:paraId="7A79D58F" w14:textId="77777777" w:rsidR="000217E8" w:rsidRPr="002F357B" w:rsidRDefault="001C1361" w:rsidP="001C1361">
            <w:pPr>
              <w:pStyle w:val="Body"/>
              <w:ind w:left="0"/>
              <w:jc w:val="center"/>
              <w:rPr>
                <w:rFonts w:cs="Arial"/>
                <w:szCs w:val="20"/>
              </w:rPr>
            </w:pPr>
            <w:r w:rsidRPr="002F357B">
              <w:rPr>
                <w:szCs w:val="20"/>
              </w:rPr>
              <w:t>2,</w:t>
            </w:r>
            <w:r w:rsidR="004A1190" w:rsidRPr="002F357B">
              <w:rPr>
                <w:szCs w:val="20"/>
              </w:rPr>
              <w:t>580</w:t>
            </w:r>
          </w:p>
        </w:tc>
        <w:tc>
          <w:tcPr>
            <w:tcW w:w="1250" w:type="pct"/>
            <w:vAlign w:val="bottom"/>
          </w:tcPr>
          <w:p w14:paraId="2F02B9A6" w14:textId="77777777" w:rsidR="000217E8" w:rsidRPr="002F357B" w:rsidRDefault="004A1190" w:rsidP="001C1361">
            <w:pPr>
              <w:pStyle w:val="Body"/>
              <w:ind w:left="0"/>
              <w:jc w:val="center"/>
              <w:rPr>
                <w:rFonts w:cs="Arial"/>
                <w:szCs w:val="20"/>
              </w:rPr>
            </w:pPr>
            <w:r w:rsidRPr="002F357B">
              <w:rPr>
                <w:rFonts w:cs="Arial"/>
                <w:color w:val="000000"/>
                <w:szCs w:val="20"/>
              </w:rPr>
              <w:t xml:space="preserve"> </w:t>
            </w:r>
            <w:r w:rsidR="001C1361" w:rsidRPr="002F357B">
              <w:rPr>
                <w:rFonts w:cs="Arial"/>
                <w:color w:val="000000"/>
                <w:szCs w:val="20"/>
              </w:rPr>
              <w:t>$16 - $24</w:t>
            </w:r>
            <w:r w:rsidRPr="002F357B">
              <w:rPr>
                <w:rFonts w:cs="Arial"/>
                <w:color w:val="000000"/>
                <w:szCs w:val="20"/>
              </w:rPr>
              <w:t xml:space="preserve"> </w:t>
            </w:r>
          </w:p>
        </w:tc>
        <w:tc>
          <w:tcPr>
            <w:tcW w:w="1250" w:type="pct"/>
            <w:vAlign w:val="bottom"/>
          </w:tcPr>
          <w:p w14:paraId="1698E1F6" w14:textId="77777777" w:rsidR="000217E8" w:rsidRPr="002F357B" w:rsidRDefault="004A1190" w:rsidP="001C1361">
            <w:pPr>
              <w:pStyle w:val="Body"/>
              <w:ind w:left="0"/>
              <w:jc w:val="center"/>
              <w:rPr>
                <w:rFonts w:cs="Arial"/>
                <w:szCs w:val="20"/>
              </w:rPr>
            </w:pPr>
            <w:r w:rsidRPr="002F357B">
              <w:rPr>
                <w:szCs w:val="20"/>
              </w:rPr>
              <w:t xml:space="preserve"> </w:t>
            </w:r>
            <w:r w:rsidR="001C1361" w:rsidRPr="002F357B">
              <w:rPr>
                <w:szCs w:val="20"/>
              </w:rPr>
              <w:t xml:space="preserve">$0.22 - $0.32 </w:t>
            </w:r>
          </w:p>
        </w:tc>
      </w:tr>
      <w:tr w:rsidR="0021047A" w14:paraId="3F886218" w14:textId="77777777" w:rsidTr="00FF2E89">
        <w:trPr>
          <w:jc w:val="center"/>
        </w:trPr>
        <w:tc>
          <w:tcPr>
            <w:tcW w:w="1218" w:type="pct"/>
          </w:tcPr>
          <w:p w14:paraId="51A8D52B" w14:textId="77777777" w:rsidR="000217E8" w:rsidRPr="002F357B" w:rsidRDefault="000217E8" w:rsidP="00545D03">
            <w:pPr>
              <w:pStyle w:val="Body"/>
              <w:ind w:left="0"/>
              <w:rPr>
                <w:szCs w:val="20"/>
              </w:rPr>
            </w:pPr>
            <w:r w:rsidRPr="002F357B">
              <w:rPr>
                <w:szCs w:val="20"/>
              </w:rPr>
              <w:t>Waikato</w:t>
            </w:r>
          </w:p>
        </w:tc>
        <w:tc>
          <w:tcPr>
            <w:tcW w:w="641" w:type="pct"/>
            <w:vAlign w:val="bottom"/>
          </w:tcPr>
          <w:p w14:paraId="5506ABA3" w14:textId="77777777" w:rsidR="000217E8" w:rsidRPr="002F357B" w:rsidRDefault="00815FED" w:rsidP="001C1361">
            <w:pPr>
              <w:pStyle w:val="Body"/>
              <w:ind w:left="0"/>
              <w:jc w:val="center"/>
              <w:rPr>
                <w:rFonts w:cs="Arial"/>
                <w:szCs w:val="20"/>
              </w:rPr>
            </w:pPr>
            <w:r w:rsidRPr="002F357B">
              <w:rPr>
                <w:szCs w:val="20"/>
              </w:rPr>
              <w:t>23</w:t>
            </w:r>
          </w:p>
        </w:tc>
        <w:tc>
          <w:tcPr>
            <w:tcW w:w="641" w:type="pct"/>
            <w:vAlign w:val="bottom"/>
          </w:tcPr>
          <w:p w14:paraId="7BF374F6" w14:textId="77777777" w:rsidR="000217E8" w:rsidRPr="002F357B" w:rsidRDefault="00815FED" w:rsidP="001C1361">
            <w:pPr>
              <w:pStyle w:val="Body"/>
              <w:ind w:left="0"/>
              <w:jc w:val="center"/>
              <w:rPr>
                <w:rFonts w:cs="Arial"/>
                <w:szCs w:val="20"/>
              </w:rPr>
            </w:pPr>
            <w:r w:rsidRPr="002F357B">
              <w:rPr>
                <w:szCs w:val="20"/>
              </w:rPr>
              <w:t>117,340</w:t>
            </w:r>
          </w:p>
        </w:tc>
        <w:tc>
          <w:tcPr>
            <w:tcW w:w="1250" w:type="pct"/>
            <w:vAlign w:val="bottom"/>
          </w:tcPr>
          <w:p w14:paraId="45DAFF06" w14:textId="77777777" w:rsidR="000217E8" w:rsidRPr="002F357B" w:rsidRDefault="004A1190" w:rsidP="001C1361">
            <w:pPr>
              <w:pStyle w:val="Body"/>
              <w:ind w:left="0"/>
              <w:jc w:val="center"/>
              <w:rPr>
                <w:rFonts w:cs="Arial"/>
                <w:szCs w:val="20"/>
              </w:rPr>
            </w:pPr>
            <w:r w:rsidRPr="002F357B">
              <w:rPr>
                <w:rFonts w:cs="Arial"/>
                <w:color w:val="000000"/>
                <w:szCs w:val="20"/>
              </w:rPr>
              <w:t xml:space="preserve"> $240 - $360 </w:t>
            </w:r>
          </w:p>
        </w:tc>
        <w:tc>
          <w:tcPr>
            <w:tcW w:w="1250" w:type="pct"/>
            <w:vAlign w:val="bottom"/>
          </w:tcPr>
          <w:p w14:paraId="7D76542E" w14:textId="77777777" w:rsidR="000217E8" w:rsidRPr="002F357B" w:rsidRDefault="00AE2FDC" w:rsidP="001C1361">
            <w:pPr>
              <w:pStyle w:val="Body"/>
              <w:ind w:left="0"/>
              <w:jc w:val="center"/>
              <w:rPr>
                <w:rFonts w:cs="Arial"/>
                <w:szCs w:val="20"/>
              </w:rPr>
            </w:pPr>
            <w:r w:rsidRPr="002F357B">
              <w:rPr>
                <w:szCs w:val="20"/>
              </w:rPr>
              <w:t xml:space="preserve"> $6.5 - $9.7 </w:t>
            </w:r>
          </w:p>
        </w:tc>
      </w:tr>
      <w:tr w:rsidR="0021047A" w14:paraId="6E95190A" w14:textId="77777777" w:rsidTr="00FF2E89">
        <w:trPr>
          <w:jc w:val="center"/>
        </w:trPr>
        <w:tc>
          <w:tcPr>
            <w:tcW w:w="1218" w:type="pct"/>
          </w:tcPr>
          <w:p w14:paraId="6E281672" w14:textId="77777777" w:rsidR="000217E8" w:rsidRPr="002F357B" w:rsidRDefault="000217E8" w:rsidP="00545D03">
            <w:pPr>
              <w:pStyle w:val="Body"/>
              <w:ind w:left="0"/>
              <w:rPr>
                <w:szCs w:val="20"/>
              </w:rPr>
            </w:pPr>
            <w:r w:rsidRPr="002F357B">
              <w:rPr>
                <w:szCs w:val="20"/>
              </w:rPr>
              <w:t>Wellington</w:t>
            </w:r>
          </w:p>
        </w:tc>
        <w:tc>
          <w:tcPr>
            <w:tcW w:w="641" w:type="pct"/>
            <w:vAlign w:val="bottom"/>
          </w:tcPr>
          <w:p w14:paraId="12F20A8E" w14:textId="77777777" w:rsidR="000217E8" w:rsidRPr="002F357B" w:rsidRDefault="00815FED" w:rsidP="001C1361">
            <w:pPr>
              <w:pStyle w:val="Body"/>
              <w:ind w:left="0"/>
              <w:jc w:val="center"/>
              <w:rPr>
                <w:rFonts w:cs="Arial"/>
                <w:szCs w:val="20"/>
              </w:rPr>
            </w:pPr>
            <w:r w:rsidRPr="002F357B">
              <w:rPr>
                <w:szCs w:val="20"/>
              </w:rPr>
              <w:t>6</w:t>
            </w:r>
          </w:p>
        </w:tc>
        <w:tc>
          <w:tcPr>
            <w:tcW w:w="641" w:type="pct"/>
            <w:vAlign w:val="bottom"/>
          </w:tcPr>
          <w:p w14:paraId="6A8B95B7" w14:textId="77777777" w:rsidR="000217E8" w:rsidRPr="002F357B" w:rsidRDefault="00815FED" w:rsidP="001C1361">
            <w:pPr>
              <w:pStyle w:val="Body"/>
              <w:ind w:left="0"/>
              <w:jc w:val="center"/>
              <w:rPr>
                <w:rFonts w:cs="Arial"/>
                <w:szCs w:val="20"/>
              </w:rPr>
            </w:pPr>
            <w:r w:rsidRPr="002F357B">
              <w:rPr>
                <w:szCs w:val="20"/>
              </w:rPr>
              <w:t>39,630</w:t>
            </w:r>
          </w:p>
        </w:tc>
        <w:tc>
          <w:tcPr>
            <w:tcW w:w="1250" w:type="pct"/>
            <w:vAlign w:val="bottom"/>
          </w:tcPr>
          <w:p w14:paraId="07FB8D29" w14:textId="77777777" w:rsidR="000217E8" w:rsidRPr="002F357B" w:rsidRDefault="004A1190" w:rsidP="001C1361">
            <w:pPr>
              <w:pStyle w:val="Body"/>
              <w:ind w:left="0"/>
              <w:jc w:val="center"/>
              <w:rPr>
                <w:rFonts w:cs="Arial"/>
                <w:szCs w:val="20"/>
              </w:rPr>
            </w:pPr>
            <w:r w:rsidRPr="002F357B">
              <w:rPr>
                <w:rFonts w:cs="Arial"/>
                <w:color w:val="000000"/>
                <w:szCs w:val="20"/>
              </w:rPr>
              <w:t xml:space="preserve"> $130</w:t>
            </w:r>
            <w:r w:rsidR="001C1361" w:rsidRPr="002F357B">
              <w:rPr>
                <w:rFonts w:cs="Arial"/>
                <w:color w:val="000000"/>
                <w:szCs w:val="20"/>
              </w:rPr>
              <w:t xml:space="preserve"> - $200</w:t>
            </w:r>
            <w:r w:rsidRPr="002F357B">
              <w:rPr>
                <w:rFonts w:cs="Arial"/>
                <w:color w:val="000000"/>
                <w:szCs w:val="20"/>
              </w:rPr>
              <w:t xml:space="preserve"> </w:t>
            </w:r>
          </w:p>
        </w:tc>
        <w:tc>
          <w:tcPr>
            <w:tcW w:w="1250" w:type="pct"/>
            <w:vAlign w:val="bottom"/>
          </w:tcPr>
          <w:p w14:paraId="58632526" w14:textId="77777777" w:rsidR="000217E8" w:rsidRPr="002F357B" w:rsidRDefault="00AE2FDC" w:rsidP="001C1361">
            <w:pPr>
              <w:pStyle w:val="Body"/>
              <w:ind w:left="0"/>
              <w:jc w:val="center"/>
              <w:rPr>
                <w:rFonts w:cs="Arial"/>
                <w:szCs w:val="20"/>
              </w:rPr>
            </w:pPr>
            <w:r w:rsidRPr="002F357B">
              <w:rPr>
                <w:szCs w:val="20"/>
              </w:rPr>
              <w:t xml:space="preserve"> $4.8 -</w:t>
            </w:r>
            <w:r w:rsidR="004A1190" w:rsidRPr="002F357B">
              <w:rPr>
                <w:szCs w:val="20"/>
              </w:rPr>
              <w:t xml:space="preserve"> $7.2 </w:t>
            </w:r>
          </w:p>
        </w:tc>
      </w:tr>
      <w:tr w:rsidR="0021047A" w14:paraId="01B81645" w14:textId="77777777" w:rsidTr="00FF2E89">
        <w:trPr>
          <w:jc w:val="center"/>
        </w:trPr>
        <w:tc>
          <w:tcPr>
            <w:tcW w:w="1218" w:type="pct"/>
          </w:tcPr>
          <w:p w14:paraId="68EE8699" w14:textId="77777777" w:rsidR="000217E8" w:rsidRPr="002F357B" w:rsidRDefault="000217E8" w:rsidP="00545D03">
            <w:pPr>
              <w:pStyle w:val="Body"/>
              <w:ind w:left="0"/>
              <w:rPr>
                <w:szCs w:val="20"/>
              </w:rPr>
            </w:pPr>
            <w:r w:rsidRPr="002F357B">
              <w:rPr>
                <w:szCs w:val="20"/>
              </w:rPr>
              <w:t>West Coast</w:t>
            </w:r>
          </w:p>
        </w:tc>
        <w:tc>
          <w:tcPr>
            <w:tcW w:w="641" w:type="pct"/>
            <w:vAlign w:val="bottom"/>
          </w:tcPr>
          <w:p w14:paraId="21AE8010" w14:textId="77777777" w:rsidR="000217E8" w:rsidRPr="002F357B" w:rsidRDefault="001C1361" w:rsidP="001C1361">
            <w:pPr>
              <w:pStyle w:val="Body"/>
              <w:ind w:left="0"/>
              <w:jc w:val="center"/>
              <w:rPr>
                <w:rFonts w:cs="Arial"/>
                <w:szCs w:val="20"/>
              </w:rPr>
            </w:pPr>
            <w:r w:rsidRPr="002F357B">
              <w:rPr>
                <w:szCs w:val="20"/>
              </w:rPr>
              <w:t>10</w:t>
            </w:r>
          </w:p>
        </w:tc>
        <w:tc>
          <w:tcPr>
            <w:tcW w:w="641" w:type="pct"/>
            <w:vAlign w:val="bottom"/>
          </w:tcPr>
          <w:p w14:paraId="3E73AF8B" w14:textId="77777777" w:rsidR="000217E8" w:rsidRPr="002F357B" w:rsidRDefault="001C1361" w:rsidP="001C1361">
            <w:pPr>
              <w:pStyle w:val="Body"/>
              <w:ind w:left="0"/>
              <w:jc w:val="center"/>
              <w:rPr>
                <w:rFonts w:cs="Arial"/>
                <w:szCs w:val="20"/>
              </w:rPr>
            </w:pPr>
            <w:r w:rsidRPr="002F357B">
              <w:rPr>
                <w:szCs w:val="20"/>
              </w:rPr>
              <w:t>18,060</w:t>
            </w:r>
          </w:p>
        </w:tc>
        <w:tc>
          <w:tcPr>
            <w:tcW w:w="1250" w:type="pct"/>
            <w:vAlign w:val="bottom"/>
          </w:tcPr>
          <w:p w14:paraId="77223724" w14:textId="77777777" w:rsidR="000217E8" w:rsidRPr="002F357B" w:rsidRDefault="004A1190" w:rsidP="001C1361">
            <w:pPr>
              <w:pStyle w:val="Body"/>
              <w:ind w:left="0"/>
              <w:jc w:val="center"/>
              <w:rPr>
                <w:rFonts w:cs="Arial"/>
                <w:szCs w:val="20"/>
              </w:rPr>
            </w:pPr>
            <w:r w:rsidRPr="002F357B">
              <w:rPr>
                <w:rFonts w:cs="Arial"/>
                <w:color w:val="000000"/>
                <w:szCs w:val="20"/>
              </w:rPr>
              <w:t xml:space="preserve"> $120 - $180 </w:t>
            </w:r>
          </w:p>
        </w:tc>
        <w:tc>
          <w:tcPr>
            <w:tcW w:w="1250" w:type="pct"/>
            <w:vAlign w:val="bottom"/>
          </w:tcPr>
          <w:p w14:paraId="76AA6380" w14:textId="77777777" w:rsidR="000217E8" w:rsidRPr="002F357B" w:rsidRDefault="004A1190" w:rsidP="001C1361">
            <w:pPr>
              <w:pStyle w:val="Body"/>
              <w:ind w:left="0"/>
              <w:jc w:val="center"/>
              <w:rPr>
                <w:rFonts w:cs="Arial"/>
                <w:szCs w:val="20"/>
              </w:rPr>
            </w:pPr>
            <w:r w:rsidRPr="002F357B">
              <w:rPr>
                <w:szCs w:val="20"/>
              </w:rPr>
              <w:t xml:space="preserve"> </w:t>
            </w:r>
            <w:r w:rsidR="001C1361" w:rsidRPr="002F357B">
              <w:rPr>
                <w:szCs w:val="20"/>
              </w:rPr>
              <w:t>$3.</w:t>
            </w:r>
            <w:r w:rsidR="00AE2FDC" w:rsidRPr="002F357B">
              <w:rPr>
                <w:szCs w:val="20"/>
              </w:rPr>
              <w:t>1 - $</w:t>
            </w:r>
            <w:r w:rsidRPr="002F357B">
              <w:rPr>
                <w:szCs w:val="20"/>
              </w:rPr>
              <w:t>4</w:t>
            </w:r>
            <w:r w:rsidR="00AE2FDC" w:rsidRPr="002F357B">
              <w:rPr>
                <w:szCs w:val="20"/>
              </w:rPr>
              <w:t>.7</w:t>
            </w:r>
            <w:r w:rsidR="001C1361" w:rsidRPr="002F357B">
              <w:rPr>
                <w:szCs w:val="20"/>
              </w:rPr>
              <w:t xml:space="preserve"> </w:t>
            </w:r>
          </w:p>
        </w:tc>
      </w:tr>
      <w:tr w:rsidR="0021047A" w14:paraId="2E2CC82A" w14:textId="77777777" w:rsidTr="00FF2E89">
        <w:trPr>
          <w:jc w:val="center"/>
        </w:trPr>
        <w:tc>
          <w:tcPr>
            <w:tcW w:w="1218" w:type="pct"/>
          </w:tcPr>
          <w:p w14:paraId="0E3B16C8" w14:textId="77777777" w:rsidR="000217E8" w:rsidRPr="002F357B" w:rsidRDefault="000217E8" w:rsidP="00545D03">
            <w:pPr>
              <w:pStyle w:val="Body"/>
              <w:ind w:left="0"/>
              <w:rPr>
                <w:b/>
                <w:szCs w:val="20"/>
              </w:rPr>
            </w:pPr>
            <w:r w:rsidRPr="002F357B">
              <w:rPr>
                <w:b/>
                <w:szCs w:val="20"/>
              </w:rPr>
              <w:t>Total</w:t>
            </w:r>
          </w:p>
        </w:tc>
        <w:tc>
          <w:tcPr>
            <w:tcW w:w="641" w:type="pct"/>
            <w:vAlign w:val="bottom"/>
          </w:tcPr>
          <w:p w14:paraId="0BE5B59A" w14:textId="77777777" w:rsidR="000217E8" w:rsidRPr="002F357B" w:rsidRDefault="00815FED" w:rsidP="001C1361">
            <w:pPr>
              <w:pStyle w:val="Body"/>
              <w:ind w:left="0"/>
              <w:jc w:val="center"/>
              <w:rPr>
                <w:rFonts w:cs="Arial"/>
                <w:b/>
                <w:szCs w:val="20"/>
              </w:rPr>
            </w:pPr>
            <w:r w:rsidRPr="002F357B">
              <w:rPr>
                <w:b/>
                <w:szCs w:val="20"/>
              </w:rPr>
              <w:t>145</w:t>
            </w:r>
          </w:p>
        </w:tc>
        <w:tc>
          <w:tcPr>
            <w:tcW w:w="641" w:type="pct"/>
            <w:vAlign w:val="bottom"/>
          </w:tcPr>
          <w:p w14:paraId="06748F3E" w14:textId="77777777" w:rsidR="000217E8" w:rsidRPr="002F357B" w:rsidRDefault="00815FED" w:rsidP="001C1361">
            <w:pPr>
              <w:pStyle w:val="Body"/>
              <w:ind w:left="0"/>
              <w:jc w:val="center"/>
              <w:rPr>
                <w:rFonts w:cs="Arial"/>
                <w:b/>
                <w:szCs w:val="20"/>
              </w:rPr>
            </w:pPr>
            <w:r w:rsidRPr="002F357B">
              <w:rPr>
                <w:b/>
                <w:szCs w:val="20"/>
              </w:rPr>
              <w:t>435,370</w:t>
            </w:r>
          </w:p>
        </w:tc>
        <w:tc>
          <w:tcPr>
            <w:tcW w:w="1250" w:type="pct"/>
            <w:vAlign w:val="bottom"/>
          </w:tcPr>
          <w:p w14:paraId="40A7FD23" w14:textId="77777777" w:rsidR="000217E8" w:rsidRPr="002F357B" w:rsidRDefault="004A1190" w:rsidP="001C1361">
            <w:pPr>
              <w:pStyle w:val="Body"/>
              <w:ind w:left="0"/>
              <w:jc w:val="center"/>
              <w:rPr>
                <w:rFonts w:cs="Arial"/>
                <w:b/>
                <w:szCs w:val="20"/>
              </w:rPr>
            </w:pPr>
            <w:r w:rsidRPr="002F357B">
              <w:rPr>
                <w:rFonts w:cs="Arial"/>
                <w:b/>
                <w:color w:val="000000"/>
                <w:szCs w:val="20"/>
              </w:rPr>
              <w:t xml:space="preserve"> </w:t>
            </w:r>
            <w:r w:rsidR="001C1361" w:rsidRPr="002F357B">
              <w:rPr>
                <w:rFonts w:cs="Arial"/>
                <w:b/>
                <w:color w:val="000000"/>
                <w:szCs w:val="20"/>
              </w:rPr>
              <w:t>$1,</w:t>
            </w:r>
            <w:r w:rsidRPr="002F357B">
              <w:rPr>
                <w:rFonts w:cs="Arial"/>
                <w:b/>
                <w:color w:val="000000"/>
                <w:szCs w:val="20"/>
              </w:rPr>
              <w:t>400</w:t>
            </w:r>
            <w:r w:rsidR="001C1361" w:rsidRPr="002F357B">
              <w:rPr>
                <w:rFonts w:cs="Arial"/>
                <w:b/>
                <w:color w:val="000000"/>
                <w:szCs w:val="20"/>
              </w:rPr>
              <w:t xml:space="preserve"> - $2,</w:t>
            </w:r>
            <w:r w:rsidRPr="002F357B">
              <w:rPr>
                <w:rFonts w:cs="Arial"/>
                <w:b/>
                <w:color w:val="000000"/>
                <w:szCs w:val="20"/>
              </w:rPr>
              <w:t xml:space="preserve">100 </w:t>
            </w:r>
          </w:p>
        </w:tc>
        <w:tc>
          <w:tcPr>
            <w:tcW w:w="1250" w:type="pct"/>
            <w:vAlign w:val="bottom"/>
          </w:tcPr>
          <w:p w14:paraId="07A709BA" w14:textId="77777777" w:rsidR="000217E8" w:rsidRPr="002F357B" w:rsidRDefault="00AE2FDC" w:rsidP="001C1361">
            <w:pPr>
              <w:pStyle w:val="Body"/>
              <w:ind w:left="0"/>
              <w:jc w:val="center"/>
              <w:rPr>
                <w:rFonts w:cs="Arial"/>
                <w:b/>
                <w:szCs w:val="20"/>
              </w:rPr>
            </w:pPr>
            <w:r w:rsidRPr="002F357B">
              <w:rPr>
                <w:szCs w:val="20"/>
              </w:rPr>
              <w:t xml:space="preserve"> </w:t>
            </w:r>
            <w:r w:rsidRPr="002F357B">
              <w:rPr>
                <w:b/>
                <w:szCs w:val="20"/>
              </w:rPr>
              <w:t>$39 -</w:t>
            </w:r>
            <w:r w:rsidR="004A1190" w:rsidRPr="002F357B">
              <w:rPr>
                <w:b/>
                <w:szCs w:val="20"/>
              </w:rPr>
              <w:t xml:space="preserve"> </w:t>
            </w:r>
            <w:r w:rsidR="001C1361" w:rsidRPr="002F357B">
              <w:rPr>
                <w:b/>
                <w:szCs w:val="20"/>
              </w:rPr>
              <w:t xml:space="preserve">$59 </w:t>
            </w:r>
          </w:p>
        </w:tc>
      </w:tr>
    </w:tbl>
    <w:p w14:paraId="0707B174" w14:textId="77777777" w:rsidR="005E207C" w:rsidRDefault="005E207C" w:rsidP="00F37527">
      <w:pPr>
        <w:pStyle w:val="Body"/>
      </w:pPr>
    </w:p>
    <w:p w14:paraId="4D2F597A" w14:textId="77777777" w:rsidR="003D385D" w:rsidRDefault="009859BE" w:rsidP="00E66F34">
      <w:pPr>
        <w:pStyle w:val="Body"/>
        <w:ind w:left="0"/>
      </w:pPr>
      <w:r w:rsidRPr="001C1361">
        <w:t>Receiving water quality is influenced by both diffuse and point source contaminant contributions from other activities and land</w:t>
      </w:r>
      <w:r w:rsidR="00B11C8F">
        <w:t xml:space="preserve"> </w:t>
      </w:r>
      <w:r w:rsidRPr="001C1361">
        <w:t xml:space="preserve">uses within the catchments where there are WWTP discharges. </w:t>
      </w:r>
    </w:p>
    <w:p w14:paraId="2C8868D9" w14:textId="77777777" w:rsidR="005E207C" w:rsidRDefault="00F37527" w:rsidP="00E66F34">
      <w:pPr>
        <w:pStyle w:val="Body"/>
        <w:ind w:left="0"/>
      </w:pPr>
      <w:r w:rsidRPr="001C1361">
        <w:t>The study also reviewed the likely contribution of WWTP discharges to receiving water quality</w:t>
      </w:r>
      <w:r w:rsidR="00C67568">
        <w:t>,</w:t>
      </w:r>
      <w:r w:rsidRPr="001C1361">
        <w:t xml:space="preserve"> based on other potential sources of nutrients within </w:t>
      </w:r>
      <w:r w:rsidR="00C67568">
        <w:t>each</w:t>
      </w:r>
      <w:r w:rsidRPr="001C1361">
        <w:t xml:space="preserve"> catchment</w:t>
      </w:r>
      <w:r w:rsidR="00C67568">
        <w:t>,</w:t>
      </w:r>
      <w:r w:rsidRPr="001C1361">
        <w:t xml:space="preserve"> and </w:t>
      </w:r>
      <w:r w:rsidR="00C67568">
        <w:rPr>
          <w:lang w:eastAsia="en-AU"/>
        </w:rPr>
        <w:t xml:space="preserve">the relative flow contribution of each WWTP to its receiving environment (determined by considering mean discharge rates and mean river </w:t>
      </w:r>
      <w:r w:rsidR="00C67568">
        <w:rPr>
          <w:lang w:eastAsia="en-AU"/>
        </w:rPr>
        <w:lastRenderedPageBreak/>
        <w:t>flow rates)</w:t>
      </w:r>
      <w:r w:rsidRPr="001C1361">
        <w:t xml:space="preserve">. </w:t>
      </w:r>
      <w:r>
        <w:t xml:space="preserve">This assessment was used to allocate a </w:t>
      </w:r>
      <w:r w:rsidR="002954B2">
        <w:t xml:space="preserve">likely small/moderate/large contribution </w:t>
      </w:r>
      <w:r>
        <w:t>rating to each WWTP as a means of assessing the relative worth of investing in a WWTP upgrade</w:t>
      </w:r>
      <w:r w:rsidR="00E66F34">
        <w:t>.</w:t>
      </w:r>
      <w:r w:rsidR="00772F46">
        <w:t xml:space="preserve"> </w:t>
      </w:r>
      <w:r>
        <w:t xml:space="preserve">Table ES-2 shows the national capital investment </w:t>
      </w:r>
      <w:r w:rsidR="00A31743">
        <w:t>estimate when</w:t>
      </w:r>
      <w:r>
        <w:t xml:space="preserve"> a </w:t>
      </w:r>
      <w:r w:rsidR="002A551E">
        <w:t xml:space="preserve">contribution </w:t>
      </w:r>
      <w:r>
        <w:t>based approach is applied:</w:t>
      </w:r>
    </w:p>
    <w:p w14:paraId="082B2A45" w14:textId="77777777" w:rsidR="00362F74" w:rsidRPr="000B4C97" w:rsidRDefault="00F37527" w:rsidP="00FF2E89">
      <w:pPr>
        <w:pStyle w:val="Body"/>
        <w:ind w:left="1134" w:hanging="1134"/>
        <w:rPr>
          <w:b/>
        </w:rPr>
      </w:pPr>
      <w:r w:rsidRPr="000B4C97">
        <w:rPr>
          <w:b/>
        </w:rPr>
        <w:t>Table ES-</w:t>
      </w:r>
      <w:r w:rsidR="000B4C97" w:rsidRPr="000B4C97">
        <w:rPr>
          <w:b/>
        </w:rPr>
        <w:t xml:space="preserve">2 </w:t>
      </w:r>
      <w:r w:rsidR="00FF2E89">
        <w:rPr>
          <w:b/>
        </w:rPr>
        <w:t xml:space="preserve"> </w:t>
      </w:r>
      <w:r w:rsidR="002954B2">
        <w:rPr>
          <w:b/>
        </w:rPr>
        <w:t xml:space="preserve">Contribution </w:t>
      </w:r>
      <w:r w:rsidR="0050674D">
        <w:rPr>
          <w:b/>
        </w:rPr>
        <w:t>b</w:t>
      </w:r>
      <w:r w:rsidR="000B4C97">
        <w:rPr>
          <w:b/>
        </w:rPr>
        <w:t>ased</w:t>
      </w:r>
      <w:r>
        <w:rPr>
          <w:b/>
        </w:rPr>
        <w:t xml:space="preserve"> </w:t>
      </w:r>
      <w:r w:rsidR="0050674D">
        <w:rPr>
          <w:b/>
        </w:rPr>
        <w:t>e</w:t>
      </w:r>
      <w:r w:rsidRPr="000B4C97">
        <w:rPr>
          <w:b/>
        </w:rPr>
        <w:t xml:space="preserve">stimate of </w:t>
      </w:r>
      <w:r w:rsidR="0050674D">
        <w:rPr>
          <w:b/>
        </w:rPr>
        <w:t>c</w:t>
      </w:r>
      <w:r w:rsidR="000B4C97" w:rsidRPr="000B4C97">
        <w:rPr>
          <w:b/>
        </w:rPr>
        <w:t>apital</w:t>
      </w:r>
      <w:r w:rsidRPr="000B4C97">
        <w:rPr>
          <w:b/>
        </w:rPr>
        <w:t xml:space="preserve"> </w:t>
      </w:r>
      <w:r w:rsidR="0050674D">
        <w:rPr>
          <w:b/>
        </w:rPr>
        <w:t>c</w:t>
      </w:r>
      <w:r w:rsidRPr="000B4C97">
        <w:rPr>
          <w:b/>
        </w:rPr>
        <w:t xml:space="preserve">ost to </w:t>
      </w:r>
      <w:r w:rsidR="0050674D">
        <w:rPr>
          <w:b/>
        </w:rPr>
        <w:t>u</w:t>
      </w:r>
      <w:r w:rsidRPr="000B4C97">
        <w:rPr>
          <w:b/>
        </w:rPr>
        <w:t xml:space="preserve">pgrade WWTPs </w:t>
      </w:r>
      <w:r w:rsidR="0050674D">
        <w:rPr>
          <w:b/>
        </w:rPr>
        <w:t>d</w:t>
      </w:r>
      <w:r w:rsidRPr="000B4C97">
        <w:rPr>
          <w:b/>
        </w:rPr>
        <w:t xml:space="preserve">ischarging to </w:t>
      </w:r>
      <w:r w:rsidR="0050674D">
        <w:rPr>
          <w:b/>
        </w:rPr>
        <w:t>f</w:t>
      </w:r>
      <w:r w:rsidRPr="000B4C97">
        <w:rPr>
          <w:b/>
        </w:rPr>
        <w:t>reshwater to meet NPS Freshwater Attribute B</w:t>
      </w:r>
      <w:r w:rsidR="006B6FC9">
        <w:rPr>
          <w:b/>
        </w:rPr>
        <w:t xml:space="preserve"> </w:t>
      </w:r>
      <w:r w:rsidR="00772F46">
        <w:rPr>
          <w:b/>
        </w:rPr>
        <w:t>state</w:t>
      </w:r>
    </w:p>
    <w:tbl>
      <w:tblPr>
        <w:tblStyle w:val="Table-Style3"/>
        <w:tblW w:w="4993" w:type="pct"/>
        <w:jc w:val="center"/>
        <w:tblInd w:w="0" w:type="dxa"/>
        <w:tblLook w:val="04A0" w:firstRow="1" w:lastRow="0" w:firstColumn="1" w:lastColumn="0" w:noHBand="0" w:noVBand="1"/>
      </w:tblPr>
      <w:tblGrid>
        <w:gridCol w:w="2264"/>
        <w:gridCol w:w="1749"/>
        <w:gridCol w:w="1749"/>
        <w:gridCol w:w="1749"/>
        <w:gridCol w:w="1755"/>
        <w:gridCol w:w="9"/>
      </w:tblGrid>
      <w:tr w:rsidR="00033247" w:rsidRPr="00033247" w14:paraId="31C956C7" w14:textId="77777777" w:rsidTr="00033247">
        <w:trPr>
          <w:gridAfter w:val="1"/>
          <w:cnfStyle w:val="100000000000" w:firstRow="1" w:lastRow="0" w:firstColumn="0" w:lastColumn="0" w:oddVBand="0" w:evenVBand="0" w:oddHBand="0" w:evenHBand="0" w:firstRowFirstColumn="0" w:firstRowLastColumn="0" w:lastRowFirstColumn="0" w:lastRowLastColumn="0"/>
          <w:wAfter w:w="5" w:type="pct"/>
          <w:tblHeader/>
          <w:jc w:val="center"/>
        </w:trPr>
        <w:tc>
          <w:tcPr>
            <w:tcW w:w="1220" w:type="pct"/>
            <w:vMerge w:val="restart"/>
            <w:vAlign w:val="center"/>
          </w:tcPr>
          <w:p w14:paraId="7B015FF2" w14:textId="77777777" w:rsidR="00033247" w:rsidRPr="002C70CE" w:rsidRDefault="00033247" w:rsidP="00033247">
            <w:pPr>
              <w:pStyle w:val="Body"/>
              <w:ind w:left="0"/>
              <w:rPr>
                <w:rFonts w:cs="Arial"/>
                <w:szCs w:val="20"/>
              </w:rPr>
            </w:pPr>
            <w:r w:rsidRPr="002C70CE">
              <w:rPr>
                <w:rFonts w:cs="Arial"/>
                <w:szCs w:val="20"/>
              </w:rPr>
              <w:t>Region</w:t>
            </w:r>
          </w:p>
        </w:tc>
        <w:tc>
          <w:tcPr>
            <w:tcW w:w="3775" w:type="pct"/>
            <w:gridSpan w:val="4"/>
          </w:tcPr>
          <w:p w14:paraId="7ECAC0AB" w14:textId="77777777" w:rsidR="00033247" w:rsidRPr="002C70CE" w:rsidRDefault="00033247" w:rsidP="00033247">
            <w:pPr>
              <w:pStyle w:val="Body"/>
              <w:ind w:left="0"/>
              <w:jc w:val="center"/>
              <w:rPr>
                <w:rFonts w:cs="Arial"/>
                <w:szCs w:val="20"/>
              </w:rPr>
            </w:pPr>
            <w:r w:rsidRPr="00033247">
              <w:rPr>
                <w:rFonts w:cs="Arial"/>
                <w:szCs w:val="20"/>
              </w:rPr>
              <w:t>Estimate of probable capital cost ($ Million)</w:t>
            </w:r>
          </w:p>
          <w:p w14:paraId="434E66C4" w14:textId="77777777" w:rsidR="00033247" w:rsidRPr="00033247" w:rsidRDefault="00033247" w:rsidP="00033247">
            <w:pPr>
              <w:spacing w:after="0"/>
              <w:jc w:val="center"/>
              <w:rPr>
                <w:rFonts w:cs="Arial"/>
                <w:szCs w:val="20"/>
              </w:rPr>
            </w:pPr>
          </w:p>
        </w:tc>
      </w:tr>
      <w:tr w:rsidR="00033247" w14:paraId="35F088C2" w14:textId="77777777" w:rsidTr="00033247">
        <w:trPr>
          <w:cnfStyle w:val="100000000000" w:firstRow="1" w:lastRow="0" w:firstColumn="0" w:lastColumn="0" w:oddVBand="0" w:evenVBand="0" w:oddHBand="0" w:evenHBand="0" w:firstRowFirstColumn="0" w:firstRowLastColumn="0" w:lastRowFirstColumn="0" w:lastRowLastColumn="0"/>
          <w:tblHeader/>
          <w:jc w:val="center"/>
        </w:trPr>
        <w:tc>
          <w:tcPr>
            <w:tcW w:w="1220" w:type="pct"/>
            <w:vMerge/>
          </w:tcPr>
          <w:p w14:paraId="1412E783" w14:textId="77777777" w:rsidR="005D7284" w:rsidRPr="002C70CE" w:rsidRDefault="005D7284" w:rsidP="00516E05">
            <w:pPr>
              <w:pStyle w:val="Body"/>
              <w:ind w:left="0"/>
              <w:rPr>
                <w:rFonts w:cs="Arial"/>
                <w:szCs w:val="20"/>
              </w:rPr>
            </w:pPr>
          </w:p>
        </w:tc>
        <w:tc>
          <w:tcPr>
            <w:tcW w:w="943" w:type="pct"/>
          </w:tcPr>
          <w:p w14:paraId="3448508D" w14:textId="77777777" w:rsidR="005D7284" w:rsidRPr="002C70CE" w:rsidRDefault="005E207C" w:rsidP="00033247">
            <w:pPr>
              <w:pStyle w:val="Body"/>
              <w:ind w:left="0"/>
              <w:jc w:val="center"/>
              <w:rPr>
                <w:rFonts w:cs="Arial"/>
                <w:szCs w:val="20"/>
              </w:rPr>
            </w:pPr>
            <w:r w:rsidRPr="002C70CE">
              <w:rPr>
                <w:rFonts w:cs="Arial"/>
                <w:szCs w:val="20"/>
              </w:rPr>
              <w:t>Small</w:t>
            </w:r>
          </w:p>
        </w:tc>
        <w:tc>
          <w:tcPr>
            <w:tcW w:w="943" w:type="pct"/>
          </w:tcPr>
          <w:p w14:paraId="55470165" w14:textId="77777777" w:rsidR="005D7284" w:rsidRPr="002C70CE" w:rsidRDefault="00FE6CB7" w:rsidP="00033247">
            <w:pPr>
              <w:pStyle w:val="Body"/>
              <w:ind w:left="0"/>
              <w:jc w:val="center"/>
              <w:rPr>
                <w:rFonts w:cs="Arial"/>
                <w:szCs w:val="20"/>
              </w:rPr>
            </w:pPr>
            <w:r w:rsidRPr="002C70CE">
              <w:rPr>
                <w:rFonts w:cs="Arial"/>
                <w:szCs w:val="20"/>
              </w:rPr>
              <w:t>Moderate</w:t>
            </w:r>
          </w:p>
        </w:tc>
        <w:tc>
          <w:tcPr>
            <w:tcW w:w="943" w:type="pct"/>
          </w:tcPr>
          <w:p w14:paraId="200D672B" w14:textId="77777777" w:rsidR="005D7284" w:rsidRPr="002C70CE" w:rsidRDefault="00FE6CB7" w:rsidP="00033247">
            <w:pPr>
              <w:pStyle w:val="Body"/>
              <w:ind w:left="0"/>
              <w:jc w:val="center"/>
              <w:rPr>
                <w:rFonts w:cs="Arial"/>
                <w:szCs w:val="20"/>
              </w:rPr>
            </w:pPr>
            <w:r w:rsidRPr="002C70CE">
              <w:rPr>
                <w:rFonts w:cs="Arial"/>
                <w:szCs w:val="20"/>
              </w:rPr>
              <w:t>Large</w:t>
            </w:r>
          </w:p>
        </w:tc>
        <w:tc>
          <w:tcPr>
            <w:tcW w:w="951" w:type="pct"/>
            <w:gridSpan w:val="2"/>
          </w:tcPr>
          <w:p w14:paraId="3D3BB08B" w14:textId="77777777" w:rsidR="005D7284" w:rsidRPr="002C70CE" w:rsidRDefault="005D7284" w:rsidP="00033247">
            <w:pPr>
              <w:pStyle w:val="Body"/>
              <w:ind w:left="0"/>
              <w:jc w:val="center"/>
              <w:rPr>
                <w:rFonts w:cs="Arial"/>
                <w:szCs w:val="20"/>
              </w:rPr>
            </w:pPr>
            <w:r w:rsidRPr="002C70CE">
              <w:rPr>
                <w:rFonts w:cs="Arial"/>
                <w:szCs w:val="20"/>
              </w:rPr>
              <w:t>Total</w:t>
            </w:r>
          </w:p>
        </w:tc>
      </w:tr>
      <w:tr w:rsidR="00033247" w14:paraId="444E3229" w14:textId="77777777" w:rsidTr="00033247">
        <w:trPr>
          <w:jc w:val="center"/>
        </w:trPr>
        <w:tc>
          <w:tcPr>
            <w:tcW w:w="1220" w:type="pct"/>
          </w:tcPr>
          <w:p w14:paraId="67BB4028" w14:textId="77777777" w:rsidR="005D7284" w:rsidRPr="002C70CE" w:rsidRDefault="005D7284" w:rsidP="00516E05">
            <w:pPr>
              <w:pStyle w:val="Body"/>
              <w:ind w:left="0"/>
              <w:rPr>
                <w:rFonts w:cs="Arial"/>
                <w:szCs w:val="20"/>
              </w:rPr>
            </w:pPr>
            <w:r w:rsidRPr="002C70CE">
              <w:rPr>
                <w:rFonts w:cs="Arial"/>
                <w:szCs w:val="20"/>
              </w:rPr>
              <w:t>Auckland</w:t>
            </w:r>
          </w:p>
        </w:tc>
        <w:tc>
          <w:tcPr>
            <w:tcW w:w="943" w:type="pct"/>
            <w:vAlign w:val="bottom"/>
          </w:tcPr>
          <w:p w14:paraId="15993BE4" w14:textId="77777777" w:rsidR="005D7284" w:rsidRPr="002C70CE" w:rsidRDefault="00031366" w:rsidP="00516E05">
            <w:pPr>
              <w:pStyle w:val="Body"/>
              <w:ind w:left="0"/>
              <w:jc w:val="center"/>
              <w:rPr>
                <w:rFonts w:cs="Arial"/>
                <w:szCs w:val="20"/>
              </w:rPr>
            </w:pPr>
            <w:r w:rsidRPr="002C70CE">
              <w:rPr>
                <w:rFonts w:cs="Arial"/>
                <w:color w:val="000000"/>
                <w:szCs w:val="20"/>
              </w:rPr>
              <w:t xml:space="preserve"> $14 - $20 </w:t>
            </w:r>
          </w:p>
        </w:tc>
        <w:tc>
          <w:tcPr>
            <w:tcW w:w="943" w:type="pct"/>
            <w:vAlign w:val="bottom"/>
          </w:tcPr>
          <w:p w14:paraId="329B48E2" w14:textId="77777777" w:rsidR="005D7284" w:rsidRPr="002C70CE" w:rsidRDefault="00031366" w:rsidP="00516E05">
            <w:pPr>
              <w:pStyle w:val="Body"/>
              <w:ind w:left="0"/>
              <w:jc w:val="center"/>
              <w:rPr>
                <w:rFonts w:cs="Arial"/>
                <w:szCs w:val="20"/>
              </w:rPr>
            </w:pPr>
            <w:r w:rsidRPr="002C70CE">
              <w:rPr>
                <w:rFonts w:cs="Arial"/>
                <w:color w:val="000000"/>
                <w:szCs w:val="20"/>
              </w:rPr>
              <w:t xml:space="preserve"> $18 - $28 </w:t>
            </w:r>
          </w:p>
        </w:tc>
        <w:tc>
          <w:tcPr>
            <w:tcW w:w="943" w:type="pct"/>
            <w:vAlign w:val="bottom"/>
          </w:tcPr>
          <w:p w14:paraId="0A47E2A4" w14:textId="77777777" w:rsidR="005D7284" w:rsidRPr="002C70CE" w:rsidRDefault="00031366" w:rsidP="00516E05">
            <w:pPr>
              <w:pStyle w:val="Body"/>
              <w:ind w:left="0"/>
              <w:jc w:val="center"/>
              <w:rPr>
                <w:rFonts w:cs="Arial"/>
                <w:szCs w:val="20"/>
              </w:rPr>
            </w:pPr>
            <w:r w:rsidRPr="002C70CE">
              <w:rPr>
                <w:rFonts w:cs="Arial"/>
                <w:color w:val="000000"/>
                <w:szCs w:val="20"/>
              </w:rPr>
              <w:t xml:space="preserve"> - </w:t>
            </w:r>
          </w:p>
        </w:tc>
        <w:tc>
          <w:tcPr>
            <w:tcW w:w="951" w:type="pct"/>
            <w:gridSpan w:val="2"/>
            <w:vAlign w:val="bottom"/>
          </w:tcPr>
          <w:p w14:paraId="02CE6D92" w14:textId="77777777" w:rsidR="005D7284" w:rsidRPr="002C70CE" w:rsidRDefault="004A1190" w:rsidP="00516E05">
            <w:pPr>
              <w:pStyle w:val="Body"/>
              <w:ind w:left="0"/>
              <w:jc w:val="center"/>
              <w:rPr>
                <w:rFonts w:cs="Arial"/>
                <w:szCs w:val="20"/>
              </w:rPr>
            </w:pPr>
            <w:r w:rsidRPr="002C70CE">
              <w:rPr>
                <w:rFonts w:cs="Arial"/>
                <w:color w:val="000000"/>
                <w:szCs w:val="20"/>
              </w:rPr>
              <w:t xml:space="preserve"> </w:t>
            </w:r>
            <w:r w:rsidR="005D7284" w:rsidRPr="002C70CE">
              <w:rPr>
                <w:rFonts w:cs="Arial"/>
                <w:color w:val="000000"/>
                <w:szCs w:val="20"/>
              </w:rPr>
              <w:t>$32 - $48</w:t>
            </w:r>
            <w:r w:rsidRPr="002C70CE">
              <w:rPr>
                <w:rFonts w:cs="Arial"/>
                <w:color w:val="000000"/>
                <w:szCs w:val="20"/>
              </w:rPr>
              <w:t xml:space="preserve"> </w:t>
            </w:r>
          </w:p>
        </w:tc>
      </w:tr>
      <w:tr w:rsidR="00033247" w14:paraId="6233F3E2" w14:textId="77777777" w:rsidTr="00033247">
        <w:trPr>
          <w:jc w:val="center"/>
        </w:trPr>
        <w:tc>
          <w:tcPr>
            <w:tcW w:w="1220" w:type="pct"/>
          </w:tcPr>
          <w:p w14:paraId="06E72A9D" w14:textId="77777777" w:rsidR="005D7284" w:rsidRPr="002C70CE" w:rsidRDefault="005D7284" w:rsidP="00516E05">
            <w:pPr>
              <w:pStyle w:val="Body"/>
              <w:ind w:left="0"/>
              <w:rPr>
                <w:rFonts w:cs="Arial"/>
                <w:szCs w:val="20"/>
              </w:rPr>
            </w:pPr>
            <w:r w:rsidRPr="002C70CE">
              <w:rPr>
                <w:rFonts w:cs="Arial"/>
                <w:szCs w:val="20"/>
              </w:rPr>
              <w:t>Bay of Plenty</w:t>
            </w:r>
          </w:p>
        </w:tc>
        <w:tc>
          <w:tcPr>
            <w:tcW w:w="943" w:type="pct"/>
            <w:vAlign w:val="bottom"/>
          </w:tcPr>
          <w:p w14:paraId="6D5A79BC" w14:textId="77777777" w:rsidR="005D7284" w:rsidRPr="002C70CE" w:rsidRDefault="00031366" w:rsidP="00516E05">
            <w:pPr>
              <w:pStyle w:val="Body"/>
              <w:ind w:left="0"/>
              <w:jc w:val="center"/>
              <w:rPr>
                <w:rFonts w:cs="Arial"/>
                <w:szCs w:val="20"/>
                <w:highlight w:val="yellow"/>
              </w:rPr>
            </w:pPr>
            <w:r w:rsidRPr="002C70CE">
              <w:rPr>
                <w:rFonts w:cs="Arial"/>
                <w:color w:val="000000"/>
                <w:szCs w:val="20"/>
              </w:rPr>
              <w:t xml:space="preserve"> $4.1 - $6.1 </w:t>
            </w:r>
          </w:p>
        </w:tc>
        <w:tc>
          <w:tcPr>
            <w:tcW w:w="943" w:type="pct"/>
            <w:vAlign w:val="bottom"/>
          </w:tcPr>
          <w:p w14:paraId="42FD240C" w14:textId="77777777" w:rsidR="005D7284" w:rsidRPr="002C70CE" w:rsidRDefault="00031366" w:rsidP="00516E05">
            <w:pPr>
              <w:pStyle w:val="Body"/>
              <w:ind w:left="0"/>
              <w:jc w:val="center"/>
              <w:rPr>
                <w:rFonts w:cs="Arial"/>
                <w:szCs w:val="20"/>
                <w:highlight w:val="yellow"/>
              </w:rPr>
            </w:pPr>
            <w:r w:rsidRPr="002C70CE">
              <w:rPr>
                <w:rFonts w:cs="Arial"/>
                <w:color w:val="000000"/>
                <w:szCs w:val="20"/>
              </w:rPr>
              <w:t xml:space="preserve"> $29 - $44 </w:t>
            </w:r>
          </w:p>
        </w:tc>
        <w:tc>
          <w:tcPr>
            <w:tcW w:w="943" w:type="pct"/>
            <w:vAlign w:val="bottom"/>
          </w:tcPr>
          <w:p w14:paraId="045CB8DB" w14:textId="77777777" w:rsidR="005D7284" w:rsidRPr="002C70CE" w:rsidRDefault="00031366" w:rsidP="00516E05">
            <w:pPr>
              <w:pStyle w:val="Body"/>
              <w:ind w:left="0"/>
              <w:jc w:val="center"/>
              <w:rPr>
                <w:rFonts w:cs="Arial"/>
                <w:szCs w:val="20"/>
                <w:highlight w:val="yellow"/>
              </w:rPr>
            </w:pPr>
            <w:r w:rsidRPr="002C70CE">
              <w:rPr>
                <w:rFonts w:cs="Arial"/>
                <w:color w:val="000000"/>
                <w:szCs w:val="20"/>
              </w:rPr>
              <w:t xml:space="preserve"> $22 - $33 </w:t>
            </w:r>
          </w:p>
        </w:tc>
        <w:tc>
          <w:tcPr>
            <w:tcW w:w="951" w:type="pct"/>
            <w:gridSpan w:val="2"/>
            <w:vAlign w:val="bottom"/>
          </w:tcPr>
          <w:p w14:paraId="742C4A86" w14:textId="77777777" w:rsidR="005D7284" w:rsidRPr="002C70CE" w:rsidRDefault="004A1190" w:rsidP="00516E05">
            <w:pPr>
              <w:pStyle w:val="Body"/>
              <w:ind w:left="0"/>
              <w:jc w:val="center"/>
              <w:rPr>
                <w:rFonts w:cs="Arial"/>
                <w:szCs w:val="20"/>
                <w:highlight w:val="yellow"/>
              </w:rPr>
            </w:pPr>
            <w:r w:rsidRPr="002C70CE">
              <w:rPr>
                <w:rFonts w:cs="Arial"/>
                <w:color w:val="000000"/>
                <w:szCs w:val="20"/>
              </w:rPr>
              <w:t xml:space="preserve"> $55 - $83 </w:t>
            </w:r>
          </w:p>
        </w:tc>
      </w:tr>
      <w:tr w:rsidR="00033247" w14:paraId="6410010B" w14:textId="77777777" w:rsidTr="00033247">
        <w:trPr>
          <w:jc w:val="center"/>
        </w:trPr>
        <w:tc>
          <w:tcPr>
            <w:tcW w:w="1220" w:type="pct"/>
          </w:tcPr>
          <w:p w14:paraId="7E201305" w14:textId="77777777" w:rsidR="005D7284" w:rsidRPr="002C70CE" w:rsidRDefault="005D7284" w:rsidP="00516E05">
            <w:pPr>
              <w:pStyle w:val="Body"/>
              <w:ind w:left="0"/>
              <w:rPr>
                <w:rFonts w:cs="Arial"/>
                <w:szCs w:val="20"/>
              </w:rPr>
            </w:pPr>
            <w:r w:rsidRPr="002C70CE">
              <w:rPr>
                <w:rFonts w:cs="Arial"/>
                <w:szCs w:val="20"/>
              </w:rPr>
              <w:t>Canterbury</w:t>
            </w:r>
          </w:p>
        </w:tc>
        <w:tc>
          <w:tcPr>
            <w:tcW w:w="943" w:type="pct"/>
            <w:vAlign w:val="bottom"/>
          </w:tcPr>
          <w:p w14:paraId="2F869291" w14:textId="77777777" w:rsidR="005D7284" w:rsidRPr="002C70CE" w:rsidRDefault="00031366" w:rsidP="00516E05">
            <w:pPr>
              <w:pStyle w:val="Body"/>
              <w:ind w:left="0"/>
              <w:jc w:val="center"/>
              <w:rPr>
                <w:rFonts w:cs="Arial"/>
                <w:szCs w:val="20"/>
                <w:highlight w:val="yellow"/>
              </w:rPr>
            </w:pPr>
            <w:r w:rsidRPr="002C70CE">
              <w:rPr>
                <w:rFonts w:cs="Arial"/>
                <w:color w:val="000000"/>
                <w:szCs w:val="20"/>
              </w:rPr>
              <w:t xml:space="preserve"> $22 - $33 </w:t>
            </w:r>
          </w:p>
        </w:tc>
        <w:tc>
          <w:tcPr>
            <w:tcW w:w="943" w:type="pct"/>
            <w:vAlign w:val="bottom"/>
          </w:tcPr>
          <w:p w14:paraId="58B17FCB" w14:textId="77777777" w:rsidR="005D7284" w:rsidRPr="002C70CE" w:rsidRDefault="00031366" w:rsidP="00516E05">
            <w:pPr>
              <w:pStyle w:val="Body"/>
              <w:ind w:left="0"/>
              <w:jc w:val="center"/>
              <w:rPr>
                <w:rFonts w:cs="Arial"/>
                <w:szCs w:val="20"/>
                <w:highlight w:val="yellow"/>
              </w:rPr>
            </w:pPr>
            <w:r w:rsidRPr="002C70CE">
              <w:rPr>
                <w:rFonts w:cs="Arial"/>
                <w:color w:val="000000"/>
                <w:szCs w:val="20"/>
              </w:rPr>
              <w:t xml:space="preserve"> $8.7 - $13 </w:t>
            </w:r>
          </w:p>
        </w:tc>
        <w:tc>
          <w:tcPr>
            <w:tcW w:w="943" w:type="pct"/>
            <w:vAlign w:val="bottom"/>
          </w:tcPr>
          <w:p w14:paraId="2C8074A6" w14:textId="77777777" w:rsidR="005D7284" w:rsidRPr="002C70CE" w:rsidRDefault="00031366" w:rsidP="00516E05">
            <w:pPr>
              <w:pStyle w:val="Body"/>
              <w:ind w:left="0"/>
              <w:jc w:val="center"/>
              <w:rPr>
                <w:rFonts w:cs="Arial"/>
                <w:szCs w:val="20"/>
                <w:highlight w:val="yellow"/>
              </w:rPr>
            </w:pPr>
            <w:r w:rsidRPr="002C70CE">
              <w:rPr>
                <w:rFonts w:cs="Arial"/>
                <w:color w:val="000000"/>
                <w:szCs w:val="20"/>
              </w:rPr>
              <w:t xml:space="preserve"> - </w:t>
            </w:r>
          </w:p>
        </w:tc>
        <w:tc>
          <w:tcPr>
            <w:tcW w:w="951" w:type="pct"/>
            <w:gridSpan w:val="2"/>
            <w:vAlign w:val="bottom"/>
          </w:tcPr>
          <w:p w14:paraId="5707DF57" w14:textId="77777777" w:rsidR="005D7284" w:rsidRPr="002C70CE" w:rsidRDefault="004A1190" w:rsidP="00516E05">
            <w:pPr>
              <w:pStyle w:val="Body"/>
              <w:ind w:left="0"/>
              <w:jc w:val="center"/>
              <w:rPr>
                <w:rFonts w:cs="Arial"/>
                <w:szCs w:val="20"/>
                <w:highlight w:val="yellow"/>
              </w:rPr>
            </w:pPr>
            <w:r w:rsidRPr="002C70CE">
              <w:rPr>
                <w:rFonts w:cs="Arial"/>
                <w:color w:val="000000"/>
                <w:szCs w:val="20"/>
              </w:rPr>
              <w:t xml:space="preserve"> $31</w:t>
            </w:r>
            <w:r w:rsidR="005D7284" w:rsidRPr="002C70CE">
              <w:rPr>
                <w:rFonts w:cs="Arial"/>
                <w:color w:val="000000"/>
                <w:szCs w:val="20"/>
              </w:rPr>
              <w:t xml:space="preserve"> - $46 </w:t>
            </w:r>
          </w:p>
        </w:tc>
      </w:tr>
      <w:tr w:rsidR="00033247" w14:paraId="1B9DA037" w14:textId="77777777" w:rsidTr="00033247">
        <w:trPr>
          <w:jc w:val="center"/>
        </w:trPr>
        <w:tc>
          <w:tcPr>
            <w:tcW w:w="1220" w:type="pct"/>
          </w:tcPr>
          <w:p w14:paraId="5504E72D" w14:textId="77777777" w:rsidR="005D7284" w:rsidRPr="002C70CE" w:rsidRDefault="005D7284" w:rsidP="00516E05">
            <w:pPr>
              <w:pStyle w:val="Body"/>
              <w:ind w:left="0"/>
              <w:rPr>
                <w:rFonts w:cs="Arial"/>
                <w:szCs w:val="20"/>
              </w:rPr>
            </w:pPr>
            <w:r w:rsidRPr="002C70CE">
              <w:rPr>
                <w:rFonts w:cs="Arial"/>
                <w:szCs w:val="20"/>
              </w:rPr>
              <w:t>Gisborne</w:t>
            </w:r>
          </w:p>
        </w:tc>
        <w:tc>
          <w:tcPr>
            <w:tcW w:w="943" w:type="pct"/>
            <w:vAlign w:val="bottom"/>
          </w:tcPr>
          <w:p w14:paraId="38257D91" w14:textId="77777777" w:rsidR="005D7284" w:rsidRPr="002C70CE" w:rsidRDefault="004A1190" w:rsidP="00516E05">
            <w:pPr>
              <w:pStyle w:val="Body"/>
              <w:ind w:left="0"/>
              <w:jc w:val="center"/>
              <w:rPr>
                <w:rFonts w:cs="Arial"/>
                <w:szCs w:val="20"/>
                <w:highlight w:val="yellow"/>
              </w:rPr>
            </w:pPr>
            <w:r w:rsidRPr="002C70CE">
              <w:rPr>
                <w:rFonts w:cs="Arial"/>
                <w:color w:val="000000"/>
                <w:szCs w:val="20"/>
              </w:rPr>
              <w:t xml:space="preserve"> $3.5 - $5.2 </w:t>
            </w:r>
          </w:p>
        </w:tc>
        <w:tc>
          <w:tcPr>
            <w:tcW w:w="943" w:type="pct"/>
            <w:vAlign w:val="bottom"/>
          </w:tcPr>
          <w:p w14:paraId="114F03D0" w14:textId="77777777" w:rsidR="005D7284" w:rsidRPr="002C70CE" w:rsidRDefault="004A1190" w:rsidP="00516E05">
            <w:pPr>
              <w:pStyle w:val="Body"/>
              <w:ind w:left="0"/>
              <w:jc w:val="center"/>
              <w:rPr>
                <w:rFonts w:cs="Arial"/>
                <w:szCs w:val="20"/>
                <w:highlight w:val="yellow"/>
              </w:rPr>
            </w:pPr>
            <w:r w:rsidRPr="002C70CE">
              <w:rPr>
                <w:rFonts w:cs="Arial"/>
                <w:color w:val="000000"/>
                <w:szCs w:val="20"/>
              </w:rPr>
              <w:t xml:space="preserve"> - </w:t>
            </w:r>
          </w:p>
        </w:tc>
        <w:tc>
          <w:tcPr>
            <w:tcW w:w="943" w:type="pct"/>
            <w:vAlign w:val="bottom"/>
          </w:tcPr>
          <w:p w14:paraId="1F51F7C4" w14:textId="77777777" w:rsidR="005D7284" w:rsidRPr="002C70CE" w:rsidRDefault="004A1190" w:rsidP="00516E05">
            <w:pPr>
              <w:pStyle w:val="Body"/>
              <w:ind w:left="0"/>
              <w:jc w:val="center"/>
              <w:rPr>
                <w:rFonts w:cs="Arial"/>
                <w:szCs w:val="20"/>
                <w:highlight w:val="yellow"/>
              </w:rPr>
            </w:pPr>
            <w:r w:rsidRPr="002C70CE">
              <w:rPr>
                <w:rFonts w:cs="Arial"/>
                <w:color w:val="000000"/>
                <w:szCs w:val="20"/>
              </w:rPr>
              <w:t xml:space="preserve"> - </w:t>
            </w:r>
          </w:p>
        </w:tc>
        <w:tc>
          <w:tcPr>
            <w:tcW w:w="951" w:type="pct"/>
            <w:gridSpan w:val="2"/>
            <w:vAlign w:val="bottom"/>
          </w:tcPr>
          <w:p w14:paraId="269ACC55" w14:textId="77777777" w:rsidR="005D7284" w:rsidRPr="002C70CE" w:rsidRDefault="004A1190" w:rsidP="00516E05">
            <w:pPr>
              <w:pStyle w:val="Body"/>
              <w:ind w:left="0"/>
              <w:jc w:val="center"/>
              <w:rPr>
                <w:rFonts w:cs="Arial"/>
                <w:szCs w:val="20"/>
                <w:highlight w:val="yellow"/>
              </w:rPr>
            </w:pPr>
            <w:r w:rsidRPr="002C70CE">
              <w:rPr>
                <w:rFonts w:cs="Arial"/>
                <w:color w:val="000000"/>
                <w:szCs w:val="20"/>
              </w:rPr>
              <w:t xml:space="preserve"> </w:t>
            </w:r>
            <w:r w:rsidR="005D7284" w:rsidRPr="002C70CE">
              <w:rPr>
                <w:rFonts w:cs="Arial"/>
                <w:color w:val="000000"/>
                <w:szCs w:val="20"/>
              </w:rPr>
              <w:t>$3.5</w:t>
            </w:r>
            <w:r w:rsidRPr="002C70CE">
              <w:rPr>
                <w:rFonts w:cs="Arial"/>
                <w:color w:val="000000"/>
                <w:szCs w:val="20"/>
              </w:rPr>
              <w:t xml:space="preserve"> - $5.2</w:t>
            </w:r>
            <w:r w:rsidR="005D7284" w:rsidRPr="002C70CE">
              <w:rPr>
                <w:rFonts w:cs="Arial"/>
                <w:color w:val="000000"/>
                <w:szCs w:val="20"/>
              </w:rPr>
              <w:t xml:space="preserve"> </w:t>
            </w:r>
          </w:p>
        </w:tc>
      </w:tr>
      <w:tr w:rsidR="00033247" w14:paraId="2647FFF5" w14:textId="77777777" w:rsidTr="00033247">
        <w:trPr>
          <w:jc w:val="center"/>
        </w:trPr>
        <w:tc>
          <w:tcPr>
            <w:tcW w:w="1220" w:type="pct"/>
          </w:tcPr>
          <w:p w14:paraId="09180E76" w14:textId="77777777" w:rsidR="005D7284" w:rsidRPr="002C70CE" w:rsidRDefault="005D7284" w:rsidP="00516E05">
            <w:pPr>
              <w:pStyle w:val="Body"/>
              <w:ind w:left="0"/>
              <w:rPr>
                <w:rFonts w:cs="Arial"/>
                <w:szCs w:val="20"/>
              </w:rPr>
            </w:pPr>
            <w:r w:rsidRPr="002C70CE">
              <w:rPr>
                <w:rFonts w:cs="Arial"/>
                <w:szCs w:val="20"/>
              </w:rPr>
              <w:t>Hawke</w:t>
            </w:r>
            <w:r w:rsidR="00814A29" w:rsidRPr="002C70CE">
              <w:rPr>
                <w:rFonts w:cs="Arial"/>
                <w:szCs w:val="20"/>
              </w:rPr>
              <w:t>’</w:t>
            </w:r>
            <w:r w:rsidRPr="002C70CE">
              <w:rPr>
                <w:rFonts w:cs="Arial"/>
                <w:szCs w:val="20"/>
              </w:rPr>
              <w:t>s Bay</w:t>
            </w:r>
          </w:p>
        </w:tc>
        <w:tc>
          <w:tcPr>
            <w:tcW w:w="943" w:type="pct"/>
            <w:vAlign w:val="bottom"/>
          </w:tcPr>
          <w:p w14:paraId="7AEF8C58" w14:textId="77777777" w:rsidR="005D7284" w:rsidRPr="002C70CE" w:rsidRDefault="00031366" w:rsidP="00516E05">
            <w:pPr>
              <w:pStyle w:val="Body"/>
              <w:ind w:left="0"/>
              <w:jc w:val="center"/>
              <w:rPr>
                <w:rFonts w:cs="Arial"/>
                <w:szCs w:val="20"/>
                <w:highlight w:val="yellow"/>
              </w:rPr>
            </w:pPr>
            <w:r w:rsidRPr="002C70CE">
              <w:rPr>
                <w:rFonts w:cs="Arial"/>
                <w:color w:val="000000"/>
                <w:szCs w:val="20"/>
              </w:rPr>
              <w:t xml:space="preserve"> $30 - $44 </w:t>
            </w:r>
          </w:p>
        </w:tc>
        <w:tc>
          <w:tcPr>
            <w:tcW w:w="943" w:type="pct"/>
            <w:vAlign w:val="bottom"/>
          </w:tcPr>
          <w:p w14:paraId="52E8171C" w14:textId="77777777" w:rsidR="005D7284" w:rsidRPr="002C70CE" w:rsidRDefault="00031366" w:rsidP="00516E05">
            <w:pPr>
              <w:pStyle w:val="Body"/>
              <w:ind w:left="0"/>
              <w:jc w:val="center"/>
              <w:rPr>
                <w:rFonts w:cs="Arial"/>
                <w:szCs w:val="20"/>
                <w:highlight w:val="yellow"/>
              </w:rPr>
            </w:pPr>
            <w:r w:rsidRPr="002C70CE">
              <w:rPr>
                <w:rFonts w:cs="Arial"/>
                <w:color w:val="000000"/>
                <w:szCs w:val="20"/>
              </w:rPr>
              <w:t xml:space="preserve"> $4.9 - $7.4 </w:t>
            </w:r>
          </w:p>
        </w:tc>
        <w:tc>
          <w:tcPr>
            <w:tcW w:w="943" w:type="pct"/>
            <w:vAlign w:val="bottom"/>
          </w:tcPr>
          <w:p w14:paraId="2CCB72DA" w14:textId="77777777" w:rsidR="005D7284" w:rsidRPr="002C70CE" w:rsidRDefault="00031366" w:rsidP="00516E05">
            <w:pPr>
              <w:pStyle w:val="Body"/>
              <w:ind w:left="0"/>
              <w:jc w:val="center"/>
              <w:rPr>
                <w:rFonts w:cs="Arial"/>
                <w:szCs w:val="20"/>
                <w:highlight w:val="yellow"/>
              </w:rPr>
            </w:pPr>
            <w:r w:rsidRPr="002C70CE">
              <w:rPr>
                <w:rFonts w:cs="Arial"/>
                <w:color w:val="000000"/>
                <w:szCs w:val="20"/>
              </w:rPr>
              <w:t xml:space="preserve"> - </w:t>
            </w:r>
          </w:p>
        </w:tc>
        <w:tc>
          <w:tcPr>
            <w:tcW w:w="951" w:type="pct"/>
            <w:gridSpan w:val="2"/>
            <w:vAlign w:val="bottom"/>
          </w:tcPr>
          <w:p w14:paraId="1401DB55" w14:textId="77777777" w:rsidR="005D7284" w:rsidRPr="002C70CE" w:rsidRDefault="004A1190" w:rsidP="00516E05">
            <w:pPr>
              <w:pStyle w:val="Body"/>
              <w:ind w:left="0"/>
              <w:jc w:val="center"/>
              <w:rPr>
                <w:rFonts w:cs="Arial"/>
                <w:szCs w:val="20"/>
                <w:highlight w:val="yellow"/>
              </w:rPr>
            </w:pPr>
            <w:r w:rsidRPr="002C70CE">
              <w:rPr>
                <w:rFonts w:cs="Arial"/>
                <w:color w:val="000000"/>
                <w:szCs w:val="20"/>
              </w:rPr>
              <w:t xml:space="preserve"> $34 - $52 </w:t>
            </w:r>
          </w:p>
        </w:tc>
      </w:tr>
      <w:tr w:rsidR="00033247" w14:paraId="6F41E95E" w14:textId="77777777" w:rsidTr="00033247">
        <w:trPr>
          <w:jc w:val="center"/>
        </w:trPr>
        <w:tc>
          <w:tcPr>
            <w:tcW w:w="1220" w:type="pct"/>
          </w:tcPr>
          <w:p w14:paraId="333316B2" w14:textId="77777777" w:rsidR="005D7284" w:rsidRPr="002C70CE" w:rsidRDefault="007668C9" w:rsidP="007668C9">
            <w:pPr>
              <w:pStyle w:val="Body"/>
              <w:ind w:left="0"/>
              <w:rPr>
                <w:rFonts w:cs="Arial"/>
                <w:szCs w:val="20"/>
              </w:rPr>
            </w:pPr>
            <w:r w:rsidRPr="002C70CE">
              <w:rPr>
                <w:rFonts w:cs="Arial"/>
                <w:szCs w:val="20"/>
              </w:rPr>
              <w:t>Man</w:t>
            </w:r>
            <w:r>
              <w:rPr>
                <w:rFonts w:cs="Arial"/>
                <w:szCs w:val="20"/>
              </w:rPr>
              <w:t>a</w:t>
            </w:r>
            <w:r w:rsidRPr="002C70CE">
              <w:rPr>
                <w:rFonts w:cs="Arial"/>
                <w:szCs w:val="20"/>
              </w:rPr>
              <w:t>watu</w:t>
            </w:r>
            <w:r w:rsidR="005D7284" w:rsidRPr="002C70CE">
              <w:rPr>
                <w:rFonts w:cs="Arial"/>
                <w:szCs w:val="20"/>
              </w:rPr>
              <w:t>-Wanganui</w:t>
            </w:r>
          </w:p>
        </w:tc>
        <w:tc>
          <w:tcPr>
            <w:tcW w:w="943" w:type="pct"/>
            <w:vAlign w:val="bottom"/>
          </w:tcPr>
          <w:p w14:paraId="49FA8973" w14:textId="77777777" w:rsidR="005D7284" w:rsidRPr="002C70CE" w:rsidRDefault="00031366" w:rsidP="00516E05">
            <w:pPr>
              <w:pStyle w:val="Body"/>
              <w:ind w:left="0"/>
              <w:jc w:val="center"/>
              <w:rPr>
                <w:rFonts w:cs="Arial"/>
                <w:szCs w:val="20"/>
                <w:highlight w:val="yellow"/>
              </w:rPr>
            </w:pPr>
            <w:r w:rsidRPr="002C70CE">
              <w:rPr>
                <w:rFonts w:cs="Arial"/>
                <w:color w:val="000000"/>
                <w:szCs w:val="20"/>
              </w:rPr>
              <w:t xml:space="preserve"> $240 - $360 </w:t>
            </w:r>
          </w:p>
        </w:tc>
        <w:tc>
          <w:tcPr>
            <w:tcW w:w="943" w:type="pct"/>
            <w:vAlign w:val="bottom"/>
          </w:tcPr>
          <w:p w14:paraId="2B77D200" w14:textId="77777777" w:rsidR="005D7284" w:rsidRPr="002C70CE" w:rsidRDefault="00031366" w:rsidP="00516E05">
            <w:pPr>
              <w:pStyle w:val="Body"/>
              <w:ind w:left="0"/>
              <w:jc w:val="center"/>
              <w:rPr>
                <w:rFonts w:cs="Arial"/>
                <w:szCs w:val="20"/>
                <w:highlight w:val="yellow"/>
              </w:rPr>
            </w:pPr>
            <w:r w:rsidRPr="002C70CE">
              <w:rPr>
                <w:rFonts w:cs="Arial"/>
                <w:color w:val="000000"/>
                <w:szCs w:val="20"/>
              </w:rPr>
              <w:t xml:space="preserve"> $73 - $110 </w:t>
            </w:r>
          </w:p>
        </w:tc>
        <w:tc>
          <w:tcPr>
            <w:tcW w:w="943" w:type="pct"/>
            <w:vAlign w:val="bottom"/>
          </w:tcPr>
          <w:p w14:paraId="2EC01FF2" w14:textId="77777777" w:rsidR="005D7284" w:rsidRPr="002C70CE" w:rsidRDefault="00031366" w:rsidP="00516E05">
            <w:pPr>
              <w:pStyle w:val="Body"/>
              <w:ind w:left="0"/>
              <w:jc w:val="center"/>
              <w:rPr>
                <w:rFonts w:cs="Arial"/>
                <w:szCs w:val="20"/>
                <w:highlight w:val="yellow"/>
              </w:rPr>
            </w:pPr>
            <w:r w:rsidRPr="002C70CE">
              <w:rPr>
                <w:rFonts w:cs="Arial"/>
                <w:color w:val="000000"/>
                <w:szCs w:val="20"/>
              </w:rPr>
              <w:t xml:space="preserve"> $18 - $27 </w:t>
            </w:r>
          </w:p>
        </w:tc>
        <w:tc>
          <w:tcPr>
            <w:tcW w:w="951" w:type="pct"/>
            <w:gridSpan w:val="2"/>
            <w:vAlign w:val="bottom"/>
          </w:tcPr>
          <w:p w14:paraId="1B964781" w14:textId="77777777" w:rsidR="005D7284" w:rsidRPr="002C70CE" w:rsidRDefault="004A1190" w:rsidP="00516E05">
            <w:pPr>
              <w:pStyle w:val="Body"/>
              <w:ind w:left="0"/>
              <w:jc w:val="center"/>
              <w:rPr>
                <w:rFonts w:cs="Arial"/>
                <w:szCs w:val="20"/>
                <w:highlight w:val="yellow"/>
              </w:rPr>
            </w:pPr>
            <w:r w:rsidRPr="002C70CE">
              <w:rPr>
                <w:rFonts w:cs="Arial"/>
                <w:color w:val="000000"/>
                <w:szCs w:val="20"/>
              </w:rPr>
              <w:t xml:space="preserve"> $330 - $500 </w:t>
            </w:r>
          </w:p>
        </w:tc>
      </w:tr>
      <w:tr w:rsidR="00033247" w14:paraId="7F01E905" w14:textId="77777777" w:rsidTr="00033247">
        <w:trPr>
          <w:jc w:val="center"/>
        </w:trPr>
        <w:tc>
          <w:tcPr>
            <w:tcW w:w="1220" w:type="pct"/>
          </w:tcPr>
          <w:p w14:paraId="4EA29C41" w14:textId="77777777" w:rsidR="005D7284" w:rsidRPr="002C70CE" w:rsidRDefault="005D7284" w:rsidP="00516E05">
            <w:pPr>
              <w:pStyle w:val="Body"/>
              <w:ind w:left="0"/>
              <w:rPr>
                <w:rFonts w:cs="Arial"/>
                <w:szCs w:val="20"/>
              </w:rPr>
            </w:pPr>
            <w:r w:rsidRPr="002C70CE">
              <w:rPr>
                <w:rFonts w:cs="Arial"/>
                <w:szCs w:val="20"/>
              </w:rPr>
              <w:t>Marlborough</w:t>
            </w:r>
          </w:p>
        </w:tc>
        <w:tc>
          <w:tcPr>
            <w:tcW w:w="943" w:type="pct"/>
            <w:vAlign w:val="bottom"/>
          </w:tcPr>
          <w:p w14:paraId="4F515309" w14:textId="77777777" w:rsidR="005D7284" w:rsidRPr="002C70CE" w:rsidRDefault="004A1190" w:rsidP="00516E05">
            <w:pPr>
              <w:pStyle w:val="Body"/>
              <w:ind w:left="0"/>
              <w:jc w:val="center"/>
              <w:rPr>
                <w:rFonts w:cs="Arial"/>
                <w:szCs w:val="20"/>
                <w:highlight w:val="yellow"/>
              </w:rPr>
            </w:pPr>
            <w:r w:rsidRPr="002C70CE">
              <w:rPr>
                <w:rFonts w:cs="Arial"/>
                <w:color w:val="000000"/>
                <w:szCs w:val="20"/>
              </w:rPr>
              <w:t xml:space="preserve"> </w:t>
            </w:r>
            <w:r w:rsidR="005D7284" w:rsidRPr="002C70CE">
              <w:rPr>
                <w:rFonts w:cs="Arial"/>
                <w:color w:val="000000"/>
                <w:szCs w:val="20"/>
              </w:rPr>
              <w:t>$2.</w:t>
            </w:r>
            <w:r w:rsidRPr="002C70CE">
              <w:rPr>
                <w:rFonts w:cs="Arial"/>
                <w:color w:val="000000"/>
                <w:szCs w:val="20"/>
              </w:rPr>
              <w:t>7</w:t>
            </w:r>
            <w:r w:rsidR="005D7284" w:rsidRPr="002C70CE">
              <w:rPr>
                <w:rFonts w:cs="Arial"/>
                <w:color w:val="000000"/>
                <w:szCs w:val="20"/>
              </w:rPr>
              <w:t xml:space="preserve"> - $4.</w:t>
            </w:r>
            <w:r w:rsidRPr="002C70CE">
              <w:rPr>
                <w:rFonts w:cs="Arial"/>
                <w:color w:val="000000"/>
                <w:szCs w:val="20"/>
              </w:rPr>
              <w:t xml:space="preserve">1 </w:t>
            </w:r>
          </w:p>
        </w:tc>
        <w:tc>
          <w:tcPr>
            <w:tcW w:w="943" w:type="pct"/>
            <w:vAlign w:val="bottom"/>
          </w:tcPr>
          <w:p w14:paraId="7DEB6FE9" w14:textId="77777777" w:rsidR="005D7284" w:rsidRPr="002C70CE" w:rsidRDefault="004A1190" w:rsidP="00516E05">
            <w:pPr>
              <w:pStyle w:val="Body"/>
              <w:ind w:left="0"/>
              <w:jc w:val="center"/>
              <w:rPr>
                <w:rFonts w:cs="Arial"/>
                <w:szCs w:val="20"/>
                <w:highlight w:val="yellow"/>
              </w:rPr>
            </w:pPr>
            <w:r w:rsidRPr="002C70CE">
              <w:rPr>
                <w:rFonts w:cs="Arial"/>
                <w:color w:val="000000"/>
                <w:szCs w:val="20"/>
              </w:rPr>
              <w:t xml:space="preserve"> - </w:t>
            </w:r>
          </w:p>
        </w:tc>
        <w:tc>
          <w:tcPr>
            <w:tcW w:w="943" w:type="pct"/>
            <w:vAlign w:val="bottom"/>
          </w:tcPr>
          <w:p w14:paraId="4C313036" w14:textId="77777777" w:rsidR="005D7284" w:rsidRPr="002C70CE" w:rsidRDefault="004A1190" w:rsidP="00516E05">
            <w:pPr>
              <w:pStyle w:val="Body"/>
              <w:ind w:left="0"/>
              <w:jc w:val="center"/>
              <w:rPr>
                <w:rFonts w:cs="Arial"/>
                <w:szCs w:val="20"/>
                <w:highlight w:val="yellow"/>
              </w:rPr>
            </w:pPr>
            <w:r w:rsidRPr="002C70CE">
              <w:rPr>
                <w:rFonts w:cs="Arial"/>
                <w:color w:val="000000"/>
                <w:szCs w:val="20"/>
              </w:rPr>
              <w:t xml:space="preserve"> - </w:t>
            </w:r>
          </w:p>
        </w:tc>
        <w:tc>
          <w:tcPr>
            <w:tcW w:w="951" w:type="pct"/>
            <w:gridSpan w:val="2"/>
            <w:vAlign w:val="bottom"/>
          </w:tcPr>
          <w:p w14:paraId="1613571E" w14:textId="77777777" w:rsidR="005D7284" w:rsidRPr="002C70CE" w:rsidRDefault="004A1190" w:rsidP="00516E05">
            <w:pPr>
              <w:pStyle w:val="Body"/>
              <w:ind w:left="0"/>
              <w:jc w:val="center"/>
              <w:rPr>
                <w:rFonts w:cs="Arial"/>
                <w:szCs w:val="20"/>
                <w:highlight w:val="yellow"/>
              </w:rPr>
            </w:pPr>
            <w:r w:rsidRPr="002C70CE">
              <w:rPr>
                <w:rFonts w:cs="Arial"/>
                <w:color w:val="000000"/>
                <w:szCs w:val="20"/>
              </w:rPr>
              <w:t xml:space="preserve"> </w:t>
            </w:r>
            <w:r w:rsidR="005D7284" w:rsidRPr="002C70CE">
              <w:rPr>
                <w:rFonts w:cs="Arial"/>
                <w:color w:val="000000"/>
                <w:szCs w:val="20"/>
              </w:rPr>
              <w:t>$2.</w:t>
            </w:r>
            <w:r w:rsidRPr="002C70CE">
              <w:rPr>
                <w:rFonts w:cs="Arial"/>
                <w:color w:val="000000"/>
                <w:szCs w:val="20"/>
              </w:rPr>
              <w:t>7</w:t>
            </w:r>
            <w:r w:rsidR="005D7284" w:rsidRPr="002C70CE">
              <w:rPr>
                <w:rFonts w:cs="Arial"/>
                <w:color w:val="000000"/>
                <w:szCs w:val="20"/>
              </w:rPr>
              <w:t xml:space="preserve"> - $4.</w:t>
            </w:r>
            <w:r w:rsidRPr="002C70CE">
              <w:rPr>
                <w:rFonts w:cs="Arial"/>
                <w:color w:val="000000"/>
                <w:szCs w:val="20"/>
              </w:rPr>
              <w:t>1</w:t>
            </w:r>
            <w:r w:rsidR="005D7284" w:rsidRPr="002C70CE">
              <w:rPr>
                <w:rFonts w:cs="Arial"/>
                <w:color w:val="000000"/>
                <w:szCs w:val="20"/>
              </w:rPr>
              <w:t xml:space="preserve"> </w:t>
            </w:r>
          </w:p>
        </w:tc>
      </w:tr>
      <w:tr w:rsidR="00033247" w14:paraId="2C47E6FC" w14:textId="77777777" w:rsidTr="00033247">
        <w:trPr>
          <w:jc w:val="center"/>
        </w:trPr>
        <w:tc>
          <w:tcPr>
            <w:tcW w:w="1220" w:type="pct"/>
          </w:tcPr>
          <w:p w14:paraId="07555DD4" w14:textId="77777777" w:rsidR="005D7284" w:rsidRPr="002C70CE" w:rsidRDefault="005D7284" w:rsidP="00516E05">
            <w:pPr>
              <w:pStyle w:val="Body"/>
              <w:ind w:left="0"/>
              <w:rPr>
                <w:rFonts w:cs="Arial"/>
                <w:szCs w:val="20"/>
              </w:rPr>
            </w:pPr>
            <w:r w:rsidRPr="002C70CE">
              <w:rPr>
                <w:rFonts w:cs="Arial"/>
                <w:szCs w:val="20"/>
              </w:rPr>
              <w:t>Nelson</w:t>
            </w:r>
          </w:p>
        </w:tc>
        <w:tc>
          <w:tcPr>
            <w:tcW w:w="943" w:type="pct"/>
            <w:vAlign w:val="bottom"/>
          </w:tcPr>
          <w:p w14:paraId="70FD4EFA" w14:textId="77777777" w:rsidR="005D7284" w:rsidRPr="002C70CE" w:rsidRDefault="004A1190" w:rsidP="00516E05">
            <w:pPr>
              <w:pStyle w:val="Body"/>
              <w:ind w:left="0"/>
              <w:jc w:val="center"/>
              <w:rPr>
                <w:rFonts w:cs="Arial"/>
                <w:szCs w:val="20"/>
                <w:highlight w:val="yellow"/>
              </w:rPr>
            </w:pPr>
            <w:r w:rsidRPr="002C70CE">
              <w:rPr>
                <w:rFonts w:cs="Arial"/>
                <w:color w:val="000000"/>
                <w:szCs w:val="20"/>
              </w:rPr>
              <w:t xml:space="preserve"> - </w:t>
            </w:r>
          </w:p>
        </w:tc>
        <w:tc>
          <w:tcPr>
            <w:tcW w:w="943" w:type="pct"/>
            <w:vAlign w:val="bottom"/>
          </w:tcPr>
          <w:p w14:paraId="40CBB92B" w14:textId="77777777" w:rsidR="005D7284" w:rsidRPr="002C70CE" w:rsidRDefault="004A1190" w:rsidP="00516E05">
            <w:pPr>
              <w:pStyle w:val="Body"/>
              <w:ind w:left="0"/>
              <w:jc w:val="center"/>
              <w:rPr>
                <w:rFonts w:cs="Arial"/>
                <w:szCs w:val="20"/>
                <w:highlight w:val="yellow"/>
              </w:rPr>
            </w:pPr>
            <w:r w:rsidRPr="002C70CE">
              <w:rPr>
                <w:rFonts w:cs="Arial"/>
                <w:color w:val="000000"/>
                <w:szCs w:val="20"/>
              </w:rPr>
              <w:t xml:space="preserve"> - </w:t>
            </w:r>
          </w:p>
        </w:tc>
        <w:tc>
          <w:tcPr>
            <w:tcW w:w="943" w:type="pct"/>
            <w:vAlign w:val="bottom"/>
          </w:tcPr>
          <w:p w14:paraId="628B731F" w14:textId="77777777" w:rsidR="005D7284" w:rsidRPr="002C70CE" w:rsidRDefault="004A1190" w:rsidP="00516E05">
            <w:pPr>
              <w:pStyle w:val="Body"/>
              <w:ind w:left="0"/>
              <w:jc w:val="center"/>
              <w:rPr>
                <w:rFonts w:cs="Arial"/>
                <w:szCs w:val="20"/>
                <w:highlight w:val="yellow"/>
              </w:rPr>
            </w:pPr>
            <w:r w:rsidRPr="002C70CE">
              <w:rPr>
                <w:rFonts w:cs="Arial"/>
                <w:color w:val="000000"/>
                <w:szCs w:val="20"/>
              </w:rPr>
              <w:t xml:space="preserve"> - </w:t>
            </w:r>
          </w:p>
        </w:tc>
        <w:tc>
          <w:tcPr>
            <w:tcW w:w="951" w:type="pct"/>
            <w:gridSpan w:val="2"/>
            <w:vAlign w:val="bottom"/>
          </w:tcPr>
          <w:p w14:paraId="1ACC5790" w14:textId="77777777" w:rsidR="005D7284" w:rsidRPr="002C70CE" w:rsidRDefault="004A1190" w:rsidP="00516E05">
            <w:pPr>
              <w:pStyle w:val="Body"/>
              <w:ind w:left="0"/>
              <w:jc w:val="center"/>
              <w:rPr>
                <w:rFonts w:cs="Arial"/>
                <w:szCs w:val="20"/>
                <w:highlight w:val="yellow"/>
              </w:rPr>
            </w:pPr>
            <w:r w:rsidRPr="002C70CE">
              <w:rPr>
                <w:rFonts w:cs="Arial"/>
                <w:color w:val="000000"/>
                <w:szCs w:val="20"/>
              </w:rPr>
              <w:t xml:space="preserve"> </w:t>
            </w:r>
            <w:r w:rsidR="005D7284" w:rsidRPr="002C70CE">
              <w:rPr>
                <w:rFonts w:cs="Arial"/>
                <w:color w:val="000000"/>
                <w:szCs w:val="20"/>
              </w:rPr>
              <w:t xml:space="preserve">- </w:t>
            </w:r>
          </w:p>
        </w:tc>
      </w:tr>
      <w:tr w:rsidR="00033247" w14:paraId="1E9B367F" w14:textId="77777777" w:rsidTr="00033247">
        <w:trPr>
          <w:jc w:val="center"/>
        </w:trPr>
        <w:tc>
          <w:tcPr>
            <w:tcW w:w="1220" w:type="pct"/>
          </w:tcPr>
          <w:p w14:paraId="5D7529D0" w14:textId="77777777" w:rsidR="005D7284" w:rsidRPr="002C70CE" w:rsidRDefault="005D7284" w:rsidP="00516E05">
            <w:pPr>
              <w:pStyle w:val="Body"/>
              <w:ind w:left="0"/>
              <w:rPr>
                <w:rFonts w:cs="Arial"/>
                <w:szCs w:val="20"/>
              </w:rPr>
            </w:pPr>
            <w:r w:rsidRPr="002C70CE">
              <w:rPr>
                <w:rFonts w:cs="Arial"/>
                <w:szCs w:val="20"/>
              </w:rPr>
              <w:t>Northland</w:t>
            </w:r>
          </w:p>
        </w:tc>
        <w:tc>
          <w:tcPr>
            <w:tcW w:w="943" w:type="pct"/>
            <w:vAlign w:val="bottom"/>
          </w:tcPr>
          <w:p w14:paraId="72D1E95A" w14:textId="77777777" w:rsidR="005D7284" w:rsidRPr="002C70CE" w:rsidRDefault="00031366" w:rsidP="00516E05">
            <w:pPr>
              <w:pStyle w:val="Body"/>
              <w:ind w:left="0"/>
              <w:jc w:val="center"/>
              <w:rPr>
                <w:rFonts w:cs="Arial"/>
                <w:szCs w:val="20"/>
                <w:highlight w:val="yellow"/>
              </w:rPr>
            </w:pPr>
            <w:r w:rsidRPr="002C70CE">
              <w:rPr>
                <w:rFonts w:cs="Arial"/>
                <w:color w:val="000000"/>
                <w:szCs w:val="20"/>
              </w:rPr>
              <w:t xml:space="preserve"> $41 - $62 </w:t>
            </w:r>
          </w:p>
        </w:tc>
        <w:tc>
          <w:tcPr>
            <w:tcW w:w="943" w:type="pct"/>
            <w:vAlign w:val="bottom"/>
          </w:tcPr>
          <w:p w14:paraId="79F204E6" w14:textId="77777777" w:rsidR="005D7284" w:rsidRPr="002C70CE" w:rsidRDefault="00031366" w:rsidP="00516E05">
            <w:pPr>
              <w:pStyle w:val="Body"/>
              <w:ind w:left="0"/>
              <w:jc w:val="center"/>
              <w:rPr>
                <w:rFonts w:cs="Arial"/>
                <w:szCs w:val="20"/>
                <w:highlight w:val="yellow"/>
              </w:rPr>
            </w:pPr>
            <w:r w:rsidRPr="002C70CE">
              <w:rPr>
                <w:rFonts w:cs="Arial"/>
                <w:color w:val="000000"/>
                <w:szCs w:val="20"/>
              </w:rPr>
              <w:t xml:space="preserve"> $45 - $67 </w:t>
            </w:r>
          </w:p>
        </w:tc>
        <w:tc>
          <w:tcPr>
            <w:tcW w:w="943" w:type="pct"/>
            <w:vAlign w:val="bottom"/>
          </w:tcPr>
          <w:p w14:paraId="54B2D846" w14:textId="77777777" w:rsidR="005D7284" w:rsidRPr="002C70CE" w:rsidRDefault="00031366" w:rsidP="00516E05">
            <w:pPr>
              <w:pStyle w:val="Body"/>
              <w:ind w:left="0"/>
              <w:jc w:val="center"/>
              <w:rPr>
                <w:rFonts w:cs="Arial"/>
                <w:szCs w:val="20"/>
                <w:highlight w:val="yellow"/>
              </w:rPr>
            </w:pPr>
            <w:r w:rsidRPr="002C70CE">
              <w:rPr>
                <w:rFonts w:cs="Arial"/>
                <w:color w:val="000000"/>
                <w:szCs w:val="20"/>
              </w:rPr>
              <w:t xml:space="preserve"> $17 - $25 </w:t>
            </w:r>
          </w:p>
        </w:tc>
        <w:tc>
          <w:tcPr>
            <w:tcW w:w="951" w:type="pct"/>
            <w:gridSpan w:val="2"/>
            <w:vAlign w:val="bottom"/>
          </w:tcPr>
          <w:p w14:paraId="6C1FE4D8" w14:textId="77777777" w:rsidR="005D7284" w:rsidRPr="002C70CE" w:rsidRDefault="004A1190" w:rsidP="00516E05">
            <w:pPr>
              <w:pStyle w:val="Body"/>
              <w:ind w:left="0"/>
              <w:jc w:val="center"/>
              <w:rPr>
                <w:rFonts w:cs="Arial"/>
                <w:szCs w:val="20"/>
                <w:highlight w:val="yellow"/>
              </w:rPr>
            </w:pPr>
            <w:r w:rsidRPr="002C70CE">
              <w:rPr>
                <w:rFonts w:cs="Arial"/>
                <w:color w:val="000000"/>
                <w:szCs w:val="20"/>
              </w:rPr>
              <w:t xml:space="preserve"> $100 - $150 </w:t>
            </w:r>
          </w:p>
        </w:tc>
      </w:tr>
      <w:tr w:rsidR="00033247" w14:paraId="2AA502EC" w14:textId="77777777" w:rsidTr="00033247">
        <w:trPr>
          <w:jc w:val="center"/>
        </w:trPr>
        <w:tc>
          <w:tcPr>
            <w:tcW w:w="1220" w:type="pct"/>
          </w:tcPr>
          <w:p w14:paraId="43865B90" w14:textId="77777777" w:rsidR="005D7284" w:rsidRPr="002C70CE" w:rsidRDefault="005D7284" w:rsidP="00516E05">
            <w:pPr>
              <w:pStyle w:val="Body"/>
              <w:ind w:left="0"/>
              <w:rPr>
                <w:rFonts w:cs="Arial"/>
                <w:szCs w:val="20"/>
              </w:rPr>
            </w:pPr>
            <w:r w:rsidRPr="002C70CE">
              <w:rPr>
                <w:rFonts w:cs="Arial"/>
                <w:szCs w:val="20"/>
              </w:rPr>
              <w:t xml:space="preserve">Otago </w:t>
            </w:r>
          </w:p>
        </w:tc>
        <w:tc>
          <w:tcPr>
            <w:tcW w:w="943" w:type="pct"/>
            <w:vAlign w:val="bottom"/>
          </w:tcPr>
          <w:p w14:paraId="14736A59" w14:textId="77777777" w:rsidR="005D7284" w:rsidRPr="002C70CE" w:rsidRDefault="00031366" w:rsidP="00516E05">
            <w:pPr>
              <w:pStyle w:val="Body"/>
              <w:ind w:left="0"/>
              <w:jc w:val="center"/>
              <w:rPr>
                <w:rFonts w:cs="Arial"/>
                <w:szCs w:val="20"/>
                <w:highlight w:val="yellow"/>
              </w:rPr>
            </w:pPr>
            <w:r w:rsidRPr="002C70CE">
              <w:rPr>
                <w:rFonts w:cs="Arial"/>
                <w:color w:val="000000"/>
                <w:szCs w:val="20"/>
              </w:rPr>
              <w:t xml:space="preserve"> $59 - $89 </w:t>
            </w:r>
          </w:p>
        </w:tc>
        <w:tc>
          <w:tcPr>
            <w:tcW w:w="943" w:type="pct"/>
            <w:vAlign w:val="bottom"/>
          </w:tcPr>
          <w:p w14:paraId="2AC3934D" w14:textId="77777777" w:rsidR="005D7284" w:rsidRPr="002C70CE" w:rsidRDefault="00031366" w:rsidP="00516E05">
            <w:pPr>
              <w:pStyle w:val="Body"/>
              <w:ind w:left="0"/>
              <w:jc w:val="center"/>
              <w:rPr>
                <w:rFonts w:cs="Arial"/>
                <w:szCs w:val="20"/>
                <w:highlight w:val="yellow"/>
              </w:rPr>
            </w:pPr>
            <w:r w:rsidRPr="002C70CE">
              <w:rPr>
                <w:rFonts w:cs="Arial"/>
                <w:color w:val="000000"/>
                <w:szCs w:val="20"/>
              </w:rPr>
              <w:t xml:space="preserve"> $52 - $78 </w:t>
            </w:r>
          </w:p>
        </w:tc>
        <w:tc>
          <w:tcPr>
            <w:tcW w:w="943" w:type="pct"/>
            <w:vAlign w:val="bottom"/>
          </w:tcPr>
          <w:p w14:paraId="2BF6C8F1" w14:textId="77777777" w:rsidR="005D7284" w:rsidRPr="002C70CE" w:rsidRDefault="00031366" w:rsidP="00516E05">
            <w:pPr>
              <w:pStyle w:val="Body"/>
              <w:ind w:left="0"/>
              <w:jc w:val="center"/>
              <w:rPr>
                <w:rFonts w:cs="Arial"/>
                <w:szCs w:val="20"/>
                <w:highlight w:val="yellow"/>
              </w:rPr>
            </w:pPr>
            <w:r w:rsidRPr="002C70CE">
              <w:rPr>
                <w:rFonts w:cs="Arial"/>
                <w:color w:val="000000"/>
                <w:szCs w:val="20"/>
              </w:rPr>
              <w:t xml:space="preserve"> $7.4 - $11 </w:t>
            </w:r>
          </w:p>
        </w:tc>
        <w:tc>
          <w:tcPr>
            <w:tcW w:w="951" w:type="pct"/>
            <w:gridSpan w:val="2"/>
            <w:vAlign w:val="bottom"/>
          </w:tcPr>
          <w:p w14:paraId="35878278" w14:textId="77777777" w:rsidR="005D7284" w:rsidRPr="002C70CE" w:rsidRDefault="004A1190" w:rsidP="00516E05">
            <w:pPr>
              <w:pStyle w:val="Body"/>
              <w:ind w:left="0"/>
              <w:jc w:val="center"/>
              <w:rPr>
                <w:rFonts w:cs="Arial"/>
                <w:szCs w:val="20"/>
                <w:highlight w:val="yellow"/>
              </w:rPr>
            </w:pPr>
            <w:r w:rsidRPr="002C70CE">
              <w:rPr>
                <w:rFonts w:cs="Arial"/>
                <w:color w:val="000000"/>
                <w:szCs w:val="20"/>
              </w:rPr>
              <w:t xml:space="preserve"> $120 - $180 </w:t>
            </w:r>
          </w:p>
        </w:tc>
      </w:tr>
      <w:tr w:rsidR="00033247" w14:paraId="0EE3CA2F" w14:textId="77777777" w:rsidTr="00033247">
        <w:trPr>
          <w:jc w:val="center"/>
        </w:trPr>
        <w:tc>
          <w:tcPr>
            <w:tcW w:w="1220" w:type="pct"/>
          </w:tcPr>
          <w:p w14:paraId="176DDC99" w14:textId="77777777" w:rsidR="005D7284" w:rsidRPr="002C70CE" w:rsidRDefault="005D7284" w:rsidP="00516E05">
            <w:pPr>
              <w:pStyle w:val="Body"/>
              <w:ind w:left="0"/>
              <w:rPr>
                <w:rFonts w:cs="Arial"/>
                <w:szCs w:val="20"/>
              </w:rPr>
            </w:pPr>
            <w:r w:rsidRPr="002C70CE">
              <w:rPr>
                <w:rFonts w:cs="Arial"/>
                <w:szCs w:val="20"/>
              </w:rPr>
              <w:t>Southland</w:t>
            </w:r>
          </w:p>
        </w:tc>
        <w:tc>
          <w:tcPr>
            <w:tcW w:w="943" w:type="pct"/>
            <w:vAlign w:val="bottom"/>
          </w:tcPr>
          <w:p w14:paraId="6CB48A48" w14:textId="77777777" w:rsidR="005D7284" w:rsidRPr="002C70CE" w:rsidRDefault="004A1190" w:rsidP="00516E05">
            <w:pPr>
              <w:pStyle w:val="Body"/>
              <w:ind w:left="0"/>
              <w:jc w:val="center"/>
              <w:rPr>
                <w:rFonts w:cs="Arial"/>
                <w:szCs w:val="20"/>
                <w:highlight w:val="yellow"/>
              </w:rPr>
            </w:pPr>
            <w:r w:rsidRPr="002C70CE">
              <w:rPr>
                <w:rFonts w:cs="Arial"/>
                <w:color w:val="000000"/>
                <w:szCs w:val="20"/>
              </w:rPr>
              <w:t xml:space="preserve"> $52 - $</w:t>
            </w:r>
            <w:r w:rsidR="00031366" w:rsidRPr="002C70CE">
              <w:rPr>
                <w:rFonts w:cs="Arial"/>
                <w:color w:val="000000"/>
                <w:szCs w:val="20"/>
              </w:rPr>
              <w:t>77</w:t>
            </w:r>
            <w:r w:rsidRPr="002C70CE">
              <w:rPr>
                <w:rFonts w:cs="Arial"/>
                <w:color w:val="000000"/>
                <w:szCs w:val="20"/>
              </w:rPr>
              <w:t xml:space="preserve"> </w:t>
            </w:r>
          </w:p>
        </w:tc>
        <w:tc>
          <w:tcPr>
            <w:tcW w:w="943" w:type="pct"/>
            <w:vAlign w:val="bottom"/>
          </w:tcPr>
          <w:p w14:paraId="6529EEE7" w14:textId="77777777" w:rsidR="005D7284" w:rsidRPr="002C70CE" w:rsidRDefault="00031366" w:rsidP="00516E05">
            <w:pPr>
              <w:pStyle w:val="Body"/>
              <w:ind w:left="0"/>
              <w:jc w:val="center"/>
              <w:rPr>
                <w:rFonts w:cs="Arial"/>
                <w:szCs w:val="20"/>
                <w:highlight w:val="yellow"/>
              </w:rPr>
            </w:pPr>
            <w:r w:rsidRPr="002C70CE">
              <w:rPr>
                <w:rFonts w:cs="Arial"/>
                <w:color w:val="000000"/>
                <w:szCs w:val="20"/>
              </w:rPr>
              <w:t xml:space="preserve"> $18 - $28 </w:t>
            </w:r>
          </w:p>
        </w:tc>
        <w:tc>
          <w:tcPr>
            <w:tcW w:w="943" w:type="pct"/>
            <w:vAlign w:val="bottom"/>
          </w:tcPr>
          <w:p w14:paraId="14BF12C6" w14:textId="77777777" w:rsidR="005D7284" w:rsidRPr="002C70CE" w:rsidRDefault="00031366" w:rsidP="00516E05">
            <w:pPr>
              <w:pStyle w:val="Body"/>
              <w:ind w:left="0"/>
              <w:jc w:val="center"/>
              <w:rPr>
                <w:rFonts w:cs="Arial"/>
                <w:szCs w:val="20"/>
                <w:highlight w:val="yellow"/>
              </w:rPr>
            </w:pPr>
            <w:r w:rsidRPr="002C70CE">
              <w:rPr>
                <w:rFonts w:cs="Arial"/>
                <w:color w:val="000000"/>
                <w:szCs w:val="20"/>
              </w:rPr>
              <w:t xml:space="preserve"> $13 - $20 </w:t>
            </w:r>
          </w:p>
        </w:tc>
        <w:tc>
          <w:tcPr>
            <w:tcW w:w="951" w:type="pct"/>
            <w:gridSpan w:val="2"/>
            <w:vAlign w:val="bottom"/>
          </w:tcPr>
          <w:p w14:paraId="013FFD44" w14:textId="77777777" w:rsidR="005D7284" w:rsidRPr="002C70CE" w:rsidRDefault="004A1190" w:rsidP="00516E05">
            <w:pPr>
              <w:pStyle w:val="Body"/>
              <w:ind w:left="0"/>
              <w:jc w:val="center"/>
              <w:rPr>
                <w:rFonts w:cs="Arial"/>
                <w:szCs w:val="20"/>
                <w:highlight w:val="yellow"/>
              </w:rPr>
            </w:pPr>
            <w:r w:rsidRPr="002C70CE">
              <w:rPr>
                <w:rFonts w:cs="Arial"/>
                <w:color w:val="000000"/>
                <w:szCs w:val="20"/>
              </w:rPr>
              <w:t xml:space="preserve"> $84 - $130 </w:t>
            </w:r>
          </w:p>
        </w:tc>
      </w:tr>
      <w:tr w:rsidR="00033247" w14:paraId="7786B6CC" w14:textId="77777777" w:rsidTr="00033247">
        <w:trPr>
          <w:jc w:val="center"/>
        </w:trPr>
        <w:tc>
          <w:tcPr>
            <w:tcW w:w="1220" w:type="pct"/>
          </w:tcPr>
          <w:p w14:paraId="53D0348E" w14:textId="77777777" w:rsidR="005D7284" w:rsidRPr="002C70CE" w:rsidRDefault="005D7284" w:rsidP="00516E05">
            <w:pPr>
              <w:pStyle w:val="Body"/>
              <w:ind w:left="0"/>
              <w:rPr>
                <w:rFonts w:cs="Arial"/>
                <w:szCs w:val="20"/>
              </w:rPr>
            </w:pPr>
            <w:r w:rsidRPr="002C70CE">
              <w:rPr>
                <w:rFonts w:cs="Arial"/>
                <w:szCs w:val="20"/>
              </w:rPr>
              <w:t>Taranaki</w:t>
            </w:r>
          </w:p>
        </w:tc>
        <w:tc>
          <w:tcPr>
            <w:tcW w:w="943" w:type="pct"/>
            <w:vAlign w:val="bottom"/>
          </w:tcPr>
          <w:p w14:paraId="757D1BDD" w14:textId="77777777" w:rsidR="005D7284" w:rsidRPr="002C70CE" w:rsidRDefault="00031366" w:rsidP="00516E05">
            <w:pPr>
              <w:pStyle w:val="Body"/>
              <w:ind w:left="0"/>
              <w:jc w:val="center"/>
              <w:rPr>
                <w:rFonts w:cs="Arial"/>
                <w:szCs w:val="20"/>
                <w:highlight w:val="yellow"/>
              </w:rPr>
            </w:pPr>
            <w:r w:rsidRPr="002C70CE">
              <w:rPr>
                <w:rFonts w:cs="Arial"/>
                <w:color w:val="000000"/>
                <w:szCs w:val="20"/>
              </w:rPr>
              <w:t xml:space="preserve"> $2.2 - $3.2 </w:t>
            </w:r>
          </w:p>
        </w:tc>
        <w:tc>
          <w:tcPr>
            <w:tcW w:w="943" w:type="pct"/>
            <w:vAlign w:val="bottom"/>
          </w:tcPr>
          <w:p w14:paraId="5BA2E193" w14:textId="77777777" w:rsidR="005D7284" w:rsidRPr="002C70CE" w:rsidRDefault="00031366" w:rsidP="00516E05">
            <w:pPr>
              <w:pStyle w:val="Body"/>
              <w:ind w:left="0"/>
              <w:jc w:val="center"/>
              <w:rPr>
                <w:rFonts w:cs="Arial"/>
                <w:szCs w:val="20"/>
                <w:highlight w:val="yellow"/>
              </w:rPr>
            </w:pPr>
            <w:r w:rsidRPr="002C70CE">
              <w:rPr>
                <w:rFonts w:cs="Arial"/>
                <w:color w:val="000000"/>
                <w:szCs w:val="20"/>
              </w:rPr>
              <w:t xml:space="preserve"> $72 - $110 </w:t>
            </w:r>
          </w:p>
        </w:tc>
        <w:tc>
          <w:tcPr>
            <w:tcW w:w="943" w:type="pct"/>
            <w:vAlign w:val="bottom"/>
          </w:tcPr>
          <w:p w14:paraId="12B49AA6" w14:textId="77777777" w:rsidR="005D7284" w:rsidRPr="002C70CE" w:rsidRDefault="00031366" w:rsidP="00516E05">
            <w:pPr>
              <w:pStyle w:val="Body"/>
              <w:ind w:left="0"/>
              <w:jc w:val="center"/>
              <w:rPr>
                <w:rFonts w:cs="Arial"/>
                <w:szCs w:val="20"/>
                <w:highlight w:val="yellow"/>
              </w:rPr>
            </w:pPr>
            <w:r w:rsidRPr="002C70CE">
              <w:rPr>
                <w:rFonts w:cs="Arial"/>
                <w:color w:val="000000"/>
                <w:szCs w:val="20"/>
              </w:rPr>
              <w:t xml:space="preserve"> - </w:t>
            </w:r>
          </w:p>
        </w:tc>
        <w:tc>
          <w:tcPr>
            <w:tcW w:w="951" w:type="pct"/>
            <w:gridSpan w:val="2"/>
            <w:vAlign w:val="bottom"/>
          </w:tcPr>
          <w:p w14:paraId="359D8867" w14:textId="77777777" w:rsidR="005D7284" w:rsidRPr="002C70CE" w:rsidRDefault="004A1190" w:rsidP="00516E05">
            <w:pPr>
              <w:pStyle w:val="Body"/>
              <w:ind w:left="0"/>
              <w:jc w:val="center"/>
              <w:rPr>
                <w:rFonts w:cs="Arial"/>
                <w:szCs w:val="20"/>
                <w:highlight w:val="yellow"/>
              </w:rPr>
            </w:pPr>
            <w:r w:rsidRPr="002C70CE">
              <w:rPr>
                <w:rFonts w:cs="Arial"/>
                <w:color w:val="000000"/>
                <w:szCs w:val="20"/>
              </w:rPr>
              <w:t xml:space="preserve"> $74 - $110 </w:t>
            </w:r>
          </w:p>
        </w:tc>
      </w:tr>
      <w:tr w:rsidR="00033247" w14:paraId="0B498320" w14:textId="77777777" w:rsidTr="00033247">
        <w:trPr>
          <w:jc w:val="center"/>
        </w:trPr>
        <w:tc>
          <w:tcPr>
            <w:tcW w:w="1220" w:type="pct"/>
          </w:tcPr>
          <w:p w14:paraId="061FB915" w14:textId="77777777" w:rsidR="005D7284" w:rsidRPr="002C70CE" w:rsidRDefault="005D7284" w:rsidP="00516E05">
            <w:pPr>
              <w:pStyle w:val="Body"/>
              <w:ind w:left="0"/>
              <w:rPr>
                <w:rFonts w:cs="Arial"/>
                <w:szCs w:val="20"/>
              </w:rPr>
            </w:pPr>
            <w:r w:rsidRPr="002C70CE">
              <w:rPr>
                <w:rFonts w:cs="Arial"/>
                <w:szCs w:val="20"/>
              </w:rPr>
              <w:t>Tasman</w:t>
            </w:r>
          </w:p>
        </w:tc>
        <w:tc>
          <w:tcPr>
            <w:tcW w:w="943" w:type="pct"/>
            <w:vAlign w:val="bottom"/>
          </w:tcPr>
          <w:p w14:paraId="0A0C0F9B" w14:textId="77777777" w:rsidR="005D7284" w:rsidRPr="002C70CE" w:rsidRDefault="00031366" w:rsidP="00516E05">
            <w:pPr>
              <w:pStyle w:val="Body"/>
              <w:ind w:left="0"/>
              <w:jc w:val="center"/>
              <w:rPr>
                <w:rFonts w:cs="Arial"/>
                <w:szCs w:val="20"/>
                <w:highlight w:val="yellow"/>
              </w:rPr>
            </w:pPr>
            <w:r w:rsidRPr="002C70CE">
              <w:rPr>
                <w:rFonts w:cs="Arial"/>
                <w:color w:val="000000"/>
                <w:szCs w:val="20"/>
              </w:rPr>
              <w:t xml:space="preserve"> - </w:t>
            </w:r>
          </w:p>
        </w:tc>
        <w:tc>
          <w:tcPr>
            <w:tcW w:w="943" w:type="pct"/>
            <w:vAlign w:val="bottom"/>
          </w:tcPr>
          <w:p w14:paraId="0BBF70E6" w14:textId="77777777" w:rsidR="005D7284" w:rsidRPr="002C70CE" w:rsidRDefault="00031366" w:rsidP="00516E05">
            <w:pPr>
              <w:pStyle w:val="Body"/>
              <w:ind w:left="0"/>
              <w:jc w:val="center"/>
              <w:rPr>
                <w:rFonts w:cs="Arial"/>
                <w:szCs w:val="20"/>
                <w:highlight w:val="yellow"/>
              </w:rPr>
            </w:pPr>
            <w:r w:rsidRPr="002C70CE">
              <w:rPr>
                <w:rFonts w:cs="Arial"/>
                <w:color w:val="000000"/>
                <w:szCs w:val="20"/>
              </w:rPr>
              <w:t xml:space="preserve"> $16 - $24 </w:t>
            </w:r>
          </w:p>
        </w:tc>
        <w:tc>
          <w:tcPr>
            <w:tcW w:w="943" w:type="pct"/>
            <w:vAlign w:val="bottom"/>
          </w:tcPr>
          <w:p w14:paraId="4A5AD4E3" w14:textId="77777777" w:rsidR="005D7284" w:rsidRPr="002C70CE" w:rsidRDefault="004A1190" w:rsidP="00516E05">
            <w:pPr>
              <w:pStyle w:val="Body"/>
              <w:ind w:left="0"/>
              <w:jc w:val="center"/>
              <w:rPr>
                <w:rFonts w:cs="Arial"/>
                <w:szCs w:val="20"/>
                <w:highlight w:val="yellow"/>
              </w:rPr>
            </w:pPr>
            <w:r w:rsidRPr="002C70CE">
              <w:rPr>
                <w:rFonts w:cs="Arial"/>
                <w:color w:val="000000"/>
                <w:szCs w:val="20"/>
              </w:rPr>
              <w:t xml:space="preserve"> - </w:t>
            </w:r>
          </w:p>
        </w:tc>
        <w:tc>
          <w:tcPr>
            <w:tcW w:w="951" w:type="pct"/>
            <w:gridSpan w:val="2"/>
            <w:vAlign w:val="bottom"/>
          </w:tcPr>
          <w:p w14:paraId="19A5DE2F" w14:textId="77777777" w:rsidR="005D7284" w:rsidRPr="002C70CE" w:rsidRDefault="004A1190" w:rsidP="00516E05">
            <w:pPr>
              <w:pStyle w:val="Body"/>
              <w:ind w:left="0"/>
              <w:jc w:val="center"/>
              <w:rPr>
                <w:rFonts w:cs="Arial"/>
                <w:szCs w:val="20"/>
                <w:highlight w:val="yellow"/>
              </w:rPr>
            </w:pPr>
            <w:r w:rsidRPr="002C70CE">
              <w:rPr>
                <w:rFonts w:cs="Arial"/>
                <w:color w:val="000000"/>
                <w:szCs w:val="20"/>
              </w:rPr>
              <w:t xml:space="preserve"> </w:t>
            </w:r>
            <w:r w:rsidR="005D7284" w:rsidRPr="002C70CE">
              <w:rPr>
                <w:rFonts w:cs="Arial"/>
                <w:color w:val="000000"/>
                <w:szCs w:val="20"/>
              </w:rPr>
              <w:t xml:space="preserve">$16 - $24 </w:t>
            </w:r>
          </w:p>
        </w:tc>
      </w:tr>
      <w:tr w:rsidR="00033247" w14:paraId="2A03A909" w14:textId="77777777" w:rsidTr="00033247">
        <w:trPr>
          <w:jc w:val="center"/>
        </w:trPr>
        <w:tc>
          <w:tcPr>
            <w:tcW w:w="1220" w:type="pct"/>
          </w:tcPr>
          <w:p w14:paraId="1E381222" w14:textId="77777777" w:rsidR="005D7284" w:rsidRPr="002C70CE" w:rsidRDefault="005D7284" w:rsidP="00516E05">
            <w:pPr>
              <w:pStyle w:val="Body"/>
              <w:ind w:left="0"/>
              <w:rPr>
                <w:rFonts w:cs="Arial"/>
                <w:szCs w:val="20"/>
              </w:rPr>
            </w:pPr>
            <w:r w:rsidRPr="002C70CE">
              <w:rPr>
                <w:rFonts w:cs="Arial"/>
                <w:szCs w:val="20"/>
              </w:rPr>
              <w:t>Waikato</w:t>
            </w:r>
          </w:p>
        </w:tc>
        <w:tc>
          <w:tcPr>
            <w:tcW w:w="943" w:type="pct"/>
            <w:vAlign w:val="bottom"/>
          </w:tcPr>
          <w:p w14:paraId="681C5BF8" w14:textId="77777777" w:rsidR="005D7284" w:rsidRPr="002C70CE" w:rsidRDefault="00031366" w:rsidP="00516E05">
            <w:pPr>
              <w:pStyle w:val="Body"/>
              <w:ind w:left="0"/>
              <w:jc w:val="center"/>
              <w:rPr>
                <w:rFonts w:cs="Arial"/>
                <w:szCs w:val="20"/>
                <w:highlight w:val="yellow"/>
              </w:rPr>
            </w:pPr>
            <w:r w:rsidRPr="002C70CE">
              <w:rPr>
                <w:rFonts w:cs="Arial"/>
                <w:color w:val="000000"/>
                <w:szCs w:val="20"/>
              </w:rPr>
              <w:t xml:space="preserve"> $110 - $160 </w:t>
            </w:r>
          </w:p>
        </w:tc>
        <w:tc>
          <w:tcPr>
            <w:tcW w:w="943" w:type="pct"/>
            <w:vAlign w:val="bottom"/>
          </w:tcPr>
          <w:p w14:paraId="23012D16" w14:textId="77777777" w:rsidR="005D7284" w:rsidRPr="002C70CE" w:rsidRDefault="00031366" w:rsidP="00516E05">
            <w:pPr>
              <w:pStyle w:val="Body"/>
              <w:ind w:left="0"/>
              <w:jc w:val="center"/>
              <w:rPr>
                <w:rFonts w:cs="Arial"/>
                <w:szCs w:val="20"/>
                <w:highlight w:val="yellow"/>
              </w:rPr>
            </w:pPr>
            <w:r w:rsidRPr="002C70CE">
              <w:rPr>
                <w:rFonts w:cs="Arial"/>
                <w:color w:val="000000"/>
                <w:szCs w:val="20"/>
              </w:rPr>
              <w:t xml:space="preserve"> $92 - $140 </w:t>
            </w:r>
          </w:p>
        </w:tc>
        <w:tc>
          <w:tcPr>
            <w:tcW w:w="943" w:type="pct"/>
            <w:vAlign w:val="bottom"/>
          </w:tcPr>
          <w:p w14:paraId="7F2B5F5C" w14:textId="77777777" w:rsidR="005D7284" w:rsidRPr="002C70CE" w:rsidRDefault="00031366" w:rsidP="00516E05">
            <w:pPr>
              <w:pStyle w:val="Body"/>
              <w:ind w:left="0"/>
              <w:jc w:val="center"/>
              <w:rPr>
                <w:rFonts w:cs="Arial"/>
                <w:szCs w:val="20"/>
                <w:highlight w:val="yellow"/>
              </w:rPr>
            </w:pPr>
            <w:r w:rsidRPr="002C70CE">
              <w:rPr>
                <w:rFonts w:cs="Arial"/>
                <w:color w:val="000000"/>
                <w:szCs w:val="20"/>
              </w:rPr>
              <w:t xml:space="preserve"> $41 - $62 </w:t>
            </w:r>
          </w:p>
        </w:tc>
        <w:tc>
          <w:tcPr>
            <w:tcW w:w="951" w:type="pct"/>
            <w:gridSpan w:val="2"/>
            <w:vAlign w:val="bottom"/>
          </w:tcPr>
          <w:p w14:paraId="3DF6395E" w14:textId="77777777" w:rsidR="005D7284" w:rsidRPr="002C70CE" w:rsidRDefault="004A1190" w:rsidP="00516E05">
            <w:pPr>
              <w:pStyle w:val="Body"/>
              <w:ind w:left="0"/>
              <w:jc w:val="center"/>
              <w:rPr>
                <w:rFonts w:cs="Arial"/>
                <w:szCs w:val="20"/>
                <w:highlight w:val="yellow"/>
              </w:rPr>
            </w:pPr>
            <w:r w:rsidRPr="002C70CE">
              <w:rPr>
                <w:rFonts w:cs="Arial"/>
                <w:color w:val="000000"/>
                <w:szCs w:val="20"/>
              </w:rPr>
              <w:t xml:space="preserve"> $240 - $360 </w:t>
            </w:r>
          </w:p>
        </w:tc>
      </w:tr>
      <w:tr w:rsidR="00033247" w14:paraId="060D3D4C" w14:textId="77777777" w:rsidTr="00033247">
        <w:trPr>
          <w:jc w:val="center"/>
        </w:trPr>
        <w:tc>
          <w:tcPr>
            <w:tcW w:w="1220" w:type="pct"/>
          </w:tcPr>
          <w:p w14:paraId="69788899" w14:textId="77777777" w:rsidR="005D7284" w:rsidRPr="002C70CE" w:rsidRDefault="005D7284" w:rsidP="00516E05">
            <w:pPr>
              <w:pStyle w:val="Body"/>
              <w:ind w:left="0"/>
              <w:rPr>
                <w:rFonts w:cs="Arial"/>
                <w:szCs w:val="20"/>
              </w:rPr>
            </w:pPr>
            <w:r w:rsidRPr="002C70CE">
              <w:rPr>
                <w:rFonts w:cs="Arial"/>
                <w:szCs w:val="20"/>
              </w:rPr>
              <w:t>Wellington</w:t>
            </w:r>
          </w:p>
        </w:tc>
        <w:tc>
          <w:tcPr>
            <w:tcW w:w="943" w:type="pct"/>
            <w:vAlign w:val="bottom"/>
          </w:tcPr>
          <w:p w14:paraId="501D369D" w14:textId="77777777" w:rsidR="005D7284" w:rsidRPr="002C70CE" w:rsidRDefault="00031366" w:rsidP="00516E05">
            <w:pPr>
              <w:pStyle w:val="Body"/>
              <w:ind w:left="0"/>
              <w:jc w:val="center"/>
              <w:rPr>
                <w:rFonts w:cs="Arial"/>
                <w:szCs w:val="20"/>
                <w:highlight w:val="yellow"/>
              </w:rPr>
            </w:pPr>
            <w:r w:rsidRPr="002C70CE">
              <w:rPr>
                <w:rFonts w:cs="Arial"/>
                <w:color w:val="000000"/>
                <w:szCs w:val="20"/>
              </w:rPr>
              <w:t xml:space="preserve"> $4.7 - $7.1 </w:t>
            </w:r>
          </w:p>
        </w:tc>
        <w:tc>
          <w:tcPr>
            <w:tcW w:w="943" w:type="pct"/>
            <w:vAlign w:val="bottom"/>
          </w:tcPr>
          <w:p w14:paraId="0BC5077F" w14:textId="77777777" w:rsidR="005D7284" w:rsidRPr="002C70CE" w:rsidRDefault="00031366" w:rsidP="00516E05">
            <w:pPr>
              <w:pStyle w:val="Body"/>
              <w:ind w:left="0"/>
              <w:jc w:val="center"/>
              <w:rPr>
                <w:rFonts w:cs="Arial"/>
                <w:szCs w:val="20"/>
                <w:highlight w:val="yellow"/>
              </w:rPr>
            </w:pPr>
            <w:r w:rsidRPr="002C70CE">
              <w:rPr>
                <w:rFonts w:cs="Arial"/>
                <w:color w:val="000000"/>
                <w:szCs w:val="20"/>
              </w:rPr>
              <w:t xml:space="preserve"> $110 - $160 </w:t>
            </w:r>
          </w:p>
        </w:tc>
        <w:tc>
          <w:tcPr>
            <w:tcW w:w="943" w:type="pct"/>
            <w:vAlign w:val="bottom"/>
          </w:tcPr>
          <w:p w14:paraId="20BD3A2D" w14:textId="77777777" w:rsidR="005D7284" w:rsidRPr="002C70CE" w:rsidRDefault="00031366" w:rsidP="00516E05">
            <w:pPr>
              <w:pStyle w:val="Body"/>
              <w:ind w:left="0"/>
              <w:jc w:val="center"/>
              <w:rPr>
                <w:rFonts w:cs="Arial"/>
                <w:szCs w:val="20"/>
                <w:highlight w:val="yellow"/>
              </w:rPr>
            </w:pPr>
            <w:r w:rsidRPr="002C70CE">
              <w:rPr>
                <w:rFonts w:cs="Arial"/>
                <w:color w:val="000000"/>
                <w:szCs w:val="20"/>
              </w:rPr>
              <w:t xml:space="preserve"> $20 - $30 </w:t>
            </w:r>
          </w:p>
        </w:tc>
        <w:tc>
          <w:tcPr>
            <w:tcW w:w="951" w:type="pct"/>
            <w:gridSpan w:val="2"/>
            <w:vAlign w:val="bottom"/>
          </w:tcPr>
          <w:p w14:paraId="166D9C2E" w14:textId="77777777" w:rsidR="005D7284" w:rsidRPr="002C70CE" w:rsidRDefault="004A1190" w:rsidP="00516E05">
            <w:pPr>
              <w:pStyle w:val="Body"/>
              <w:ind w:left="0"/>
              <w:jc w:val="center"/>
              <w:rPr>
                <w:rFonts w:cs="Arial"/>
                <w:szCs w:val="20"/>
                <w:highlight w:val="yellow"/>
              </w:rPr>
            </w:pPr>
            <w:r w:rsidRPr="002C70CE">
              <w:rPr>
                <w:rFonts w:cs="Arial"/>
                <w:color w:val="000000"/>
                <w:szCs w:val="20"/>
              </w:rPr>
              <w:t xml:space="preserve"> $130</w:t>
            </w:r>
            <w:r w:rsidR="005D7284" w:rsidRPr="002C70CE">
              <w:rPr>
                <w:rFonts w:cs="Arial"/>
                <w:color w:val="000000"/>
                <w:szCs w:val="20"/>
              </w:rPr>
              <w:t xml:space="preserve"> - $200 </w:t>
            </w:r>
          </w:p>
        </w:tc>
      </w:tr>
      <w:tr w:rsidR="00033247" w14:paraId="7C00A2B8" w14:textId="77777777" w:rsidTr="00033247">
        <w:trPr>
          <w:jc w:val="center"/>
        </w:trPr>
        <w:tc>
          <w:tcPr>
            <w:tcW w:w="1220" w:type="pct"/>
          </w:tcPr>
          <w:p w14:paraId="44F54302" w14:textId="77777777" w:rsidR="005D7284" w:rsidRPr="002C70CE" w:rsidRDefault="005D7284" w:rsidP="00516E05">
            <w:pPr>
              <w:pStyle w:val="Body"/>
              <w:ind w:left="0"/>
              <w:rPr>
                <w:rFonts w:cs="Arial"/>
                <w:szCs w:val="20"/>
              </w:rPr>
            </w:pPr>
            <w:r w:rsidRPr="002C70CE">
              <w:rPr>
                <w:rFonts w:cs="Arial"/>
                <w:szCs w:val="20"/>
              </w:rPr>
              <w:t>West Coast</w:t>
            </w:r>
          </w:p>
        </w:tc>
        <w:tc>
          <w:tcPr>
            <w:tcW w:w="943" w:type="pct"/>
            <w:vAlign w:val="bottom"/>
          </w:tcPr>
          <w:p w14:paraId="101878A0" w14:textId="77777777" w:rsidR="005D7284" w:rsidRPr="002C70CE" w:rsidRDefault="00031366" w:rsidP="00516E05">
            <w:pPr>
              <w:pStyle w:val="Body"/>
              <w:ind w:left="0"/>
              <w:jc w:val="center"/>
              <w:rPr>
                <w:rFonts w:cs="Arial"/>
                <w:szCs w:val="20"/>
                <w:highlight w:val="yellow"/>
              </w:rPr>
            </w:pPr>
            <w:r w:rsidRPr="002C70CE">
              <w:rPr>
                <w:rFonts w:cs="Arial"/>
                <w:color w:val="000000"/>
                <w:szCs w:val="20"/>
              </w:rPr>
              <w:t xml:space="preserve"> - </w:t>
            </w:r>
          </w:p>
        </w:tc>
        <w:tc>
          <w:tcPr>
            <w:tcW w:w="943" w:type="pct"/>
            <w:vAlign w:val="bottom"/>
          </w:tcPr>
          <w:p w14:paraId="15D83DE3" w14:textId="77777777" w:rsidR="005D7284" w:rsidRPr="002C70CE" w:rsidRDefault="00031366" w:rsidP="00516E05">
            <w:pPr>
              <w:pStyle w:val="Body"/>
              <w:ind w:left="0"/>
              <w:jc w:val="center"/>
              <w:rPr>
                <w:rFonts w:cs="Arial"/>
                <w:szCs w:val="20"/>
                <w:highlight w:val="yellow"/>
              </w:rPr>
            </w:pPr>
            <w:r w:rsidRPr="002C70CE">
              <w:rPr>
                <w:rFonts w:cs="Arial"/>
                <w:color w:val="000000"/>
                <w:szCs w:val="20"/>
              </w:rPr>
              <w:t xml:space="preserve"> $94 - $140 </w:t>
            </w:r>
          </w:p>
        </w:tc>
        <w:tc>
          <w:tcPr>
            <w:tcW w:w="943" w:type="pct"/>
            <w:vAlign w:val="bottom"/>
          </w:tcPr>
          <w:p w14:paraId="23CAE3F1" w14:textId="77777777" w:rsidR="005D7284" w:rsidRPr="002C70CE" w:rsidRDefault="00031366" w:rsidP="00516E05">
            <w:pPr>
              <w:pStyle w:val="Body"/>
              <w:ind w:left="0"/>
              <w:jc w:val="center"/>
              <w:rPr>
                <w:rFonts w:cs="Arial"/>
                <w:szCs w:val="20"/>
                <w:highlight w:val="yellow"/>
              </w:rPr>
            </w:pPr>
            <w:r w:rsidRPr="002C70CE">
              <w:rPr>
                <w:rFonts w:cs="Arial"/>
                <w:color w:val="000000"/>
                <w:szCs w:val="20"/>
              </w:rPr>
              <w:t xml:space="preserve"> $24 - $36 </w:t>
            </w:r>
          </w:p>
        </w:tc>
        <w:tc>
          <w:tcPr>
            <w:tcW w:w="951" w:type="pct"/>
            <w:gridSpan w:val="2"/>
            <w:vAlign w:val="bottom"/>
          </w:tcPr>
          <w:p w14:paraId="39974A0D" w14:textId="77777777" w:rsidR="005D7284" w:rsidRPr="002C70CE" w:rsidRDefault="004A1190" w:rsidP="00516E05">
            <w:pPr>
              <w:pStyle w:val="Body"/>
              <w:ind w:left="0"/>
              <w:jc w:val="center"/>
              <w:rPr>
                <w:rFonts w:cs="Arial"/>
                <w:szCs w:val="20"/>
                <w:highlight w:val="yellow"/>
              </w:rPr>
            </w:pPr>
            <w:r w:rsidRPr="002C70CE">
              <w:rPr>
                <w:rFonts w:cs="Arial"/>
                <w:color w:val="000000"/>
                <w:szCs w:val="20"/>
              </w:rPr>
              <w:t xml:space="preserve"> $120 - $180 </w:t>
            </w:r>
          </w:p>
        </w:tc>
      </w:tr>
      <w:tr w:rsidR="00033247" w14:paraId="4FBA7BE7" w14:textId="77777777" w:rsidTr="00033247">
        <w:trPr>
          <w:jc w:val="center"/>
        </w:trPr>
        <w:tc>
          <w:tcPr>
            <w:tcW w:w="1220" w:type="pct"/>
          </w:tcPr>
          <w:p w14:paraId="3F6F706B" w14:textId="77777777" w:rsidR="005D7284" w:rsidRPr="002C70CE" w:rsidRDefault="005D7284" w:rsidP="00516E05">
            <w:pPr>
              <w:pStyle w:val="Body"/>
              <w:ind w:left="0"/>
              <w:rPr>
                <w:rFonts w:cs="Arial"/>
                <w:b/>
                <w:szCs w:val="20"/>
              </w:rPr>
            </w:pPr>
            <w:r w:rsidRPr="002C70CE">
              <w:rPr>
                <w:rFonts w:cs="Arial"/>
                <w:b/>
                <w:szCs w:val="20"/>
              </w:rPr>
              <w:t>Total</w:t>
            </w:r>
          </w:p>
        </w:tc>
        <w:tc>
          <w:tcPr>
            <w:tcW w:w="943" w:type="pct"/>
            <w:vAlign w:val="bottom"/>
          </w:tcPr>
          <w:p w14:paraId="31389136" w14:textId="77777777" w:rsidR="005D7284" w:rsidRPr="002C70CE" w:rsidRDefault="00031366" w:rsidP="00516E05">
            <w:pPr>
              <w:pStyle w:val="Body"/>
              <w:ind w:left="0"/>
              <w:jc w:val="center"/>
              <w:rPr>
                <w:rFonts w:cs="Arial"/>
                <w:b/>
                <w:szCs w:val="20"/>
                <w:highlight w:val="yellow"/>
              </w:rPr>
            </w:pPr>
            <w:r w:rsidRPr="002C70CE">
              <w:rPr>
                <w:rFonts w:cs="Arial"/>
                <w:b/>
                <w:color w:val="000000"/>
                <w:szCs w:val="20"/>
              </w:rPr>
              <w:t xml:space="preserve"> $580 - $880 </w:t>
            </w:r>
          </w:p>
        </w:tc>
        <w:tc>
          <w:tcPr>
            <w:tcW w:w="943" w:type="pct"/>
            <w:vAlign w:val="bottom"/>
          </w:tcPr>
          <w:p w14:paraId="6227A460" w14:textId="77777777" w:rsidR="005D7284" w:rsidRPr="002C70CE" w:rsidRDefault="00031366" w:rsidP="00516E05">
            <w:pPr>
              <w:pStyle w:val="Body"/>
              <w:ind w:left="0"/>
              <w:jc w:val="center"/>
              <w:rPr>
                <w:rFonts w:cs="Arial"/>
                <w:b/>
                <w:szCs w:val="20"/>
                <w:highlight w:val="yellow"/>
              </w:rPr>
            </w:pPr>
            <w:r w:rsidRPr="002C70CE">
              <w:rPr>
                <w:rFonts w:cs="Arial"/>
                <w:b/>
                <w:color w:val="000000"/>
                <w:szCs w:val="20"/>
              </w:rPr>
              <w:t xml:space="preserve"> $630 - $950 </w:t>
            </w:r>
          </w:p>
        </w:tc>
        <w:tc>
          <w:tcPr>
            <w:tcW w:w="943" w:type="pct"/>
            <w:vAlign w:val="bottom"/>
          </w:tcPr>
          <w:p w14:paraId="25D9D5F6" w14:textId="77777777" w:rsidR="005D7284" w:rsidRPr="002C70CE" w:rsidRDefault="00031366" w:rsidP="00516E05">
            <w:pPr>
              <w:pStyle w:val="Body"/>
              <w:ind w:left="0"/>
              <w:jc w:val="center"/>
              <w:rPr>
                <w:rFonts w:cs="Arial"/>
                <w:b/>
                <w:szCs w:val="20"/>
                <w:highlight w:val="yellow"/>
              </w:rPr>
            </w:pPr>
            <w:r w:rsidRPr="002C70CE">
              <w:rPr>
                <w:rFonts w:cs="Arial"/>
                <w:b/>
                <w:color w:val="000000"/>
                <w:szCs w:val="20"/>
              </w:rPr>
              <w:t xml:space="preserve"> $160 - $240 </w:t>
            </w:r>
          </w:p>
        </w:tc>
        <w:tc>
          <w:tcPr>
            <w:tcW w:w="951" w:type="pct"/>
            <w:gridSpan w:val="2"/>
            <w:vAlign w:val="bottom"/>
          </w:tcPr>
          <w:p w14:paraId="30F2051A" w14:textId="77777777" w:rsidR="005D7284" w:rsidRPr="002C70CE" w:rsidRDefault="004A1190" w:rsidP="00516E05">
            <w:pPr>
              <w:pStyle w:val="Body"/>
              <w:ind w:left="0"/>
              <w:jc w:val="center"/>
              <w:rPr>
                <w:rFonts w:cs="Arial"/>
                <w:b/>
                <w:szCs w:val="20"/>
                <w:highlight w:val="yellow"/>
              </w:rPr>
            </w:pPr>
            <w:r w:rsidRPr="002C70CE">
              <w:rPr>
                <w:rFonts w:cs="Arial"/>
                <w:b/>
                <w:color w:val="000000"/>
                <w:szCs w:val="20"/>
              </w:rPr>
              <w:t xml:space="preserve"> </w:t>
            </w:r>
            <w:r w:rsidR="005D7284" w:rsidRPr="002C70CE">
              <w:rPr>
                <w:rFonts w:cs="Arial"/>
                <w:b/>
                <w:color w:val="000000"/>
                <w:szCs w:val="20"/>
              </w:rPr>
              <w:t>$1,</w:t>
            </w:r>
            <w:r w:rsidRPr="002C70CE">
              <w:rPr>
                <w:rFonts w:cs="Arial"/>
                <w:b/>
                <w:color w:val="000000"/>
                <w:szCs w:val="20"/>
              </w:rPr>
              <w:t>400</w:t>
            </w:r>
            <w:r w:rsidR="005D7284" w:rsidRPr="002C70CE">
              <w:rPr>
                <w:rFonts w:cs="Arial"/>
                <w:b/>
                <w:color w:val="000000"/>
                <w:szCs w:val="20"/>
              </w:rPr>
              <w:t xml:space="preserve"> - $2,</w:t>
            </w:r>
            <w:r w:rsidRPr="002C70CE">
              <w:rPr>
                <w:rFonts w:cs="Arial"/>
                <w:b/>
                <w:color w:val="000000"/>
                <w:szCs w:val="20"/>
              </w:rPr>
              <w:t>100</w:t>
            </w:r>
            <w:r w:rsidR="005D7284" w:rsidRPr="002C70CE">
              <w:rPr>
                <w:rFonts w:cs="Arial"/>
                <w:b/>
                <w:color w:val="000000"/>
                <w:szCs w:val="20"/>
              </w:rPr>
              <w:t xml:space="preserve"> </w:t>
            </w:r>
          </w:p>
        </w:tc>
      </w:tr>
    </w:tbl>
    <w:p w14:paraId="4030355E" w14:textId="77777777" w:rsidR="00545D03" w:rsidRDefault="00545D03" w:rsidP="00606961">
      <w:pPr>
        <w:pStyle w:val="Body"/>
        <w:ind w:left="0"/>
      </w:pPr>
    </w:p>
    <w:p w14:paraId="147C38EF" w14:textId="77777777" w:rsidR="00C30AC3" w:rsidRDefault="00C30AC3" w:rsidP="00E66F34">
      <w:pPr>
        <w:pStyle w:val="Body"/>
        <w:ind w:left="0"/>
      </w:pPr>
      <w:r>
        <w:t xml:space="preserve">The assessment shows that </w:t>
      </w:r>
      <w:r w:rsidR="00FE6CB7">
        <w:t xml:space="preserve">the smallest </w:t>
      </w:r>
      <w:r>
        <w:t xml:space="preserve">investment </w:t>
      </w:r>
      <w:r w:rsidR="00FE6CB7">
        <w:t>(total capital cost in the range of $160</w:t>
      </w:r>
      <w:r w:rsidR="00772F46">
        <w:t xml:space="preserve"> </w:t>
      </w:r>
      <w:r w:rsidR="00715C25">
        <w:t>Million to</w:t>
      </w:r>
      <w:r w:rsidR="00FE6CB7">
        <w:t xml:space="preserve"> $240</w:t>
      </w:r>
      <w:r w:rsidR="009C20F1">
        <w:t xml:space="preserve"> M</w:t>
      </w:r>
      <w:r w:rsidR="00772F46">
        <w:t>illion</w:t>
      </w:r>
      <w:r w:rsidR="00FE6CB7">
        <w:t xml:space="preserve">) </w:t>
      </w:r>
      <w:r>
        <w:t xml:space="preserve">is </w:t>
      </w:r>
      <w:r w:rsidR="00FE6CB7">
        <w:t xml:space="preserve">necessary to </w:t>
      </w:r>
      <w:r w:rsidR="002F160E">
        <w:t>upgrad</w:t>
      </w:r>
      <w:r w:rsidR="00FE6CB7">
        <w:t>e</w:t>
      </w:r>
      <w:r w:rsidR="002F160E">
        <w:t xml:space="preserve"> WWTPs </w:t>
      </w:r>
      <w:r w:rsidR="00FE6CB7">
        <w:t xml:space="preserve">that </w:t>
      </w:r>
      <w:r w:rsidR="009C20F1">
        <w:t xml:space="preserve">have </w:t>
      </w:r>
      <w:r w:rsidR="00FE6CB7">
        <w:t xml:space="preserve">a </w:t>
      </w:r>
      <w:r w:rsidR="00B46682">
        <w:t>“</w:t>
      </w:r>
      <w:r w:rsidR="00FE6CB7">
        <w:t>large</w:t>
      </w:r>
      <w:r w:rsidR="00B46682">
        <w:t>”</w:t>
      </w:r>
      <w:r w:rsidR="00FE6CB7">
        <w:t xml:space="preserve"> </w:t>
      </w:r>
      <w:r w:rsidR="002F160E">
        <w:t>contribution</w:t>
      </w:r>
      <w:r w:rsidR="00FE6CB7">
        <w:t xml:space="preserve"> to the </w:t>
      </w:r>
      <w:r w:rsidR="006D7F47">
        <w:t xml:space="preserve">water </w:t>
      </w:r>
      <w:r w:rsidR="00FE6CB7">
        <w:t>quality of their receiving environment</w:t>
      </w:r>
      <w:r>
        <w:t>.</w:t>
      </w:r>
      <w:r w:rsidR="00FE6CB7">
        <w:t xml:space="preserve">  However a much larger investment (total capital cost in the range of $630</w:t>
      </w:r>
      <w:r w:rsidR="00772F46">
        <w:t xml:space="preserve"> Million</w:t>
      </w:r>
      <w:r w:rsidR="009C20F1">
        <w:t xml:space="preserve"> </w:t>
      </w:r>
      <w:r w:rsidR="00FE6CB7">
        <w:t>to $950</w:t>
      </w:r>
      <w:r w:rsidR="009C20F1">
        <w:t xml:space="preserve"> M</w:t>
      </w:r>
      <w:r w:rsidR="00772F46">
        <w:t>illion</w:t>
      </w:r>
      <w:r w:rsidR="00FE6CB7">
        <w:t xml:space="preserve">) is necessary to upgrade WWTPs that are having a </w:t>
      </w:r>
      <w:r w:rsidR="00B46682">
        <w:t>“</w:t>
      </w:r>
      <w:r w:rsidR="00FE6CB7">
        <w:t>moderate</w:t>
      </w:r>
      <w:r w:rsidR="00B46682">
        <w:t>”</w:t>
      </w:r>
      <w:r w:rsidR="00FE6CB7">
        <w:t xml:space="preserve"> contribution to their receiving environment.</w:t>
      </w:r>
    </w:p>
    <w:p w14:paraId="7CA0DDDF" w14:textId="77777777" w:rsidR="00772F46" w:rsidRDefault="00772F46" w:rsidP="00E66F34">
      <w:pPr>
        <w:pStyle w:val="Body"/>
        <w:ind w:left="0"/>
      </w:pPr>
    </w:p>
    <w:p w14:paraId="426CA4EE" w14:textId="77777777" w:rsidR="00772F46" w:rsidRDefault="00772F46" w:rsidP="00E66F34">
      <w:pPr>
        <w:pStyle w:val="Body"/>
        <w:ind w:left="0"/>
      </w:pPr>
    </w:p>
    <w:p w14:paraId="5D000E1C" w14:textId="77777777" w:rsidR="002C6217" w:rsidRDefault="002C6217" w:rsidP="00E66F34">
      <w:pPr>
        <w:pStyle w:val="Body"/>
        <w:ind w:left="0"/>
      </w:pPr>
    </w:p>
    <w:p w14:paraId="662A253B" w14:textId="77777777" w:rsidR="002A551E" w:rsidRDefault="002A551E" w:rsidP="00E66F34">
      <w:pPr>
        <w:pStyle w:val="Body"/>
        <w:ind w:left="0"/>
      </w:pPr>
    </w:p>
    <w:p w14:paraId="79E33933" w14:textId="77777777" w:rsidR="00A737E5" w:rsidRPr="00E66F34" w:rsidRDefault="00A737E5" w:rsidP="00E66F34">
      <w:pPr>
        <w:pStyle w:val="Body"/>
        <w:ind w:left="0"/>
        <w:rPr>
          <w:b/>
        </w:rPr>
      </w:pPr>
      <w:r w:rsidRPr="00E66F34">
        <w:rPr>
          <w:b/>
        </w:rPr>
        <w:lastRenderedPageBreak/>
        <w:t xml:space="preserve">Case </w:t>
      </w:r>
      <w:r w:rsidR="00236804">
        <w:rPr>
          <w:b/>
        </w:rPr>
        <w:t>s</w:t>
      </w:r>
      <w:r w:rsidRPr="00E66F34">
        <w:rPr>
          <w:b/>
        </w:rPr>
        <w:t>tudies</w:t>
      </w:r>
    </w:p>
    <w:p w14:paraId="1D164188" w14:textId="77777777" w:rsidR="007C7AB3" w:rsidRDefault="00C30AC3" w:rsidP="00E66F34">
      <w:pPr>
        <w:pStyle w:val="Body"/>
        <w:ind w:left="0"/>
      </w:pPr>
      <w:r w:rsidRPr="00EA1311">
        <w:t xml:space="preserve">Three case studies are included within the report </w:t>
      </w:r>
      <w:r w:rsidR="00E66F34">
        <w:t>(</w:t>
      </w:r>
      <w:r w:rsidR="00A107EE" w:rsidRPr="00EA1311">
        <w:t>Cambridge, Ngatea, and Wellsford</w:t>
      </w:r>
      <w:r w:rsidR="00E66F34">
        <w:t>)</w:t>
      </w:r>
      <w:r w:rsidR="00A107EE" w:rsidRPr="00EA1311">
        <w:t xml:space="preserve"> </w:t>
      </w:r>
      <w:r w:rsidRPr="00EA1311">
        <w:t>to assist with providing context</w:t>
      </w:r>
      <w:r w:rsidR="00EA1311" w:rsidRPr="00A93FED">
        <w:t>.</w:t>
      </w:r>
      <w:r w:rsidR="00EA1311" w:rsidRPr="00E66F34">
        <w:t xml:space="preserve"> These case studies</w:t>
      </w:r>
      <w:r w:rsidR="00266B72">
        <w:t xml:space="preserve"> were used </w:t>
      </w:r>
      <w:r w:rsidR="007C7AB3">
        <w:t>to increase the accuracy of national</w:t>
      </w:r>
      <w:r w:rsidR="00DD514A">
        <w:t xml:space="preserve"> </w:t>
      </w:r>
      <w:r w:rsidR="007C7AB3">
        <w:t>level cost estimates by benchmarking assumption</w:t>
      </w:r>
      <w:r w:rsidR="00DD514A">
        <w:t xml:space="preserve"> </w:t>
      </w:r>
      <w:r w:rsidR="007C7AB3">
        <w:t>based costings against</w:t>
      </w:r>
      <w:r w:rsidR="003D7A4E">
        <w:t xml:space="preserve"> the upgrade </w:t>
      </w:r>
      <w:r w:rsidR="007C7AB3">
        <w:t>cost for</w:t>
      </w:r>
      <w:r w:rsidR="003D7A4E">
        <w:t xml:space="preserve"> specific WWTPs</w:t>
      </w:r>
      <w:r w:rsidR="007C7AB3">
        <w:t>.</w:t>
      </w:r>
    </w:p>
    <w:p w14:paraId="79DCB660" w14:textId="77777777" w:rsidR="00C30AC3" w:rsidRDefault="003D7A4E" w:rsidP="00E66F34">
      <w:pPr>
        <w:pStyle w:val="Body"/>
        <w:ind w:left="0"/>
      </w:pPr>
      <w:r>
        <w:t xml:space="preserve">The case studies also provided useful additional information about other challenges facing councils – for example, </w:t>
      </w:r>
      <w:r w:rsidR="00EA1311">
        <w:t xml:space="preserve">resource consenting </w:t>
      </w:r>
      <w:r>
        <w:t>issues and timeframes, and the</w:t>
      </w:r>
      <w:r w:rsidR="00772F46">
        <w:t xml:space="preserve"> </w:t>
      </w:r>
      <w:r>
        <w:t xml:space="preserve">potential </w:t>
      </w:r>
      <w:r w:rsidR="00EA1311">
        <w:t>benefits to receiving environment</w:t>
      </w:r>
      <w:r>
        <w:t>s</w:t>
      </w:r>
      <w:r w:rsidR="00EA1311">
        <w:t xml:space="preserve"> from proposed upgrades.</w:t>
      </w:r>
    </w:p>
    <w:p w14:paraId="234D7504" w14:textId="77777777" w:rsidR="00A107EE" w:rsidRPr="00E66F34" w:rsidRDefault="00A107EE" w:rsidP="00E66F34">
      <w:pPr>
        <w:pStyle w:val="Body"/>
        <w:ind w:left="0"/>
        <w:rPr>
          <w:b/>
        </w:rPr>
      </w:pPr>
      <w:r w:rsidRPr="00E66F34">
        <w:rPr>
          <w:b/>
        </w:rPr>
        <w:t>Resource consenting issues</w:t>
      </w:r>
    </w:p>
    <w:p w14:paraId="6D8EE2C2" w14:textId="77777777" w:rsidR="00A31182" w:rsidRDefault="00A107EE" w:rsidP="00E66F34">
      <w:pPr>
        <w:pStyle w:val="Body"/>
        <w:ind w:left="0"/>
      </w:pPr>
      <w:r>
        <w:t xml:space="preserve">The study reviewed the level of compliance WWTPs are achieving with current consent conditions. </w:t>
      </w:r>
      <w:r w:rsidR="00F155F5" w:rsidRPr="00F155F5">
        <w:t xml:space="preserve">Collated compliance information on </w:t>
      </w:r>
      <w:r w:rsidR="00F155F5">
        <w:t>WWT</w:t>
      </w:r>
      <w:r w:rsidR="00C30E37">
        <w:t>P</w:t>
      </w:r>
      <w:r w:rsidR="00F155F5">
        <w:t>s</w:t>
      </w:r>
      <w:r w:rsidR="00F155F5" w:rsidRPr="00F155F5">
        <w:t xml:space="preserve"> is report</w:t>
      </w:r>
      <w:r w:rsidR="00772F46">
        <w:t>ed</w:t>
      </w:r>
      <w:r w:rsidR="00F155F5" w:rsidRPr="00F155F5">
        <w:t xml:space="preserve"> in the</w:t>
      </w:r>
      <w:r w:rsidR="00C30E37">
        <w:t xml:space="preserve"> </w:t>
      </w:r>
      <w:r w:rsidR="004339B3">
        <w:rPr>
          <w:rStyle w:val="FootnoteReference"/>
        </w:rPr>
        <w:footnoteReference w:id="3"/>
      </w:r>
      <w:r w:rsidR="00C30E37">
        <w:t>Water New Zealand</w:t>
      </w:r>
      <w:r w:rsidR="00A52816">
        <w:t xml:space="preserve"> </w:t>
      </w:r>
      <w:r w:rsidR="00F155F5" w:rsidRPr="00F155F5">
        <w:t>National Performance Review. This sho</w:t>
      </w:r>
      <w:r w:rsidR="00C30E37">
        <w:t xml:space="preserve">ws that the number of reported </w:t>
      </w:r>
      <w:r w:rsidR="00F155F5" w:rsidRPr="00F155F5">
        <w:t xml:space="preserve">abatement notices, infringement notices, enforcement orders or successful prosecutions related to </w:t>
      </w:r>
      <w:r w:rsidR="00C30E37">
        <w:t xml:space="preserve">WWTP </w:t>
      </w:r>
      <w:r w:rsidR="00F155F5" w:rsidRPr="00F155F5">
        <w:t xml:space="preserve">consents is consistently low. The 2016/17 report notes that this may be related to the approach used to enforce consents, </w:t>
      </w:r>
      <w:r w:rsidR="004339B3">
        <w:t xml:space="preserve">rather than non </w:t>
      </w:r>
      <w:r w:rsidR="00F155F5" w:rsidRPr="00F155F5">
        <w:t>compliance per se. Othe</w:t>
      </w:r>
      <w:r w:rsidR="004339B3">
        <w:t xml:space="preserve">r evidence suggests consent non </w:t>
      </w:r>
      <w:r w:rsidR="00F155F5" w:rsidRPr="00F155F5">
        <w:t>compliance issues are more wide spread</w:t>
      </w:r>
      <w:r w:rsidR="005864EF">
        <w:t xml:space="preserve"> and there are other issues, for example, 20 WWTPs included in the report were operating on expire</w:t>
      </w:r>
      <w:r w:rsidR="00647965">
        <w:t>d</w:t>
      </w:r>
      <w:r w:rsidR="005864EF">
        <w:t xml:space="preserve"> consents</w:t>
      </w:r>
      <w:r w:rsidR="00F155F5" w:rsidRPr="00F155F5">
        <w:t xml:space="preserve">. </w:t>
      </w:r>
    </w:p>
    <w:p w14:paraId="5405F058" w14:textId="77777777" w:rsidR="00B11C8F" w:rsidRDefault="00C30E37" w:rsidP="00E66F34">
      <w:pPr>
        <w:pStyle w:val="Body"/>
        <w:ind w:left="0"/>
      </w:pPr>
      <w:r>
        <w:t xml:space="preserve">A </w:t>
      </w:r>
      <w:r w:rsidR="00A107EE">
        <w:t>detailed review of consent compliance in the Waikato region undertaken in conjunction with the Waikato Regional Council showed variable compliance across a number of plants. It was identified</w:t>
      </w:r>
      <w:r w:rsidR="00A107EE" w:rsidRPr="00E040F0">
        <w:t xml:space="preserve"> that up to </w:t>
      </w:r>
      <w:r w:rsidR="00A107EE">
        <w:t>50</w:t>
      </w:r>
      <w:r w:rsidR="00A107EE" w:rsidRPr="00E040F0">
        <w:t xml:space="preserve">% of all WWTP’s </w:t>
      </w:r>
      <w:r w:rsidR="00A107EE">
        <w:t xml:space="preserve">in the </w:t>
      </w:r>
      <w:r w:rsidR="00A107EE" w:rsidRPr="00B5299A">
        <w:t xml:space="preserve">Waikato Region </w:t>
      </w:r>
      <w:r w:rsidR="00A107EE" w:rsidRPr="00E040F0">
        <w:t>that discharge into a freshwater environment fail to meet consent conditions</w:t>
      </w:r>
      <w:r w:rsidR="006D2AB3">
        <w:t>,</w:t>
      </w:r>
      <w:r w:rsidR="00772F46">
        <w:t xml:space="preserve"> </w:t>
      </w:r>
      <w:r w:rsidR="00A107EE" w:rsidRPr="00E040F0">
        <w:t xml:space="preserve">and that </w:t>
      </w:r>
      <w:r w:rsidR="006D2AB3">
        <w:t>the cost upgrades</w:t>
      </w:r>
      <w:r w:rsidR="006D2AB3" w:rsidRPr="00E040F0">
        <w:t xml:space="preserve"> </w:t>
      </w:r>
      <w:r w:rsidR="00A107EE" w:rsidRPr="00E040F0">
        <w:t>needed to meet consent compliance</w:t>
      </w:r>
      <w:r w:rsidR="006D2AB3">
        <w:t xml:space="preserve"> were within a range of </w:t>
      </w:r>
      <w:r w:rsidR="00AB32EA">
        <w:t>$63</w:t>
      </w:r>
      <w:r w:rsidR="00F155F5">
        <w:t xml:space="preserve"> M</w:t>
      </w:r>
      <w:r w:rsidR="00772F46">
        <w:t>illion</w:t>
      </w:r>
      <w:r w:rsidR="00AB32EA">
        <w:t xml:space="preserve"> - $94</w:t>
      </w:r>
      <w:r w:rsidR="00F155F5">
        <w:t xml:space="preserve"> M</w:t>
      </w:r>
      <w:r w:rsidR="00772F46">
        <w:t>illion</w:t>
      </w:r>
      <w:r w:rsidR="00A107EE">
        <w:t>. While this review outcome cannot necessarily be applied nationally, it can be inferred that localised compliance challenges apply to WWTPs across all of New Zealand.</w:t>
      </w:r>
    </w:p>
    <w:p w14:paraId="02E2499F" w14:textId="77777777" w:rsidR="00A107EE" w:rsidRDefault="00A107EE" w:rsidP="00E66F34">
      <w:pPr>
        <w:pStyle w:val="Body"/>
        <w:ind w:left="0"/>
      </w:pPr>
      <w:r>
        <w:t xml:space="preserve">The Cambridge and Wellsford case studies </w:t>
      </w:r>
      <w:r w:rsidR="009554A7">
        <w:t>provided</w:t>
      </w:r>
      <w:r>
        <w:t xml:space="preserve"> information about the challenges being faced by councils and their communities where WWTPs are operating under expired consents.  In the case of Wellsford</w:t>
      </w:r>
      <w:r w:rsidR="00B11C8F">
        <w:t>, the</w:t>
      </w:r>
      <w:r>
        <w:t xml:space="preserve"> WWTP </w:t>
      </w:r>
      <w:r w:rsidR="00B11C8F">
        <w:t xml:space="preserve">operated on an expired consent </w:t>
      </w:r>
      <w:r w:rsidR="00A31182">
        <w:t xml:space="preserve">from 1999 </w:t>
      </w:r>
      <w:r w:rsidR="00BA7EC2">
        <w:t>until November 2017</w:t>
      </w:r>
      <w:r w:rsidR="00B11C8F">
        <w:t xml:space="preserve">, and </w:t>
      </w:r>
      <w:r w:rsidR="00A31182">
        <w:t xml:space="preserve">the </w:t>
      </w:r>
      <w:r w:rsidR="00B11C8F">
        <w:t xml:space="preserve">Cambridge </w:t>
      </w:r>
      <w:r w:rsidR="00A31182">
        <w:t>WWTP has been in this situation since</w:t>
      </w:r>
      <w:r w:rsidR="00B11C8F">
        <w:t xml:space="preserve"> 2016.  This reflects the difficulty that councils and communities face in reaching agreement on a WWTP </w:t>
      </w:r>
      <w:r w:rsidR="00A737E5">
        <w:t xml:space="preserve">upgrade </w:t>
      </w:r>
      <w:r w:rsidR="00B11C8F">
        <w:t xml:space="preserve">that meets the community aspirations </w:t>
      </w:r>
      <w:r w:rsidR="00A737E5">
        <w:t>and</w:t>
      </w:r>
      <w:r w:rsidR="00B11C8F">
        <w:t xml:space="preserve"> is also affordable. </w:t>
      </w:r>
      <w:r w:rsidR="00C95A52">
        <w:t>The discharge from the WWTP must also meet requirements set in regional plans since the original consents were granted.</w:t>
      </w:r>
      <w:r>
        <w:t xml:space="preserve">  For all three case </w:t>
      </w:r>
      <w:r w:rsidR="00715C25">
        <w:t>studies,</w:t>
      </w:r>
      <w:r>
        <w:t xml:space="preserve"> the upgrade costs that are currently planned to meet resource consent conditions are significant for the communities involved.</w:t>
      </w:r>
    </w:p>
    <w:p w14:paraId="3E2F1095" w14:textId="77777777" w:rsidR="003517AC" w:rsidRPr="00E66F34" w:rsidRDefault="003517AC" w:rsidP="00E66F34">
      <w:pPr>
        <w:pStyle w:val="Body"/>
        <w:ind w:left="0"/>
        <w:rPr>
          <w:b/>
        </w:rPr>
      </w:pPr>
      <w:r w:rsidRPr="00E66F34">
        <w:rPr>
          <w:b/>
        </w:rPr>
        <w:t>Wet weather overflows</w:t>
      </w:r>
    </w:p>
    <w:p w14:paraId="2E9C0A56" w14:textId="77777777" w:rsidR="003D385D" w:rsidRDefault="003D385D" w:rsidP="00E66F34">
      <w:pPr>
        <w:pStyle w:val="Body"/>
        <w:ind w:left="0"/>
      </w:pPr>
      <w:r w:rsidRPr="003D385D">
        <w:t xml:space="preserve">The study included a high level review of the contribution of wastewater network overflows to receiving water quality and examples of different approaches to wastewater network overflow management are appended. Cost estimates for reducing or removing wastewater network overflows were not included in the study due to the variable performance targets that apply across the regions, and differing levels of data available from network owners on overflow frequency and planned improvement works. The level of variability in all of these factors made it difficult to develop a national cost estimate with a consistent basis. </w:t>
      </w:r>
    </w:p>
    <w:p w14:paraId="3345466E" w14:textId="77777777" w:rsidR="003517AC" w:rsidRDefault="003517AC" w:rsidP="00F90F22">
      <w:pPr>
        <w:pStyle w:val="Body"/>
        <w:ind w:left="0"/>
        <w:rPr>
          <w:lang w:eastAsia="en-AU"/>
        </w:rPr>
      </w:pPr>
      <w:r>
        <w:rPr>
          <w:lang w:eastAsia="en-AU"/>
        </w:rPr>
        <w:t xml:space="preserve">The impact of </w:t>
      </w:r>
      <w:r w:rsidR="00772F46">
        <w:rPr>
          <w:lang w:eastAsia="en-AU"/>
        </w:rPr>
        <w:t xml:space="preserve">wet weather </w:t>
      </w:r>
      <w:r>
        <w:rPr>
          <w:lang w:eastAsia="en-AU"/>
        </w:rPr>
        <w:t xml:space="preserve">wastewater overflows on receiving water quality is in most cases very short term due to the </w:t>
      </w:r>
      <w:r w:rsidR="00772F46">
        <w:rPr>
          <w:lang w:eastAsia="en-AU"/>
        </w:rPr>
        <w:t xml:space="preserve">periodic </w:t>
      </w:r>
      <w:r>
        <w:rPr>
          <w:lang w:eastAsia="en-AU"/>
        </w:rPr>
        <w:t xml:space="preserve">nature of overflows, and in wet weather conditions wastewater overflows may be only a small contributor to the contaminant load when compared to other diffuse sources. Removal or reduction in wastewater network overflows will often not contribute significantly to achieving NPS Freshwater quality targets in a water body </w:t>
      </w:r>
      <w:r w:rsidR="009554A7">
        <w:rPr>
          <w:lang w:eastAsia="en-AU"/>
        </w:rPr>
        <w:t>with</w:t>
      </w:r>
      <w:r>
        <w:rPr>
          <w:lang w:eastAsia="en-AU"/>
        </w:rPr>
        <w:t xml:space="preserve"> investment better targeted at reducing contaminants in stormwater runoff.</w:t>
      </w:r>
    </w:p>
    <w:p w14:paraId="03ABC4DA" w14:textId="77777777" w:rsidR="001D15D4" w:rsidRDefault="001D15D4" w:rsidP="00A352AD">
      <w:pPr>
        <w:pStyle w:val="Body"/>
        <w:ind w:left="0"/>
        <w:rPr>
          <w:lang w:eastAsia="en-AU"/>
        </w:rPr>
      </w:pPr>
      <w:r>
        <w:rPr>
          <w:lang w:eastAsia="en-AU"/>
        </w:rPr>
        <w:lastRenderedPageBreak/>
        <w:t>Meeting NPS Freshwater objectives related to public health and iwi concerns are more pressing drivers for improved wet weather overflow management; specifically the NPS Freshwater objective, A1; to safe-guard the health of people and communities, as</w:t>
      </w:r>
      <w:r w:rsidR="004339B3">
        <w:rPr>
          <w:lang w:eastAsia="en-AU"/>
        </w:rPr>
        <w:t xml:space="preserve"> affected by contact with fresh</w:t>
      </w:r>
      <w:r>
        <w:rPr>
          <w:lang w:eastAsia="en-AU"/>
        </w:rPr>
        <w:t>water; and objective D1; to ensure that tangata whenua values and interests are identified and refle</w:t>
      </w:r>
      <w:r w:rsidR="004339B3">
        <w:rPr>
          <w:lang w:eastAsia="en-AU"/>
        </w:rPr>
        <w:t>cted in the management of fresh</w:t>
      </w:r>
      <w:r>
        <w:rPr>
          <w:lang w:eastAsia="en-AU"/>
        </w:rPr>
        <w:t xml:space="preserve">water. Iwi generally view raw sewage entering freshwater bodies as disrupting Te Mana o te Wai, making wastewater overflow issues especially significant in this context. </w:t>
      </w:r>
    </w:p>
    <w:p w14:paraId="6FAB9F55" w14:textId="77777777" w:rsidR="001D15D4" w:rsidRDefault="001D15D4" w:rsidP="001D15D4">
      <w:pPr>
        <w:pStyle w:val="Body"/>
        <w:ind w:left="0"/>
        <w:rPr>
          <w:lang w:eastAsia="en-AU"/>
        </w:rPr>
      </w:pPr>
      <w:r>
        <w:rPr>
          <w:lang w:eastAsia="en-AU"/>
        </w:rPr>
        <w:t>Given the frequency of overflows identified in the case studies and the level of investment identified at the case study sites ($10 Million in Christchurch, $48 Million in Dunedin, $77 Million in Porirua) a more specific analysis of wet weather overflows is required, if upgrades to wastewater systems required by the NPS Freshwater are to be fully costed.</w:t>
      </w:r>
    </w:p>
    <w:p w14:paraId="260C6C4D" w14:textId="77777777" w:rsidR="007E3781" w:rsidRPr="00E66F34" w:rsidRDefault="00481E4D" w:rsidP="00E66F34">
      <w:pPr>
        <w:pStyle w:val="Body"/>
        <w:ind w:left="0"/>
        <w:rPr>
          <w:b/>
          <w:lang w:eastAsia="en-AU"/>
        </w:rPr>
      </w:pPr>
      <w:r>
        <w:rPr>
          <w:b/>
          <w:lang w:eastAsia="en-AU"/>
        </w:rPr>
        <w:t xml:space="preserve">Key </w:t>
      </w:r>
      <w:r w:rsidR="00236804">
        <w:rPr>
          <w:b/>
          <w:lang w:eastAsia="en-AU"/>
        </w:rPr>
        <w:t>a</w:t>
      </w:r>
      <w:r w:rsidR="007E3781" w:rsidRPr="00E66F34">
        <w:rPr>
          <w:b/>
          <w:lang w:eastAsia="en-AU"/>
        </w:rPr>
        <w:t>ssumptions</w:t>
      </w:r>
    </w:p>
    <w:p w14:paraId="45A39985" w14:textId="77777777" w:rsidR="00481E4D" w:rsidRDefault="00481E4D" w:rsidP="00E66F34">
      <w:pPr>
        <w:pStyle w:val="Body"/>
        <w:ind w:left="0"/>
      </w:pPr>
      <w:r>
        <w:t>Key assumptions that apply to this study include:</w:t>
      </w:r>
    </w:p>
    <w:p w14:paraId="30454B19" w14:textId="77777777" w:rsidR="00481E4D" w:rsidRDefault="00481E4D" w:rsidP="00E66F34">
      <w:pPr>
        <w:pStyle w:val="Body"/>
        <w:numPr>
          <w:ilvl w:val="0"/>
          <w:numId w:val="89"/>
        </w:numPr>
        <w:rPr>
          <w:rFonts w:eastAsia="Calibri"/>
        </w:rPr>
      </w:pPr>
      <w:r w:rsidRPr="00E66F34">
        <w:rPr>
          <w:rFonts w:eastAsia="Calibri"/>
        </w:rPr>
        <w:t xml:space="preserve">WWTP improvements were assessed based on meeting the NPS Freshwater Attribute B values for </w:t>
      </w:r>
      <w:r w:rsidRPr="00E66F34">
        <w:rPr>
          <w:rFonts w:eastAsia="Calibri"/>
          <w:i/>
        </w:rPr>
        <w:t>E. coli</w:t>
      </w:r>
      <w:r w:rsidRPr="00E66F34">
        <w:rPr>
          <w:rFonts w:eastAsia="Calibri"/>
        </w:rPr>
        <w:t>, nitrate</w:t>
      </w:r>
      <w:r>
        <w:rPr>
          <w:rFonts w:eastAsia="Calibri"/>
        </w:rPr>
        <w:t>s</w:t>
      </w:r>
      <w:r w:rsidRPr="00E66F34">
        <w:rPr>
          <w:rFonts w:eastAsia="Calibri"/>
        </w:rPr>
        <w:t xml:space="preserve"> and ammonia at the point of discharge.</w:t>
      </w:r>
      <w:r w:rsidRPr="00481E4D">
        <w:t xml:space="preserve"> </w:t>
      </w:r>
      <w:r w:rsidRPr="00481E4D">
        <w:rPr>
          <w:rFonts w:eastAsia="Calibri"/>
        </w:rPr>
        <w:t>This is consistent with the NPS Freshwater requirement</w:t>
      </w:r>
      <w:r w:rsidR="004504AA">
        <w:rPr>
          <w:rFonts w:eastAsia="Calibri"/>
        </w:rPr>
        <w:t>s</w:t>
      </w:r>
      <w:r w:rsidRPr="00481E4D">
        <w:rPr>
          <w:rFonts w:eastAsia="Calibri"/>
        </w:rPr>
        <w:t xml:space="preserve"> that regional councils are expected to improve water quality over time in relation to human health</w:t>
      </w:r>
      <w:r w:rsidR="004504AA">
        <w:rPr>
          <w:rFonts w:eastAsia="Calibri"/>
        </w:rPr>
        <w:t xml:space="preserve">, </w:t>
      </w:r>
      <w:r w:rsidR="004504AA">
        <w:t xml:space="preserve">and must </w:t>
      </w:r>
      <w:r w:rsidR="00C95A52">
        <w:t xml:space="preserve">at least </w:t>
      </w:r>
      <w:r w:rsidR="004504AA">
        <w:t>maintain water quality over time in relation to ecosystem health</w:t>
      </w:r>
      <w:r>
        <w:rPr>
          <w:rFonts w:eastAsia="Calibri"/>
        </w:rPr>
        <w:t>.</w:t>
      </w:r>
      <w:r w:rsidR="004504AA">
        <w:rPr>
          <w:rFonts w:eastAsia="Calibri"/>
        </w:rPr>
        <w:t xml:space="preserve">  </w:t>
      </w:r>
      <w:r w:rsidR="004504AA" w:rsidRPr="00E66F34">
        <w:t>It is also consistent with community expectations for high water quality requirements to be applied to discharges of sewage effluent.</w:t>
      </w:r>
    </w:p>
    <w:p w14:paraId="6D5ED85E" w14:textId="77777777" w:rsidR="001D15D4" w:rsidRDefault="001D15D4" w:rsidP="00B459AA">
      <w:pPr>
        <w:pStyle w:val="Body"/>
        <w:numPr>
          <w:ilvl w:val="0"/>
          <w:numId w:val="89"/>
        </w:numPr>
        <w:rPr>
          <w:rFonts w:eastAsia="Calibri"/>
        </w:rPr>
      </w:pPr>
      <w:r w:rsidRPr="001D15D4">
        <w:rPr>
          <w:rFonts w:eastAsia="Calibri"/>
        </w:rPr>
        <w:t>BNR-Activated sludge processes, with UV treatment will be necessary to achieve the NPS-F</w:t>
      </w:r>
      <w:r w:rsidR="00B459AA">
        <w:rPr>
          <w:rFonts w:eastAsia="Calibri"/>
        </w:rPr>
        <w:t>reshwater</w:t>
      </w:r>
      <w:r w:rsidRPr="001D15D4">
        <w:rPr>
          <w:rFonts w:eastAsia="Calibri"/>
        </w:rPr>
        <w:t xml:space="preserve"> objectives in all instances. </w:t>
      </w:r>
      <w:r w:rsidR="00B459AA">
        <w:rPr>
          <w:rFonts w:eastAsia="Calibri"/>
        </w:rPr>
        <w:t>It is recognised that there may be individual cases where pond upgrades and use of emerging technologies (such as that being tested for the Wellsford case study) will achieve the required outcomes.  However for the purposes of developing a national level cost this assumption is appropriate.</w:t>
      </w:r>
    </w:p>
    <w:p w14:paraId="6A9F89A1" w14:textId="77777777" w:rsidR="001D15D4" w:rsidRPr="00A352AD" w:rsidRDefault="00357D23" w:rsidP="00357D23">
      <w:pPr>
        <w:pStyle w:val="Body"/>
        <w:numPr>
          <w:ilvl w:val="0"/>
          <w:numId w:val="89"/>
        </w:numPr>
        <w:rPr>
          <w:rFonts w:eastAsia="Calibri"/>
        </w:rPr>
      </w:pPr>
      <w:r w:rsidRPr="00357D23">
        <w:rPr>
          <w:rFonts w:eastAsia="Calibri"/>
        </w:rPr>
        <w:t>The level of treatment provided by some WWTPs may be required to be improved so that freshwater objectives set in regional plans can be achieved within timeframes specified in the plan. The Freshwater NPS requires councils to set these freshwater objectives by 2025 (or 2030 in some limited cases). In some cases, the regional plan could require resource consents to be reviewed to allow minimum standards set in the plan to be achieved.</w:t>
      </w:r>
      <w:r w:rsidR="001D15D4" w:rsidRPr="00A352AD">
        <w:rPr>
          <w:rFonts w:eastAsia="Calibri"/>
        </w:rPr>
        <w:tab/>
      </w:r>
    </w:p>
    <w:p w14:paraId="056FCC85" w14:textId="77777777" w:rsidR="00B459AA" w:rsidRDefault="001D15D4" w:rsidP="00A352AD">
      <w:pPr>
        <w:pStyle w:val="Body"/>
        <w:numPr>
          <w:ilvl w:val="0"/>
          <w:numId w:val="89"/>
        </w:numPr>
        <w:rPr>
          <w:rFonts w:eastAsia="Calibri"/>
        </w:rPr>
      </w:pPr>
      <w:r w:rsidRPr="001D15D4">
        <w:rPr>
          <w:rFonts w:eastAsia="Calibri"/>
        </w:rPr>
        <w:t>There are a range of other freshwater values (such as fisheries and electricity generation) covered by the NPS</w:t>
      </w:r>
      <w:r w:rsidR="00B459AA">
        <w:rPr>
          <w:rFonts w:eastAsia="Calibri"/>
        </w:rPr>
        <w:t xml:space="preserve"> Freshwater</w:t>
      </w:r>
      <w:r w:rsidRPr="001D15D4">
        <w:rPr>
          <w:rFonts w:eastAsia="Calibri"/>
        </w:rPr>
        <w:t xml:space="preserve"> that are not considered as part of this study. </w:t>
      </w:r>
      <w:r w:rsidR="00B459AA">
        <w:rPr>
          <w:rFonts w:eastAsia="Calibri"/>
        </w:rPr>
        <w:t xml:space="preserve">In </w:t>
      </w:r>
      <w:r w:rsidR="00236804">
        <w:rPr>
          <w:rFonts w:eastAsia="Calibri"/>
        </w:rPr>
        <w:t>addition,</w:t>
      </w:r>
      <w:r w:rsidR="00B459AA">
        <w:rPr>
          <w:rFonts w:eastAsia="Calibri"/>
        </w:rPr>
        <w:t xml:space="preserve"> attributes </w:t>
      </w:r>
      <w:r w:rsidR="00B459AA" w:rsidRPr="00B459AA">
        <w:rPr>
          <w:rFonts w:eastAsia="Calibri"/>
        </w:rPr>
        <w:t xml:space="preserve">which relate to </w:t>
      </w:r>
      <w:r w:rsidR="001F371B">
        <w:rPr>
          <w:rFonts w:eastAsia="Calibri"/>
        </w:rPr>
        <w:t>ecosystem health</w:t>
      </w:r>
      <w:r w:rsidR="00B459AA" w:rsidRPr="00A352AD">
        <w:rPr>
          <w:rFonts w:eastAsia="Calibri"/>
        </w:rPr>
        <w:t xml:space="preserve"> </w:t>
      </w:r>
      <w:r w:rsidRPr="00A352AD">
        <w:rPr>
          <w:rFonts w:eastAsia="Calibri"/>
        </w:rPr>
        <w:t>such as sediment</w:t>
      </w:r>
      <w:r w:rsidR="00B459AA">
        <w:rPr>
          <w:rFonts w:eastAsia="Calibri"/>
        </w:rPr>
        <w:t xml:space="preserve"> and </w:t>
      </w:r>
      <w:r w:rsidRPr="00A352AD">
        <w:rPr>
          <w:rFonts w:eastAsia="Calibri"/>
        </w:rPr>
        <w:t>dissolved oxygen</w:t>
      </w:r>
      <w:r w:rsidR="00B459AA">
        <w:rPr>
          <w:rFonts w:eastAsia="Calibri"/>
        </w:rPr>
        <w:t xml:space="preserve"> that</w:t>
      </w:r>
      <w:r w:rsidRPr="00A352AD">
        <w:rPr>
          <w:rFonts w:eastAsia="Calibri"/>
        </w:rPr>
        <w:t xml:space="preserve"> are likely to be infl</w:t>
      </w:r>
      <w:r w:rsidR="00B459AA" w:rsidRPr="00A352AD">
        <w:rPr>
          <w:rFonts w:eastAsia="Calibri"/>
        </w:rPr>
        <w:t>uenced by wastewater discharges</w:t>
      </w:r>
      <w:r w:rsidR="00B459AA">
        <w:rPr>
          <w:rFonts w:eastAsia="Calibri"/>
        </w:rPr>
        <w:t xml:space="preserve"> are not included in this study. </w:t>
      </w:r>
      <w:r w:rsidRPr="00A352AD">
        <w:rPr>
          <w:rFonts w:eastAsia="Calibri"/>
        </w:rPr>
        <w:t xml:space="preserve"> </w:t>
      </w:r>
    </w:p>
    <w:p w14:paraId="2D05B46D" w14:textId="77777777" w:rsidR="001D15D4" w:rsidRPr="00A352AD" w:rsidRDefault="00A30DAF" w:rsidP="00A352AD">
      <w:pPr>
        <w:pStyle w:val="Body"/>
        <w:numPr>
          <w:ilvl w:val="0"/>
          <w:numId w:val="89"/>
        </w:numPr>
        <w:rPr>
          <w:rFonts w:eastAsia="Calibri"/>
        </w:rPr>
      </w:pPr>
      <w:r>
        <w:rPr>
          <w:rFonts w:cs="Arial"/>
          <w:color w:val="000000"/>
          <w:szCs w:val="20"/>
          <w:lang w:eastAsia="en-NZ"/>
        </w:rPr>
        <w:t>While t</w:t>
      </w:r>
      <w:r w:rsidR="0032333E">
        <w:rPr>
          <w:rFonts w:cs="Arial"/>
          <w:color w:val="000000"/>
          <w:szCs w:val="20"/>
          <w:lang w:eastAsia="en-NZ"/>
        </w:rPr>
        <w:t>here is no attribute listed for phosphorus</w:t>
      </w:r>
      <w:r>
        <w:rPr>
          <w:rFonts w:cs="Arial"/>
          <w:color w:val="000000"/>
          <w:szCs w:val="20"/>
          <w:lang w:eastAsia="en-NZ"/>
        </w:rPr>
        <w:t xml:space="preserve"> in the NPS Freshwater</w:t>
      </w:r>
      <w:r w:rsidR="0032333E">
        <w:rPr>
          <w:rFonts w:cs="Arial"/>
          <w:color w:val="000000"/>
          <w:szCs w:val="20"/>
          <w:lang w:eastAsia="en-NZ"/>
        </w:rPr>
        <w:t xml:space="preserve">, </w:t>
      </w:r>
      <w:r>
        <w:rPr>
          <w:rFonts w:cs="Arial"/>
          <w:color w:val="000000"/>
          <w:szCs w:val="20"/>
          <w:lang w:eastAsia="en-NZ"/>
        </w:rPr>
        <w:t xml:space="preserve">it does contain a requirement on </w:t>
      </w:r>
      <w:r w:rsidR="0032333E">
        <w:rPr>
          <w:rFonts w:cs="Arial"/>
          <w:color w:val="000000"/>
          <w:szCs w:val="20"/>
          <w:lang w:eastAsia="en-NZ"/>
        </w:rPr>
        <w:t xml:space="preserve">councils </w:t>
      </w:r>
      <w:r>
        <w:rPr>
          <w:rFonts w:cs="Arial"/>
          <w:color w:val="000000"/>
          <w:szCs w:val="20"/>
          <w:lang w:eastAsia="en-NZ"/>
        </w:rPr>
        <w:t xml:space="preserve">to manage </w:t>
      </w:r>
      <w:r w:rsidR="0032333E">
        <w:rPr>
          <w:rFonts w:cs="Arial"/>
          <w:color w:val="000000"/>
          <w:szCs w:val="20"/>
          <w:lang w:eastAsia="en-NZ"/>
        </w:rPr>
        <w:t xml:space="preserve">phosphorus </w:t>
      </w:r>
      <w:r>
        <w:rPr>
          <w:rFonts w:cs="Arial"/>
          <w:color w:val="000000"/>
          <w:szCs w:val="20"/>
          <w:lang w:eastAsia="en-NZ"/>
        </w:rPr>
        <w:t>as part of periphyton</w:t>
      </w:r>
      <w:r w:rsidR="0032333E">
        <w:rPr>
          <w:rFonts w:cs="Arial"/>
          <w:color w:val="000000"/>
          <w:szCs w:val="20"/>
          <w:lang w:eastAsia="en-NZ"/>
        </w:rPr>
        <w:t xml:space="preserve"> manage</w:t>
      </w:r>
      <w:r>
        <w:rPr>
          <w:rFonts w:cs="Arial"/>
          <w:color w:val="000000"/>
          <w:szCs w:val="20"/>
          <w:lang w:eastAsia="en-NZ"/>
        </w:rPr>
        <w:t>ment in freshwater bodies.</w:t>
      </w:r>
      <w:r w:rsidR="0032333E">
        <w:rPr>
          <w:rFonts w:cs="Arial"/>
          <w:color w:val="000000"/>
          <w:szCs w:val="20"/>
          <w:lang w:eastAsia="en-NZ"/>
        </w:rPr>
        <w:t xml:space="preserve"> </w:t>
      </w:r>
      <w:r w:rsidR="00C95A52">
        <w:rPr>
          <w:rFonts w:eastAsia="Calibri"/>
        </w:rPr>
        <w:t xml:space="preserve">The consequent </w:t>
      </w:r>
      <w:r w:rsidR="0032333E">
        <w:rPr>
          <w:rFonts w:eastAsia="Calibri"/>
        </w:rPr>
        <w:t>p</w:t>
      </w:r>
      <w:r w:rsidR="0032333E" w:rsidRPr="00A352AD">
        <w:rPr>
          <w:rFonts w:eastAsia="Calibri"/>
        </w:rPr>
        <w:t xml:space="preserve">hosphorous </w:t>
      </w:r>
      <w:r w:rsidR="001D15D4" w:rsidRPr="00A352AD">
        <w:rPr>
          <w:rFonts w:eastAsia="Calibri"/>
        </w:rPr>
        <w:t>limits</w:t>
      </w:r>
      <w:r w:rsidR="0032333E">
        <w:rPr>
          <w:rFonts w:eastAsia="Calibri"/>
        </w:rPr>
        <w:t xml:space="preserve"> </w:t>
      </w:r>
      <w:r>
        <w:rPr>
          <w:rFonts w:eastAsia="Calibri"/>
        </w:rPr>
        <w:t xml:space="preserve">in </w:t>
      </w:r>
      <w:r w:rsidR="00C95A52">
        <w:rPr>
          <w:rFonts w:eastAsia="Calibri"/>
        </w:rPr>
        <w:t xml:space="preserve">regional plans will </w:t>
      </w:r>
      <w:r w:rsidR="00B459AA" w:rsidRPr="00A352AD">
        <w:rPr>
          <w:rFonts w:eastAsia="Calibri"/>
        </w:rPr>
        <w:t xml:space="preserve"> have </w:t>
      </w:r>
      <w:r w:rsidR="0032333E">
        <w:rPr>
          <w:rFonts w:eastAsia="Calibri"/>
        </w:rPr>
        <w:t>a</w:t>
      </w:r>
      <w:r w:rsidR="0032333E" w:rsidRPr="00A352AD">
        <w:rPr>
          <w:rFonts w:eastAsia="Calibri"/>
        </w:rPr>
        <w:t xml:space="preserve"> </w:t>
      </w:r>
      <w:r w:rsidR="00B459AA" w:rsidRPr="00A352AD">
        <w:rPr>
          <w:rFonts w:eastAsia="Calibri"/>
        </w:rPr>
        <w:t xml:space="preserve">bearing on </w:t>
      </w:r>
      <w:r w:rsidR="001D15D4" w:rsidRPr="00A352AD">
        <w:rPr>
          <w:rFonts w:eastAsia="Calibri"/>
        </w:rPr>
        <w:t>wastewater treatment.</w:t>
      </w:r>
    </w:p>
    <w:p w14:paraId="4EE79695" w14:textId="77777777" w:rsidR="00286E79" w:rsidRDefault="00481E4D" w:rsidP="00E66F34">
      <w:pPr>
        <w:pStyle w:val="Body"/>
        <w:numPr>
          <w:ilvl w:val="0"/>
          <w:numId w:val="89"/>
        </w:numPr>
        <w:rPr>
          <w:rFonts w:eastAsia="Calibri"/>
        </w:rPr>
      </w:pPr>
      <w:r>
        <w:rPr>
          <w:rFonts w:eastAsia="Calibri"/>
        </w:rPr>
        <w:t xml:space="preserve">Analysis of the contribution of WWTP discharges to receiving water quality </w:t>
      </w:r>
      <w:r w:rsidR="00BE3AA2">
        <w:rPr>
          <w:rFonts w:eastAsia="Calibri"/>
        </w:rPr>
        <w:t>was</w:t>
      </w:r>
      <w:r>
        <w:rPr>
          <w:rFonts w:eastAsia="Calibri"/>
        </w:rPr>
        <w:t xml:space="preserve"> made based on broad assumptions </w:t>
      </w:r>
      <w:r w:rsidR="0077301D">
        <w:rPr>
          <w:rFonts w:eastAsia="Calibri"/>
        </w:rPr>
        <w:t>that certain types of land</w:t>
      </w:r>
      <w:r w:rsidR="00770B67">
        <w:rPr>
          <w:rFonts w:eastAsia="Calibri"/>
        </w:rPr>
        <w:t xml:space="preserve"> </w:t>
      </w:r>
      <w:r w:rsidR="0077301D">
        <w:rPr>
          <w:rFonts w:eastAsia="Calibri"/>
        </w:rPr>
        <w:t xml:space="preserve">uses are nutrient generating. It is acknowledged that localised land management </w:t>
      </w:r>
      <w:r w:rsidR="00A011EA">
        <w:rPr>
          <w:rFonts w:eastAsia="Calibri"/>
        </w:rPr>
        <w:t xml:space="preserve">practices </w:t>
      </w:r>
      <w:r w:rsidR="0077301D">
        <w:rPr>
          <w:rFonts w:eastAsia="Calibri"/>
        </w:rPr>
        <w:t xml:space="preserve">can </w:t>
      </w:r>
      <w:r w:rsidR="00770B67">
        <w:rPr>
          <w:rFonts w:eastAsia="Calibri"/>
        </w:rPr>
        <w:t xml:space="preserve">either </w:t>
      </w:r>
      <w:r w:rsidR="00BE3AA2">
        <w:rPr>
          <w:rFonts w:eastAsia="Calibri"/>
        </w:rPr>
        <w:t>reduce</w:t>
      </w:r>
      <w:r w:rsidR="00770B67">
        <w:rPr>
          <w:rFonts w:eastAsia="Calibri"/>
        </w:rPr>
        <w:t xml:space="preserve"> or increase</w:t>
      </w:r>
      <w:r w:rsidR="00BE3AA2">
        <w:rPr>
          <w:rFonts w:eastAsia="Calibri"/>
        </w:rPr>
        <w:t xml:space="preserve"> nutrient loads</w:t>
      </w:r>
      <w:r w:rsidR="0077301D">
        <w:rPr>
          <w:rFonts w:eastAsia="Calibri"/>
        </w:rPr>
        <w:t>; however</w:t>
      </w:r>
      <w:r w:rsidR="00770B67">
        <w:rPr>
          <w:rFonts w:eastAsia="Calibri"/>
        </w:rPr>
        <w:t>,</w:t>
      </w:r>
      <w:r w:rsidR="0077301D">
        <w:rPr>
          <w:rFonts w:eastAsia="Calibri"/>
        </w:rPr>
        <w:t xml:space="preserve"> this study</w:t>
      </w:r>
      <w:r w:rsidR="00770B67">
        <w:rPr>
          <w:rFonts w:eastAsia="Calibri"/>
        </w:rPr>
        <w:t>’s</w:t>
      </w:r>
      <w:r w:rsidR="0077301D">
        <w:rPr>
          <w:rFonts w:eastAsia="Calibri"/>
        </w:rPr>
        <w:t xml:space="preserve"> scope did not cover detailed review of all receiving water catchment </w:t>
      </w:r>
      <w:r w:rsidR="00770B67">
        <w:rPr>
          <w:rFonts w:eastAsia="Calibri"/>
        </w:rPr>
        <w:t>practices</w:t>
      </w:r>
      <w:r w:rsidR="0077301D">
        <w:rPr>
          <w:rFonts w:eastAsia="Calibri"/>
        </w:rPr>
        <w:t>.</w:t>
      </w:r>
    </w:p>
    <w:p w14:paraId="2588BBEE" w14:textId="77777777" w:rsidR="00481E4D" w:rsidRDefault="00286E79" w:rsidP="00286E79">
      <w:pPr>
        <w:pStyle w:val="Body"/>
        <w:numPr>
          <w:ilvl w:val="0"/>
          <w:numId w:val="89"/>
        </w:numPr>
        <w:rPr>
          <w:rFonts w:eastAsia="Calibri"/>
        </w:rPr>
      </w:pPr>
      <w:r>
        <w:rPr>
          <w:rFonts w:eastAsia="Calibri"/>
        </w:rPr>
        <w:t>D</w:t>
      </w:r>
      <w:r w:rsidRPr="00286E79">
        <w:rPr>
          <w:rFonts w:eastAsia="Calibri"/>
        </w:rPr>
        <w:t xml:space="preserve">ata available </w:t>
      </w:r>
      <w:r>
        <w:rPr>
          <w:rFonts w:eastAsia="Calibri"/>
        </w:rPr>
        <w:t>from the nearest</w:t>
      </w:r>
      <w:r w:rsidRPr="00286E79">
        <w:rPr>
          <w:rFonts w:eastAsia="Calibri"/>
        </w:rPr>
        <w:t xml:space="preserve"> Land, Air, Water, Aotearoa </w:t>
      </w:r>
      <w:r>
        <w:rPr>
          <w:rFonts w:eastAsia="Calibri"/>
        </w:rPr>
        <w:t>(</w:t>
      </w:r>
      <w:r w:rsidRPr="00286E79">
        <w:rPr>
          <w:rFonts w:eastAsia="Calibri"/>
        </w:rPr>
        <w:t>LAWA</w:t>
      </w:r>
      <w:r>
        <w:rPr>
          <w:rFonts w:eastAsia="Calibri"/>
        </w:rPr>
        <w:t>)</w:t>
      </w:r>
      <w:r w:rsidRPr="00286E79">
        <w:rPr>
          <w:rFonts w:eastAsia="Calibri"/>
        </w:rPr>
        <w:t xml:space="preserve"> monitoring point accurately reflects the receiving environment of the WWTP discharge</w:t>
      </w:r>
      <w:r>
        <w:rPr>
          <w:rFonts w:eastAsia="Calibri"/>
        </w:rPr>
        <w:t>.</w:t>
      </w:r>
    </w:p>
    <w:p w14:paraId="099E5F39" w14:textId="77777777" w:rsidR="00481E4D" w:rsidRDefault="00481E4D" w:rsidP="00E66F34">
      <w:pPr>
        <w:pStyle w:val="Body"/>
        <w:numPr>
          <w:ilvl w:val="0"/>
          <w:numId w:val="89"/>
        </w:numPr>
        <w:rPr>
          <w:rFonts w:eastAsia="Calibri"/>
        </w:rPr>
      </w:pPr>
      <w:r>
        <w:rPr>
          <w:rFonts w:eastAsia="Calibri"/>
        </w:rPr>
        <w:lastRenderedPageBreak/>
        <w:t>The</w:t>
      </w:r>
      <w:r w:rsidRPr="00481E4D">
        <w:rPr>
          <w:rFonts w:eastAsia="Calibri"/>
        </w:rPr>
        <w:t xml:space="preserve"> study has assessed the status of WWTPs as they are in 2018 and cost estimates do not account for future growth as this was outside the study scope. It is acknowledged that when considering upgrades to their wastewater networks, that the asset owners will in most cases provide for future growth to optimise the investment, and upgrades to account for this will increase cost. </w:t>
      </w:r>
    </w:p>
    <w:p w14:paraId="1BB7C54E" w14:textId="77777777" w:rsidR="006775FF" w:rsidRPr="00261B3A" w:rsidRDefault="00481E4D" w:rsidP="00261B3A">
      <w:pPr>
        <w:pStyle w:val="Body"/>
        <w:numPr>
          <w:ilvl w:val="0"/>
          <w:numId w:val="89"/>
        </w:numPr>
        <w:rPr>
          <w:rFonts w:eastAsia="Calibri"/>
        </w:rPr>
      </w:pPr>
      <w:r w:rsidRPr="00481E4D">
        <w:rPr>
          <w:rFonts w:eastAsia="Calibri"/>
        </w:rPr>
        <w:t xml:space="preserve">The cost estimates presented in this </w:t>
      </w:r>
      <w:r>
        <w:rPr>
          <w:rFonts w:eastAsia="Calibri"/>
        </w:rPr>
        <w:t>report</w:t>
      </w:r>
      <w:r w:rsidRPr="00481E4D">
        <w:rPr>
          <w:rFonts w:eastAsia="Calibri"/>
        </w:rPr>
        <w:t xml:space="preserve"> </w:t>
      </w:r>
      <w:r w:rsidR="00BE3AA2">
        <w:rPr>
          <w:rFonts w:eastAsia="Calibri"/>
        </w:rPr>
        <w:t>were</w:t>
      </w:r>
      <w:r w:rsidRPr="00481E4D">
        <w:rPr>
          <w:rFonts w:eastAsia="Calibri"/>
        </w:rPr>
        <w:t xml:space="preserve"> developed solely for the purpose of evaluating potential order of magnitude capital costs for widespread treatment augmentation.  They are sufficiently accurate to serve this purpose.  They cannot be used for budget setting purposes as site specific considerations have not been investigated and the works have not been fully scoped.  </w:t>
      </w:r>
    </w:p>
    <w:p w14:paraId="741912A1" w14:textId="77777777" w:rsidR="00B11C8F" w:rsidRPr="00E66F34" w:rsidRDefault="00B11C8F" w:rsidP="00E66F34">
      <w:pPr>
        <w:pStyle w:val="Body"/>
        <w:ind w:left="0"/>
        <w:rPr>
          <w:b/>
        </w:rPr>
      </w:pPr>
      <w:r w:rsidRPr="00E66F34">
        <w:rPr>
          <w:b/>
        </w:rPr>
        <w:t>Other matters raised through focus groups</w:t>
      </w:r>
    </w:p>
    <w:p w14:paraId="00ECADC4" w14:textId="77777777" w:rsidR="006B6FC9" w:rsidRDefault="00606961" w:rsidP="00E66F34">
      <w:pPr>
        <w:pStyle w:val="Body"/>
        <w:ind w:left="0"/>
      </w:pPr>
      <w:r w:rsidRPr="00606961">
        <w:t xml:space="preserve">This study has required the collaboration and input from a number of wastewater network owners and operators across New Zealand. The open discussions, ready sharing of information and assistance with </w:t>
      </w:r>
      <w:r w:rsidR="00770B67">
        <w:t>f</w:t>
      </w:r>
      <w:r w:rsidR="00770B67" w:rsidRPr="00606961">
        <w:t xml:space="preserve">ocus </w:t>
      </w:r>
      <w:r w:rsidRPr="00606961">
        <w:t xml:space="preserve">group discussions is appreciated and acknowledged. </w:t>
      </w:r>
    </w:p>
    <w:p w14:paraId="12D2F4AC" w14:textId="77777777" w:rsidR="00606961" w:rsidRPr="000C3D29" w:rsidRDefault="00606961" w:rsidP="00E66F34">
      <w:pPr>
        <w:pStyle w:val="Body"/>
        <w:ind w:left="0"/>
        <w:rPr>
          <w:rFonts w:eastAsia="Calibri"/>
        </w:rPr>
      </w:pPr>
      <w:r>
        <w:t xml:space="preserve">A number of key issues were raised through discussion </w:t>
      </w:r>
      <w:r w:rsidR="00A060DD" w:rsidRPr="000C3D29">
        <w:t>including the following:</w:t>
      </w:r>
    </w:p>
    <w:p w14:paraId="4201345D" w14:textId="77777777" w:rsidR="00416D5C" w:rsidRDefault="00416D5C" w:rsidP="00416D5C">
      <w:pPr>
        <w:pStyle w:val="Body"/>
        <w:numPr>
          <w:ilvl w:val="0"/>
          <w:numId w:val="89"/>
        </w:numPr>
        <w:rPr>
          <w:rFonts w:eastAsia="Calibri"/>
        </w:rPr>
      </w:pPr>
      <w:r w:rsidRPr="00416D5C">
        <w:rPr>
          <w:rFonts w:eastAsia="Calibri"/>
        </w:rPr>
        <w:t>Upgrade costs for WWTPs have been calculated assuming that individual WWTPs are upgraded and</w:t>
      </w:r>
      <w:r w:rsidR="00581922">
        <w:rPr>
          <w:rFonts w:eastAsia="Calibri"/>
        </w:rPr>
        <w:t xml:space="preserve"> that</w:t>
      </w:r>
      <w:r w:rsidRPr="00416D5C">
        <w:rPr>
          <w:rFonts w:eastAsia="Calibri"/>
        </w:rPr>
        <w:t xml:space="preserve"> the point of discharge remains the same. In some cases upgrading the discharge to a land based discharge or amalgamating existing WWTPs and </w:t>
      </w:r>
      <w:r>
        <w:rPr>
          <w:rFonts w:eastAsia="Calibri"/>
        </w:rPr>
        <w:t>wastewater</w:t>
      </w:r>
      <w:r w:rsidRPr="00416D5C">
        <w:rPr>
          <w:rFonts w:eastAsia="Calibri"/>
        </w:rPr>
        <w:t xml:space="preserve"> networks may provide </w:t>
      </w:r>
      <w:r>
        <w:rPr>
          <w:rFonts w:eastAsia="Calibri"/>
        </w:rPr>
        <w:t>the</w:t>
      </w:r>
      <w:r w:rsidRPr="00416D5C">
        <w:rPr>
          <w:rFonts w:eastAsia="Calibri"/>
        </w:rPr>
        <w:t xml:space="preserve"> optimal solution for capital and operational expense. These options would require individual case</w:t>
      </w:r>
      <w:r w:rsidR="00417914">
        <w:rPr>
          <w:rFonts w:eastAsia="Calibri"/>
        </w:rPr>
        <w:t>-</w:t>
      </w:r>
      <w:r w:rsidRPr="00416D5C">
        <w:rPr>
          <w:rFonts w:eastAsia="Calibri"/>
        </w:rPr>
        <w:t>by</w:t>
      </w:r>
      <w:r w:rsidR="00417914">
        <w:rPr>
          <w:rFonts w:eastAsia="Calibri"/>
        </w:rPr>
        <w:t>-</w:t>
      </w:r>
      <w:r w:rsidRPr="00416D5C">
        <w:rPr>
          <w:rFonts w:eastAsia="Calibri"/>
        </w:rPr>
        <w:t>case feasibility studies which have not been carried out in this report</w:t>
      </w:r>
      <w:r>
        <w:rPr>
          <w:rFonts w:eastAsia="Calibri"/>
        </w:rPr>
        <w:t>.</w:t>
      </w:r>
    </w:p>
    <w:p w14:paraId="4342BCDF" w14:textId="77777777" w:rsidR="00606961" w:rsidRPr="000C3D29" w:rsidRDefault="00416D5C" w:rsidP="00416D5C">
      <w:pPr>
        <w:pStyle w:val="Body"/>
        <w:numPr>
          <w:ilvl w:val="0"/>
          <w:numId w:val="89"/>
        </w:numPr>
        <w:rPr>
          <w:rFonts w:eastAsia="Calibri"/>
        </w:rPr>
      </w:pPr>
      <w:r w:rsidRPr="00416D5C">
        <w:rPr>
          <w:rFonts w:eastAsia="Calibri"/>
        </w:rPr>
        <w:t xml:space="preserve"> </w:t>
      </w:r>
      <w:r w:rsidR="00606961" w:rsidRPr="000C3D29">
        <w:rPr>
          <w:rFonts w:eastAsia="Calibri"/>
        </w:rPr>
        <w:t xml:space="preserve">Workforce </w:t>
      </w:r>
      <w:r w:rsidR="00E040F0">
        <w:rPr>
          <w:rFonts w:eastAsia="Calibri"/>
        </w:rPr>
        <w:t>c</w:t>
      </w:r>
      <w:r w:rsidR="00E040F0" w:rsidRPr="000C3D29">
        <w:rPr>
          <w:rFonts w:eastAsia="Calibri"/>
        </w:rPr>
        <w:t>apability</w:t>
      </w:r>
      <w:r w:rsidR="00606961" w:rsidRPr="000C3D29">
        <w:rPr>
          <w:rFonts w:eastAsia="Calibri"/>
        </w:rPr>
        <w:t xml:space="preserve"> is a significant issue should a transition from non-mechanical, low input WWTP’s to higher input, more mechanical plants be considered. An</w:t>
      </w:r>
      <w:r w:rsidR="00606961" w:rsidRPr="000C3D29" w:rsidDel="00E040F0">
        <w:rPr>
          <w:rFonts w:eastAsia="Calibri"/>
        </w:rPr>
        <w:t xml:space="preserve"> </w:t>
      </w:r>
      <w:r w:rsidR="00E040F0">
        <w:rPr>
          <w:rFonts w:eastAsia="Calibri"/>
        </w:rPr>
        <w:t>i</w:t>
      </w:r>
      <w:r w:rsidR="00E040F0" w:rsidRPr="000C3D29">
        <w:rPr>
          <w:rFonts w:eastAsia="Calibri"/>
        </w:rPr>
        <w:t>ndustry</w:t>
      </w:r>
      <w:r w:rsidR="00606961" w:rsidRPr="000C3D29">
        <w:rPr>
          <w:rFonts w:eastAsia="Calibri"/>
        </w:rPr>
        <w:t xml:space="preserve"> </w:t>
      </w:r>
      <w:r w:rsidR="00E040F0">
        <w:rPr>
          <w:rFonts w:eastAsia="Calibri"/>
        </w:rPr>
        <w:t>f</w:t>
      </w:r>
      <w:r w:rsidR="00E040F0" w:rsidRPr="000C3D29">
        <w:rPr>
          <w:rFonts w:eastAsia="Calibri"/>
        </w:rPr>
        <w:t>ocus</w:t>
      </w:r>
      <w:r w:rsidR="00606961" w:rsidRPr="000C3D29" w:rsidDel="00E040F0">
        <w:rPr>
          <w:rFonts w:eastAsia="Calibri"/>
        </w:rPr>
        <w:t xml:space="preserve"> </w:t>
      </w:r>
      <w:r w:rsidR="00E040F0">
        <w:rPr>
          <w:rFonts w:eastAsia="Calibri"/>
        </w:rPr>
        <w:t>g</w:t>
      </w:r>
      <w:r w:rsidR="00E040F0" w:rsidRPr="000C3D29">
        <w:rPr>
          <w:rFonts w:eastAsia="Calibri"/>
        </w:rPr>
        <w:t>roup</w:t>
      </w:r>
      <w:r w:rsidR="00606961" w:rsidRPr="000C3D29">
        <w:rPr>
          <w:rFonts w:eastAsia="Calibri"/>
        </w:rPr>
        <w:t xml:space="preserve"> discussion carried out as part of this project raised the ability for the sector to attract, retain and train staff as a significant barrier to progress.</w:t>
      </w:r>
    </w:p>
    <w:p w14:paraId="72549A84" w14:textId="77777777" w:rsidR="00606961" w:rsidRPr="000C3D29" w:rsidRDefault="00606961" w:rsidP="00A060DD">
      <w:pPr>
        <w:pStyle w:val="Body"/>
        <w:numPr>
          <w:ilvl w:val="0"/>
          <w:numId w:val="89"/>
        </w:numPr>
        <w:rPr>
          <w:rFonts w:eastAsia="Calibri"/>
        </w:rPr>
      </w:pPr>
      <w:r w:rsidRPr="000C3D29">
        <w:rPr>
          <w:rFonts w:eastAsia="Calibri"/>
        </w:rPr>
        <w:t xml:space="preserve">Phosphorus is typically measured and managed through treatment plant </w:t>
      </w:r>
      <w:r w:rsidR="00E040F0" w:rsidRPr="000C3D29">
        <w:rPr>
          <w:rFonts w:eastAsia="Calibri"/>
        </w:rPr>
        <w:t>cons</w:t>
      </w:r>
      <w:r w:rsidR="00E040F0">
        <w:rPr>
          <w:rFonts w:eastAsia="Calibri"/>
        </w:rPr>
        <w:t>ents</w:t>
      </w:r>
      <w:r w:rsidR="0032333E">
        <w:rPr>
          <w:rFonts w:eastAsia="Calibri"/>
        </w:rPr>
        <w:t xml:space="preserve">.  </w:t>
      </w:r>
      <w:r w:rsidR="00A30DAF">
        <w:rPr>
          <w:rFonts w:eastAsia="Calibri"/>
        </w:rPr>
        <w:t xml:space="preserve">There </w:t>
      </w:r>
      <w:r w:rsidR="00A30DAF">
        <w:rPr>
          <w:rFonts w:cs="Arial"/>
          <w:color w:val="000000"/>
          <w:szCs w:val="20"/>
          <w:lang w:eastAsia="en-NZ"/>
        </w:rPr>
        <w:t>i</w:t>
      </w:r>
      <w:r w:rsidR="0032333E">
        <w:rPr>
          <w:rFonts w:cs="Arial"/>
          <w:color w:val="000000"/>
          <w:szCs w:val="20"/>
          <w:lang w:eastAsia="en-NZ"/>
        </w:rPr>
        <w:t>s no attribute listed for phosphorus</w:t>
      </w:r>
      <w:r w:rsidR="00A30DAF">
        <w:rPr>
          <w:rFonts w:cs="Arial"/>
          <w:color w:val="000000"/>
          <w:szCs w:val="20"/>
          <w:lang w:eastAsia="en-NZ"/>
        </w:rPr>
        <w:t xml:space="preserve"> in the NPS Freshwater</w:t>
      </w:r>
      <w:r w:rsidR="00F013D8">
        <w:rPr>
          <w:rFonts w:cs="Arial"/>
          <w:color w:val="000000"/>
          <w:szCs w:val="20"/>
          <w:lang w:eastAsia="en-NZ"/>
        </w:rPr>
        <w:t xml:space="preserve">, but councils must </w:t>
      </w:r>
      <w:r w:rsidR="00A30DAF">
        <w:rPr>
          <w:rFonts w:cs="Arial"/>
          <w:color w:val="000000"/>
          <w:szCs w:val="20"/>
          <w:lang w:eastAsia="en-NZ"/>
        </w:rPr>
        <w:t>manage</w:t>
      </w:r>
      <w:r w:rsidR="0032333E">
        <w:rPr>
          <w:rFonts w:cs="Arial"/>
          <w:color w:val="000000"/>
          <w:szCs w:val="20"/>
          <w:lang w:eastAsia="en-NZ"/>
        </w:rPr>
        <w:t xml:space="preserve"> phosphorus </w:t>
      </w:r>
      <w:r w:rsidR="00A30DAF">
        <w:rPr>
          <w:rFonts w:cs="Arial"/>
          <w:color w:val="000000"/>
          <w:szCs w:val="20"/>
          <w:lang w:eastAsia="en-NZ"/>
        </w:rPr>
        <w:t>as part of</w:t>
      </w:r>
      <w:r w:rsidR="0032333E">
        <w:rPr>
          <w:rFonts w:cs="Arial"/>
          <w:color w:val="000000"/>
          <w:szCs w:val="20"/>
          <w:lang w:eastAsia="en-NZ"/>
        </w:rPr>
        <w:t xml:space="preserve"> periphyton </w:t>
      </w:r>
      <w:r w:rsidR="00A30DAF">
        <w:rPr>
          <w:rFonts w:cs="Arial"/>
          <w:color w:val="000000"/>
          <w:szCs w:val="20"/>
          <w:lang w:eastAsia="en-NZ"/>
        </w:rPr>
        <w:t>management</w:t>
      </w:r>
      <w:r w:rsidR="0032333E">
        <w:rPr>
          <w:rFonts w:cs="Arial"/>
          <w:color w:val="000000"/>
          <w:szCs w:val="20"/>
          <w:lang w:eastAsia="en-NZ"/>
        </w:rPr>
        <w:t xml:space="preserve">. </w:t>
      </w:r>
    </w:p>
    <w:p w14:paraId="32B89C2F" w14:textId="77777777" w:rsidR="006717D8" w:rsidRPr="006717D8" w:rsidRDefault="006717D8" w:rsidP="006717D8">
      <w:pPr>
        <w:pStyle w:val="Body"/>
        <w:numPr>
          <w:ilvl w:val="0"/>
          <w:numId w:val="89"/>
        </w:numPr>
        <w:rPr>
          <w:rFonts w:eastAsia="Calibri"/>
        </w:rPr>
      </w:pPr>
      <w:r w:rsidRPr="006717D8">
        <w:rPr>
          <w:rFonts w:eastAsia="Calibri"/>
        </w:rPr>
        <w:t>Consenting plants under the RMA is a significant process and one that should not be under</w:t>
      </w:r>
      <w:r w:rsidR="00991949">
        <w:rPr>
          <w:rFonts w:eastAsia="Calibri"/>
        </w:rPr>
        <w:t xml:space="preserve"> </w:t>
      </w:r>
      <w:r w:rsidRPr="006717D8">
        <w:rPr>
          <w:rFonts w:eastAsia="Calibri"/>
        </w:rPr>
        <w:t xml:space="preserve">estimated. WWTP consenting processes can take both significant time (between 2 and 4 years) and cost (an average consent process would be in the order of $500,000 to secure). </w:t>
      </w:r>
    </w:p>
    <w:p w14:paraId="6F4C9601" w14:textId="77777777" w:rsidR="006717D8" w:rsidRPr="006717D8" w:rsidRDefault="00416D5C">
      <w:pPr>
        <w:pStyle w:val="Body"/>
        <w:numPr>
          <w:ilvl w:val="0"/>
          <w:numId w:val="89"/>
        </w:numPr>
        <w:rPr>
          <w:rFonts w:eastAsia="Calibri"/>
        </w:rPr>
      </w:pPr>
      <w:r>
        <w:rPr>
          <w:rFonts w:eastAsia="Calibri"/>
        </w:rPr>
        <w:t xml:space="preserve">A </w:t>
      </w:r>
      <w:r w:rsidR="006717D8" w:rsidRPr="006717D8">
        <w:rPr>
          <w:rFonts w:eastAsia="Calibri"/>
        </w:rPr>
        <w:t xml:space="preserve">key aspect of any transition from </w:t>
      </w:r>
      <w:r w:rsidR="00BE3AA2">
        <w:rPr>
          <w:rFonts w:eastAsia="Calibri"/>
        </w:rPr>
        <w:t>waste stabilisation pond</w:t>
      </w:r>
      <w:r w:rsidR="00BE3AA2" w:rsidRPr="006717D8">
        <w:rPr>
          <w:rFonts w:eastAsia="Calibri"/>
        </w:rPr>
        <w:t xml:space="preserve"> </w:t>
      </w:r>
      <w:r w:rsidR="006717D8" w:rsidRPr="006717D8">
        <w:rPr>
          <w:rFonts w:eastAsia="Calibri"/>
        </w:rPr>
        <w:t>technology to BNR-</w:t>
      </w:r>
      <w:r w:rsidR="00BE3AA2" w:rsidRPr="006717D8">
        <w:rPr>
          <w:rFonts w:eastAsia="Calibri"/>
        </w:rPr>
        <w:t>A</w:t>
      </w:r>
      <w:r w:rsidR="00BE3AA2">
        <w:rPr>
          <w:rFonts w:eastAsia="Calibri"/>
        </w:rPr>
        <w:t xml:space="preserve">ctivated </w:t>
      </w:r>
      <w:r w:rsidR="006775FF">
        <w:rPr>
          <w:rFonts w:eastAsia="Calibri"/>
        </w:rPr>
        <w:t>S</w:t>
      </w:r>
      <w:r w:rsidR="00BE3AA2">
        <w:rPr>
          <w:rFonts w:eastAsia="Calibri"/>
        </w:rPr>
        <w:t xml:space="preserve">ludge </w:t>
      </w:r>
      <w:r w:rsidR="006717D8" w:rsidRPr="006717D8">
        <w:rPr>
          <w:rFonts w:eastAsia="Calibri"/>
        </w:rPr>
        <w:t xml:space="preserve">type processes is solids treatment and handling. </w:t>
      </w:r>
      <w:r w:rsidR="00BE3AA2" w:rsidRPr="006717D8">
        <w:rPr>
          <w:rFonts w:eastAsia="Calibri"/>
        </w:rPr>
        <w:t>W</w:t>
      </w:r>
      <w:r w:rsidR="00BE3AA2">
        <w:rPr>
          <w:rFonts w:eastAsia="Calibri"/>
        </w:rPr>
        <w:t>aste stabilisation ponds</w:t>
      </w:r>
      <w:r w:rsidR="006717D8" w:rsidRPr="006717D8">
        <w:rPr>
          <w:rFonts w:eastAsia="Calibri"/>
        </w:rPr>
        <w:t xml:space="preserve"> typically store solids within the ponds and are periodically cleaned out, on an as required basis.</w:t>
      </w:r>
      <w:r w:rsidR="006717D8">
        <w:rPr>
          <w:rFonts w:eastAsia="Calibri"/>
        </w:rPr>
        <w:t xml:space="preserve"> </w:t>
      </w:r>
      <w:r w:rsidR="006717D8" w:rsidRPr="006717D8">
        <w:rPr>
          <w:rFonts w:eastAsia="Calibri"/>
        </w:rPr>
        <w:t>BNR-</w:t>
      </w:r>
      <w:r w:rsidR="00BE3AA2" w:rsidRPr="006717D8">
        <w:rPr>
          <w:rFonts w:eastAsia="Calibri"/>
        </w:rPr>
        <w:t>A</w:t>
      </w:r>
      <w:r w:rsidR="00BE3AA2">
        <w:rPr>
          <w:rFonts w:eastAsia="Calibri"/>
        </w:rPr>
        <w:t xml:space="preserve">ctivated </w:t>
      </w:r>
      <w:r w:rsidR="006775FF">
        <w:rPr>
          <w:rFonts w:eastAsia="Calibri"/>
        </w:rPr>
        <w:t>S</w:t>
      </w:r>
      <w:r w:rsidR="00BE3AA2">
        <w:rPr>
          <w:rFonts w:eastAsia="Calibri"/>
        </w:rPr>
        <w:t>ludge</w:t>
      </w:r>
      <w:r w:rsidR="006717D8" w:rsidRPr="006717D8">
        <w:rPr>
          <w:rFonts w:eastAsia="Calibri"/>
        </w:rPr>
        <w:t xml:space="preserve"> plants produce sludge as part of the treatment process. This sludge needs to be managed on a day to day basis and disposed of in an environmentally sustainable </w:t>
      </w:r>
      <w:r w:rsidR="00A86A0E">
        <w:rPr>
          <w:rFonts w:eastAsia="Calibri"/>
        </w:rPr>
        <w:t xml:space="preserve">and culturally acceptable </w:t>
      </w:r>
      <w:r w:rsidR="006717D8" w:rsidRPr="006717D8">
        <w:rPr>
          <w:rFonts w:eastAsia="Calibri"/>
        </w:rPr>
        <w:t>fashion. This handling and disposal of sludge can be difficult and expensive</w:t>
      </w:r>
      <w:r w:rsidR="006717D8">
        <w:rPr>
          <w:rFonts w:eastAsia="Calibri"/>
        </w:rPr>
        <w:t>.</w:t>
      </w:r>
      <w:r w:rsidR="006717D8" w:rsidRPr="006717D8">
        <w:rPr>
          <w:rFonts w:eastAsia="Calibri"/>
        </w:rPr>
        <w:t xml:space="preserve"> </w:t>
      </w:r>
    </w:p>
    <w:p w14:paraId="6823A9E2" w14:textId="77777777" w:rsidR="00606961" w:rsidRPr="000C3D29" w:rsidRDefault="00606961" w:rsidP="0003448F">
      <w:pPr>
        <w:pStyle w:val="Body"/>
        <w:ind w:left="1287"/>
        <w:rPr>
          <w:rFonts w:eastAsia="Calibri"/>
        </w:rPr>
      </w:pPr>
    </w:p>
    <w:p w14:paraId="3B39372B" w14:textId="77777777" w:rsidR="00545D03" w:rsidRDefault="002C603B">
      <w:pPr>
        <w:spacing w:after="0"/>
      </w:pPr>
      <w:r>
        <w:br w:type="page"/>
      </w:r>
    </w:p>
    <w:p w14:paraId="1D062DF6" w14:textId="77777777" w:rsidR="00A10EC3" w:rsidRPr="00BC4E63" w:rsidRDefault="00CD0DE8" w:rsidP="003B2BC7">
      <w:pPr>
        <w:pStyle w:val="Heading1-NoTOC"/>
      </w:pPr>
      <w:r w:rsidRPr="00BC4E63">
        <w:lastRenderedPageBreak/>
        <w:t xml:space="preserve">Table of </w:t>
      </w:r>
      <w:r w:rsidR="00F84A04" w:rsidRPr="00BC4E63">
        <w:t>c</w:t>
      </w:r>
      <w:r w:rsidRPr="00BC4E63">
        <w:t>ontents</w:t>
      </w:r>
    </w:p>
    <w:p w14:paraId="111DF8D5" w14:textId="77777777" w:rsidR="00C1751D" w:rsidRDefault="002C28B0">
      <w:pPr>
        <w:pStyle w:val="TOC1"/>
        <w:rPr>
          <w:rFonts w:asciiTheme="minorHAnsi" w:eastAsiaTheme="minorEastAsia" w:hAnsiTheme="minorHAnsi" w:cstheme="minorBidi"/>
          <w:bCs w:val="0"/>
          <w:noProof/>
          <w:sz w:val="22"/>
          <w:szCs w:val="22"/>
          <w:lang w:val="en-NZ" w:eastAsia="en-NZ"/>
        </w:rPr>
      </w:pPr>
      <w:r w:rsidRPr="00BC4E63">
        <w:rPr>
          <w:rFonts w:ascii="Times New Roman" w:hAnsi="Times New Roman"/>
        </w:rPr>
        <w:fldChar w:fldCharType="begin"/>
      </w:r>
      <w:r w:rsidRPr="00BC4E63">
        <w:rPr>
          <w:rFonts w:ascii="Times New Roman" w:hAnsi="Times New Roman"/>
        </w:rPr>
        <w:instrText xml:space="preserve"> TOC \o "1-2" </w:instrText>
      </w:r>
      <w:r w:rsidRPr="00BC4E63">
        <w:rPr>
          <w:rFonts w:ascii="Times New Roman" w:hAnsi="Times New Roman"/>
        </w:rPr>
        <w:fldChar w:fldCharType="separate"/>
      </w:r>
      <w:r w:rsidR="00C1751D">
        <w:rPr>
          <w:noProof/>
        </w:rPr>
        <w:t>1.</w:t>
      </w:r>
      <w:r w:rsidR="00C1751D">
        <w:rPr>
          <w:rFonts w:asciiTheme="minorHAnsi" w:eastAsiaTheme="minorEastAsia" w:hAnsiTheme="minorHAnsi" w:cstheme="minorBidi"/>
          <w:bCs w:val="0"/>
          <w:noProof/>
          <w:sz w:val="22"/>
          <w:szCs w:val="22"/>
          <w:lang w:val="en-NZ" w:eastAsia="en-NZ"/>
        </w:rPr>
        <w:tab/>
      </w:r>
      <w:r w:rsidR="00C1751D">
        <w:rPr>
          <w:noProof/>
        </w:rPr>
        <w:t>Introduction</w:t>
      </w:r>
      <w:r w:rsidR="00C1751D">
        <w:rPr>
          <w:noProof/>
        </w:rPr>
        <w:tab/>
      </w:r>
      <w:r w:rsidR="00C1751D">
        <w:rPr>
          <w:noProof/>
        </w:rPr>
        <w:fldChar w:fldCharType="begin"/>
      </w:r>
      <w:r w:rsidR="00C1751D">
        <w:rPr>
          <w:noProof/>
        </w:rPr>
        <w:instrText xml:space="preserve"> PAGEREF _Toc527638629 \h </w:instrText>
      </w:r>
      <w:r w:rsidR="00C1751D">
        <w:rPr>
          <w:noProof/>
        </w:rPr>
      </w:r>
      <w:r w:rsidR="00C1751D">
        <w:rPr>
          <w:noProof/>
        </w:rPr>
        <w:fldChar w:fldCharType="separate"/>
      </w:r>
      <w:r w:rsidR="002777A8">
        <w:rPr>
          <w:noProof/>
        </w:rPr>
        <w:t>1</w:t>
      </w:r>
      <w:r w:rsidR="00C1751D">
        <w:rPr>
          <w:noProof/>
        </w:rPr>
        <w:fldChar w:fldCharType="end"/>
      </w:r>
    </w:p>
    <w:p w14:paraId="45DFBB46" w14:textId="77777777" w:rsidR="00C1751D" w:rsidRDefault="00C1751D">
      <w:pPr>
        <w:pStyle w:val="TOC2"/>
        <w:tabs>
          <w:tab w:val="left" w:pos="1134"/>
        </w:tabs>
        <w:rPr>
          <w:rFonts w:asciiTheme="minorHAnsi" w:eastAsiaTheme="minorEastAsia" w:hAnsiTheme="minorHAnsi" w:cstheme="minorBidi"/>
          <w:noProof/>
          <w:sz w:val="22"/>
          <w:szCs w:val="22"/>
          <w:lang w:val="en-NZ" w:eastAsia="en-NZ"/>
        </w:rPr>
      </w:pPr>
      <w:r>
        <w:rPr>
          <w:noProof/>
        </w:rPr>
        <w:t>1.1</w:t>
      </w:r>
      <w:r>
        <w:rPr>
          <w:rFonts w:asciiTheme="minorHAnsi" w:eastAsiaTheme="minorEastAsia" w:hAnsiTheme="minorHAnsi" w:cstheme="minorBidi"/>
          <w:noProof/>
          <w:sz w:val="22"/>
          <w:szCs w:val="22"/>
          <w:lang w:val="en-NZ" w:eastAsia="en-NZ"/>
        </w:rPr>
        <w:tab/>
      </w:r>
      <w:r>
        <w:rPr>
          <w:noProof/>
        </w:rPr>
        <w:t>Purpose</w:t>
      </w:r>
      <w:r>
        <w:rPr>
          <w:noProof/>
        </w:rPr>
        <w:tab/>
      </w:r>
      <w:r>
        <w:rPr>
          <w:noProof/>
        </w:rPr>
        <w:fldChar w:fldCharType="begin"/>
      </w:r>
      <w:r>
        <w:rPr>
          <w:noProof/>
        </w:rPr>
        <w:instrText xml:space="preserve"> PAGEREF _Toc527638630 \h </w:instrText>
      </w:r>
      <w:r>
        <w:rPr>
          <w:noProof/>
        </w:rPr>
      </w:r>
      <w:r>
        <w:rPr>
          <w:noProof/>
        </w:rPr>
        <w:fldChar w:fldCharType="separate"/>
      </w:r>
      <w:r w:rsidR="002777A8">
        <w:rPr>
          <w:noProof/>
        </w:rPr>
        <w:t>1</w:t>
      </w:r>
      <w:r>
        <w:rPr>
          <w:noProof/>
        </w:rPr>
        <w:fldChar w:fldCharType="end"/>
      </w:r>
    </w:p>
    <w:p w14:paraId="3320599A" w14:textId="77777777" w:rsidR="00C1751D" w:rsidRDefault="00C1751D">
      <w:pPr>
        <w:pStyle w:val="TOC2"/>
        <w:tabs>
          <w:tab w:val="left" w:pos="1134"/>
        </w:tabs>
        <w:rPr>
          <w:rFonts w:asciiTheme="minorHAnsi" w:eastAsiaTheme="minorEastAsia" w:hAnsiTheme="minorHAnsi" w:cstheme="minorBidi"/>
          <w:noProof/>
          <w:sz w:val="22"/>
          <w:szCs w:val="22"/>
          <w:lang w:val="en-NZ" w:eastAsia="en-NZ"/>
        </w:rPr>
      </w:pPr>
      <w:r>
        <w:rPr>
          <w:noProof/>
        </w:rPr>
        <w:t>1.2</w:t>
      </w:r>
      <w:r>
        <w:rPr>
          <w:rFonts w:asciiTheme="minorHAnsi" w:eastAsiaTheme="minorEastAsia" w:hAnsiTheme="minorHAnsi" w:cstheme="minorBidi"/>
          <w:noProof/>
          <w:sz w:val="22"/>
          <w:szCs w:val="22"/>
          <w:lang w:val="en-NZ" w:eastAsia="en-NZ"/>
        </w:rPr>
        <w:tab/>
      </w:r>
      <w:r>
        <w:rPr>
          <w:noProof/>
        </w:rPr>
        <w:t>Scope</w:t>
      </w:r>
      <w:r>
        <w:rPr>
          <w:noProof/>
        </w:rPr>
        <w:tab/>
      </w:r>
      <w:r>
        <w:rPr>
          <w:noProof/>
        </w:rPr>
        <w:fldChar w:fldCharType="begin"/>
      </w:r>
      <w:r>
        <w:rPr>
          <w:noProof/>
        </w:rPr>
        <w:instrText xml:space="preserve"> PAGEREF _Toc527638631 \h </w:instrText>
      </w:r>
      <w:r>
        <w:rPr>
          <w:noProof/>
        </w:rPr>
      </w:r>
      <w:r>
        <w:rPr>
          <w:noProof/>
        </w:rPr>
        <w:fldChar w:fldCharType="separate"/>
      </w:r>
      <w:r w:rsidR="002777A8">
        <w:rPr>
          <w:noProof/>
        </w:rPr>
        <w:t>1</w:t>
      </w:r>
      <w:r>
        <w:rPr>
          <w:noProof/>
        </w:rPr>
        <w:fldChar w:fldCharType="end"/>
      </w:r>
    </w:p>
    <w:p w14:paraId="7B1A355E" w14:textId="77777777" w:rsidR="00C1751D" w:rsidRDefault="00C1751D">
      <w:pPr>
        <w:pStyle w:val="TOC2"/>
        <w:tabs>
          <w:tab w:val="left" w:pos="1134"/>
        </w:tabs>
        <w:rPr>
          <w:rFonts w:asciiTheme="minorHAnsi" w:eastAsiaTheme="minorEastAsia" w:hAnsiTheme="minorHAnsi" w:cstheme="minorBidi"/>
          <w:noProof/>
          <w:sz w:val="22"/>
          <w:szCs w:val="22"/>
          <w:lang w:val="en-NZ" w:eastAsia="en-NZ"/>
        </w:rPr>
      </w:pPr>
      <w:r>
        <w:rPr>
          <w:noProof/>
          <w:lang w:eastAsia="en-AU"/>
        </w:rPr>
        <w:t>1.3</w:t>
      </w:r>
      <w:r>
        <w:rPr>
          <w:rFonts w:asciiTheme="minorHAnsi" w:eastAsiaTheme="minorEastAsia" w:hAnsiTheme="minorHAnsi" w:cstheme="minorBidi"/>
          <w:noProof/>
          <w:sz w:val="22"/>
          <w:szCs w:val="22"/>
          <w:lang w:val="en-NZ" w:eastAsia="en-NZ"/>
        </w:rPr>
        <w:tab/>
      </w:r>
      <w:r>
        <w:rPr>
          <w:noProof/>
          <w:lang w:eastAsia="en-AU"/>
        </w:rPr>
        <w:t>NPS Freshwater Management implementation</w:t>
      </w:r>
      <w:r>
        <w:rPr>
          <w:noProof/>
        </w:rPr>
        <w:tab/>
      </w:r>
      <w:r>
        <w:rPr>
          <w:noProof/>
        </w:rPr>
        <w:fldChar w:fldCharType="begin"/>
      </w:r>
      <w:r>
        <w:rPr>
          <w:noProof/>
        </w:rPr>
        <w:instrText xml:space="preserve"> PAGEREF _Toc527638632 \h </w:instrText>
      </w:r>
      <w:r>
        <w:rPr>
          <w:noProof/>
        </w:rPr>
      </w:r>
      <w:r>
        <w:rPr>
          <w:noProof/>
        </w:rPr>
        <w:fldChar w:fldCharType="separate"/>
      </w:r>
      <w:r w:rsidR="002777A8">
        <w:rPr>
          <w:noProof/>
        </w:rPr>
        <w:t>2</w:t>
      </w:r>
      <w:r>
        <w:rPr>
          <w:noProof/>
        </w:rPr>
        <w:fldChar w:fldCharType="end"/>
      </w:r>
    </w:p>
    <w:p w14:paraId="377E61D7" w14:textId="77777777" w:rsidR="00C1751D" w:rsidRDefault="00C1751D">
      <w:pPr>
        <w:pStyle w:val="TOC2"/>
        <w:tabs>
          <w:tab w:val="left" w:pos="1134"/>
        </w:tabs>
        <w:rPr>
          <w:rFonts w:asciiTheme="minorHAnsi" w:eastAsiaTheme="minorEastAsia" w:hAnsiTheme="minorHAnsi" w:cstheme="minorBidi"/>
          <w:noProof/>
          <w:sz w:val="22"/>
          <w:szCs w:val="22"/>
          <w:lang w:val="en-NZ" w:eastAsia="en-NZ"/>
        </w:rPr>
      </w:pPr>
      <w:r>
        <w:rPr>
          <w:noProof/>
        </w:rPr>
        <w:t>1.4</w:t>
      </w:r>
      <w:r>
        <w:rPr>
          <w:rFonts w:asciiTheme="minorHAnsi" w:eastAsiaTheme="minorEastAsia" w:hAnsiTheme="minorHAnsi" w:cstheme="minorBidi"/>
          <w:noProof/>
          <w:sz w:val="22"/>
          <w:szCs w:val="22"/>
          <w:lang w:val="en-NZ" w:eastAsia="en-NZ"/>
        </w:rPr>
        <w:tab/>
      </w:r>
      <w:r>
        <w:rPr>
          <w:noProof/>
        </w:rPr>
        <w:t>Overview of wastewater treatment plants in New Zealand</w:t>
      </w:r>
      <w:r>
        <w:rPr>
          <w:noProof/>
        </w:rPr>
        <w:tab/>
      </w:r>
      <w:r>
        <w:rPr>
          <w:noProof/>
        </w:rPr>
        <w:fldChar w:fldCharType="begin"/>
      </w:r>
      <w:r>
        <w:rPr>
          <w:noProof/>
        </w:rPr>
        <w:instrText xml:space="preserve"> PAGEREF _Toc527638633 \h </w:instrText>
      </w:r>
      <w:r>
        <w:rPr>
          <w:noProof/>
        </w:rPr>
      </w:r>
      <w:r>
        <w:rPr>
          <w:noProof/>
        </w:rPr>
        <w:fldChar w:fldCharType="separate"/>
      </w:r>
      <w:r w:rsidR="002777A8">
        <w:rPr>
          <w:noProof/>
        </w:rPr>
        <w:t>2</w:t>
      </w:r>
      <w:r>
        <w:rPr>
          <w:noProof/>
        </w:rPr>
        <w:fldChar w:fldCharType="end"/>
      </w:r>
    </w:p>
    <w:p w14:paraId="067C5757" w14:textId="77777777" w:rsidR="00C1751D" w:rsidRDefault="00C1751D">
      <w:pPr>
        <w:pStyle w:val="TOC2"/>
        <w:tabs>
          <w:tab w:val="left" w:pos="1134"/>
        </w:tabs>
        <w:rPr>
          <w:rFonts w:asciiTheme="minorHAnsi" w:eastAsiaTheme="minorEastAsia" w:hAnsiTheme="minorHAnsi" w:cstheme="minorBidi"/>
          <w:noProof/>
          <w:sz w:val="22"/>
          <w:szCs w:val="22"/>
          <w:lang w:val="en-NZ" w:eastAsia="en-NZ"/>
        </w:rPr>
      </w:pPr>
      <w:r>
        <w:rPr>
          <w:noProof/>
        </w:rPr>
        <w:t>1.5</w:t>
      </w:r>
      <w:r>
        <w:rPr>
          <w:rFonts w:asciiTheme="minorHAnsi" w:eastAsiaTheme="minorEastAsia" w:hAnsiTheme="minorHAnsi" w:cstheme="minorBidi"/>
          <w:noProof/>
          <w:sz w:val="22"/>
          <w:szCs w:val="22"/>
          <w:lang w:val="en-NZ" w:eastAsia="en-NZ"/>
        </w:rPr>
        <w:tab/>
      </w:r>
      <w:r>
        <w:rPr>
          <w:noProof/>
        </w:rPr>
        <w:t>Overview of wastewater networks</w:t>
      </w:r>
      <w:r>
        <w:rPr>
          <w:noProof/>
        </w:rPr>
        <w:tab/>
      </w:r>
      <w:r>
        <w:rPr>
          <w:noProof/>
        </w:rPr>
        <w:fldChar w:fldCharType="begin"/>
      </w:r>
      <w:r>
        <w:rPr>
          <w:noProof/>
        </w:rPr>
        <w:instrText xml:space="preserve"> PAGEREF _Toc527638634 \h </w:instrText>
      </w:r>
      <w:r>
        <w:rPr>
          <w:noProof/>
        </w:rPr>
      </w:r>
      <w:r>
        <w:rPr>
          <w:noProof/>
        </w:rPr>
        <w:fldChar w:fldCharType="separate"/>
      </w:r>
      <w:r w:rsidR="002777A8">
        <w:rPr>
          <w:noProof/>
        </w:rPr>
        <w:t>4</w:t>
      </w:r>
      <w:r>
        <w:rPr>
          <w:noProof/>
        </w:rPr>
        <w:fldChar w:fldCharType="end"/>
      </w:r>
    </w:p>
    <w:p w14:paraId="6B2F5D19" w14:textId="77777777" w:rsidR="00C1751D" w:rsidRDefault="00C1751D">
      <w:pPr>
        <w:pStyle w:val="TOC2"/>
        <w:tabs>
          <w:tab w:val="left" w:pos="1134"/>
        </w:tabs>
        <w:rPr>
          <w:rFonts w:asciiTheme="minorHAnsi" w:eastAsiaTheme="minorEastAsia" w:hAnsiTheme="minorHAnsi" w:cstheme="minorBidi"/>
          <w:noProof/>
          <w:sz w:val="22"/>
          <w:szCs w:val="22"/>
          <w:lang w:val="en-NZ" w:eastAsia="en-NZ"/>
        </w:rPr>
      </w:pPr>
      <w:r>
        <w:rPr>
          <w:noProof/>
        </w:rPr>
        <w:t>1.6</w:t>
      </w:r>
      <w:r>
        <w:rPr>
          <w:rFonts w:asciiTheme="minorHAnsi" w:eastAsiaTheme="minorEastAsia" w:hAnsiTheme="minorHAnsi" w:cstheme="minorBidi"/>
          <w:noProof/>
          <w:sz w:val="22"/>
          <w:szCs w:val="22"/>
          <w:lang w:val="en-NZ" w:eastAsia="en-NZ"/>
        </w:rPr>
        <w:tab/>
      </w:r>
      <w:r>
        <w:rPr>
          <w:noProof/>
        </w:rPr>
        <w:t>Acknowledgements</w:t>
      </w:r>
      <w:r>
        <w:rPr>
          <w:noProof/>
        </w:rPr>
        <w:tab/>
      </w:r>
      <w:r>
        <w:rPr>
          <w:noProof/>
        </w:rPr>
        <w:fldChar w:fldCharType="begin"/>
      </w:r>
      <w:r>
        <w:rPr>
          <w:noProof/>
        </w:rPr>
        <w:instrText xml:space="preserve"> PAGEREF _Toc527638635 \h </w:instrText>
      </w:r>
      <w:r>
        <w:rPr>
          <w:noProof/>
        </w:rPr>
      </w:r>
      <w:r>
        <w:rPr>
          <w:noProof/>
        </w:rPr>
        <w:fldChar w:fldCharType="separate"/>
      </w:r>
      <w:r w:rsidR="002777A8">
        <w:rPr>
          <w:noProof/>
        </w:rPr>
        <w:t>5</w:t>
      </w:r>
      <w:r>
        <w:rPr>
          <w:noProof/>
        </w:rPr>
        <w:fldChar w:fldCharType="end"/>
      </w:r>
    </w:p>
    <w:p w14:paraId="131386A4" w14:textId="77777777" w:rsidR="00C1751D" w:rsidRDefault="00C1751D">
      <w:pPr>
        <w:pStyle w:val="TOC1"/>
        <w:rPr>
          <w:rFonts w:asciiTheme="minorHAnsi" w:eastAsiaTheme="minorEastAsia" w:hAnsiTheme="minorHAnsi" w:cstheme="minorBidi"/>
          <w:bCs w:val="0"/>
          <w:noProof/>
          <w:sz w:val="22"/>
          <w:szCs w:val="22"/>
          <w:lang w:val="en-NZ" w:eastAsia="en-NZ"/>
        </w:rPr>
      </w:pPr>
      <w:r>
        <w:rPr>
          <w:noProof/>
          <w:lang w:eastAsia="en-AU"/>
        </w:rPr>
        <w:t>2.</w:t>
      </w:r>
      <w:r>
        <w:rPr>
          <w:rFonts w:asciiTheme="minorHAnsi" w:eastAsiaTheme="minorEastAsia" w:hAnsiTheme="minorHAnsi" w:cstheme="minorBidi"/>
          <w:bCs w:val="0"/>
          <w:noProof/>
          <w:sz w:val="22"/>
          <w:szCs w:val="22"/>
          <w:lang w:val="en-NZ" w:eastAsia="en-NZ"/>
        </w:rPr>
        <w:tab/>
      </w:r>
      <w:r>
        <w:rPr>
          <w:noProof/>
          <w:lang w:eastAsia="en-AU"/>
        </w:rPr>
        <w:t>Methodology</w:t>
      </w:r>
      <w:r>
        <w:rPr>
          <w:noProof/>
        </w:rPr>
        <w:tab/>
      </w:r>
      <w:r>
        <w:rPr>
          <w:noProof/>
        </w:rPr>
        <w:fldChar w:fldCharType="begin"/>
      </w:r>
      <w:r>
        <w:rPr>
          <w:noProof/>
        </w:rPr>
        <w:instrText xml:space="preserve"> PAGEREF _Toc527638636 \h </w:instrText>
      </w:r>
      <w:r>
        <w:rPr>
          <w:noProof/>
        </w:rPr>
      </w:r>
      <w:r>
        <w:rPr>
          <w:noProof/>
        </w:rPr>
        <w:fldChar w:fldCharType="separate"/>
      </w:r>
      <w:r w:rsidR="002777A8">
        <w:rPr>
          <w:noProof/>
        </w:rPr>
        <w:t>6</w:t>
      </w:r>
      <w:r>
        <w:rPr>
          <w:noProof/>
        </w:rPr>
        <w:fldChar w:fldCharType="end"/>
      </w:r>
    </w:p>
    <w:p w14:paraId="6F20ED1C" w14:textId="77777777" w:rsidR="00C1751D" w:rsidRDefault="00C1751D">
      <w:pPr>
        <w:pStyle w:val="TOC2"/>
        <w:tabs>
          <w:tab w:val="left" w:pos="1134"/>
        </w:tabs>
        <w:rPr>
          <w:rFonts w:asciiTheme="minorHAnsi" w:eastAsiaTheme="minorEastAsia" w:hAnsiTheme="minorHAnsi" w:cstheme="minorBidi"/>
          <w:noProof/>
          <w:sz w:val="22"/>
          <w:szCs w:val="22"/>
          <w:lang w:val="en-NZ" w:eastAsia="en-NZ"/>
        </w:rPr>
      </w:pPr>
      <w:r>
        <w:rPr>
          <w:noProof/>
          <w:lang w:eastAsia="en-AU"/>
        </w:rPr>
        <w:t>2.1</w:t>
      </w:r>
      <w:r>
        <w:rPr>
          <w:rFonts w:asciiTheme="minorHAnsi" w:eastAsiaTheme="minorEastAsia" w:hAnsiTheme="minorHAnsi" w:cstheme="minorBidi"/>
          <w:noProof/>
          <w:sz w:val="22"/>
          <w:szCs w:val="22"/>
          <w:lang w:val="en-NZ" w:eastAsia="en-NZ"/>
        </w:rPr>
        <w:tab/>
      </w:r>
      <w:r>
        <w:rPr>
          <w:noProof/>
          <w:lang w:eastAsia="en-AU"/>
        </w:rPr>
        <w:t>Approach</w:t>
      </w:r>
      <w:r>
        <w:rPr>
          <w:noProof/>
        </w:rPr>
        <w:tab/>
      </w:r>
      <w:r>
        <w:rPr>
          <w:noProof/>
        </w:rPr>
        <w:fldChar w:fldCharType="begin"/>
      </w:r>
      <w:r>
        <w:rPr>
          <w:noProof/>
        </w:rPr>
        <w:instrText xml:space="preserve"> PAGEREF _Toc527638637 \h </w:instrText>
      </w:r>
      <w:r>
        <w:rPr>
          <w:noProof/>
        </w:rPr>
      </w:r>
      <w:r>
        <w:rPr>
          <w:noProof/>
        </w:rPr>
        <w:fldChar w:fldCharType="separate"/>
      </w:r>
      <w:r w:rsidR="002777A8">
        <w:rPr>
          <w:noProof/>
        </w:rPr>
        <w:t>6</w:t>
      </w:r>
      <w:r>
        <w:rPr>
          <w:noProof/>
        </w:rPr>
        <w:fldChar w:fldCharType="end"/>
      </w:r>
    </w:p>
    <w:p w14:paraId="5D353977" w14:textId="77777777" w:rsidR="00C1751D" w:rsidRDefault="00C1751D">
      <w:pPr>
        <w:pStyle w:val="TOC1"/>
        <w:rPr>
          <w:rFonts w:asciiTheme="minorHAnsi" w:eastAsiaTheme="minorEastAsia" w:hAnsiTheme="minorHAnsi" w:cstheme="minorBidi"/>
          <w:bCs w:val="0"/>
          <w:noProof/>
          <w:sz w:val="22"/>
          <w:szCs w:val="22"/>
          <w:lang w:val="en-NZ" w:eastAsia="en-NZ"/>
        </w:rPr>
      </w:pPr>
      <w:r>
        <w:rPr>
          <w:noProof/>
          <w:lang w:eastAsia="en-AU"/>
        </w:rPr>
        <w:t>3.</w:t>
      </w:r>
      <w:r>
        <w:rPr>
          <w:rFonts w:asciiTheme="minorHAnsi" w:eastAsiaTheme="minorEastAsia" w:hAnsiTheme="minorHAnsi" w:cstheme="minorBidi"/>
          <w:bCs w:val="0"/>
          <w:noProof/>
          <w:sz w:val="22"/>
          <w:szCs w:val="22"/>
          <w:lang w:val="en-NZ" w:eastAsia="en-NZ"/>
        </w:rPr>
        <w:tab/>
      </w:r>
      <w:r>
        <w:rPr>
          <w:noProof/>
          <w:lang w:eastAsia="en-AU"/>
        </w:rPr>
        <w:t>Study Data Sources</w:t>
      </w:r>
      <w:r>
        <w:rPr>
          <w:noProof/>
        </w:rPr>
        <w:tab/>
      </w:r>
      <w:r>
        <w:rPr>
          <w:noProof/>
        </w:rPr>
        <w:fldChar w:fldCharType="begin"/>
      </w:r>
      <w:r>
        <w:rPr>
          <w:noProof/>
        </w:rPr>
        <w:instrText xml:space="preserve"> PAGEREF _Toc527638638 \h </w:instrText>
      </w:r>
      <w:r>
        <w:rPr>
          <w:noProof/>
        </w:rPr>
      </w:r>
      <w:r>
        <w:rPr>
          <w:noProof/>
        </w:rPr>
        <w:fldChar w:fldCharType="separate"/>
      </w:r>
      <w:r w:rsidR="002777A8">
        <w:rPr>
          <w:noProof/>
        </w:rPr>
        <w:t>10</w:t>
      </w:r>
      <w:r>
        <w:rPr>
          <w:noProof/>
        </w:rPr>
        <w:fldChar w:fldCharType="end"/>
      </w:r>
    </w:p>
    <w:p w14:paraId="5DEA7274" w14:textId="77777777" w:rsidR="00C1751D" w:rsidRDefault="00C1751D">
      <w:pPr>
        <w:pStyle w:val="TOC2"/>
        <w:tabs>
          <w:tab w:val="left" w:pos="1134"/>
        </w:tabs>
        <w:rPr>
          <w:rFonts w:asciiTheme="minorHAnsi" w:eastAsiaTheme="minorEastAsia" w:hAnsiTheme="minorHAnsi" w:cstheme="minorBidi"/>
          <w:noProof/>
          <w:sz w:val="22"/>
          <w:szCs w:val="22"/>
          <w:lang w:val="en-NZ" w:eastAsia="en-NZ"/>
        </w:rPr>
      </w:pPr>
      <w:r>
        <w:rPr>
          <w:noProof/>
          <w:lang w:eastAsia="en-AU"/>
        </w:rPr>
        <w:t>3.1</w:t>
      </w:r>
      <w:r>
        <w:rPr>
          <w:rFonts w:asciiTheme="minorHAnsi" w:eastAsiaTheme="minorEastAsia" w:hAnsiTheme="minorHAnsi" w:cstheme="minorBidi"/>
          <w:noProof/>
          <w:sz w:val="22"/>
          <w:szCs w:val="22"/>
          <w:lang w:val="en-NZ" w:eastAsia="en-NZ"/>
        </w:rPr>
        <w:tab/>
      </w:r>
      <w:r>
        <w:rPr>
          <w:noProof/>
          <w:lang w:eastAsia="en-AU"/>
        </w:rPr>
        <w:t>Overview of Data Sources</w:t>
      </w:r>
      <w:r>
        <w:rPr>
          <w:noProof/>
        </w:rPr>
        <w:tab/>
      </w:r>
      <w:r>
        <w:rPr>
          <w:noProof/>
        </w:rPr>
        <w:fldChar w:fldCharType="begin"/>
      </w:r>
      <w:r>
        <w:rPr>
          <w:noProof/>
        </w:rPr>
        <w:instrText xml:space="preserve"> PAGEREF _Toc527638639 \h </w:instrText>
      </w:r>
      <w:r>
        <w:rPr>
          <w:noProof/>
        </w:rPr>
      </w:r>
      <w:r>
        <w:rPr>
          <w:noProof/>
        </w:rPr>
        <w:fldChar w:fldCharType="separate"/>
      </w:r>
      <w:r w:rsidR="002777A8">
        <w:rPr>
          <w:noProof/>
        </w:rPr>
        <w:t>10</w:t>
      </w:r>
      <w:r>
        <w:rPr>
          <w:noProof/>
        </w:rPr>
        <w:fldChar w:fldCharType="end"/>
      </w:r>
    </w:p>
    <w:p w14:paraId="0635BF62" w14:textId="77777777" w:rsidR="00C1751D" w:rsidRDefault="00C1751D">
      <w:pPr>
        <w:pStyle w:val="TOC2"/>
        <w:tabs>
          <w:tab w:val="left" w:pos="1134"/>
        </w:tabs>
        <w:rPr>
          <w:rFonts w:asciiTheme="minorHAnsi" w:eastAsiaTheme="minorEastAsia" w:hAnsiTheme="minorHAnsi" w:cstheme="minorBidi"/>
          <w:noProof/>
          <w:sz w:val="22"/>
          <w:szCs w:val="22"/>
          <w:lang w:val="en-NZ" w:eastAsia="en-NZ"/>
        </w:rPr>
      </w:pPr>
      <w:r>
        <w:rPr>
          <w:noProof/>
          <w:lang w:eastAsia="en-AU"/>
        </w:rPr>
        <w:t>3.2</w:t>
      </w:r>
      <w:r>
        <w:rPr>
          <w:rFonts w:asciiTheme="minorHAnsi" w:eastAsiaTheme="minorEastAsia" w:hAnsiTheme="minorHAnsi" w:cstheme="minorBidi"/>
          <w:noProof/>
          <w:sz w:val="22"/>
          <w:szCs w:val="22"/>
          <w:lang w:val="en-NZ" w:eastAsia="en-NZ"/>
        </w:rPr>
        <w:tab/>
      </w:r>
      <w:r>
        <w:rPr>
          <w:noProof/>
          <w:lang w:eastAsia="en-AU"/>
        </w:rPr>
        <w:t>Data on wastewater treatment plants</w:t>
      </w:r>
      <w:r>
        <w:rPr>
          <w:noProof/>
        </w:rPr>
        <w:tab/>
      </w:r>
      <w:r>
        <w:rPr>
          <w:noProof/>
        </w:rPr>
        <w:fldChar w:fldCharType="begin"/>
      </w:r>
      <w:r>
        <w:rPr>
          <w:noProof/>
        </w:rPr>
        <w:instrText xml:space="preserve"> PAGEREF _Toc527638640 \h </w:instrText>
      </w:r>
      <w:r>
        <w:rPr>
          <w:noProof/>
        </w:rPr>
      </w:r>
      <w:r>
        <w:rPr>
          <w:noProof/>
        </w:rPr>
        <w:fldChar w:fldCharType="separate"/>
      </w:r>
      <w:r w:rsidR="002777A8">
        <w:rPr>
          <w:noProof/>
        </w:rPr>
        <w:t>13</w:t>
      </w:r>
      <w:r>
        <w:rPr>
          <w:noProof/>
        </w:rPr>
        <w:fldChar w:fldCharType="end"/>
      </w:r>
    </w:p>
    <w:p w14:paraId="56FBD403" w14:textId="77777777" w:rsidR="00C1751D" w:rsidRDefault="00C1751D">
      <w:pPr>
        <w:pStyle w:val="TOC2"/>
        <w:tabs>
          <w:tab w:val="left" w:pos="1134"/>
        </w:tabs>
        <w:rPr>
          <w:rFonts w:asciiTheme="minorHAnsi" w:eastAsiaTheme="minorEastAsia" w:hAnsiTheme="minorHAnsi" w:cstheme="minorBidi"/>
          <w:noProof/>
          <w:sz w:val="22"/>
          <w:szCs w:val="22"/>
          <w:lang w:val="en-NZ" w:eastAsia="en-NZ"/>
        </w:rPr>
      </w:pPr>
      <w:r>
        <w:rPr>
          <w:noProof/>
          <w:lang w:eastAsia="en-AU"/>
        </w:rPr>
        <w:t>3.3</w:t>
      </w:r>
      <w:r>
        <w:rPr>
          <w:rFonts w:asciiTheme="minorHAnsi" w:eastAsiaTheme="minorEastAsia" w:hAnsiTheme="minorHAnsi" w:cstheme="minorBidi"/>
          <w:noProof/>
          <w:sz w:val="22"/>
          <w:szCs w:val="22"/>
          <w:lang w:val="en-NZ" w:eastAsia="en-NZ"/>
        </w:rPr>
        <w:tab/>
      </w:r>
      <w:r>
        <w:rPr>
          <w:noProof/>
          <w:lang w:eastAsia="en-AU"/>
        </w:rPr>
        <w:t>Data on wastewater networks</w:t>
      </w:r>
      <w:r>
        <w:rPr>
          <w:noProof/>
        </w:rPr>
        <w:tab/>
      </w:r>
      <w:r>
        <w:rPr>
          <w:noProof/>
        </w:rPr>
        <w:fldChar w:fldCharType="begin"/>
      </w:r>
      <w:r>
        <w:rPr>
          <w:noProof/>
        </w:rPr>
        <w:instrText xml:space="preserve"> PAGEREF _Toc527638641 \h </w:instrText>
      </w:r>
      <w:r>
        <w:rPr>
          <w:noProof/>
        </w:rPr>
      </w:r>
      <w:r>
        <w:rPr>
          <w:noProof/>
        </w:rPr>
        <w:fldChar w:fldCharType="separate"/>
      </w:r>
      <w:r w:rsidR="002777A8">
        <w:rPr>
          <w:noProof/>
        </w:rPr>
        <w:t>17</w:t>
      </w:r>
      <w:r>
        <w:rPr>
          <w:noProof/>
        </w:rPr>
        <w:fldChar w:fldCharType="end"/>
      </w:r>
    </w:p>
    <w:p w14:paraId="160166E3" w14:textId="77777777" w:rsidR="00C1751D" w:rsidRDefault="00C1751D">
      <w:pPr>
        <w:pStyle w:val="TOC2"/>
        <w:tabs>
          <w:tab w:val="left" w:pos="1134"/>
        </w:tabs>
        <w:rPr>
          <w:rFonts w:asciiTheme="minorHAnsi" w:eastAsiaTheme="minorEastAsia" w:hAnsiTheme="minorHAnsi" w:cstheme="minorBidi"/>
          <w:noProof/>
          <w:sz w:val="22"/>
          <w:szCs w:val="22"/>
          <w:lang w:val="en-NZ" w:eastAsia="en-NZ"/>
        </w:rPr>
      </w:pPr>
      <w:r>
        <w:rPr>
          <w:noProof/>
          <w:lang w:eastAsia="en-AU"/>
        </w:rPr>
        <w:t>3.4</w:t>
      </w:r>
      <w:r>
        <w:rPr>
          <w:rFonts w:asciiTheme="minorHAnsi" w:eastAsiaTheme="minorEastAsia" w:hAnsiTheme="minorHAnsi" w:cstheme="minorBidi"/>
          <w:noProof/>
          <w:sz w:val="22"/>
          <w:szCs w:val="22"/>
          <w:lang w:val="en-NZ" w:eastAsia="en-NZ"/>
        </w:rPr>
        <w:tab/>
      </w:r>
      <w:r>
        <w:rPr>
          <w:noProof/>
          <w:lang w:eastAsia="en-AU"/>
        </w:rPr>
        <w:t>Data on receiving waters</w:t>
      </w:r>
      <w:r>
        <w:rPr>
          <w:noProof/>
        </w:rPr>
        <w:tab/>
      </w:r>
      <w:r>
        <w:rPr>
          <w:noProof/>
        </w:rPr>
        <w:fldChar w:fldCharType="begin"/>
      </w:r>
      <w:r>
        <w:rPr>
          <w:noProof/>
        </w:rPr>
        <w:instrText xml:space="preserve"> PAGEREF _Toc527638642 \h </w:instrText>
      </w:r>
      <w:r>
        <w:rPr>
          <w:noProof/>
        </w:rPr>
      </w:r>
      <w:r>
        <w:rPr>
          <w:noProof/>
        </w:rPr>
        <w:fldChar w:fldCharType="separate"/>
      </w:r>
      <w:r w:rsidR="002777A8">
        <w:rPr>
          <w:noProof/>
        </w:rPr>
        <w:t>18</w:t>
      </w:r>
      <w:r>
        <w:rPr>
          <w:noProof/>
        </w:rPr>
        <w:fldChar w:fldCharType="end"/>
      </w:r>
    </w:p>
    <w:p w14:paraId="4ED4C63D" w14:textId="77777777" w:rsidR="00C1751D" w:rsidRDefault="00C1751D">
      <w:pPr>
        <w:pStyle w:val="TOC1"/>
        <w:rPr>
          <w:rFonts w:asciiTheme="minorHAnsi" w:eastAsiaTheme="minorEastAsia" w:hAnsiTheme="minorHAnsi" w:cstheme="minorBidi"/>
          <w:bCs w:val="0"/>
          <w:noProof/>
          <w:sz w:val="22"/>
          <w:szCs w:val="22"/>
          <w:lang w:val="en-NZ" w:eastAsia="en-NZ"/>
        </w:rPr>
      </w:pPr>
      <w:r>
        <w:rPr>
          <w:noProof/>
          <w:lang w:eastAsia="en-AU"/>
        </w:rPr>
        <w:t>4.</w:t>
      </w:r>
      <w:r>
        <w:rPr>
          <w:rFonts w:asciiTheme="minorHAnsi" w:eastAsiaTheme="minorEastAsia" w:hAnsiTheme="minorHAnsi" w:cstheme="minorBidi"/>
          <w:bCs w:val="0"/>
          <w:noProof/>
          <w:sz w:val="22"/>
          <w:szCs w:val="22"/>
          <w:lang w:val="en-NZ" w:eastAsia="en-NZ"/>
        </w:rPr>
        <w:tab/>
      </w:r>
      <w:r>
        <w:rPr>
          <w:noProof/>
          <w:lang w:eastAsia="en-AU"/>
        </w:rPr>
        <w:t>Sensitivity analysis of the impact of wastewater discharges on receiving water quality</w:t>
      </w:r>
      <w:r>
        <w:rPr>
          <w:noProof/>
        </w:rPr>
        <w:tab/>
      </w:r>
      <w:r>
        <w:rPr>
          <w:noProof/>
        </w:rPr>
        <w:fldChar w:fldCharType="begin"/>
      </w:r>
      <w:r>
        <w:rPr>
          <w:noProof/>
        </w:rPr>
        <w:instrText xml:space="preserve"> PAGEREF _Toc527638643 \h </w:instrText>
      </w:r>
      <w:r>
        <w:rPr>
          <w:noProof/>
        </w:rPr>
      </w:r>
      <w:r>
        <w:rPr>
          <w:noProof/>
        </w:rPr>
        <w:fldChar w:fldCharType="separate"/>
      </w:r>
      <w:r w:rsidR="002777A8">
        <w:rPr>
          <w:noProof/>
        </w:rPr>
        <w:t>22</w:t>
      </w:r>
      <w:r>
        <w:rPr>
          <w:noProof/>
        </w:rPr>
        <w:fldChar w:fldCharType="end"/>
      </w:r>
    </w:p>
    <w:p w14:paraId="53C5FFB4" w14:textId="77777777" w:rsidR="00C1751D" w:rsidRDefault="00C1751D">
      <w:pPr>
        <w:pStyle w:val="TOC2"/>
        <w:tabs>
          <w:tab w:val="left" w:pos="1134"/>
        </w:tabs>
        <w:rPr>
          <w:rFonts w:asciiTheme="minorHAnsi" w:eastAsiaTheme="minorEastAsia" w:hAnsiTheme="minorHAnsi" w:cstheme="minorBidi"/>
          <w:noProof/>
          <w:sz w:val="22"/>
          <w:szCs w:val="22"/>
          <w:lang w:val="en-NZ" w:eastAsia="en-NZ"/>
        </w:rPr>
      </w:pPr>
      <w:r>
        <w:rPr>
          <w:noProof/>
          <w:lang w:eastAsia="en-AU"/>
        </w:rPr>
        <w:t>4.1</w:t>
      </w:r>
      <w:r>
        <w:rPr>
          <w:rFonts w:asciiTheme="minorHAnsi" w:eastAsiaTheme="minorEastAsia" w:hAnsiTheme="minorHAnsi" w:cstheme="minorBidi"/>
          <w:noProof/>
          <w:sz w:val="22"/>
          <w:szCs w:val="22"/>
          <w:lang w:val="en-NZ" w:eastAsia="en-NZ"/>
        </w:rPr>
        <w:tab/>
      </w:r>
      <w:r>
        <w:rPr>
          <w:noProof/>
          <w:lang w:eastAsia="en-AU"/>
        </w:rPr>
        <w:t>Impact of WWTP discharges on the receiving environment</w:t>
      </w:r>
      <w:r>
        <w:rPr>
          <w:noProof/>
        </w:rPr>
        <w:tab/>
      </w:r>
      <w:r>
        <w:rPr>
          <w:noProof/>
        </w:rPr>
        <w:fldChar w:fldCharType="begin"/>
      </w:r>
      <w:r>
        <w:rPr>
          <w:noProof/>
        </w:rPr>
        <w:instrText xml:space="preserve"> PAGEREF _Toc527638644 \h </w:instrText>
      </w:r>
      <w:r>
        <w:rPr>
          <w:noProof/>
        </w:rPr>
      </w:r>
      <w:r>
        <w:rPr>
          <w:noProof/>
        </w:rPr>
        <w:fldChar w:fldCharType="separate"/>
      </w:r>
      <w:r w:rsidR="002777A8">
        <w:rPr>
          <w:noProof/>
        </w:rPr>
        <w:t>22</w:t>
      </w:r>
      <w:r>
        <w:rPr>
          <w:noProof/>
        </w:rPr>
        <w:fldChar w:fldCharType="end"/>
      </w:r>
    </w:p>
    <w:p w14:paraId="6DEF8BA8" w14:textId="77777777" w:rsidR="00C1751D" w:rsidRDefault="00C1751D">
      <w:pPr>
        <w:pStyle w:val="TOC1"/>
        <w:rPr>
          <w:rFonts w:asciiTheme="minorHAnsi" w:eastAsiaTheme="minorEastAsia" w:hAnsiTheme="minorHAnsi" w:cstheme="minorBidi"/>
          <w:bCs w:val="0"/>
          <w:noProof/>
          <w:sz w:val="22"/>
          <w:szCs w:val="22"/>
          <w:lang w:val="en-NZ" w:eastAsia="en-NZ"/>
        </w:rPr>
      </w:pPr>
      <w:r>
        <w:rPr>
          <w:noProof/>
          <w:lang w:eastAsia="en-AU"/>
        </w:rPr>
        <w:t>5.</w:t>
      </w:r>
      <w:r>
        <w:rPr>
          <w:rFonts w:asciiTheme="minorHAnsi" w:eastAsiaTheme="minorEastAsia" w:hAnsiTheme="minorHAnsi" w:cstheme="minorBidi"/>
          <w:bCs w:val="0"/>
          <w:noProof/>
          <w:sz w:val="22"/>
          <w:szCs w:val="22"/>
          <w:lang w:val="en-NZ" w:eastAsia="en-NZ"/>
        </w:rPr>
        <w:tab/>
      </w:r>
      <w:r>
        <w:rPr>
          <w:noProof/>
          <w:lang w:eastAsia="en-AU"/>
        </w:rPr>
        <w:t>Impact of wastewater network overflows and case studies</w:t>
      </w:r>
      <w:r>
        <w:rPr>
          <w:noProof/>
        </w:rPr>
        <w:tab/>
      </w:r>
      <w:r>
        <w:rPr>
          <w:noProof/>
        </w:rPr>
        <w:fldChar w:fldCharType="begin"/>
      </w:r>
      <w:r>
        <w:rPr>
          <w:noProof/>
        </w:rPr>
        <w:instrText xml:space="preserve"> PAGEREF _Toc527638645 \h </w:instrText>
      </w:r>
      <w:r>
        <w:rPr>
          <w:noProof/>
        </w:rPr>
      </w:r>
      <w:r>
        <w:rPr>
          <w:noProof/>
        </w:rPr>
        <w:fldChar w:fldCharType="separate"/>
      </w:r>
      <w:r w:rsidR="002777A8">
        <w:rPr>
          <w:noProof/>
        </w:rPr>
        <w:t>25</w:t>
      </w:r>
      <w:r>
        <w:rPr>
          <w:noProof/>
        </w:rPr>
        <w:fldChar w:fldCharType="end"/>
      </w:r>
    </w:p>
    <w:p w14:paraId="19CDA21F" w14:textId="77777777" w:rsidR="00C1751D" w:rsidRDefault="00C1751D">
      <w:pPr>
        <w:pStyle w:val="TOC2"/>
        <w:tabs>
          <w:tab w:val="left" w:pos="1134"/>
        </w:tabs>
        <w:rPr>
          <w:rFonts w:asciiTheme="minorHAnsi" w:eastAsiaTheme="minorEastAsia" w:hAnsiTheme="minorHAnsi" w:cstheme="minorBidi"/>
          <w:noProof/>
          <w:sz w:val="22"/>
          <w:szCs w:val="22"/>
          <w:lang w:val="en-NZ" w:eastAsia="en-NZ"/>
        </w:rPr>
      </w:pPr>
      <w:r>
        <w:rPr>
          <w:noProof/>
          <w:lang w:eastAsia="en-AU"/>
        </w:rPr>
        <w:t>5.1</w:t>
      </w:r>
      <w:r>
        <w:rPr>
          <w:rFonts w:asciiTheme="minorHAnsi" w:eastAsiaTheme="minorEastAsia" w:hAnsiTheme="minorHAnsi" w:cstheme="minorBidi"/>
          <w:noProof/>
          <w:sz w:val="22"/>
          <w:szCs w:val="22"/>
          <w:lang w:val="en-NZ" w:eastAsia="en-NZ"/>
        </w:rPr>
        <w:tab/>
      </w:r>
      <w:r>
        <w:rPr>
          <w:noProof/>
          <w:lang w:eastAsia="en-AU"/>
        </w:rPr>
        <w:t>Wastewater network overflows</w:t>
      </w:r>
      <w:r>
        <w:rPr>
          <w:noProof/>
        </w:rPr>
        <w:tab/>
      </w:r>
      <w:r>
        <w:rPr>
          <w:noProof/>
        </w:rPr>
        <w:fldChar w:fldCharType="begin"/>
      </w:r>
      <w:r>
        <w:rPr>
          <w:noProof/>
        </w:rPr>
        <w:instrText xml:space="preserve"> PAGEREF _Toc527638646 \h </w:instrText>
      </w:r>
      <w:r>
        <w:rPr>
          <w:noProof/>
        </w:rPr>
      </w:r>
      <w:r>
        <w:rPr>
          <w:noProof/>
        </w:rPr>
        <w:fldChar w:fldCharType="separate"/>
      </w:r>
      <w:r w:rsidR="002777A8">
        <w:rPr>
          <w:noProof/>
        </w:rPr>
        <w:t>25</w:t>
      </w:r>
      <w:r>
        <w:rPr>
          <w:noProof/>
        </w:rPr>
        <w:fldChar w:fldCharType="end"/>
      </w:r>
    </w:p>
    <w:p w14:paraId="00D13CEF" w14:textId="77777777" w:rsidR="00C1751D" w:rsidRDefault="00C1751D">
      <w:pPr>
        <w:pStyle w:val="TOC2"/>
        <w:tabs>
          <w:tab w:val="left" w:pos="1134"/>
        </w:tabs>
        <w:rPr>
          <w:rFonts w:asciiTheme="minorHAnsi" w:eastAsiaTheme="minorEastAsia" w:hAnsiTheme="minorHAnsi" w:cstheme="minorBidi"/>
          <w:noProof/>
          <w:sz w:val="22"/>
          <w:szCs w:val="22"/>
          <w:lang w:val="en-NZ" w:eastAsia="en-NZ"/>
        </w:rPr>
      </w:pPr>
      <w:r>
        <w:rPr>
          <w:noProof/>
          <w:lang w:eastAsia="en-AU"/>
        </w:rPr>
        <w:t>5.2</w:t>
      </w:r>
      <w:r>
        <w:rPr>
          <w:rFonts w:asciiTheme="minorHAnsi" w:eastAsiaTheme="minorEastAsia" w:hAnsiTheme="minorHAnsi" w:cstheme="minorBidi"/>
          <w:noProof/>
          <w:sz w:val="22"/>
          <w:szCs w:val="22"/>
          <w:lang w:val="en-NZ" w:eastAsia="en-NZ"/>
        </w:rPr>
        <w:tab/>
      </w:r>
      <w:r>
        <w:rPr>
          <w:noProof/>
          <w:lang w:eastAsia="en-AU"/>
        </w:rPr>
        <w:t>Case studies</w:t>
      </w:r>
      <w:r>
        <w:rPr>
          <w:noProof/>
        </w:rPr>
        <w:tab/>
      </w:r>
      <w:r>
        <w:rPr>
          <w:noProof/>
        </w:rPr>
        <w:fldChar w:fldCharType="begin"/>
      </w:r>
      <w:r>
        <w:rPr>
          <w:noProof/>
        </w:rPr>
        <w:instrText xml:space="preserve"> PAGEREF _Toc527638647 \h </w:instrText>
      </w:r>
      <w:r>
        <w:rPr>
          <w:noProof/>
        </w:rPr>
      </w:r>
      <w:r>
        <w:rPr>
          <w:noProof/>
        </w:rPr>
        <w:fldChar w:fldCharType="separate"/>
      </w:r>
      <w:r w:rsidR="002777A8">
        <w:rPr>
          <w:noProof/>
        </w:rPr>
        <w:t>26</w:t>
      </w:r>
      <w:r>
        <w:rPr>
          <w:noProof/>
        </w:rPr>
        <w:fldChar w:fldCharType="end"/>
      </w:r>
    </w:p>
    <w:p w14:paraId="761B3CBE" w14:textId="77777777" w:rsidR="00C1751D" w:rsidRDefault="00C1751D">
      <w:pPr>
        <w:pStyle w:val="TOC2"/>
        <w:tabs>
          <w:tab w:val="left" w:pos="1134"/>
        </w:tabs>
        <w:rPr>
          <w:rFonts w:asciiTheme="minorHAnsi" w:eastAsiaTheme="minorEastAsia" w:hAnsiTheme="minorHAnsi" w:cstheme="minorBidi"/>
          <w:noProof/>
          <w:sz w:val="22"/>
          <w:szCs w:val="22"/>
          <w:lang w:val="en-NZ" w:eastAsia="en-NZ"/>
        </w:rPr>
      </w:pPr>
      <w:r>
        <w:rPr>
          <w:noProof/>
          <w:lang w:eastAsia="en-AU"/>
        </w:rPr>
        <w:t>5.3</w:t>
      </w:r>
      <w:r>
        <w:rPr>
          <w:rFonts w:asciiTheme="minorHAnsi" w:eastAsiaTheme="minorEastAsia" w:hAnsiTheme="minorHAnsi" w:cstheme="minorBidi"/>
          <w:noProof/>
          <w:sz w:val="22"/>
          <w:szCs w:val="22"/>
          <w:lang w:val="en-NZ" w:eastAsia="en-NZ"/>
        </w:rPr>
        <w:tab/>
      </w:r>
      <w:r>
        <w:rPr>
          <w:noProof/>
          <w:lang w:eastAsia="en-AU"/>
        </w:rPr>
        <w:t>Case study 1 - Cambridge WWTP</w:t>
      </w:r>
      <w:r>
        <w:rPr>
          <w:noProof/>
        </w:rPr>
        <w:tab/>
      </w:r>
      <w:r>
        <w:rPr>
          <w:noProof/>
        </w:rPr>
        <w:fldChar w:fldCharType="begin"/>
      </w:r>
      <w:r>
        <w:rPr>
          <w:noProof/>
        </w:rPr>
        <w:instrText xml:space="preserve"> PAGEREF _Toc527638648 \h </w:instrText>
      </w:r>
      <w:r>
        <w:rPr>
          <w:noProof/>
        </w:rPr>
      </w:r>
      <w:r>
        <w:rPr>
          <w:noProof/>
        </w:rPr>
        <w:fldChar w:fldCharType="separate"/>
      </w:r>
      <w:r w:rsidR="002777A8">
        <w:rPr>
          <w:noProof/>
        </w:rPr>
        <w:t>26</w:t>
      </w:r>
      <w:r>
        <w:rPr>
          <w:noProof/>
        </w:rPr>
        <w:fldChar w:fldCharType="end"/>
      </w:r>
    </w:p>
    <w:p w14:paraId="0DF62D67" w14:textId="77777777" w:rsidR="00C1751D" w:rsidRDefault="00C1751D">
      <w:pPr>
        <w:pStyle w:val="TOC2"/>
        <w:tabs>
          <w:tab w:val="left" w:pos="1134"/>
        </w:tabs>
        <w:rPr>
          <w:rFonts w:asciiTheme="minorHAnsi" w:eastAsiaTheme="minorEastAsia" w:hAnsiTheme="minorHAnsi" w:cstheme="minorBidi"/>
          <w:noProof/>
          <w:sz w:val="22"/>
          <w:szCs w:val="22"/>
          <w:lang w:val="en-NZ" w:eastAsia="en-NZ"/>
        </w:rPr>
      </w:pPr>
      <w:r>
        <w:rPr>
          <w:noProof/>
          <w:lang w:eastAsia="en-AU"/>
        </w:rPr>
        <w:t>5.4</w:t>
      </w:r>
      <w:r>
        <w:rPr>
          <w:rFonts w:asciiTheme="minorHAnsi" w:eastAsiaTheme="minorEastAsia" w:hAnsiTheme="minorHAnsi" w:cstheme="minorBidi"/>
          <w:noProof/>
          <w:sz w:val="22"/>
          <w:szCs w:val="22"/>
          <w:lang w:val="en-NZ" w:eastAsia="en-NZ"/>
        </w:rPr>
        <w:tab/>
      </w:r>
      <w:r>
        <w:rPr>
          <w:noProof/>
          <w:lang w:eastAsia="en-AU"/>
        </w:rPr>
        <w:t>Case study 2 - Ngatea WWTP</w:t>
      </w:r>
      <w:r>
        <w:rPr>
          <w:noProof/>
        </w:rPr>
        <w:tab/>
      </w:r>
      <w:r>
        <w:rPr>
          <w:noProof/>
        </w:rPr>
        <w:fldChar w:fldCharType="begin"/>
      </w:r>
      <w:r>
        <w:rPr>
          <w:noProof/>
        </w:rPr>
        <w:instrText xml:space="preserve"> PAGEREF _Toc527638649 \h </w:instrText>
      </w:r>
      <w:r>
        <w:rPr>
          <w:noProof/>
        </w:rPr>
      </w:r>
      <w:r>
        <w:rPr>
          <w:noProof/>
        </w:rPr>
        <w:fldChar w:fldCharType="separate"/>
      </w:r>
      <w:r w:rsidR="002777A8">
        <w:rPr>
          <w:noProof/>
        </w:rPr>
        <w:t>30</w:t>
      </w:r>
      <w:r>
        <w:rPr>
          <w:noProof/>
        </w:rPr>
        <w:fldChar w:fldCharType="end"/>
      </w:r>
    </w:p>
    <w:p w14:paraId="38388855" w14:textId="77777777" w:rsidR="00C1751D" w:rsidRDefault="00C1751D">
      <w:pPr>
        <w:pStyle w:val="TOC2"/>
        <w:tabs>
          <w:tab w:val="left" w:pos="1134"/>
        </w:tabs>
        <w:rPr>
          <w:rFonts w:asciiTheme="minorHAnsi" w:eastAsiaTheme="minorEastAsia" w:hAnsiTheme="minorHAnsi" w:cstheme="minorBidi"/>
          <w:noProof/>
          <w:sz w:val="22"/>
          <w:szCs w:val="22"/>
          <w:lang w:val="en-NZ" w:eastAsia="en-NZ"/>
        </w:rPr>
      </w:pPr>
      <w:r>
        <w:rPr>
          <w:noProof/>
          <w:lang w:eastAsia="en-AU"/>
        </w:rPr>
        <w:t>5.5</w:t>
      </w:r>
      <w:r>
        <w:rPr>
          <w:rFonts w:asciiTheme="minorHAnsi" w:eastAsiaTheme="minorEastAsia" w:hAnsiTheme="minorHAnsi" w:cstheme="minorBidi"/>
          <w:noProof/>
          <w:sz w:val="22"/>
          <w:szCs w:val="22"/>
          <w:lang w:val="en-NZ" w:eastAsia="en-NZ"/>
        </w:rPr>
        <w:tab/>
      </w:r>
      <w:r>
        <w:rPr>
          <w:noProof/>
          <w:lang w:eastAsia="en-AU"/>
        </w:rPr>
        <w:t>Case study 3 - Wellsford WWTP</w:t>
      </w:r>
      <w:r>
        <w:rPr>
          <w:noProof/>
        </w:rPr>
        <w:tab/>
      </w:r>
      <w:r>
        <w:rPr>
          <w:noProof/>
        </w:rPr>
        <w:fldChar w:fldCharType="begin"/>
      </w:r>
      <w:r>
        <w:rPr>
          <w:noProof/>
        </w:rPr>
        <w:instrText xml:space="preserve"> PAGEREF _Toc527638650 \h </w:instrText>
      </w:r>
      <w:r>
        <w:rPr>
          <w:noProof/>
        </w:rPr>
      </w:r>
      <w:r>
        <w:rPr>
          <w:noProof/>
        </w:rPr>
        <w:fldChar w:fldCharType="separate"/>
      </w:r>
      <w:r w:rsidR="002777A8">
        <w:rPr>
          <w:noProof/>
        </w:rPr>
        <w:t>32</w:t>
      </w:r>
      <w:r>
        <w:rPr>
          <w:noProof/>
        </w:rPr>
        <w:fldChar w:fldCharType="end"/>
      </w:r>
    </w:p>
    <w:p w14:paraId="6BD2FC65" w14:textId="77777777" w:rsidR="00C1751D" w:rsidRDefault="00C1751D">
      <w:pPr>
        <w:pStyle w:val="TOC1"/>
        <w:rPr>
          <w:rFonts w:asciiTheme="minorHAnsi" w:eastAsiaTheme="minorEastAsia" w:hAnsiTheme="minorHAnsi" w:cstheme="minorBidi"/>
          <w:bCs w:val="0"/>
          <w:noProof/>
          <w:sz w:val="22"/>
          <w:szCs w:val="22"/>
          <w:lang w:val="en-NZ" w:eastAsia="en-NZ"/>
        </w:rPr>
      </w:pPr>
      <w:r>
        <w:rPr>
          <w:noProof/>
          <w:lang w:eastAsia="en-AU"/>
        </w:rPr>
        <w:t>6.</w:t>
      </w:r>
      <w:r>
        <w:rPr>
          <w:rFonts w:asciiTheme="minorHAnsi" w:eastAsiaTheme="minorEastAsia" w:hAnsiTheme="minorHAnsi" w:cstheme="minorBidi"/>
          <w:bCs w:val="0"/>
          <w:noProof/>
          <w:sz w:val="22"/>
          <w:szCs w:val="22"/>
          <w:lang w:val="en-NZ" w:eastAsia="en-NZ"/>
        </w:rPr>
        <w:tab/>
      </w:r>
      <w:r>
        <w:rPr>
          <w:noProof/>
          <w:lang w:eastAsia="en-AU"/>
        </w:rPr>
        <w:t>Upgrade cost development</w:t>
      </w:r>
      <w:r>
        <w:rPr>
          <w:noProof/>
        </w:rPr>
        <w:tab/>
      </w:r>
      <w:r>
        <w:rPr>
          <w:noProof/>
        </w:rPr>
        <w:fldChar w:fldCharType="begin"/>
      </w:r>
      <w:r>
        <w:rPr>
          <w:noProof/>
        </w:rPr>
        <w:instrText xml:space="preserve"> PAGEREF _Toc527638651 \h </w:instrText>
      </w:r>
      <w:r>
        <w:rPr>
          <w:noProof/>
        </w:rPr>
      </w:r>
      <w:r>
        <w:rPr>
          <w:noProof/>
        </w:rPr>
        <w:fldChar w:fldCharType="separate"/>
      </w:r>
      <w:r w:rsidR="002777A8">
        <w:rPr>
          <w:noProof/>
        </w:rPr>
        <w:t>38</w:t>
      </w:r>
      <w:r>
        <w:rPr>
          <w:noProof/>
        </w:rPr>
        <w:fldChar w:fldCharType="end"/>
      </w:r>
    </w:p>
    <w:p w14:paraId="18298E87" w14:textId="77777777" w:rsidR="00C1751D" w:rsidRDefault="00C1751D">
      <w:pPr>
        <w:pStyle w:val="TOC2"/>
        <w:tabs>
          <w:tab w:val="left" w:pos="1134"/>
        </w:tabs>
        <w:rPr>
          <w:rFonts w:asciiTheme="minorHAnsi" w:eastAsiaTheme="minorEastAsia" w:hAnsiTheme="minorHAnsi" w:cstheme="minorBidi"/>
          <w:noProof/>
          <w:sz w:val="22"/>
          <w:szCs w:val="22"/>
          <w:lang w:val="en-NZ" w:eastAsia="en-NZ"/>
        </w:rPr>
      </w:pPr>
      <w:r>
        <w:rPr>
          <w:noProof/>
          <w:lang w:eastAsia="en-AU"/>
        </w:rPr>
        <w:t>6.1</w:t>
      </w:r>
      <w:r>
        <w:rPr>
          <w:rFonts w:asciiTheme="minorHAnsi" w:eastAsiaTheme="minorEastAsia" w:hAnsiTheme="minorHAnsi" w:cstheme="minorBidi"/>
          <w:noProof/>
          <w:sz w:val="22"/>
          <w:szCs w:val="22"/>
          <w:lang w:val="en-NZ" w:eastAsia="en-NZ"/>
        </w:rPr>
        <w:tab/>
      </w:r>
      <w:r>
        <w:rPr>
          <w:noProof/>
        </w:rPr>
        <w:t>Methodology and assumptions</w:t>
      </w:r>
      <w:r>
        <w:rPr>
          <w:noProof/>
        </w:rPr>
        <w:tab/>
      </w:r>
      <w:r>
        <w:rPr>
          <w:noProof/>
        </w:rPr>
        <w:fldChar w:fldCharType="begin"/>
      </w:r>
      <w:r>
        <w:rPr>
          <w:noProof/>
        </w:rPr>
        <w:instrText xml:space="preserve"> PAGEREF _Toc527638652 \h </w:instrText>
      </w:r>
      <w:r>
        <w:rPr>
          <w:noProof/>
        </w:rPr>
      </w:r>
      <w:r>
        <w:rPr>
          <w:noProof/>
        </w:rPr>
        <w:fldChar w:fldCharType="separate"/>
      </w:r>
      <w:r w:rsidR="002777A8">
        <w:rPr>
          <w:noProof/>
        </w:rPr>
        <w:t>38</w:t>
      </w:r>
      <w:r>
        <w:rPr>
          <w:noProof/>
        </w:rPr>
        <w:fldChar w:fldCharType="end"/>
      </w:r>
    </w:p>
    <w:p w14:paraId="0D4D90CF" w14:textId="77777777" w:rsidR="00C1751D" w:rsidRDefault="00C1751D">
      <w:pPr>
        <w:pStyle w:val="TOC2"/>
        <w:tabs>
          <w:tab w:val="left" w:pos="1134"/>
        </w:tabs>
        <w:rPr>
          <w:rFonts w:asciiTheme="minorHAnsi" w:eastAsiaTheme="minorEastAsia" w:hAnsiTheme="minorHAnsi" w:cstheme="minorBidi"/>
          <w:noProof/>
          <w:sz w:val="22"/>
          <w:szCs w:val="22"/>
          <w:lang w:val="en-NZ" w:eastAsia="en-NZ"/>
        </w:rPr>
      </w:pPr>
      <w:r>
        <w:rPr>
          <w:noProof/>
        </w:rPr>
        <w:t>6.2</w:t>
      </w:r>
      <w:r>
        <w:rPr>
          <w:rFonts w:asciiTheme="minorHAnsi" w:eastAsiaTheme="minorEastAsia" w:hAnsiTheme="minorHAnsi" w:cstheme="minorBidi"/>
          <w:noProof/>
          <w:sz w:val="22"/>
          <w:szCs w:val="22"/>
          <w:lang w:val="en-NZ" w:eastAsia="en-NZ"/>
        </w:rPr>
        <w:tab/>
      </w:r>
      <w:r>
        <w:rPr>
          <w:noProof/>
          <w:lang w:eastAsia="en-AU"/>
        </w:rPr>
        <w:t>Overview</w:t>
      </w:r>
      <w:r>
        <w:rPr>
          <w:noProof/>
        </w:rPr>
        <w:tab/>
      </w:r>
      <w:r>
        <w:rPr>
          <w:noProof/>
        </w:rPr>
        <w:fldChar w:fldCharType="begin"/>
      </w:r>
      <w:r>
        <w:rPr>
          <w:noProof/>
        </w:rPr>
        <w:instrText xml:space="preserve"> PAGEREF _Toc527638653 \h </w:instrText>
      </w:r>
      <w:r>
        <w:rPr>
          <w:noProof/>
        </w:rPr>
      </w:r>
      <w:r>
        <w:rPr>
          <w:noProof/>
        </w:rPr>
        <w:fldChar w:fldCharType="separate"/>
      </w:r>
      <w:r w:rsidR="002777A8">
        <w:rPr>
          <w:noProof/>
        </w:rPr>
        <w:t>38</w:t>
      </w:r>
      <w:r>
        <w:rPr>
          <w:noProof/>
        </w:rPr>
        <w:fldChar w:fldCharType="end"/>
      </w:r>
    </w:p>
    <w:p w14:paraId="73B91EC7" w14:textId="77777777" w:rsidR="00C1751D" w:rsidRDefault="00C1751D">
      <w:pPr>
        <w:pStyle w:val="TOC2"/>
        <w:tabs>
          <w:tab w:val="left" w:pos="1134"/>
        </w:tabs>
        <w:rPr>
          <w:rFonts w:asciiTheme="minorHAnsi" w:eastAsiaTheme="minorEastAsia" w:hAnsiTheme="minorHAnsi" w:cstheme="minorBidi"/>
          <w:noProof/>
          <w:sz w:val="22"/>
          <w:szCs w:val="22"/>
          <w:lang w:val="en-NZ" w:eastAsia="en-NZ"/>
        </w:rPr>
      </w:pPr>
      <w:r>
        <w:rPr>
          <w:noProof/>
          <w:lang w:eastAsia="en-AU"/>
        </w:rPr>
        <w:t>6.3</w:t>
      </w:r>
      <w:r>
        <w:rPr>
          <w:rFonts w:asciiTheme="minorHAnsi" w:eastAsiaTheme="minorEastAsia" w:hAnsiTheme="minorHAnsi" w:cstheme="minorBidi"/>
          <w:noProof/>
          <w:sz w:val="22"/>
          <w:szCs w:val="22"/>
          <w:lang w:val="en-NZ" w:eastAsia="en-NZ"/>
        </w:rPr>
        <w:tab/>
      </w:r>
      <w:r>
        <w:rPr>
          <w:noProof/>
          <w:lang w:eastAsia="en-AU"/>
        </w:rPr>
        <w:t>Cost curves</w:t>
      </w:r>
      <w:r>
        <w:rPr>
          <w:noProof/>
        </w:rPr>
        <w:tab/>
      </w:r>
      <w:r>
        <w:rPr>
          <w:noProof/>
        </w:rPr>
        <w:fldChar w:fldCharType="begin"/>
      </w:r>
      <w:r>
        <w:rPr>
          <w:noProof/>
        </w:rPr>
        <w:instrText xml:space="preserve"> PAGEREF _Toc527638654 \h </w:instrText>
      </w:r>
      <w:r>
        <w:rPr>
          <w:noProof/>
        </w:rPr>
      </w:r>
      <w:r>
        <w:rPr>
          <w:noProof/>
        </w:rPr>
        <w:fldChar w:fldCharType="separate"/>
      </w:r>
      <w:r w:rsidR="002777A8">
        <w:rPr>
          <w:noProof/>
        </w:rPr>
        <w:t>41</w:t>
      </w:r>
      <w:r>
        <w:rPr>
          <w:noProof/>
        </w:rPr>
        <w:fldChar w:fldCharType="end"/>
      </w:r>
    </w:p>
    <w:p w14:paraId="1FDEA05F" w14:textId="77777777" w:rsidR="00C1751D" w:rsidRDefault="00C1751D">
      <w:pPr>
        <w:pStyle w:val="TOC2"/>
        <w:tabs>
          <w:tab w:val="left" w:pos="1134"/>
        </w:tabs>
        <w:rPr>
          <w:rFonts w:asciiTheme="minorHAnsi" w:eastAsiaTheme="minorEastAsia" w:hAnsiTheme="minorHAnsi" w:cstheme="minorBidi"/>
          <w:noProof/>
          <w:sz w:val="22"/>
          <w:szCs w:val="22"/>
          <w:lang w:val="en-NZ" w:eastAsia="en-NZ"/>
        </w:rPr>
      </w:pPr>
      <w:r>
        <w:rPr>
          <w:noProof/>
        </w:rPr>
        <w:t>6.4</w:t>
      </w:r>
      <w:r>
        <w:rPr>
          <w:rFonts w:asciiTheme="minorHAnsi" w:eastAsiaTheme="minorEastAsia" w:hAnsiTheme="minorHAnsi" w:cstheme="minorBidi"/>
          <w:noProof/>
          <w:sz w:val="22"/>
          <w:szCs w:val="22"/>
          <w:lang w:val="en-NZ" w:eastAsia="en-NZ"/>
        </w:rPr>
        <w:tab/>
      </w:r>
      <w:r>
        <w:rPr>
          <w:noProof/>
        </w:rPr>
        <w:t>Operation and maintenance</w:t>
      </w:r>
      <w:r>
        <w:rPr>
          <w:noProof/>
        </w:rPr>
        <w:tab/>
      </w:r>
      <w:r>
        <w:rPr>
          <w:noProof/>
        </w:rPr>
        <w:fldChar w:fldCharType="begin"/>
      </w:r>
      <w:r>
        <w:rPr>
          <w:noProof/>
        </w:rPr>
        <w:instrText xml:space="preserve"> PAGEREF _Toc527638655 \h </w:instrText>
      </w:r>
      <w:r>
        <w:rPr>
          <w:noProof/>
        </w:rPr>
      </w:r>
      <w:r>
        <w:rPr>
          <w:noProof/>
        </w:rPr>
        <w:fldChar w:fldCharType="separate"/>
      </w:r>
      <w:r w:rsidR="002777A8">
        <w:rPr>
          <w:noProof/>
        </w:rPr>
        <w:t>43</w:t>
      </w:r>
      <w:r>
        <w:rPr>
          <w:noProof/>
        </w:rPr>
        <w:fldChar w:fldCharType="end"/>
      </w:r>
    </w:p>
    <w:p w14:paraId="3ABB1B87" w14:textId="77777777" w:rsidR="00C1751D" w:rsidRDefault="00C1751D">
      <w:pPr>
        <w:pStyle w:val="TOC2"/>
        <w:tabs>
          <w:tab w:val="left" w:pos="1134"/>
        </w:tabs>
        <w:rPr>
          <w:rFonts w:asciiTheme="minorHAnsi" w:eastAsiaTheme="minorEastAsia" w:hAnsiTheme="minorHAnsi" w:cstheme="minorBidi"/>
          <w:noProof/>
          <w:sz w:val="22"/>
          <w:szCs w:val="22"/>
          <w:lang w:val="en-NZ" w:eastAsia="en-NZ"/>
        </w:rPr>
      </w:pPr>
      <w:r>
        <w:rPr>
          <w:noProof/>
        </w:rPr>
        <w:t>6.5</w:t>
      </w:r>
      <w:r>
        <w:rPr>
          <w:rFonts w:asciiTheme="minorHAnsi" w:eastAsiaTheme="minorEastAsia" w:hAnsiTheme="minorHAnsi" w:cstheme="minorBidi"/>
          <w:noProof/>
          <w:sz w:val="22"/>
          <w:szCs w:val="22"/>
          <w:lang w:val="en-NZ" w:eastAsia="en-NZ"/>
        </w:rPr>
        <w:tab/>
      </w:r>
      <w:r>
        <w:rPr>
          <w:noProof/>
        </w:rPr>
        <w:t>Limitations</w:t>
      </w:r>
      <w:r>
        <w:rPr>
          <w:noProof/>
        </w:rPr>
        <w:tab/>
      </w:r>
      <w:r>
        <w:rPr>
          <w:noProof/>
        </w:rPr>
        <w:fldChar w:fldCharType="begin"/>
      </w:r>
      <w:r>
        <w:rPr>
          <w:noProof/>
        </w:rPr>
        <w:instrText xml:space="preserve"> PAGEREF _Toc527638656 \h </w:instrText>
      </w:r>
      <w:r>
        <w:rPr>
          <w:noProof/>
        </w:rPr>
      </w:r>
      <w:r>
        <w:rPr>
          <w:noProof/>
        </w:rPr>
        <w:fldChar w:fldCharType="separate"/>
      </w:r>
      <w:r w:rsidR="002777A8">
        <w:rPr>
          <w:noProof/>
        </w:rPr>
        <w:t>43</w:t>
      </w:r>
      <w:r>
        <w:rPr>
          <w:noProof/>
        </w:rPr>
        <w:fldChar w:fldCharType="end"/>
      </w:r>
    </w:p>
    <w:p w14:paraId="371BDAAB" w14:textId="77777777" w:rsidR="00C1751D" w:rsidRDefault="00C1751D">
      <w:pPr>
        <w:pStyle w:val="TOC1"/>
        <w:rPr>
          <w:rFonts w:asciiTheme="minorHAnsi" w:eastAsiaTheme="minorEastAsia" w:hAnsiTheme="minorHAnsi" w:cstheme="minorBidi"/>
          <w:bCs w:val="0"/>
          <w:noProof/>
          <w:sz w:val="22"/>
          <w:szCs w:val="22"/>
          <w:lang w:val="en-NZ" w:eastAsia="en-NZ"/>
        </w:rPr>
      </w:pPr>
      <w:r>
        <w:rPr>
          <w:noProof/>
          <w:lang w:eastAsia="en-AU"/>
        </w:rPr>
        <w:t>7.</w:t>
      </w:r>
      <w:r>
        <w:rPr>
          <w:rFonts w:asciiTheme="minorHAnsi" w:eastAsiaTheme="minorEastAsia" w:hAnsiTheme="minorHAnsi" w:cstheme="minorBidi"/>
          <w:bCs w:val="0"/>
          <w:noProof/>
          <w:sz w:val="22"/>
          <w:szCs w:val="22"/>
          <w:lang w:val="en-NZ" w:eastAsia="en-NZ"/>
        </w:rPr>
        <w:tab/>
      </w:r>
      <w:r>
        <w:rPr>
          <w:noProof/>
          <w:lang w:eastAsia="en-AU"/>
        </w:rPr>
        <w:t>Results</w:t>
      </w:r>
      <w:r>
        <w:rPr>
          <w:noProof/>
        </w:rPr>
        <w:tab/>
      </w:r>
      <w:r>
        <w:rPr>
          <w:noProof/>
        </w:rPr>
        <w:fldChar w:fldCharType="begin"/>
      </w:r>
      <w:r>
        <w:rPr>
          <w:noProof/>
        </w:rPr>
        <w:instrText xml:space="preserve"> PAGEREF _Toc527638657 \h </w:instrText>
      </w:r>
      <w:r>
        <w:rPr>
          <w:noProof/>
        </w:rPr>
      </w:r>
      <w:r>
        <w:rPr>
          <w:noProof/>
        </w:rPr>
        <w:fldChar w:fldCharType="separate"/>
      </w:r>
      <w:r w:rsidR="002777A8">
        <w:rPr>
          <w:noProof/>
        </w:rPr>
        <w:t>44</w:t>
      </w:r>
      <w:r>
        <w:rPr>
          <w:noProof/>
        </w:rPr>
        <w:fldChar w:fldCharType="end"/>
      </w:r>
    </w:p>
    <w:p w14:paraId="42A096AE" w14:textId="77777777" w:rsidR="00C1751D" w:rsidRDefault="00C1751D">
      <w:pPr>
        <w:pStyle w:val="TOC2"/>
        <w:tabs>
          <w:tab w:val="left" w:pos="1134"/>
        </w:tabs>
        <w:rPr>
          <w:rFonts w:asciiTheme="minorHAnsi" w:eastAsiaTheme="minorEastAsia" w:hAnsiTheme="minorHAnsi" w:cstheme="minorBidi"/>
          <w:noProof/>
          <w:sz w:val="22"/>
          <w:szCs w:val="22"/>
          <w:lang w:val="en-NZ" w:eastAsia="en-NZ"/>
        </w:rPr>
      </w:pPr>
      <w:r>
        <w:rPr>
          <w:noProof/>
          <w:lang w:eastAsia="en-AU"/>
        </w:rPr>
        <w:t>7.1</w:t>
      </w:r>
      <w:r>
        <w:rPr>
          <w:rFonts w:asciiTheme="minorHAnsi" w:eastAsiaTheme="minorEastAsia" w:hAnsiTheme="minorHAnsi" w:cstheme="minorBidi"/>
          <w:noProof/>
          <w:sz w:val="22"/>
          <w:szCs w:val="22"/>
          <w:lang w:val="en-NZ" w:eastAsia="en-NZ"/>
        </w:rPr>
        <w:tab/>
      </w:r>
      <w:r>
        <w:rPr>
          <w:noProof/>
          <w:lang w:eastAsia="en-AU"/>
        </w:rPr>
        <w:t>Compliance with NPS Freshwater standards</w:t>
      </w:r>
      <w:r>
        <w:rPr>
          <w:noProof/>
        </w:rPr>
        <w:tab/>
      </w:r>
      <w:r>
        <w:rPr>
          <w:noProof/>
        </w:rPr>
        <w:fldChar w:fldCharType="begin"/>
      </w:r>
      <w:r>
        <w:rPr>
          <w:noProof/>
        </w:rPr>
        <w:instrText xml:space="preserve"> PAGEREF _Toc527638658 \h </w:instrText>
      </w:r>
      <w:r>
        <w:rPr>
          <w:noProof/>
        </w:rPr>
      </w:r>
      <w:r>
        <w:rPr>
          <w:noProof/>
        </w:rPr>
        <w:fldChar w:fldCharType="separate"/>
      </w:r>
      <w:r w:rsidR="002777A8">
        <w:rPr>
          <w:noProof/>
        </w:rPr>
        <w:t>44</w:t>
      </w:r>
      <w:r>
        <w:rPr>
          <w:noProof/>
        </w:rPr>
        <w:fldChar w:fldCharType="end"/>
      </w:r>
    </w:p>
    <w:p w14:paraId="25C172C5" w14:textId="77777777" w:rsidR="00C1751D" w:rsidRDefault="00C1751D">
      <w:pPr>
        <w:pStyle w:val="TOC2"/>
        <w:tabs>
          <w:tab w:val="left" w:pos="1134"/>
        </w:tabs>
        <w:rPr>
          <w:rFonts w:asciiTheme="minorHAnsi" w:eastAsiaTheme="minorEastAsia" w:hAnsiTheme="minorHAnsi" w:cstheme="minorBidi"/>
          <w:noProof/>
          <w:sz w:val="22"/>
          <w:szCs w:val="22"/>
          <w:lang w:val="en-NZ" w:eastAsia="en-NZ"/>
        </w:rPr>
      </w:pPr>
      <w:r>
        <w:rPr>
          <w:noProof/>
          <w:lang w:eastAsia="en-AU"/>
        </w:rPr>
        <w:t>7.2</w:t>
      </w:r>
      <w:r>
        <w:rPr>
          <w:rFonts w:asciiTheme="minorHAnsi" w:eastAsiaTheme="minorEastAsia" w:hAnsiTheme="minorHAnsi" w:cstheme="minorBidi"/>
          <w:noProof/>
          <w:sz w:val="22"/>
          <w:szCs w:val="22"/>
          <w:lang w:val="en-NZ" w:eastAsia="en-NZ"/>
        </w:rPr>
        <w:tab/>
      </w:r>
      <w:r>
        <w:rPr>
          <w:noProof/>
          <w:lang w:eastAsia="en-AU"/>
        </w:rPr>
        <w:t>Waikato Region example - compliance with existing resource consents</w:t>
      </w:r>
      <w:r>
        <w:rPr>
          <w:noProof/>
        </w:rPr>
        <w:tab/>
      </w:r>
      <w:r>
        <w:rPr>
          <w:noProof/>
        </w:rPr>
        <w:fldChar w:fldCharType="begin"/>
      </w:r>
      <w:r>
        <w:rPr>
          <w:noProof/>
        </w:rPr>
        <w:instrText xml:space="preserve"> PAGEREF _Toc527638659 \h </w:instrText>
      </w:r>
      <w:r>
        <w:rPr>
          <w:noProof/>
        </w:rPr>
      </w:r>
      <w:r>
        <w:rPr>
          <w:noProof/>
        </w:rPr>
        <w:fldChar w:fldCharType="separate"/>
      </w:r>
      <w:r w:rsidR="002777A8">
        <w:rPr>
          <w:noProof/>
        </w:rPr>
        <w:t>53</w:t>
      </w:r>
      <w:r>
        <w:rPr>
          <w:noProof/>
        </w:rPr>
        <w:fldChar w:fldCharType="end"/>
      </w:r>
    </w:p>
    <w:p w14:paraId="095CB614" w14:textId="77777777" w:rsidR="00C1751D" w:rsidRDefault="00C1751D">
      <w:pPr>
        <w:pStyle w:val="TOC1"/>
        <w:rPr>
          <w:rFonts w:asciiTheme="minorHAnsi" w:eastAsiaTheme="minorEastAsia" w:hAnsiTheme="minorHAnsi" w:cstheme="minorBidi"/>
          <w:bCs w:val="0"/>
          <w:noProof/>
          <w:sz w:val="22"/>
          <w:szCs w:val="22"/>
          <w:lang w:val="en-NZ" w:eastAsia="en-NZ"/>
        </w:rPr>
      </w:pPr>
      <w:r>
        <w:rPr>
          <w:noProof/>
          <w:lang w:eastAsia="en-AU"/>
        </w:rPr>
        <w:t>8.</w:t>
      </w:r>
      <w:r>
        <w:rPr>
          <w:rFonts w:asciiTheme="minorHAnsi" w:eastAsiaTheme="minorEastAsia" w:hAnsiTheme="minorHAnsi" w:cstheme="minorBidi"/>
          <w:bCs w:val="0"/>
          <w:noProof/>
          <w:sz w:val="22"/>
          <w:szCs w:val="22"/>
          <w:lang w:val="en-NZ" w:eastAsia="en-NZ"/>
        </w:rPr>
        <w:tab/>
      </w:r>
      <w:r>
        <w:rPr>
          <w:noProof/>
          <w:lang w:eastAsia="en-AU"/>
        </w:rPr>
        <w:t>Discussion</w:t>
      </w:r>
      <w:r>
        <w:rPr>
          <w:noProof/>
        </w:rPr>
        <w:tab/>
      </w:r>
      <w:r>
        <w:rPr>
          <w:noProof/>
        </w:rPr>
        <w:fldChar w:fldCharType="begin"/>
      </w:r>
      <w:r>
        <w:rPr>
          <w:noProof/>
        </w:rPr>
        <w:instrText xml:space="preserve"> PAGEREF _Toc527638660 \h </w:instrText>
      </w:r>
      <w:r>
        <w:rPr>
          <w:noProof/>
        </w:rPr>
      </w:r>
      <w:r>
        <w:rPr>
          <w:noProof/>
        </w:rPr>
        <w:fldChar w:fldCharType="separate"/>
      </w:r>
      <w:r w:rsidR="002777A8">
        <w:rPr>
          <w:noProof/>
        </w:rPr>
        <w:t>54</w:t>
      </w:r>
      <w:r>
        <w:rPr>
          <w:noProof/>
        </w:rPr>
        <w:fldChar w:fldCharType="end"/>
      </w:r>
    </w:p>
    <w:p w14:paraId="44C1CDD2" w14:textId="77777777" w:rsidR="00C1751D" w:rsidRDefault="00C1751D">
      <w:pPr>
        <w:pStyle w:val="TOC2"/>
        <w:tabs>
          <w:tab w:val="left" w:pos="1134"/>
        </w:tabs>
        <w:rPr>
          <w:rFonts w:asciiTheme="minorHAnsi" w:eastAsiaTheme="minorEastAsia" w:hAnsiTheme="minorHAnsi" w:cstheme="minorBidi"/>
          <w:noProof/>
          <w:sz w:val="22"/>
          <w:szCs w:val="22"/>
          <w:lang w:val="en-NZ" w:eastAsia="en-NZ"/>
        </w:rPr>
      </w:pPr>
      <w:r>
        <w:rPr>
          <w:noProof/>
        </w:rPr>
        <w:t>8.1</w:t>
      </w:r>
      <w:r>
        <w:rPr>
          <w:rFonts w:asciiTheme="minorHAnsi" w:eastAsiaTheme="minorEastAsia" w:hAnsiTheme="minorHAnsi" w:cstheme="minorBidi"/>
          <w:noProof/>
          <w:sz w:val="22"/>
          <w:szCs w:val="22"/>
          <w:lang w:val="en-NZ" w:eastAsia="en-NZ"/>
        </w:rPr>
        <w:tab/>
      </w:r>
      <w:r>
        <w:rPr>
          <w:noProof/>
        </w:rPr>
        <w:t>Future environmental requirements</w:t>
      </w:r>
      <w:r>
        <w:rPr>
          <w:noProof/>
        </w:rPr>
        <w:tab/>
      </w:r>
      <w:r>
        <w:rPr>
          <w:noProof/>
        </w:rPr>
        <w:fldChar w:fldCharType="begin"/>
      </w:r>
      <w:r>
        <w:rPr>
          <w:noProof/>
        </w:rPr>
        <w:instrText xml:space="preserve"> PAGEREF _Toc527638661 \h </w:instrText>
      </w:r>
      <w:r>
        <w:rPr>
          <w:noProof/>
        </w:rPr>
      </w:r>
      <w:r>
        <w:rPr>
          <w:noProof/>
        </w:rPr>
        <w:fldChar w:fldCharType="separate"/>
      </w:r>
      <w:r w:rsidR="002777A8">
        <w:rPr>
          <w:noProof/>
        </w:rPr>
        <w:t>54</w:t>
      </w:r>
      <w:r>
        <w:rPr>
          <w:noProof/>
        </w:rPr>
        <w:fldChar w:fldCharType="end"/>
      </w:r>
    </w:p>
    <w:p w14:paraId="5A01BFBD" w14:textId="77777777" w:rsidR="00C1751D" w:rsidRDefault="00C1751D">
      <w:pPr>
        <w:pStyle w:val="TOC2"/>
        <w:tabs>
          <w:tab w:val="left" w:pos="1134"/>
        </w:tabs>
        <w:rPr>
          <w:rFonts w:asciiTheme="minorHAnsi" w:eastAsiaTheme="minorEastAsia" w:hAnsiTheme="minorHAnsi" w:cstheme="minorBidi"/>
          <w:noProof/>
          <w:sz w:val="22"/>
          <w:szCs w:val="22"/>
          <w:lang w:val="en-NZ" w:eastAsia="en-NZ"/>
        </w:rPr>
      </w:pPr>
      <w:r>
        <w:rPr>
          <w:noProof/>
        </w:rPr>
        <w:t>8.2</w:t>
      </w:r>
      <w:r>
        <w:rPr>
          <w:rFonts w:asciiTheme="minorHAnsi" w:eastAsiaTheme="minorEastAsia" w:hAnsiTheme="minorHAnsi" w:cstheme="minorBidi"/>
          <w:noProof/>
          <w:sz w:val="22"/>
          <w:szCs w:val="22"/>
          <w:lang w:val="en-NZ" w:eastAsia="en-NZ"/>
        </w:rPr>
        <w:tab/>
      </w:r>
      <w:r>
        <w:rPr>
          <w:noProof/>
        </w:rPr>
        <w:t>Phosphorus</w:t>
      </w:r>
      <w:r>
        <w:rPr>
          <w:noProof/>
        </w:rPr>
        <w:tab/>
      </w:r>
      <w:r>
        <w:rPr>
          <w:noProof/>
        </w:rPr>
        <w:fldChar w:fldCharType="begin"/>
      </w:r>
      <w:r>
        <w:rPr>
          <w:noProof/>
        </w:rPr>
        <w:instrText xml:space="preserve"> PAGEREF _Toc527638662 \h </w:instrText>
      </w:r>
      <w:r>
        <w:rPr>
          <w:noProof/>
        </w:rPr>
      </w:r>
      <w:r>
        <w:rPr>
          <w:noProof/>
        </w:rPr>
        <w:fldChar w:fldCharType="separate"/>
      </w:r>
      <w:r w:rsidR="002777A8">
        <w:rPr>
          <w:noProof/>
        </w:rPr>
        <w:t>54</w:t>
      </w:r>
      <w:r>
        <w:rPr>
          <w:noProof/>
        </w:rPr>
        <w:fldChar w:fldCharType="end"/>
      </w:r>
    </w:p>
    <w:p w14:paraId="10259652" w14:textId="77777777" w:rsidR="00C1751D" w:rsidRDefault="00C1751D">
      <w:pPr>
        <w:pStyle w:val="TOC2"/>
        <w:tabs>
          <w:tab w:val="left" w:pos="1134"/>
        </w:tabs>
        <w:rPr>
          <w:rFonts w:asciiTheme="minorHAnsi" w:eastAsiaTheme="minorEastAsia" w:hAnsiTheme="minorHAnsi" w:cstheme="minorBidi"/>
          <w:noProof/>
          <w:sz w:val="22"/>
          <w:szCs w:val="22"/>
          <w:lang w:val="en-NZ" w:eastAsia="en-NZ"/>
        </w:rPr>
      </w:pPr>
      <w:r>
        <w:rPr>
          <w:noProof/>
          <w:lang w:eastAsia="en-AU"/>
        </w:rPr>
        <w:t>8.3</w:t>
      </w:r>
      <w:r>
        <w:rPr>
          <w:rFonts w:asciiTheme="minorHAnsi" w:eastAsiaTheme="minorEastAsia" w:hAnsiTheme="minorHAnsi" w:cstheme="minorBidi"/>
          <w:noProof/>
          <w:sz w:val="22"/>
          <w:szCs w:val="22"/>
          <w:lang w:val="en-NZ" w:eastAsia="en-NZ"/>
        </w:rPr>
        <w:tab/>
      </w:r>
      <w:r>
        <w:rPr>
          <w:noProof/>
          <w:lang w:eastAsia="en-AU"/>
        </w:rPr>
        <w:t>Capital cost estimates</w:t>
      </w:r>
      <w:r>
        <w:rPr>
          <w:noProof/>
        </w:rPr>
        <w:tab/>
      </w:r>
      <w:r>
        <w:rPr>
          <w:noProof/>
        </w:rPr>
        <w:fldChar w:fldCharType="begin"/>
      </w:r>
      <w:r>
        <w:rPr>
          <w:noProof/>
        </w:rPr>
        <w:instrText xml:space="preserve"> PAGEREF _Toc527638663 \h </w:instrText>
      </w:r>
      <w:r>
        <w:rPr>
          <w:noProof/>
        </w:rPr>
      </w:r>
      <w:r>
        <w:rPr>
          <w:noProof/>
        </w:rPr>
        <w:fldChar w:fldCharType="separate"/>
      </w:r>
      <w:r w:rsidR="002777A8">
        <w:rPr>
          <w:noProof/>
        </w:rPr>
        <w:t>54</w:t>
      </w:r>
      <w:r>
        <w:rPr>
          <w:noProof/>
        </w:rPr>
        <w:fldChar w:fldCharType="end"/>
      </w:r>
    </w:p>
    <w:p w14:paraId="0D048768" w14:textId="77777777" w:rsidR="00C1751D" w:rsidRDefault="00C1751D">
      <w:pPr>
        <w:pStyle w:val="TOC2"/>
        <w:tabs>
          <w:tab w:val="left" w:pos="1134"/>
        </w:tabs>
        <w:rPr>
          <w:rFonts w:asciiTheme="minorHAnsi" w:eastAsiaTheme="minorEastAsia" w:hAnsiTheme="minorHAnsi" w:cstheme="minorBidi"/>
          <w:noProof/>
          <w:sz w:val="22"/>
          <w:szCs w:val="22"/>
          <w:lang w:val="en-NZ" w:eastAsia="en-NZ"/>
        </w:rPr>
      </w:pPr>
      <w:r>
        <w:rPr>
          <w:noProof/>
          <w:lang w:eastAsia="en-AU"/>
        </w:rPr>
        <w:t>8.4</w:t>
      </w:r>
      <w:r>
        <w:rPr>
          <w:rFonts w:asciiTheme="minorHAnsi" w:eastAsiaTheme="minorEastAsia" w:hAnsiTheme="minorHAnsi" w:cstheme="minorBidi"/>
          <w:noProof/>
          <w:sz w:val="22"/>
          <w:szCs w:val="22"/>
          <w:lang w:val="en-NZ" w:eastAsia="en-NZ"/>
        </w:rPr>
        <w:tab/>
      </w:r>
      <w:r>
        <w:rPr>
          <w:noProof/>
          <w:lang w:eastAsia="en-AU"/>
        </w:rPr>
        <w:t>Operational costs estimates</w:t>
      </w:r>
      <w:r>
        <w:rPr>
          <w:noProof/>
        </w:rPr>
        <w:tab/>
      </w:r>
      <w:r>
        <w:rPr>
          <w:noProof/>
        </w:rPr>
        <w:fldChar w:fldCharType="begin"/>
      </w:r>
      <w:r>
        <w:rPr>
          <w:noProof/>
        </w:rPr>
        <w:instrText xml:space="preserve"> PAGEREF _Toc527638664 \h </w:instrText>
      </w:r>
      <w:r>
        <w:rPr>
          <w:noProof/>
        </w:rPr>
      </w:r>
      <w:r>
        <w:rPr>
          <w:noProof/>
        </w:rPr>
        <w:fldChar w:fldCharType="separate"/>
      </w:r>
      <w:r w:rsidR="002777A8">
        <w:rPr>
          <w:noProof/>
        </w:rPr>
        <w:t>54</w:t>
      </w:r>
      <w:r>
        <w:rPr>
          <w:noProof/>
        </w:rPr>
        <w:fldChar w:fldCharType="end"/>
      </w:r>
    </w:p>
    <w:p w14:paraId="01CB5C6E" w14:textId="77777777" w:rsidR="00C1751D" w:rsidRDefault="00C1751D">
      <w:pPr>
        <w:pStyle w:val="TOC2"/>
        <w:tabs>
          <w:tab w:val="left" w:pos="1134"/>
        </w:tabs>
        <w:rPr>
          <w:rFonts w:asciiTheme="minorHAnsi" w:eastAsiaTheme="minorEastAsia" w:hAnsiTheme="minorHAnsi" w:cstheme="minorBidi"/>
          <w:noProof/>
          <w:sz w:val="22"/>
          <w:szCs w:val="22"/>
          <w:lang w:val="en-NZ" w:eastAsia="en-NZ"/>
        </w:rPr>
      </w:pPr>
      <w:r>
        <w:rPr>
          <w:noProof/>
          <w:lang w:eastAsia="en-AU"/>
        </w:rPr>
        <w:t>8.5</w:t>
      </w:r>
      <w:r>
        <w:rPr>
          <w:rFonts w:asciiTheme="minorHAnsi" w:eastAsiaTheme="minorEastAsia" w:hAnsiTheme="minorHAnsi" w:cstheme="minorBidi"/>
          <w:noProof/>
          <w:sz w:val="22"/>
          <w:szCs w:val="22"/>
          <w:lang w:val="en-NZ" w:eastAsia="en-NZ"/>
        </w:rPr>
        <w:tab/>
      </w:r>
      <w:r>
        <w:rPr>
          <w:noProof/>
          <w:lang w:eastAsia="en-AU"/>
        </w:rPr>
        <w:t xml:space="preserve">Ability for </w:t>
      </w:r>
      <w:r>
        <w:rPr>
          <w:noProof/>
        </w:rPr>
        <w:t>small</w:t>
      </w:r>
      <w:r>
        <w:rPr>
          <w:noProof/>
          <w:lang w:eastAsia="en-AU"/>
        </w:rPr>
        <w:t xml:space="preserve"> WWTPs to meet BNR discharge standards</w:t>
      </w:r>
      <w:r>
        <w:rPr>
          <w:noProof/>
        </w:rPr>
        <w:tab/>
      </w:r>
      <w:r>
        <w:rPr>
          <w:noProof/>
        </w:rPr>
        <w:fldChar w:fldCharType="begin"/>
      </w:r>
      <w:r>
        <w:rPr>
          <w:noProof/>
        </w:rPr>
        <w:instrText xml:space="preserve"> PAGEREF _Toc527638665 \h </w:instrText>
      </w:r>
      <w:r>
        <w:rPr>
          <w:noProof/>
        </w:rPr>
      </w:r>
      <w:r>
        <w:rPr>
          <w:noProof/>
        </w:rPr>
        <w:fldChar w:fldCharType="separate"/>
      </w:r>
      <w:r w:rsidR="002777A8">
        <w:rPr>
          <w:noProof/>
        </w:rPr>
        <w:t>55</w:t>
      </w:r>
      <w:r>
        <w:rPr>
          <w:noProof/>
        </w:rPr>
        <w:fldChar w:fldCharType="end"/>
      </w:r>
    </w:p>
    <w:p w14:paraId="71A58B8D" w14:textId="77777777" w:rsidR="00C1751D" w:rsidRDefault="00C1751D">
      <w:pPr>
        <w:pStyle w:val="TOC2"/>
        <w:tabs>
          <w:tab w:val="left" w:pos="1134"/>
        </w:tabs>
        <w:rPr>
          <w:rFonts w:asciiTheme="minorHAnsi" w:eastAsiaTheme="minorEastAsia" w:hAnsiTheme="minorHAnsi" w:cstheme="minorBidi"/>
          <w:noProof/>
          <w:sz w:val="22"/>
          <w:szCs w:val="22"/>
          <w:lang w:val="en-NZ" w:eastAsia="en-NZ"/>
        </w:rPr>
      </w:pPr>
      <w:r>
        <w:rPr>
          <w:noProof/>
          <w:lang w:eastAsia="en-AU"/>
        </w:rPr>
        <w:t>8.6</w:t>
      </w:r>
      <w:r>
        <w:rPr>
          <w:rFonts w:asciiTheme="minorHAnsi" w:eastAsiaTheme="minorEastAsia" w:hAnsiTheme="minorHAnsi" w:cstheme="minorBidi"/>
          <w:noProof/>
          <w:sz w:val="22"/>
          <w:szCs w:val="22"/>
          <w:lang w:val="en-NZ" w:eastAsia="en-NZ"/>
        </w:rPr>
        <w:tab/>
      </w:r>
      <w:r>
        <w:rPr>
          <w:noProof/>
          <w:lang w:eastAsia="en-AU"/>
        </w:rPr>
        <w:t>Operational capacity</w:t>
      </w:r>
      <w:r>
        <w:rPr>
          <w:noProof/>
        </w:rPr>
        <w:tab/>
      </w:r>
      <w:r>
        <w:rPr>
          <w:noProof/>
        </w:rPr>
        <w:fldChar w:fldCharType="begin"/>
      </w:r>
      <w:r>
        <w:rPr>
          <w:noProof/>
        </w:rPr>
        <w:instrText xml:space="preserve"> PAGEREF _Toc527638666 \h </w:instrText>
      </w:r>
      <w:r>
        <w:rPr>
          <w:noProof/>
        </w:rPr>
      </w:r>
      <w:r>
        <w:rPr>
          <w:noProof/>
        </w:rPr>
        <w:fldChar w:fldCharType="separate"/>
      </w:r>
      <w:r w:rsidR="002777A8">
        <w:rPr>
          <w:noProof/>
        </w:rPr>
        <w:t>55</w:t>
      </w:r>
      <w:r>
        <w:rPr>
          <w:noProof/>
        </w:rPr>
        <w:fldChar w:fldCharType="end"/>
      </w:r>
    </w:p>
    <w:p w14:paraId="76E784C7" w14:textId="77777777" w:rsidR="00C1751D" w:rsidRDefault="00C1751D">
      <w:pPr>
        <w:pStyle w:val="TOC2"/>
        <w:tabs>
          <w:tab w:val="left" w:pos="1134"/>
        </w:tabs>
        <w:rPr>
          <w:rFonts w:asciiTheme="minorHAnsi" w:eastAsiaTheme="minorEastAsia" w:hAnsiTheme="minorHAnsi" w:cstheme="minorBidi"/>
          <w:noProof/>
          <w:sz w:val="22"/>
          <w:szCs w:val="22"/>
          <w:lang w:val="en-NZ" w:eastAsia="en-NZ"/>
        </w:rPr>
      </w:pPr>
      <w:r>
        <w:rPr>
          <w:noProof/>
          <w:lang w:eastAsia="en-AU"/>
        </w:rPr>
        <w:lastRenderedPageBreak/>
        <w:t>8.7</w:t>
      </w:r>
      <w:r>
        <w:rPr>
          <w:rFonts w:asciiTheme="minorHAnsi" w:eastAsiaTheme="minorEastAsia" w:hAnsiTheme="minorHAnsi" w:cstheme="minorBidi"/>
          <w:noProof/>
          <w:sz w:val="22"/>
          <w:szCs w:val="22"/>
          <w:lang w:val="en-NZ" w:eastAsia="en-NZ"/>
        </w:rPr>
        <w:tab/>
      </w:r>
      <w:r>
        <w:rPr>
          <w:noProof/>
          <w:lang w:eastAsia="en-AU"/>
        </w:rPr>
        <w:t>Project data</w:t>
      </w:r>
      <w:r>
        <w:rPr>
          <w:noProof/>
        </w:rPr>
        <w:tab/>
      </w:r>
      <w:r>
        <w:rPr>
          <w:noProof/>
        </w:rPr>
        <w:fldChar w:fldCharType="begin"/>
      </w:r>
      <w:r>
        <w:rPr>
          <w:noProof/>
        </w:rPr>
        <w:instrText xml:space="preserve"> PAGEREF _Toc527638667 \h </w:instrText>
      </w:r>
      <w:r>
        <w:rPr>
          <w:noProof/>
        </w:rPr>
      </w:r>
      <w:r>
        <w:rPr>
          <w:noProof/>
        </w:rPr>
        <w:fldChar w:fldCharType="separate"/>
      </w:r>
      <w:r w:rsidR="002777A8">
        <w:rPr>
          <w:noProof/>
        </w:rPr>
        <w:t>55</w:t>
      </w:r>
      <w:r>
        <w:rPr>
          <w:noProof/>
        </w:rPr>
        <w:fldChar w:fldCharType="end"/>
      </w:r>
    </w:p>
    <w:p w14:paraId="2ADDADEC" w14:textId="77777777" w:rsidR="00C1751D" w:rsidRDefault="00C1751D">
      <w:pPr>
        <w:pStyle w:val="TOC2"/>
        <w:tabs>
          <w:tab w:val="left" w:pos="1134"/>
        </w:tabs>
        <w:rPr>
          <w:rFonts w:asciiTheme="minorHAnsi" w:eastAsiaTheme="minorEastAsia" w:hAnsiTheme="minorHAnsi" w:cstheme="minorBidi"/>
          <w:noProof/>
          <w:sz w:val="22"/>
          <w:szCs w:val="22"/>
          <w:lang w:val="en-NZ" w:eastAsia="en-NZ"/>
        </w:rPr>
      </w:pPr>
      <w:r>
        <w:rPr>
          <w:noProof/>
          <w:lang w:eastAsia="en-AU"/>
        </w:rPr>
        <w:t>8.8</w:t>
      </w:r>
      <w:r>
        <w:rPr>
          <w:rFonts w:asciiTheme="minorHAnsi" w:eastAsiaTheme="minorEastAsia" w:hAnsiTheme="minorHAnsi" w:cstheme="minorBidi"/>
          <w:noProof/>
          <w:sz w:val="22"/>
          <w:szCs w:val="22"/>
          <w:lang w:val="en-NZ" w:eastAsia="en-NZ"/>
        </w:rPr>
        <w:tab/>
      </w:r>
      <w:r>
        <w:rPr>
          <w:noProof/>
          <w:lang w:eastAsia="en-AU"/>
        </w:rPr>
        <w:t>Industry focus group workshop</w:t>
      </w:r>
      <w:r>
        <w:rPr>
          <w:noProof/>
        </w:rPr>
        <w:tab/>
      </w:r>
      <w:r>
        <w:rPr>
          <w:noProof/>
        </w:rPr>
        <w:fldChar w:fldCharType="begin"/>
      </w:r>
      <w:r>
        <w:rPr>
          <w:noProof/>
        </w:rPr>
        <w:instrText xml:space="preserve"> PAGEREF _Toc527638668 \h </w:instrText>
      </w:r>
      <w:r>
        <w:rPr>
          <w:noProof/>
        </w:rPr>
      </w:r>
      <w:r>
        <w:rPr>
          <w:noProof/>
        </w:rPr>
        <w:fldChar w:fldCharType="separate"/>
      </w:r>
      <w:r w:rsidR="002777A8">
        <w:rPr>
          <w:noProof/>
        </w:rPr>
        <w:t>56</w:t>
      </w:r>
      <w:r>
        <w:rPr>
          <w:noProof/>
        </w:rPr>
        <w:fldChar w:fldCharType="end"/>
      </w:r>
    </w:p>
    <w:p w14:paraId="1565F24E" w14:textId="77777777" w:rsidR="00C1751D" w:rsidRDefault="00C1751D">
      <w:pPr>
        <w:pStyle w:val="TOC2"/>
        <w:tabs>
          <w:tab w:val="left" w:pos="1134"/>
        </w:tabs>
        <w:rPr>
          <w:rFonts w:asciiTheme="minorHAnsi" w:eastAsiaTheme="minorEastAsia" w:hAnsiTheme="minorHAnsi" w:cstheme="minorBidi"/>
          <w:noProof/>
          <w:sz w:val="22"/>
          <w:szCs w:val="22"/>
          <w:lang w:val="en-NZ" w:eastAsia="en-NZ"/>
        </w:rPr>
      </w:pPr>
      <w:r>
        <w:rPr>
          <w:noProof/>
          <w:lang w:eastAsia="en-AU"/>
        </w:rPr>
        <w:t>8.9</w:t>
      </w:r>
      <w:r>
        <w:rPr>
          <w:rFonts w:asciiTheme="minorHAnsi" w:eastAsiaTheme="minorEastAsia" w:hAnsiTheme="minorHAnsi" w:cstheme="minorBidi"/>
          <w:noProof/>
          <w:sz w:val="22"/>
          <w:szCs w:val="22"/>
          <w:lang w:val="en-NZ" w:eastAsia="en-NZ"/>
        </w:rPr>
        <w:tab/>
      </w:r>
      <w:r>
        <w:rPr>
          <w:noProof/>
          <w:lang w:eastAsia="en-AU"/>
        </w:rPr>
        <w:t>State of current waste stabilisation pond upgrades</w:t>
      </w:r>
      <w:r>
        <w:rPr>
          <w:noProof/>
        </w:rPr>
        <w:tab/>
      </w:r>
      <w:r>
        <w:rPr>
          <w:noProof/>
        </w:rPr>
        <w:fldChar w:fldCharType="begin"/>
      </w:r>
      <w:r>
        <w:rPr>
          <w:noProof/>
        </w:rPr>
        <w:instrText xml:space="preserve"> PAGEREF _Toc527638669 \h </w:instrText>
      </w:r>
      <w:r>
        <w:rPr>
          <w:noProof/>
        </w:rPr>
      </w:r>
      <w:r>
        <w:rPr>
          <w:noProof/>
        </w:rPr>
        <w:fldChar w:fldCharType="separate"/>
      </w:r>
      <w:r w:rsidR="002777A8">
        <w:rPr>
          <w:noProof/>
        </w:rPr>
        <w:t>57</w:t>
      </w:r>
      <w:r>
        <w:rPr>
          <w:noProof/>
        </w:rPr>
        <w:fldChar w:fldCharType="end"/>
      </w:r>
    </w:p>
    <w:p w14:paraId="030D5D53" w14:textId="77777777" w:rsidR="00C1751D" w:rsidRDefault="00C1751D">
      <w:pPr>
        <w:pStyle w:val="TOC1"/>
        <w:rPr>
          <w:rFonts w:asciiTheme="minorHAnsi" w:eastAsiaTheme="minorEastAsia" w:hAnsiTheme="minorHAnsi" w:cstheme="minorBidi"/>
          <w:bCs w:val="0"/>
          <w:noProof/>
          <w:sz w:val="22"/>
          <w:szCs w:val="22"/>
          <w:lang w:val="en-NZ" w:eastAsia="en-NZ"/>
        </w:rPr>
      </w:pPr>
      <w:r>
        <w:rPr>
          <w:noProof/>
          <w:lang w:eastAsia="en-AU"/>
        </w:rPr>
        <w:t>9.</w:t>
      </w:r>
      <w:r>
        <w:rPr>
          <w:rFonts w:asciiTheme="minorHAnsi" w:eastAsiaTheme="minorEastAsia" w:hAnsiTheme="minorHAnsi" w:cstheme="minorBidi"/>
          <w:bCs w:val="0"/>
          <w:noProof/>
          <w:sz w:val="22"/>
          <w:szCs w:val="22"/>
          <w:lang w:val="en-NZ" w:eastAsia="en-NZ"/>
        </w:rPr>
        <w:tab/>
      </w:r>
      <w:r>
        <w:rPr>
          <w:noProof/>
          <w:lang w:eastAsia="en-AU"/>
        </w:rPr>
        <w:t>Conclusions</w:t>
      </w:r>
      <w:r>
        <w:rPr>
          <w:noProof/>
        </w:rPr>
        <w:tab/>
      </w:r>
      <w:r>
        <w:rPr>
          <w:noProof/>
        </w:rPr>
        <w:fldChar w:fldCharType="begin"/>
      </w:r>
      <w:r>
        <w:rPr>
          <w:noProof/>
        </w:rPr>
        <w:instrText xml:space="preserve"> PAGEREF _Toc527638670 \h </w:instrText>
      </w:r>
      <w:r>
        <w:rPr>
          <w:noProof/>
        </w:rPr>
      </w:r>
      <w:r>
        <w:rPr>
          <w:noProof/>
        </w:rPr>
        <w:fldChar w:fldCharType="separate"/>
      </w:r>
      <w:r w:rsidR="002777A8">
        <w:rPr>
          <w:noProof/>
        </w:rPr>
        <w:t>58</w:t>
      </w:r>
      <w:r>
        <w:rPr>
          <w:noProof/>
        </w:rPr>
        <w:fldChar w:fldCharType="end"/>
      </w:r>
    </w:p>
    <w:p w14:paraId="32C1FB77" w14:textId="77777777" w:rsidR="00C1751D" w:rsidRDefault="00C1751D">
      <w:pPr>
        <w:pStyle w:val="TOC1"/>
        <w:rPr>
          <w:rFonts w:asciiTheme="minorHAnsi" w:eastAsiaTheme="minorEastAsia" w:hAnsiTheme="minorHAnsi" w:cstheme="minorBidi"/>
          <w:bCs w:val="0"/>
          <w:noProof/>
          <w:sz w:val="22"/>
          <w:szCs w:val="22"/>
          <w:lang w:val="en-NZ" w:eastAsia="en-NZ"/>
        </w:rPr>
      </w:pPr>
      <w:r>
        <w:rPr>
          <w:noProof/>
          <w:lang w:eastAsia="en-AU"/>
        </w:rPr>
        <w:t>10.</w:t>
      </w:r>
      <w:r>
        <w:rPr>
          <w:rFonts w:asciiTheme="minorHAnsi" w:eastAsiaTheme="minorEastAsia" w:hAnsiTheme="minorHAnsi" w:cstheme="minorBidi"/>
          <w:bCs w:val="0"/>
          <w:noProof/>
          <w:sz w:val="22"/>
          <w:szCs w:val="22"/>
          <w:lang w:val="en-NZ" w:eastAsia="en-NZ"/>
        </w:rPr>
        <w:tab/>
      </w:r>
      <w:r>
        <w:rPr>
          <w:noProof/>
          <w:lang w:eastAsia="en-AU"/>
        </w:rPr>
        <w:t>References</w:t>
      </w:r>
      <w:r>
        <w:rPr>
          <w:noProof/>
        </w:rPr>
        <w:tab/>
      </w:r>
      <w:r>
        <w:rPr>
          <w:noProof/>
        </w:rPr>
        <w:fldChar w:fldCharType="begin"/>
      </w:r>
      <w:r>
        <w:rPr>
          <w:noProof/>
        </w:rPr>
        <w:instrText xml:space="preserve"> PAGEREF _Toc527638671 \h </w:instrText>
      </w:r>
      <w:r>
        <w:rPr>
          <w:noProof/>
        </w:rPr>
      </w:r>
      <w:r>
        <w:rPr>
          <w:noProof/>
        </w:rPr>
        <w:fldChar w:fldCharType="separate"/>
      </w:r>
      <w:r w:rsidR="002777A8">
        <w:rPr>
          <w:noProof/>
        </w:rPr>
        <w:t>59</w:t>
      </w:r>
      <w:r>
        <w:rPr>
          <w:noProof/>
        </w:rPr>
        <w:fldChar w:fldCharType="end"/>
      </w:r>
    </w:p>
    <w:p w14:paraId="56D8D48E" w14:textId="77777777" w:rsidR="00C1751D" w:rsidRDefault="00C1751D">
      <w:pPr>
        <w:pStyle w:val="TOC1"/>
        <w:rPr>
          <w:rFonts w:asciiTheme="minorHAnsi" w:eastAsiaTheme="minorEastAsia" w:hAnsiTheme="minorHAnsi" w:cstheme="minorBidi"/>
          <w:bCs w:val="0"/>
          <w:noProof/>
          <w:sz w:val="22"/>
          <w:szCs w:val="22"/>
          <w:lang w:val="en-NZ" w:eastAsia="en-NZ"/>
        </w:rPr>
      </w:pPr>
      <w:r>
        <w:rPr>
          <w:noProof/>
        </w:rPr>
        <w:t>11.</w:t>
      </w:r>
      <w:r>
        <w:rPr>
          <w:rFonts w:asciiTheme="minorHAnsi" w:eastAsiaTheme="minorEastAsia" w:hAnsiTheme="minorHAnsi" w:cstheme="minorBidi"/>
          <w:bCs w:val="0"/>
          <w:noProof/>
          <w:sz w:val="22"/>
          <w:szCs w:val="22"/>
          <w:lang w:val="en-NZ" w:eastAsia="en-NZ"/>
        </w:rPr>
        <w:tab/>
      </w:r>
      <w:r>
        <w:rPr>
          <w:noProof/>
        </w:rPr>
        <w:t>Limitations</w:t>
      </w:r>
      <w:r>
        <w:rPr>
          <w:noProof/>
        </w:rPr>
        <w:tab/>
      </w:r>
      <w:r>
        <w:rPr>
          <w:noProof/>
        </w:rPr>
        <w:fldChar w:fldCharType="begin"/>
      </w:r>
      <w:r>
        <w:rPr>
          <w:noProof/>
        </w:rPr>
        <w:instrText xml:space="preserve"> PAGEREF _Toc527638672 \h </w:instrText>
      </w:r>
      <w:r>
        <w:rPr>
          <w:noProof/>
        </w:rPr>
      </w:r>
      <w:r>
        <w:rPr>
          <w:noProof/>
        </w:rPr>
        <w:fldChar w:fldCharType="separate"/>
      </w:r>
      <w:r w:rsidR="002777A8">
        <w:rPr>
          <w:noProof/>
        </w:rPr>
        <w:t>59</w:t>
      </w:r>
      <w:r>
        <w:rPr>
          <w:noProof/>
        </w:rPr>
        <w:fldChar w:fldCharType="end"/>
      </w:r>
    </w:p>
    <w:p w14:paraId="575F31A3" w14:textId="77777777" w:rsidR="00FA00BB" w:rsidRDefault="002C28B0" w:rsidP="002C28B0">
      <w:pPr>
        <w:rPr>
          <w:rFonts w:ascii="Times New Roman" w:hAnsi="Times New Roman"/>
          <w:bCs/>
          <w:szCs w:val="20"/>
        </w:rPr>
      </w:pPr>
      <w:r w:rsidRPr="00BC4E63">
        <w:rPr>
          <w:rFonts w:ascii="Times New Roman" w:hAnsi="Times New Roman"/>
          <w:bCs/>
          <w:szCs w:val="20"/>
        </w:rPr>
        <w:fldChar w:fldCharType="end"/>
      </w:r>
    </w:p>
    <w:p w14:paraId="7A002330" w14:textId="77777777" w:rsidR="002C28B0" w:rsidRPr="00BC4E63" w:rsidRDefault="00F84A04" w:rsidP="002C28B0">
      <w:pPr>
        <w:pStyle w:val="Heading1-NoTOC"/>
      </w:pPr>
      <w:r w:rsidRPr="00BC4E63">
        <w:t>Table i</w:t>
      </w:r>
      <w:r w:rsidR="002C28B0" w:rsidRPr="00BC4E63">
        <w:t>ndex</w:t>
      </w:r>
    </w:p>
    <w:p w14:paraId="7252D4A2" w14:textId="77777777" w:rsidR="00CD691E" w:rsidRDefault="005867CA">
      <w:pPr>
        <w:pStyle w:val="TableofFigures"/>
        <w:rPr>
          <w:rFonts w:asciiTheme="minorHAnsi" w:eastAsiaTheme="minorEastAsia" w:hAnsiTheme="minorHAnsi" w:cstheme="minorBidi"/>
          <w:bCs w:val="0"/>
          <w:noProof/>
          <w:sz w:val="22"/>
          <w:szCs w:val="22"/>
          <w:lang w:val="en-NZ" w:eastAsia="en-NZ"/>
        </w:rPr>
      </w:pPr>
      <w:r w:rsidRPr="006D449C">
        <w:fldChar w:fldCharType="begin"/>
      </w:r>
      <w:r w:rsidRPr="00BC4E63">
        <w:instrText xml:space="preserve"> TOC \c "Table" </w:instrText>
      </w:r>
      <w:r w:rsidRPr="006D449C">
        <w:fldChar w:fldCharType="separate"/>
      </w:r>
      <w:r w:rsidR="00CD691E">
        <w:rPr>
          <w:noProof/>
        </w:rPr>
        <w:t>Table 1  Summary of study methodology</w:t>
      </w:r>
      <w:r w:rsidR="00CD691E">
        <w:rPr>
          <w:noProof/>
        </w:rPr>
        <w:tab/>
      </w:r>
      <w:r w:rsidR="00CD691E">
        <w:rPr>
          <w:noProof/>
        </w:rPr>
        <w:fldChar w:fldCharType="begin"/>
      </w:r>
      <w:r w:rsidR="00CD691E">
        <w:rPr>
          <w:noProof/>
        </w:rPr>
        <w:instrText xml:space="preserve"> PAGEREF _Toc521064784 \h </w:instrText>
      </w:r>
      <w:r w:rsidR="00CD691E">
        <w:rPr>
          <w:noProof/>
        </w:rPr>
      </w:r>
      <w:r w:rsidR="00CD691E">
        <w:rPr>
          <w:noProof/>
        </w:rPr>
        <w:fldChar w:fldCharType="separate"/>
      </w:r>
      <w:r w:rsidR="002777A8">
        <w:rPr>
          <w:noProof/>
        </w:rPr>
        <w:t>7</w:t>
      </w:r>
      <w:r w:rsidR="00CD691E">
        <w:rPr>
          <w:noProof/>
        </w:rPr>
        <w:fldChar w:fldCharType="end"/>
      </w:r>
    </w:p>
    <w:p w14:paraId="6EB42FC7" w14:textId="77777777" w:rsidR="00CD691E" w:rsidRDefault="00CD691E">
      <w:pPr>
        <w:pStyle w:val="TableofFigures"/>
        <w:rPr>
          <w:rFonts w:asciiTheme="minorHAnsi" w:eastAsiaTheme="minorEastAsia" w:hAnsiTheme="minorHAnsi" w:cstheme="minorBidi"/>
          <w:bCs w:val="0"/>
          <w:noProof/>
          <w:sz w:val="22"/>
          <w:szCs w:val="22"/>
          <w:lang w:val="en-NZ" w:eastAsia="en-NZ"/>
        </w:rPr>
      </w:pPr>
      <w:r>
        <w:rPr>
          <w:noProof/>
        </w:rPr>
        <w:t>Table 2  Numbers of publicly owned WWTPs operating in New Zealand</w:t>
      </w:r>
      <w:r>
        <w:rPr>
          <w:noProof/>
        </w:rPr>
        <w:tab/>
      </w:r>
      <w:r>
        <w:rPr>
          <w:noProof/>
        </w:rPr>
        <w:fldChar w:fldCharType="begin"/>
      </w:r>
      <w:r>
        <w:rPr>
          <w:noProof/>
        </w:rPr>
        <w:instrText xml:space="preserve"> PAGEREF _Toc521064785 \h </w:instrText>
      </w:r>
      <w:r>
        <w:rPr>
          <w:noProof/>
        </w:rPr>
      </w:r>
      <w:r>
        <w:rPr>
          <w:noProof/>
        </w:rPr>
        <w:fldChar w:fldCharType="separate"/>
      </w:r>
      <w:r w:rsidR="002777A8">
        <w:rPr>
          <w:noProof/>
        </w:rPr>
        <w:t>10</w:t>
      </w:r>
      <w:r>
        <w:rPr>
          <w:noProof/>
        </w:rPr>
        <w:fldChar w:fldCharType="end"/>
      </w:r>
    </w:p>
    <w:p w14:paraId="1199D8E9" w14:textId="77777777" w:rsidR="00CD691E" w:rsidRDefault="00CD691E">
      <w:pPr>
        <w:pStyle w:val="TableofFigures"/>
        <w:rPr>
          <w:rFonts w:asciiTheme="minorHAnsi" w:eastAsiaTheme="minorEastAsia" w:hAnsiTheme="minorHAnsi" w:cstheme="minorBidi"/>
          <w:bCs w:val="0"/>
          <w:noProof/>
          <w:sz w:val="22"/>
          <w:szCs w:val="22"/>
          <w:lang w:val="en-NZ" w:eastAsia="en-NZ"/>
        </w:rPr>
      </w:pPr>
      <w:r>
        <w:rPr>
          <w:noProof/>
        </w:rPr>
        <w:t xml:space="preserve">Table </w:t>
      </w:r>
      <w:r w:rsidRPr="00B02D90">
        <w:rPr>
          <w:bCs w:val="0"/>
          <w:noProof/>
        </w:rPr>
        <w:t>3</w:t>
      </w:r>
      <w:r>
        <w:rPr>
          <w:noProof/>
        </w:rPr>
        <w:t xml:space="preserve">  Summary of WWTPs discharging to freshwater in New Zealand</w:t>
      </w:r>
      <w:r>
        <w:rPr>
          <w:noProof/>
        </w:rPr>
        <w:tab/>
      </w:r>
      <w:r>
        <w:rPr>
          <w:noProof/>
        </w:rPr>
        <w:fldChar w:fldCharType="begin"/>
      </w:r>
      <w:r>
        <w:rPr>
          <w:noProof/>
        </w:rPr>
        <w:instrText xml:space="preserve"> PAGEREF _Toc521064786 \h </w:instrText>
      </w:r>
      <w:r>
        <w:rPr>
          <w:noProof/>
        </w:rPr>
      </w:r>
      <w:r>
        <w:rPr>
          <w:noProof/>
        </w:rPr>
        <w:fldChar w:fldCharType="separate"/>
      </w:r>
      <w:r w:rsidR="002777A8">
        <w:rPr>
          <w:noProof/>
        </w:rPr>
        <w:t>15</w:t>
      </w:r>
      <w:r>
        <w:rPr>
          <w:noProof/>
        </w:rPr>
        <w:fldChar w:fldCharType="end"/>
      </w:r>
    </w:p>
    <w:p w14:paraId="5623209C" w14:textId="77777777" w:rsidR="00CD691E" w:rsidRDefault="00CD691E">
      <w:pPr>
        <w:pStyle w:val="TableofFigures"/>
        <w:rPr>
          <w:rFonts w:asciiTheme="minorHAnsi" w:eastAsiaTheme="minorEastAsia" w:hAnsiTheme="minorHAnsi" w:cstheme="minorBidi"/>
          <w:bCs w:val="0"/>
          <w:noProof/>
          <w:sz w:val="22"/>
          <w:szCs w:val="22"/>
          <w:lang w:val="en-NZ" w:eastAsia="en-NZ"/>
        </w:rPr>
      </w:pPr>
      <w:r>
        <w:rPr>
          <w:noProof/>
        </w:rPr>
        <w:t>Table 4  Summary of populations serviced by WWTPs discharging to freshwater</w:t>
      </w:r>
      <w:r>
        <w:rPr>
          <w:noProof/>
        </w:rPr>
        <w:tab/>
      </w:r>
      <w:r>
        <w:rPr>
          <w:noProof/>
        </w:rPr>
        <w:fldChar w:fldCharType="begin"/>
      </w:r>
      <w:r>
        <w:rPr>
          <w:noProof/>
        </w:rPr>
        <w:instrText xml:space="preserve"> PAGEREF _Toc521064787 \h </w:instrText>
      </w:r>
      <w:r>
        <w:rPr>
          <w:noProof/>
        </w:rPr>
      </w:r>
      <w:r>
        <w:rPr>
          <w:noProof/>
        </w:rPr>
        <w:fldChar w:fldCharType="separate"/>
      </w:r>
      <w:r w:rsidR="002777A8">
        <w:rPr>
          <w:noProof/>
        </w:rPr>
        <w:t>16</w:t>
      </w:r>
      <w:r>
        <w:rPr>
          <w:noProof/>
        </w:rPr>
        <w:fldChar w:fldCharType="end"/>
      </w:r>
    </w:p>
    <w:p w14:paraId="1CA6E2D5" w14:textId="77777777" w:rsidR="00CD691E" w:rsidRDefault="00CD691E">
      <w:pPr>
        <w:pStyle w:val="TableofFigures"/>
        <w:rPr>
          <w:rFonts w:asciiTheme="minorHAnsi" w:eastAsiaTheme="minorEastAsia" w:hAnsiTheme="minorHAnsi" w:cstheme="minorBidi"/>
          <w:bCs w:val="0"/>
          <w:noProof/>
          <w:sz w:val="22"/>
          <w:szCs w:val="22"/>
          <w:lang w:val="en-NZ" w:eastAsia="en-NZ"/>
        </w:rPr>
      </w:pPr>
      <w:r>
        <w:rPr>
          <w:noProof/>
        </w:rPr>
        <w:t>Table 5  Contribution parameters and thresholds</w:t>
      </w:r>
      <w:r>
        <w:rPr>
          <w:noProof/>
        </w:rPr>
        <w:tab/>
      </w:r>
      <w:r>
        <w:rPr>
          <w:noProof/>
        </w:rPr>
        <w:fldChar w:fldCharType="begin"/>
      </w:r>
      <w:r>
        <w:rPr>
          <w:noProof/>
        </w:rPr>
        <w:instrText xml:space="preserve"> PAGEREF _Toc521064788 \h </w:instrText>
      </w:r>
      <w:r>
        <w:rPr>
          <w:noProof/>
        </w:rPr>
      </w:r>
      <w:r>
        <w:rPr>
          <w:noProof/>
        </w:rPr>
        <w:fldChar w:fldCharType="separate"/>
      </w:r>
      <w:r w:rsidR="002777A8">
        <w:rPr>
          <w:noProof/>
        </w:rPr>
        <w:t>25</w:t>
      </w:r>
      <w:r>
        <w:rPr>
          <w:noProof/>
        </w:rPr>
        <w:fldChar w:fldCharType="end"/>
      </w:r>
    </w:p>
    <w:p w14:paraId="4958B6E8" w14:textId="77777777" w:rsidR="00CD691E" w:rsidRDefault="00CD691E">
      <w:pPr>
        <w:pStyle w:val="TableofFigures"/>
        <w:rPr>
          <w:rFonts w:asciiTheme="minorHAnsi" w:eastAsiaTheme="minorEastAsia" w:hAnsiTheme="minorHAnsi" w:cstheme="minorBidi"/>
          <w:bCs w:val="0"/>
          <w:noProof/>
          <w:sz w:val="22"/>
          <w:szCs w:val="22"/>
          <w:lang w:val="en-NZ" w:eastAsia="en-NZ"/>
        </w:rPr>
      </w:pPr>
      <w:r>
        <w:rPr>
          <w:noProof/>
        </w:rPr>
        <w:t>Table 6  Benefit matrix</w:t>
      </w:r>
      <w:r>
        <w:rPr>
          <w:noProof/>
        </w:rPr>
        <w:tab/>
      </w:r>
      <w:r>
        <w:rPr>
          <w:noProof/>
        </w:rPr>
        <w:fldChar w:fldCharType="begin"/>
      </w:r>
      <w:r>
        <w:rPr>
          <w:noProof/>
        </w:rPr>
        <w:instrText xml:space="preserve"> PAGEREF _Toc521064789 \h </w:instrText>
      </w:r>
      <w:r>
        <w:rPr>
          <w:noProof/>
        </w:rPr>
      </w:r>
      <w:r>
        <w:rPr>
          <w:noProof/>
        </w:rPr>
        <w:fldChar w:fldCharType="separate"/>
      </w:r>
      <w:r w:rsidR="002777A8">
        <w:rPr>
          <w:noProof/>
        </w:rPr>
        <w:t>25</w:t>
      </w:r>
      <w:r>
        <w:rPr>
          <w:noProof/>
        </w:rPr>
        <w:fldChar w:fldCharType="end"/>
      </w:r>
    </w:p>
    <w:p w14:paraId="6B6DBE97" w14:textId="77777777" w:rsidR="00CD691E" w:rsidRDefault="00CD691E">
      <w:pPr>
        <w:pStyle w:val="TableofFigures"/>
        <w:rPr>
          <w:rFonts w:asciiTheme="minorHAnsi" w:eastAsiaTheme="minorEastAsia" w:hAnsiTheme="minorHAnsi" w:cstheme="minorBidi"/>
          <w:bCs w:val="0"/>
          <w:noProof/>
          <w:sz w:val="22"/>
          <w:szCs w:val="22"/>
          <w:lang w:val="en-NZ" w:eastAsia="en-NZ"/>
        </w:rPr>
      </w:pPr>
      <w:r>
        <w:rPr>
          <w:noProof/>
        </w:rPr>
        <w:t>Table 7  Case study 1 – Consent compliance values Cambridge WWTP</w:t>
      </w:r>
      <w:r>
        <w:rPr>
          <w:noProof/>
        </w:rPr>
        <w:tab/>
      </w:r>
      <w:r>
        <w:rPr>
          <w:noProof/>
        </w:rPr>
        <w:fldChar w:fldCharType="begin"/>
      </w:r>
      <w:r>
        <w:rPr>
          <w:noProof/>
        </w:rPr>
        <w:instrText xml:space="preserve"> PAGEREF _Toc521064790 \h </w:instrText>
      </w:r>
      <w:r>
        <w:rPr>
          <w:noProof/>
        </w:rPr>
      </w:r>
      <w:r>
        <w:rPr>
          <w:noProof/>
        </w:rPr>
        <w:fldChar w:fldCharType="separate"/>
      </w:r>
      <w:r w:rsidR="002777A8">
        <w:rPr>
          <w:noProof/>
        </w:rPr>
        <w:t>28</w:t>
      </w:r>
      <w:r>
        <w:rPr>
          <w:noProof/>
        </w:rPr>
        <w:fldChar w:fldCharType="end"/>
      </w:r>
    </w:p>
    <w:p w14:paraId="6C359EAA" w14:textId="77777777" w:rsidR="00CD691E" w:rsidRDefault="00CD691E">
      <w:pPr>
        <w:pStyle w:val="TableofFigures"/>
        <w:rPr>
          <w:rFonts w:asciiTheme="minorHAnsi" w:eastAsiaTheme="minorEastAsia" w:hAnsiTheme="minorHAnsi" w:cstheme="minorBidi"/>
          <w:bCs w:val="0"/>
          <w:noProof/>
          <w:sz w:val="22"/>
          <w:szCs w:val="22"/>
          <w:lang w:val="en-NZ" w:eastAsia="en-NZ"/>
        </w:rPr>
      </w:pPr>
      <w:r>
        <w:rPr>
          <w:noProof/>
        </w:rPr>
        <w:t>Table 8  Case study 1 – Predicted capital investment</w:t>
      </w:r>
      <w:r>
        <w:rPr>
          <w:noProof/>
        </w:rPr>
        <w:tab/>
      </w:r>
      <w:r>
        <w:rPr>
          <w:noProof/>
        </w:rPr>
        <w:fldChar w:fldCharType="begin"/>
      </w:r>
      <w:r>
        <w:rPr>
          <w:noProof/>
        </w:rPr>
        <w:instrText xml:space="preserve"> PAGEREF _Toc521064791 \h </w:instrText>
      </w:r>
      <w:r>
        <w:rPr>
          <w:noProof/>
        </w:rPr>
      </w:r>
      <w:r>
        <w:rPr>
          <w:noProof/>
        </w:rPr>
        <w:fldChar w:fldCharType="separate"/>
      </w:r>
      <w:r w:rsidR="002777A8">
        <w:rPr>
          <w:noProof/>
        </w:rPr>
        <w:t>28</w:t>
      </w:r>
      <w:r>
        <w:rPr>
          <w:noProof/>
        </w:rPr>
        <w:fldChar w:fldCharType="end"/>
      </w:r>
    </w:p>
    <w:p w14:paraId="6014CAAE" w14:textId="77777777" w:rsidR="00CD691E" w:rsidRDefault="00CD691E">
      <w:pPr>
        <w:pStyle w:val="TableofFigures"/>
        <w:rPr>
          <w:rFonts w:asciiTheme="minorHAnsi" w:eastAsiaTheme="minorEastAsia" w:hAnsiTheme="minorHAnsi" w:cstheme="minorBidi"/>
          <w:bCs w:val="0"/>
          <w:noProof/>
          <w:sz w:val="22"/>
          <w:szCs w:val="22"/>
          <w:lang w:val="en-NZ" w:eastAsia="en-NZ"/>
        </w:rPr>
      </w:pPr>
      <w:r>
        <w:rPr>
          <w:noProof/>
        </w:rPr>
        <w:t>Table 9  Waipa District Council predicted rates increases</w:t>
      </w:r>
      <w:r>
        <w:rPr>
          <w:noProof/>
        </w:rPr>
        <w:tab/>
      </w:r>
      <w:r>
        <w:rPr>
          <w:noProof/>
        </w:rPr>
        <w:fldChar w:fldCharType="begin"/>
      </w:r>
      <w:r>
        <w:rPr>
          <w:noProof/>
        </w:rPr>
        <w:instrText xml:space="preserve"> PAGEREF _Toc521064792 \h </w:instrText>
      </w:r>
      <w:r>
        <w:rPr>
          <w:noProof/>
        </w:rPr>
      </w:r>
      <w:r>
        <w:rPr>
          <w:noProof/>
        </w:rPr>
        <w:fldChar w:fldCharType="separate"/>
      </w:r>
      <w:r w:rsidR="002777A8">
        <w:rPr>
          <w:noProof/>
        </w:rPr>
        <w:t>29</w:t>
      </w:r>
      <w:r>
        <w:rPr>
          <w:noProof/>
        </w:rPr>
        <w:fldChar w:fldCharType="end"/>
      </w:r>
    </w:p>
    <w:p w14:paraId="18B056D8" w14:textId="77777777" w:rsidR="00CD691E" w:rsidRDefault="00CD691E">
      <w:pPr>
        <w:pStyle w:val="TableofFigures"/>
        <w:rPr>
          <w:rFonts w:asciiTheme="minorHAnsi" w:eastAsiaTheme="minorEastAsia" w:hAnsiTheme="minorHAnsi" w:cstheme="minorBidi"/>
          <w:bCs w:val="0"/>
          <w:noProof/>
          <w:sz w:val="22"/>
          <w:szCs w:val="22"/>
          <w:lang w:val="en-NZ" w:eastAsia="en-NZ"/>
        </w:rPr>
      </w:pPr>
      <w:r>
        <w:rPr>
          <w:noProof/>
        </w:rPr>
        <w:t>Table 10  Case Study 2 Ngatea WWTP performance data</w:t>
      </w:r>
      <w:r>
        <w:rPr>
          <w:noProof/>
        </w:rPr>
        <w:tab/>
      </w:r>
      <w:r>
        <w:rPr>
          <w:noProof/>
        </w:rPr>
        <w:fldChar w:fldCharType="begin"/>
      </w:r>
      <w:r>
        <w:rPr>
          <w:noProof/>
        </w:rPr>
        <w:instrText xml:space="preserve"> PAGEREF _Toc521064793 \h </w:instrText>
      </w:r>
      <w:r>
        <w:rPr>
          <w:noProof/>
        </w:rPr>
      </w:r>
      <w:r>
        <w:rPr>
          <w:noProof/>
        </w:rPr>
        <w:fldChar w:fldCharType="separate"/>
      </w:r>
      <w:r w:rsidR="002777A8">
        <w:rPr>
          <w:noProof/>
        </w:rPr>
        <w:t>31</w:t>
      </w:r>
      <w:r>
        <w:rPr>
          <w:noProof/>
        </w:rPr>
        <w:fldChar w:fldCharType="end"/>
      </w:r>
    </w:p>
    <w:p w14:paraId="400069F2" w14:textId="77777777" w:rsidR="00CD691E" w:rsidRDefault="00CD691E">
      <w:pPr>
        <w:pStyle w:val="TableofFigures"/>
        <w:rPr>
          <w:rFonts w:asciiTheme="minorHAnsi" w:eastAsiaTheme="minorEastAsia" w:hAnsiTheme="minorHAnsi" w:cstheme="minorBidi"/>
          <w:bCs w:val="0"/>
          <w:noProof/>
          <w:sz w:val="22"/>
          <w:szCs w:val="22"/>
          <w:lang w:val="en-NZ" w:eastAsia="en-NZ"/>
        </w:rPr>
      </w:pPr>
      <w:r>
        <w:rPr>
          <w:noProof/>
        </w:rPr>
        <w:t>Table 11  Case study 3 – Wellsford WWTP current and proposed consent conditions</w:t>
      </w:r>
      <w:r>
        <w:rPr>
          <w:noProof/>
        </w:rPr>
        <w:tab/>
      </w:r>
      <w:r>
        <w:rPr>
          <w:noProof/>
        </w:rPr>
        <w:fldChar w:fldCharType="begin"/>
      </w:r>
      <w:r>
        <w:rPr>
          <w:noProof/>
        </w:rPr>
        <w:instrText xml:space="preserve"> PAGEREF _Toc521064794 \h </w:instrText>
      </w:r>
      <w:r>
        <w:rPr>
          <w:noProof/>
        </w:rPr>
      </w:r>
      <w:r>
        <w:rPr>
          <w:noProof/>
        </w:rPr>
        <w:fldChar w:fldCharType="separate"/>
      </w:r>
      <w:r w:rsidR="002777A8">
        <w:rPr>
          <w:noProof/>
        </w:rPr>
        <w:t>34</w:t>
      </w:r>
      <w:r>
        <w:rPr>
          <w:noProof/>
        </w:rPr>
        <w:fldChar w:fldCharType="end"/>
      </w:r>
    </w:p>
    <w:p w14:paraId="6AED3BB5" w14:textId="77777777" w:rsidR="00CD691E" w:rsidRDefault="00CD691E">
      <w:pPr>
        <w:pStyle w:val="TableofFigures"/>
        <w:rPr>
          <w:rFonts w:asciiTheme="minorHAnsi" w:eastAsiaTheme="minorEastAsia" w:hAnsiTheme="minorHAnsi" w:cstheme="minorBidi"/>
          <w:bCs w:val="0"/>
          <w:noProof/>
          <w:sz w:val="22"/>
          <w:szCs w:val="22"/>
          <w:lang w:val="en-NZ" w:eastAsia="en-NZ"/>
        </w:rPr>
      </w:pPr>
      <w:r>
        <w:rPr>
          <w:noProof/>
        </w:rPr>
        <w:t>Table 12 Case study 3 Wellsford WWTP upgrade cost estimates</w:t>
      </w:r>
      <w:r>
        <w:rPr>
          <w:noProof/>
        </w:rPr>
        <w:tab/>
      </w:r>
      <w:r>
        <w:rPr>
          <w:noProof/>
        </w:rPr>
        <w:fldChar w:fldCharType="begin"/>
      </w:r>
      <w:r>
        <w:rPr>
          <w:noProof/>
        </w:rPr>
        <w:instrText xml:space="preserve"> PAGEREF _Toc521064795 \h </w:instrText>
      </w:r>
      <w:r>
        <w:rPr>
          <w:noProof/>
        </w:rPr>
      </w:r>
      <w:r>
        <w:rPr>
          <w:noProof/>
        </w:rPr>
        <w:fldChar w:fldCharType="separate"/>
      </w:r>
      <w:r w:rsidR="002777A8">
        <w:rPr>
          <w:noProof/>
        </w:rPr>
        <w:t>36</w:t>
      </w:r>
      <w:r>
        <w:rPr>
          <w:noProof/>
        </w:rPr>
        <w:fldChar w:fldCharType="end"/>
      </w:r>
    </w:p>
    <w:p w14:paraId="2A1883F2" w14:textId="77777777" w:rsidR="00CD691E" w:rsidRDefault="00CD691E">
      <w:pPr>
        <w:pStyle w:val="TableofFigures"/>
        <w:rPr>
          <w:rFonts w:asciiTheme="minorHAnsi" w:eastAsiaTheme="minorEastAsia" w:hAnsiTheme="minorHAnsi" w:cstheme="minorBidi"/>
          <w:bCs w:val="0"/>
          <w:noProof/>
          <w:sz w:val="22"/>
          <w:szCs w:val="22"/>
          <w:lang w:val="en-NZ" w:eastAsia="en-NZ"/>
        </w:rPr>
      </w:pPr>
      <w:r>
        <w:rPr>
          <w:noProof/>
        </w:rPr>
        <w:t>Table 13  Assessment of treatment process capability to meet Attribute B</w:t>
      </w:r>
      <w:r>
        <w:rPr>
          <w:noProof/>
        </w:rPr>
        <w:tab/>
      </w:r>
      <w:r>
        <w:rPr>
          <w:noProof/>
        </w:rPr>
        <w:fldChar w:fldCharType="begin"/>
      </w:r>
      <w:r>
        <w:rPr>
          <w:noProof/>
        </w:rPr>
        <w:instrText xml:space="preserve"> PAGEREF _Toc521064796 \h </w:instrText>
      </w:r>
      <w:r>
        <w:rPr>
          <w:noProof/>
        </w:rPr>
      </w:r>
      <w:r>
        <w:rPr>
          <w:noProof/>
        </w:rPr>
        <w:fldChar w:fldCharType="separate"/>
      </w:r>
      <w:r w:rsidR="002777A8">
        <w:rPr>
          <w:noProof/>
        </w:rPr>
        <w:t>39</w:t>
      </w:r>
      <w:r>
        <w:rPr>
          <w:noProof/>
        </w:rPr>
        <w:fldChar w:fldCharType="end"/>
      </w:r>
    </w:p>
    <w:p w14:paraId="098A91B1" w14:textId="77777777" w:rsidR="00CD691E" w:rsidRDefault="00CD691E">
      <w:pPr>
        <w:pStyle w:val="TableofFigures"/>
        <w:rPr>
          <w:rFonts w:asciiTheme="minorHAnsi" w:eastAsiaTheme="minorEastAsia" w:hAnsiTheme="minorHAnsi" w:cstheme="minorBidi"/>
          <w:bCs w:val="0"/>
          <w:noProof/>
          <w:sz w:val="22"/>
          <w:szCs w:val="22"/>
          <w:lang w:val="en-NZ" w:eastAsia="en-NZ"/>
        </w:rPr>
      </w:pPr>
      <w:r>
        <w:rPr>
          <w:noProof/>
        </w:rPr>
        <w:t>Table 14  Assumed consenting costs</w:t>
      </w:r>
      <w:r>
        <w:rPr>
          <w:noProof/>
        </w:rPr>
        <w:tab/>
      </w:r>
      <w:r>
        <w:rPr>
          <w:noProof/>
        </w:rPr>
        <w:fldChar w:fldCharType="begin"/>
      </w:r>
      <w:r>
        <w:rPr>
          <w:noProof/>
        </w:rPr>
        <w:instrText xml:space="preserve"> PAGEREF _Toc521064797 \h </w:instrText>
      </w:r>
      <w:r>
        <w:rPr>
          <w:noProof/>
        </w:rPr>
      </w:r>
      <w:r>
        <w:rPr>
          <w:noProof/>
        </w:rPr>
        <w:fldChar w:fldCharType="separate"/>
      </w:r>
      <w:r w:rsidR="002777A8">
        <w:rPr>
          <w:noProof/>
        </w:rPr>
        <w:t>42</w:t>
      </w:r>
      <w:r>
        <w:rPr>
          <w:noProof/>
        </w:rPr>
        <w:fldChar w:fldCharType="end"/>
      </w:r>
    </w:p>
    <w:p w14:paraId="2403DE50" w14:textId="77777777" w:rsidR="00CD691E" w:rsidRDefault="00CD691E">
      <w:pPr>
        <w:pStyle w:val="TableofFigures"/>
        <w:rPr>
          <w:rFonts w:asciiTheme="minorHAnsi" w:eastAsiaTheme="minorEastAsia" w:hAnsiTheme="minorHAnsi" w:cstheme="minorBidi"/>
          <w:bCs w:val="0"/>
          <w:noProof/>
          <w:sz w:val="22"/>
          <w:szCs w:val="22"/>
          <w:lang w:val="en-NZ" w:eastAsia="en-NZ"/>
        </w:rPr>
      </w:pPr>
      <w:r>
        <w:rPr>
          <w:noProof/>
        </w:rPr>
        <w:t>Table 15  Summary of WWTP upgrade costs to meet B Attribute target of NPS Freshwater at the WWTP by WWTP Size</w:t>
      </w:r>
      <w:r>
        <w:rPr>
          <w:noProof/>
        </w:rPr>
        <w:tab/>
      </w:r>
      <w:r>
        <w:rPr>
          <w:noProof/>
        </w:rPr>
        <w:fldChar w:fldCharType="begin"/>
      </w:r>
      <w:r>
        <w:rPr>
          <w:noProof/>
        </w:rPr>
        <w:instrText xml:space="preserve"> PAGEREF _Toc521064798 \h </w:instrText>
      </w:r>
      <w:r>
        <w:rPr>
          <w:noProof/>
        </w:rPr>
      </w:r>
      <w:r>
        <w:rPr>
          <w:noProof/>
        </w:rPr>
        <w:fldChar w:fldCharType="separate"/>
      </w:r>
      <w:r w:rsidR="002777A8">
        <w:rPr>
          <w:noProof/>
        </w:rPr>
        <w:t>45</w:t>
      </w:r>
      <w:r>
        <w:rPr>
          <w:noProof/>
        </w:rPr>
        <w:fldChar w:fldCharType="end"/>
      </w:r>
    </w:p>
    <w:p w14:paraId="43746094" w14:textId="77777777" w:rsidR="00CD691E" w:rsidRDefault="00CD691E">
      <w:pPr>
        <w:pStyle w:val="TableofFigures"/>
        <w:rPr>
          <w:rFonts w:asciiTheme="minorHAnsi" w:eastAsiaTheme="minorEastAsia" w:hAnsiTheme="minorHAnsi" w:cstheme="minorBidi"/>
          <w:bCs w:val="0"/>
          <w:noProof/>
          <w:sz w:val="22"/>
          <w:szCs w:val="22"/>
          <w:lang w:val="en-NZ" w:eastAsia="en-NZ"/>
        </w:rPr>
      </w:pPr>
      <w:r>
        <w:rPr>
          <w:noProof/>
        </w:rPr>
        <w:t>Table 16  Summary of WWTP upgrade costs to meet B Attribute target of NPS Freshwater at the WWTP –</w:t>
      </w:r>
      <w:r>
        <w:rPr>
          <w:noProof/>
        </w:rPr>
        <w:tab/>
      </w:r>
      <w:r>
        <w:rPr>
          <w:noProof/>
        </w:rPr>
        <w:fldChar w:fldCharType="begin"/>
      </w:r>
      <w:r>
        <w:rPr>
          <w:noProof/>
        </w:rPr>
        <w:instrText xml:space="preserve"> PAGEREF _Toc521064799 \h </w:instrText>
      </w:r>
      <w:r>
        <w:rPr>
          <w:noProof/>
        </w:rPr>
      </w:r>
      <w:r>
        <w:rPr>
          <w:noProof/>
        </w:rPr>
        <w:fldChar w:fldCharType="separate"/>
      </w:r>
      <w:r w:rsidR="002777A8">
        <w:rPr>
          <w:noProof/>
        </w:rPr>
        <w:t>46</w:t>
      </w:r>
      <w:r>
        <w:rPr>
          <w:noProof/>
        </w:rPr>
        <w:fldChar w:fldCharType="end"/>
      </w:r>
    </w:p>
    <w:p w14:paraId="62A9EC79" w14:textId="77777777" w:rsidR="00CD691E" w:rsidRDefault="00CD691E">
      <w:pPr>
        <w:pStyle w:val="TableofFigures"/>
        <w:rPr>
          <w:rFonts w:asciiTheme="minorHAnsi" w:eastAsiaTheme="minorEastAsia" w:hAnsiTheme="minorHAnsi" w:cstheme="minorBidi"/>
          <w:bCs w:val="0"/>
          <w:noProof/>
          <w:sz w:val="22"/>
          <w:szCs w:val="22"/>
          <w:lang w:val="en-NZ" w:eastAsia="en-NZ"/>
        </w:rPr>
      </w:pPr>
      <w:r>
        <w:rPr>
          <w:noProof/>
        </w:rPr>
        <w:t>Table 17  Contribution based estimate of capital cost to upgrade WWTPs discharging to freshwater to meet NPS Freshwater Attribute B State</w:t>
      </w:r>
      <w:r>
        <w:rPr>
          <w:noProof/>
        </w:rPr>
        <w:tab/>
      </w:r>
      <w:r>
        <w:rPr>
          <w:noProof/>
        </w:rPr>
        <w:fldChar w:fldCharType="begin"/>
      </w:r>
      <w:r>
        <w:rPr>
          <w:noProof/>
        </w:rPr>
        <w:instrText xml:space="preserve"> PAGEREF _Toc521064800 \h </w:instrText>
      </w:r>
      <w:r>
        <w:rPr>
          <w:noProof/>
        </w:rPr>
      </w:r>
      <w:r>
        <w:rPr>
          <w:noProof/>
        </w:rPr>
        <w:fldChar w:fldCharType="separate"/>
      </w:r>
      <w:r w:rsidR="002777A8">
        <w:rPr>
          <w:noProof/>
        </w:rPr>
        <w:t>47</w:t>
      </w:r>
      <w:r>
        <w:rPr>
          <w:noProof/>
        </w:rPr>
        <w:fldChar w:fldCharType="end"/>
      </w:r>
    </w:p>
    <w:p w14:paraId="2BE1CE93" w14:textId="77777777" w:rsidR="00CD691E" w:rsidRDefault="00CD691E">
      <w:pPr>
        <w:pStyle w:val="TableofFigures"/>
        <w:rPr>
          <w:rFonts w:asciiTheme="minorHAnsi" w:eastAsiaTheme="minorEastAsia" w:hAnsiTheme="minorHAnsi" w:cstheme="minorBidi"/>
          <w:bCs w:val="0"/>
          <w:noProof/>
          <w:sz w:val="22"/>
          <w:szCs w:val="22"/>
          <w:lang w:val="en-NZ" w:eastAsia="en-NZ"/>
        </w:rPr>
      </w:pPr>
      <w:r>
        <w:rPr>
          <w:noProof/>
        </w:rPr>
        <w:t>Table 18  Summary of WWTP upgrade costs to meet B Attribute target of NPS Freshwater by region for large contributing plants</w:t>
      </w:r>
      <w:r>
        <w:rPr>
          <w:noProof/>
        </w:rPr>
        <w:tab/>
      </w:r>
      <w:r>
        <w:rPr>
          <w:noProof/>
        </w:rPr>
        <w:fldChar w:fldCharType="begin"/>
      </w:r>
      <w:r>
        <w:rPr>
          <w:noProof/>
        </w:rPr>
        <w:instrText xml:space="preserve"> PAGEREF _Toc521064801 \h </w:instrText>
      </w:r>
      <w:r>
        <w:rPr>
          <w:noProof/>
        </w:rPr>
      </w:r>
      <w:r>
        <w:rPr>
          <w:noProof/>
        </w:rPr>
        <w:fldChar w:fldCharType="separate"/>
      </w:r>
      <w:r w:rsidR="002777A8">
        <w:rPr>
          <w:noProof/>
        </w:rPr>
        <w:t>48</w:t>
      </w:r>
      <w:r>
        <w:rPr>
          <w:noProof/>
        </w:rPr>
        <w:fldChar w:fldCharType="end"/>
      </w:r>
    </w:p>
    <w:p w14:paraId="10BEB778" w14:textId="77777777" w:rsidR="00CD691E" w:rsidRDefault="00CD691E">
      <w:pPr>
        <w:pStyle w:val="TableofFigures"/>
        <w:rPr>
          <w:rFonts w:asciiTheme="minorHAnsi" w:eastAsiaTheme="minorEastAsia" w:hAnsiTheme="minorHAnsi" w:cstheme="minorBidi"/>
          <w:bCs w:val="0"/>
          <w:noProof/>
          <w:sz w:val="22"/>
          <w:szCs w:val="22"/>
          <w:lang w:val="en-NZ" w:eastAsia="en-NZ"/>
        </w:rPr>
      </w:pPr>
      <w:r>
        <w:rPr>
          <w:noProof/>
        </w:rPr>
        <w:t>Table 19  Summary of WWTP upgrade costs to meet B Attribute target of NPS Freshwater by region for moderate contributing plants</w:t>
      </w:r>
      <w:r>
        <w:rPr>
          <w:noProof/>
        </w:rPr>
        <w:tab/>
      </w:r>
      <w:r>
        <w:rPr>
          <w:noProof/>
        </w:rPr>
        <w:fldChar w:fldCharType="begin"/>
      </w:r>
      <w:r>
        <w:rPr>
          <w:noProof/>
        </w:rPr>
        <w:instrText xml:space="preserve"> PAGEREF _Toc521064802 \h </w:instrText>
      </w:r>
      <w:r>
        <w:rPr>
          <w:noProof/>
        </w:rPr>
      </w:r>
      <w:r>
        <w:rPr>
          <w:noProof/>
        </w:rPr>
        <w:fldChar w:fldCharType="separate"/>
      </w:r>
      <w:r w:rsidR="002777A8">
        <w:rPr>
          <w:noProof/>
        </w:rPr>
        <w:t>49</w:t>
      </w:r>
      <w:r>
        <w:rPr>
          <w:noProof/>
        </w:rPr>
        <w:fldChar w:fldCharType="end"/>
      </w:r>
    </w:p>
    <w:p w14:paraId="7F9136CE" w14:textId="77777777" w:rsidR="00CD691E" w:rsidRDefault="00CD691E">
      <w:pPr>
        <w:pStyle w:val="TableofFigures"/>
        <w:rPr>
          <w:rFonts w:asciiTheme="minorHAnsi" w:eastAsiaTheme="minorEastAsia" w:hAnsiTheme="minorHAnsi" w:cstheme="minorBidi"/>
          <w:bCs w:val="0"/>
          <w:noProof/>
          <w:sz w:val="22"/>
          <w:szCs w:val="22"/>
          <w:lang w:val="en-NZ" w:eastAsia="en-NZ"/>
        </w:rPr>
      </w:pPr>
      <w:r>
        <w:rPr>
          <w:noProof/>
        </w:rPr>
        <w:t>Table 20  Summary of WWTP upgrade costs to meet B Attribute target of NPS Freshwater by region for small contributing plants</w:t>
      </w:r>
      <w:r>
        <w:rPr>
          <w:noProof/>
        </w:rPr>
        <w:tab/>
      </w:r>
      <w:r>
        <w:rPr>
          <w:noProof/>
        </w:rPr>
        <w:fldChar w:fldCharType="begin"/>
      </w:r>
      <w:r>
        <w:rPr>
          <w:noProof/>
        </w:rPr>
        <w:instrText xml:space="preserve"> PAGEREF _Toc521064803 \h </w:instrText>
      </w:r>
      <w:r>
        <w:rPr>
          <w:noProof/>
        </w:rPr>
      </w:r>
      <w:r>
        <w:rPr>
          <w:noProof/>
        </w:rPr>
        <w:fldChar w:fldCharType="separate"/>
      </w:r>
      <w:r w:rsidR="002777A8">
        <w:rPr>
          <w:noProof/>
        </w:rPr>
        <w:t>50</w:t>
      </w:r>
      <w:r>
        <w:rPr>
          <w:noProof/>
        </w:rPr>
        <w:fldChar w:fldCharType="end"/>
      </w:r>
    </w:p>
    <w:p w14:paraId="00F0703B" w14:textId="77777777" w:rsidR="00CD691E" w:rsidRDefault="00CD691E">
      <w:pPr>
        <w:pStyle w:val="TableofFigures"/>
        <w:rPr>
          <w:rFonts w:asciiTheme="minorHAnsi" w:eastAsiaTheme="minorEastAsia" w:hAnsiTheme="minorHAnsi" w:cstheme="minorBidi"/>
          <w:bCs w:val="0"/>
          <w:noProof/>
          <w:sz w:val="22"/>
          <w:szCs w:val="22"/>
          <w:lang w:val="en-NZ" w:eastAsia="en-NZ"/>
        </w:rPr>
      </w:pPr>
      <w:r>
        <w:rPr>
          <w:noProof/>
        </w:rPr>
        <w:t xml:space="preserve">Table 21  Estimated UV upgrade expenses for WWTPs discharging to environments failing the NPS-FW B standard for </w:t>
      </w:r>
      <w:r w:rsidRPr="00B02D90">
        <w:rPr>
          <w:i/>
          <w:noProof/>
        </w:rPr>
        <w:t>E.coli</w:t>
      </w:r>
      <w:r>
        <w:rPr>
          <w:noProof/>
        </w:rPr>
        <w:t>.</w:t>
      </w:r>
      <w:r>
        <w:rPr>
          <w:noProof/>
        </w:rPr>
        <w:tab/>
      </w:r>
      <w:r>
        <w:rPr>
          <w:noProof/>
        </w:rPr>
        <w:fldChar w:fldCharType="begin"/>
      </w:r>
      <w:r>
        <w:rPr>
          <w:noProof/>
        </w:rPr>
        <w:instrText xml:space="preserve"> PAGEREF _Toc521064804 \h </w:instrText>
      </w:r>
      <w:r>
        <w:rPr>
          <w:noProof/>
        </w:rPr>
      </w:r>
      <w:r>
        <w:rPr>
          <w:noProof/>
        </w:rPr>
        <w:fldChar w:fldCharType="separate"/>
      </w:r>
      <w:r w:rsidR="002777A8">
        <w:rPr>
          <w:noProof/>
        </w:rPr>
        <w:t>52</w:t>
      </w:r>
      <w:r>
        <w:rPr>
          <w:noProof/>
        </w:rPr>
        <w:fldChar w:fldCharType="end"/>
      </w:r>
    </w:p>
    <w:p w14:paraId="230E306C" w14:textId="77777777" w:rsidR="00CD691E" w:rsidRDefault="00CD691E">
      <w:pPr>
        <w:pStyle w:val="TableofFigures"/>
        <w:rPr>
          <w:rFonts w:asciiTheme="minorHAnsi" w:eastAsiaTheme="minorEastAsia" w:hAnsiTheme="minorHAnsi" w:cstheme="minorBidi"/>
          <w:bCs w:val="0"/>
          <w:noProof/>
          <w:sz w:val="22"/>
          <w:szCs w:val="22"/>
          <w:lang w:val="en-NZ" w:eastAsia="en-NZ"/>
        </w:rPr>
      </w:pPr>
      <w:r>
        <w:rPr>
          <w:noProof/>
        </w:rPr>
        <w:t>Table 22  Estimated Cost to meet consent compliance Waikato Region</w:t>
      </w:r>
      <w:r>
        <w:rPr>
          <w:noProof/>
        </w:rPr>
        <w:tab/>
      </w:r>
      <w:r>
        <w:rPr>
          <w:noProof/>
        </w:rPr>
        <w:fldChar w:fldCharType="begin"/>
      </w:r>
      <w:r>
        <w:rPr>
          <w:noProof/>
        </w:rPr>
        <w:instrText xml:space="preserve"> PAGEREF _Toc521064805 \h </w:instrText>
      </w:r>
      <w:r>
        <w:rPr>
          <w:noProof/>
        </w:rPr>
      </w:r>
      <w:r>
        <w:rPr>
          <w:noProof/>
        </w:rPr>
        <w:fldChar w:fldCharType="separate"/>
      </w:r>
      <w:r w:rsidR="002777A8">
        <w:rPr>
          <w:noProof/>
        </w:rPr>
        <w:t>53</w:t>
      </w:r>
      <w:r>
        <w:rPr>
          <w:noProof/>
        </w:rPr>
        <w:fldChar w:fldCharType="end"/>
      </w:r>
    </w:p>
    <w:p w14:paraId="7264606C" w14:textId="77777777" w:rsidR="004F51E5" w:rsidRDefault="005867CA" w:rsidP="006134E8">
      <w:pPr>
        <w:pStyle w:val="TableofFigures"/>
        <w:ind w:left="0" w:firstLine="0"/>
      </w:pPr>
      <w:r w:rsidRPr="006D449C">
        <w:lastRenderedPageBreak/>
        <w:fldChar w:fldCharType="end"/>
      </w:r>
    </w:p>
    <w:p w14:paraId="0FD3F5A1" w14:textId="77777777" w:rsidR="002C28B0" w:rsidRPr="00BC4E63" w:rsidRDefault="00F84A04" w:rsidP="002C28B0">
      <w:pPr>
        <w:pStyle w:val="Heading1-NoTOC"/>
        <w:rPr>
          <w:rFonts w:ascii="Times New Roman" w:hAnsi="Times New Roman"/>
          <w:bCs/>
          <w:szCs w:val="20"/>
        </w:rPr>
      </w:pPr>
      <w:r w:rsidRPr="00BC4E63">
        <w:t>Figure i</w:t>
      </w:r>
      <w:r w:rsidR="002C28B0" w:rsidRPr="00BC4E63">
        <w:t>ndex</w:t>
      </w:r>
    </w:p>
    <w:p w14:paraId="5182C9E0" w14:textId="77777777" w:rsidR="00CD691E" w:rsidRDefault="005867CA">
      <w:pPr>
        <w:pStyle w:val="TableofFigures"/>
        <w:rPr>
          <w:rFonts w:asciiTheme="minorHAnsi" w:eastAsiaTheme="minorEastAsia" w:hAnsiTheme="minorHAnsi" w:cstheme="minorBidi"/>
          <w:bCs w:val="0"/>
          <w:noProof/>
          <w:sz w:val="22"/>
          <w:szCs w:val="22"/>
          <w:lang w:val="en-NZ" w:eastAsia="en-NZ"/>
        </w:rPr>
      </w:pPr>
      <w:r w:rsidRPr="00BC4E63">
        <w:fldChar w:fldCharType="begin"/>
      </w:r>
      <w:r w:rsidRPr="00BC4E63">
        <w:instrText xml:space="preserve"> TOC \c "Figure" </w:instrText>
      </w:r>
      <w:r w:rsidRPr="00BC4E63">
        <w:fldChar w:fldCharType="separate"/>
      </w:r>
      <w:r w:rsidR="00CD691E">
        <w:rPr>
          <w:noProof/>
        </w:rPr>
        <w:t>Figure 1  Assessment process to identify WWTP upgrades</w:t>
      </w:r>
      <w:r w:rsidR="00CD691E">
        <w:rPr>
          <w:noProof/>
        </w:rPr>
        <w:tab/>
      </w:r>
      <w:r w:rsidR="00CD691E">
        <w:rPr>
          <w:noProof/>
        </w:rPr>
        <w:fldChar w:fldCharType="begin"/>
      </w:r>
      <w:r w:rsidR="00CD691E">
        <w:rPr>
          <w:noProof/>
        </w:rPr>
        <w:instrText xml:space="preserve"> PAGEREF _Toc521064806 \h </w:instrText>
      </w:r>
      <w:r w:rsidR="00CD691E">
        <w:rPr>
          <w:noProof/>
        </w:rPr>
      </w:r>
      <w:r w:rsidR="00CD691E">
        <w:rPr>
          <w:noProof/>
        </w:rPr>
        <w:fldChar w:fldCharType="separate"/>
      </w:r>
      <w:r w:rsidR="002777A8">
        <w:rPr>
          <w:noProof/>
        </w:rPr>
        <w:t>8</w:t>
      </w:r>
      <w:r w:rsidR="00CD691E">
        <w:rPr>
          <w:noProof/>
        </w:rPr>
        <w:fldChar w:fldCharType="end"/>
      </w:r>
    </w:p>
    <w:p w14:paraId="21876C8B" w14:textId="77777777" w:rsidR="00CD691E" w:rsidRDefault="00CD691E">
      <w:pPr>
        <w:pStyle w:val="TableofFigures"/>
        <w:rPr>
          <w:rFonts w:asciiTheme="minorHAnsi" w:eastAsiaTheme="minorEastAsia" w:hAnsiTheme="minorHAnsi" w:cstheme="minorBidi"/>
          <w:bCs w:val="0"/>
          <w:noProof/>
          <w:sz w:val="22"/>
          <w:szCs w:val="22"/>
          <w:lang w:val="en-NZ" w:eastAsia="en-NZ"/>
        </w:rPr>
      </w:pPr>
      <w:r>
        <w:rPr>
          <w:noProof/>
        </w:rPr>
        <w:t>Figure 2  Spatial location of WWTPs</w:t>
      </w:r>
      <w:r>
        <w:rPr>
          <w:noProof/>
        </w:rPr>
        <w:tab/>
      </w:r>
      <w:r>
        <w:rPr>
          <w:noProof/>
        </w:rPr>
        <w:fldChar w:fldCharType="begin"/>
      </w:r>
      <w:r>
        <w:rPr>
          <w:noProof/>
        </w:rPr>
        <w:instrText xml:space="preserve"> PAGEREF _Toc521064807 \h </w:instrText>
      </w:r>
      <w:r>
        <w:rPr>
          <w:noProof/>
        </w:rPr>
      </w:r>
      <w:r>
        <w:rPr>
          <w:noProof/>
        </w:rPr>
        <w:fldChar w:fldCharType="separate"/>
      </w:r>
      <w:r w:rsidR="002777A8">
        <w:rPr>
          <w:noProof/>
        </w:rPr>
        <w:t>11</w:t>
      </w:r>
      <w:r>
        <w:rPr>
          <w:noProof/>
        </w:rPr>
        <w:fldChar w:fldCharType="end"/>
      </w:r>
    </w:p>
    <w:p w14:paraId="635BE5FD" w14:textId="77777777" w:rsidR="00CD691E" w:rsidRDefault="00CD691E">
      <w:pPr>
        <w:pStyle w:val="TableofFigures"/>
        <w:rPr>
          <w:rFonts w:asciiTheme="minorHAnsi" w:eastAsiaTheme="minorEastAsia" w:hAnsiTheme="minorHAnsi" w:cstheme="minorBidi"/>
          <w:bCs w:val="0"/>
          <w:noProof/>
          <w:sz w:val="22"/>
          <w:szCs w:val="22"/>
          <w:lang w:val="en-NZ" w:eastAsia="en-NZ"/>
        </w:rPr>
      </w:pPr>
      <w:r>
        <w:rPr>
          <w:noProof/>
        </w:rPr>
        <w:t>Figure 3  Data source map</w:t>
      </w:r>
      <w:r>
        <w:rPr>
          <w:noProof/>
        </w:rPr>
        <w:tab/>
      </w:r>
      <w:r>
        <w:rPr>
          <w:noProof/>
        </w:rPr>
        <w:fldChar w:fldCharType="begin"/>
      </w:r>
      <w:r>
        <w:rPr>
          <w:noProof/>
        </w:rPr>
        <w:instrText xml:space="preserve"> PAGEREF _Toc521064808 \h </w:instrText>
      </w:r>
      <w:r>
        <w:rPr>
          <w:noProof/>
        </w:rPr>
      </w:r>
      <w:r>
        <w:rPr>
          <w:noProof/>
        </w:rPr>
        <w:fldChar w:fldCharType="separate"/>
      </w:r>
      <w:r w:rsidR="002777A8">
        <w:rPr>
          <w:noProof/>
        </w:rPr>
        <w:t>12</w:t>
      </w:r>
      <w:r>
        <w:rPr>
          <w:noProof/>
        </w:rPr>
        <w:fldChar w:fldCharType="end"/>
      </w:r>
    </w:p>
    <w:p w14:paraId="5792FE6A" w14:textId="77777777" w:rsidR="00CD691E" w:rsidRDefault="00CD691E">
      <w:pPr>
        <w:pStyle w:val="TableofFigures"/>
        <w:rPr>
          <w:rFonts w:asciiTheme="minorHAnsi" w:eastAsiaTheme="minorEastAsia" w:hAnsiTheme="minorHAnsi" w:cstheme="minorBidi"/>
          <w:bCs w:val="0"/>
          <w:noProof/>
          <w:sz w:val="22"/>
          <w:szCs w:val="22"/>
          <w:lang w:val="en-NZ" w:eastAsia="en-NZ"/>
        </w:rPr>
      </w:pPr>
      <w:r>
        <w:rPr>
          <w:noProof/>
        </w:rPr>
        <w:t>Figure 4  Discharge classifications for all council owned WWTPs in New Zealand</w:t>
      </w:r>
      <w:r>
        <w:rPr>
          <w:noProof/>
        </w:rPr>
        <w:tab/>
      </w:r>
      <w:r>
        <w:rPr>
          <w:noProof/>
        </w:rPr>
        <w:fldChar w:fldCharType="begin"/>
      </w:r>
      <w:r>
        <w:rPr>
          <w:noProof/>
        </w:rPr>
        <w:instrText xml:space="preserve"> PAGEREF _Toc521064809 \h </w:instrText>
      </w:r>
      <w:r>
        <w:rPr>
          <w:noProof/>
        </w:rPr>
      </w:r>
      <w:r>
        <w:rPr>
          <w:noProof/>
        </w:rPr>
        <w:fldChar w:fldCharType="separate"/>
      </w:r>
      <w:r w:rsidR="002777A8">
        <w:rPr>
          <w:noProof/>
        </w:rPr>
        <w:t>14</w:t>
      </w:r>
      <w:r>
        <w:rPr>
          <w:noProof/>
        </w:rPr>
        <w:fldChar w:fldCharType="end"/>
      </w:r>
    </w:p>
    <w:p w14:paraId="3D370ABD" w14:textId="77777777" w:rsidR="00CD691E" w:rsidRDefault="00CD691E">
      <w:pPr>
        <w:pStyle w:val="TableofFigures"/>
        <w:rPr>
          <w:rFonts w:asciiTheme="minorHAnsi" w:eastAsiaTheme="minorEastAsia" w:hAnsiTheme="minorHAnsi" w:cstheme="minorBidi"/>
          <w:bCs w:val="0"/>
          <w:noProof/>
          <w:sz w:val="22"/>
          <w:szCs w:val="22"/>
          <w:lang w:val="en-NZ" w:eastAsia="en-NZ"/>
        </w:rPr>
      </w:pPr>
      <w:r>
        <w:rPr>
          <w:noProof/>
        </w:rPr>
        <w:t>Figure 5  WWTP and LAWA site matching</w:t>
      </w:r>
      <w:r>
        <w:rPr>
          <w:noProof/>
        </w:rPr>
        <w:tab/>
      </w:r>
      <w:r>
        <w:rPr>
          <w:noProof/>
        </w:rPr>
        <w:fldChar w:fldCharType="begin"/>
      </w:r>
      <w:r>
        <w:rPr>
          <w:noProof/>
        </w:rPr>
        <w:instrText xml:space="preserve"> PAGEREF _Toc521064810 \h </w:instrText>
      </w:r>
      <w:r>
        <w:rPr>
          <w:noProof/>
        </w:rPr>
      </w:r>
      <w:r>
        <w:rPr>
          <w:noProof/>
        </w:rPr>
        <w:fldChar w:fldCharType="separate"/>
      </w:r>
      <w:r w:rsidR="002777A8">
        <w:rPr>
          <w:noProof/>
        </w:rPr>
        <w:t>20</w:t>
      </w:r>
      <w:r>
        <w:rPr>
          <w:noProof/>
        </w:rPr>
        <w:fldChar w:fldCharType="end"/>
      </w:r>
    </w:p>
    <w:p w14:paraId="03A3D386" w14:textId="77777777" w:rsidR="00CD691E" w:rsidRDefault="00CD691E">
      <w:pPr>
        <w:pStyle w:val="TableofFigures"/>
        <w:rPr>
          <w:rFonts w:asciiTheme="minorHAnsi" w:eastAsiaTheme="minorEastAsia" w:hAnsiTheme="minorHAnsi" w:cstheme="minorBidi"/>
          <w:bCs w:val="0"/>
          <w:noProof/>
          <w:sz w:val="22"/>
          <w:szCs w:val="22"/>
          <w:lang w:val="en-NZ" w:eastAsia="en-NZ"/>
        </w:rPr>
      </w:pPr>
      <w:r>
        <w:rPr>
          <w:noProof/>
        </w:rPr>
        <w:t xml:space="preserve">Figure </w:t>
      </w:r>
      <w:r w:rsidRPr="00F01C93">
        <w:rPr>
          <w:bCs w:val="0"/>
          <w:noProof/>
        </w:rPr>
        <w:t>6</w:t>
      </w:r>
      <w:r>
        <w:rPr>
          <w:noProof/>
        </w:rPr>
        <w:t xml:space="preserve">  Receiving water quality as NPS freshwater attribute states</w:t>
      </w:r>
      <w:r>
        <w:rPr>
          <w:noProof/>
        </w:rPr>
        <w:tab/>
      </w:r>
      <w:r>
        <w:rPr>
          <w:noProof/>
        </w:rPr>
        <w:fldChar w:fldCharType="begin"/>
      </w:r>
      <w:r>
        <w:rPr>
          <w:noProof/>
        </w:rPr>
        <w:instrText xml:space="preserve"> PAGEREF _Toc521064811 \h </w:instrText>
      </w:r>
      <w:r>
        <w:rPr>
          <w:noProof/>
        </w:rPr>
      </w:r>
      <w:r>
        <w:rPr>
          <w:noProof/>
        </w:rPr>
        <w:fldChar w:fldCharType="separate"/>
      </w:r>
      <w:r w:rsidR="002777A8">
        <w:rPr>
          <w:noProof/>
        </w:rPr>
        <w:t>21</w:t>
      </w:r>
      <w:r>
        <w:rPr>
          <w:noProof/>
        </w:rPr>
        <w:fldChar w:fldCharType="end"/>
      </w:r>
    </w:p>
    <w:p w14:paraId="3EF66D82" w14:textId="77777777" w:rsidR="00CD691E" w:rsidRDefault="00CD691E">
      <w:pPr>
        <w:pStyle w:val="TableofFigures"/>
        <w:rPr>
          <w:rFonts w:asciiTheme="minorHAnsi" w:eastAsiaTheme="minorEastAsia" w:hAnsiTheme="minorHAnsi" w:cstheme="minorBidi"/>
          <w:bCs w:val="0"/>
          <w:noProof/>
          <w:sz w:val="22"/>
          <w:szCs w:val="22"/>
          <w:lang w:val="en-NZ" w:eastAsia="en-NZ"/>
        </w:rPr>
      </w:pPr>
      <w:r>
        <w:rPr>
          <w:noProof/>
        </w:rPr>
        <w:t>Figure 7  Land use nutrient source assessment example</w:t>
      </w:r>
      <w:r>
        <w:rPr>
          <w:noProof/>
        </w:rPr>
        <w:tab/>
      </w:r>
      <w:r>
        <w:rPr>
          <w:noProof/>
        </w:rPr>
        <w:fldChar w:fldCharType="begin"/>
      </w:r>
      <w:r>
        <w:rPr>
          <w:noProof/>
        </w:rPr>
        <w:instrText xml:space="preserve"> PAGEREF _Toc521064812 \h </w:instrText>
      </w:r>
      <w:r>
        <w:rPr>
          <w:noProof/>
        </w:rPr>
      </w:r>
      <w:r>
        <w:rPr>
          <w:noProof/>
        </w:rPr>
        <w:fldChar w:fldCharType="separate"/>
      </w:r>
      <w:r w:rsidR="002777A8">
        <w:rPr>
          <w:noProof/>
        </w:rPr>
        <w:t>23</w:t>
      </w:r>
      <w:r>
        <w:rPr>
          <w:noProof/>
        </w:rPr>
        <w:fldChar w:fldCharType="end"/>
      </w:r>
    </w:p>
    <w:p w14:paraId="0ED3E60D" w14:textId="77777777" w:rsidR="00CD691E" w:rsidRDefault="00CD691E">
      <w:pPr>
        <w:pStyle w:val="TableofFigures"/>
        <w:rPr>
          <w:rFonts w:asciiTheme="minorHAnsi" w:eastAsiaTheme="minorEastAsia" w:hAnsiTheme="minorHAnsi" w:cstheme="minorBidi"/>
          <w:bCs w:val="0"/>
          <w:noProof/>
          <w:sz w:val="22"/>
          <w:szCs w:val="22"/>
          <w:lang w:val="en-NZ" w:eastAsia="en-NZ"/>
        </w:rPr>
      </w:pPr>
      <w:r>
        <w:rPr>
          <w:noProof/>
        </w:rPr>
        <w:t>Figure 8  Catchment definitions example (catchments of order &lt; 3 not shown)</w:t>
      </w:r>
      <w:r>
        <w:rPr>
          <w:noProof/>
        </w:rPr>
        <w:tab/>
      </w:r>
      <w:r>
        <w:rPr>
          <w:noProof/>
        </w:rPr>
        <w:fldChar w:fldCharType="begin"/>
      </w:r>
      <w:r>
        <w:rPr>
          <w:noProof/>
        </w:rPr>
        <w:instrText xml:space="preserve"> PAGEREF _Toc521064813 \h </w:instrText>
      </w:r>
      <w:r>
        <w:rPr>
          <w:noProof/>
        </w:rPr>
      </w:r>
      <w:r>
        <w:rPr>
          <w:noProof/>
        </w:rPr>
        <w:fldChar w:fldCharType="separate"/>
      </w:r>
      <w:r w:rsidR="002777A8">
        <w:rPr>
          <w:noProof/>
        </w:rPr>
        <w:t>24</w:t>
      </w:r>
      <w:r>
        <w:rPr>
          <w:noProof/>
        </w:rPr>
        <w:fldChar w:fldCharType="end"/>
      </w:r>
    </w:p>
    <w:p w14:paraId="722D41AF" w14:textId="77777777" w:rsidR="00CD691E" w:rsidRDefault="00CD691E">
      <w:pPr>
        <w:pStyle w:val="TableofFigures"/>
        <w:rPr>
          <w:rFonts w:asciiTheme="minorHAnsi" w:eastAsiaTheme="minorEastAsia" w:hAnsiTheme="minorHAnsi" w:cstheme="minorBidi"/>
          <w:bCs w:val="0"/>
          <w:noProof/>
          <w:sz w:val="22"/>
          <w:szCs w:val="22"/>
          <w:lang w:val="en-NZ" w:eastAsia="en-NZ"/>
        </w:rPr>
      </w:pPr>
      <w:r>
        <w:rPr>
          <w:noProof/>
        </w:rPr>
        <w:t>Figure 9  Cambridge WWTP schematic</w:t>
      </w:r>
      <w:r>
        <w:rPr>
          <w:noProof/>
        </w:rPr>
        <w:tab/>
      </w:r>
      <w:r>
        <w:rPr>
          <w:noProof/>
        </w:rPr>
        <w:fldChar w:fldCharType="begin"/>
      </w:r>
      <w:r>
        <w:rPr>
          <w:noProof/>
        </w:rPr>
        <w:instrText xml:space="preserve"> PAGEREF _Toc521064814 \h </w:instrText>
      </w:r>
      <w:r>
        <w:rPr>
          <w:noProof/>
        </w:rPr>
      </w:r>
      <w:r>
        <w:rPr>
          <w:noProof/>
        </w:rPr>
        <w:fldChar w:fldCharType="separate"/>
      </w:r>
      <w:r w:rsidR="002777A8">
        <w:rPr>
          <w:noProof/>
        </w:rPr>
        <w:t>27</w:t>
      </w:r>
      <w:r>
        <w:rPr>
          <w:noProof/>
        </w:rPr>
        <w:fldChar w:fldCharType="end"/>
      </w:r>
    </w:p>
    <w:p w14:paraId="4D3DC2EC" w14:textId="77777777" w:rsidR="00CD691E" w:rsidRDefault="00CD691E">
      <w:pPr>
        <w:pStyle w:val="TableofFigures"/>
        <w:rPr>
          <w:rFonts w:asciiTheme="minorHAnsi" w:eastAsiaTheme="minorEastAsia" w:hAnsiTheme="minorHAnsi" w:cstheme="minorBidi"/>
          <w:bCs w:val="0"/>
          <w:noProof/>
          <w:sz w:val="22"/>
          <w:szCs w:val="22"/>
          <w:lang w:val="en-NZ" w:eastAsia="en-NZ"/>
        </w:rPr>
      </w:pPr>
      <w:r>
        <w:rPr>
          <w:noProof/>
        </w:rPr>
        <w:t>Figure 10  Case study 3 – Wellsford WWTP</w:t>
      </w:r>
      <w:r>
        <w:rPr>
          <w:noProof/>
        </w:rPr>
        <w:tab/>
      </w:r>
      <w:r>
        <w:rPr>
          <w:noProof/>
        </w:rPr>
        <w:fldChar w:fldCharType="begin"/>
      </w:r>
      <w:r>
        <w:rPr>
          <w:noProof/>
        </w:rPr>
        <w:instrText xml:space="preserve"> PAGEREF _Toc521064815 \h </w:instrText>
      </w:r>
      <w:r>
        <w:rPr>
          <w:noProof/>
        </w:rPr>
      </w:r>
      <w:r>
        <w:rPr>
          <w:noProof/>
        </w:rPr>
        <w:fldChar w:fldCharType="separate"/>
      </w:r>
      <w:r w:rsidR="002777A8">
        <w:rPr>
          <w:noProof/>
        </w:rPr>
        <w:t>33</w:t>
      </w:r>
      <w:r>
        <w:rPr>
          <w:noProof/>
        </w:rPr>
        <w:fldChar w:fldCharType="end"/>
      </w:r>
    </w:p>
    <w:p w14:paraId="556BA43C" w14:textId="77777777" w:rsidR="00CD691E" w:rsidRDefault="00CD691E">
      <w:pPr>
        <w:pStyle w:val="TableofFigures"/>
        <w:rPr>
          <w:rFonts w:asciiTheme="minorHAnsi" w:eastAsiaTheme="minorEastAsia" w:hAnsiTheme="minorHAnsi" w:cstheme="minorBidi"/>
          <w:bCs w:val="0"/>
          <w:noProof/>
          <w:sz w:val="22"/>
          <w:szCs w:val="22"/>
          <w:lang w:val="en-NZ" w:eastAsia="en-NZ"/>
        </w:rPr>
      </w:pPr>
      <w:r>
        <w:rPr>
          <w:noProof/>
        </w:rPr>
        <w:t>Figure 11  BNR – Activated Sludge cost nomograph</w:t>
      </w:r>
      <w:r>
        <w:rPr>
          <w:noProof/>
        </w:rPr>
        <w:tab/>
      </w:r>
      <w:r>
        <w:rPr>
          <w:noProof/>
        </w:rPr>
        <w:fldChar w:fldCharType="begin"/>
      </w:r>
      <w:r>
        <w:rPr>
          <w:noProof/>
        </w:rPr>
        <w:instrText xml:space="preserve"> PAGEREF _Toc521064816 \h </w:instrText>
      </w:r>
      <w:r>
        <w:rPr>
          <w:noProof/>
        </w:rPr>
      </w:r>
      <w:r>
        <w:rPr>
          <w:noProof/>
        </w:rPr>
        <w:fldChar w:fldCharType="separate"/>
      </w:r>
      <w:r w:rsidR="002777A8">
        <w:rPr>
          <w:noProof/>
        </w:rPr>
        <w:t>40</w:t>
      </w:r>
      <w:r>
        <w:rPr>
          <w:noProof/>
        </w:rPr>
        <w:fldChar w:fldCharType="end"/>
      </w:r>
    </w:p>
    <w:p w14:paraId="1D887D19" w14:textId="77777777" w:rsidR="00CD691E" w:rsidRPr="003D4DD8" w:rsidRDefault="00CD691E">
      <w:pPr>
        <w:pStyle w:val="TableofFigures"/>
        <w:rPr>
          <w:rFonts w:asciiTheme="minorHAnsi" w:eastAsiaTheme="minorEastAsia" w:hAnsiTheme="minorHAnsi" w:cstheme="minorBidi"/>
          <w:bCs w:val="0"/>
          <w:noProof/>
          <w:sz w:val="22"/>
          <w:szCs w:val="22"/>
          <w:lang w:val="fr-FR" w:eastAsia="en-NZ"/>
        </w:rPr>
      </w:pPr>
      <w:r w:rsidRPr="003D4DD8">
        <w:rPr>
          <w:noProof/>
          <w:lang w:val="fr-FR"/>
        </w:rPr>
        <w:t>Figure 12  Ultra Violet cost nomograph</w:t>
      </w:r>
      <w:r w:rsidRPr="003D4DD8">
        <w:rPr>
          <w:noProof/>
          <w:lang w:val="fr-FR"/>
        </w:rPr>
        <w:tab/>
      </w:r>
      <w:r>
        <w:rPr>
          <w:noProof/>
        </w:rPr>
        <w:fldChar w:fldCharType="begin"/>
      </w:r>
      <w:r w:rsidRPr="003D4DD8">
        <w:rPr>
          <w:noProof/>
          <w:lang w:val="fr-FR"/>
        </w:rPr>
        <w:instrText xml:space="preserve"> PAGEREF _Toc521064817 \h </w:instrText>
      </w:r>
      <w:r>
        <w:rPr>
          <w:noProof/>
        </w:rPr>
      </w:r>
      <w:r>
        <w:rPr>
          <w:noProof/>
        </w:rPr>
        <w:fldChar w:fldCharType="separate"/>
      </w:r>
      <w:r w:rsidR="002777A8">
        <w:rPr>
          <w:noProof/>
          <w:lang w:val="fr-FR"/>
        </w:rPr>
        <w:t>40</w:t>
      </w:r>
      <w:r>
        <w:rPr>
          <w:noProof/>
        </w:rPr>
        <w:fldChar w:fldCharType="end"/>
      </w:r>
    </w:p>
    <w:p w14:paraId="1833DFC2" w14:textId="77777777" w:rsidR="00FA00BB" w:rsidRPr="003D4DD8" w:rsidRDefault="005867CA" w:rsidP="006D449C">
      <w:pPr>
        <w:rPr>
          <w:b/>
          <w:bCs/>
          <w:noProof/>
          <w:lang w:val="fr-FR"/>
        </w:rPr>
      </w:pPr>
      <w:r w:rsidRPr="00BC4E63">
        <w:rPr>
          <w:b/>
          <w:bCs/>
          <w:noProof/>
        </w:rPr>
        <w:fldChar w:fldCharType="end"/>
      </w:r>
    </w:p>
    <w:p w14:paraId="191BC762" w14:textId="77777777" w:rsidR="009B40C1" w:rsidRPr="00BC4E63" w:rsidRDefault="009B40C1" w:rsidP="009B40C1">
      <w:pPr>
        <w:pStyle w:val="Heading1-NoTOC"/>
      </w:pPr>
      <w:r w:rsidRPr="00BC4E63">
        <w:t>Ap</w:t>
      </w:r>
      <w:r w:rsidR="001079D8" w:rsidRPr="00BC4E63">
        <w:t>p</w:t>
      </w:r>
      <w:r w:rsidRPr="00BC4E63">
        <w:t>endices</w:t>
      </w:r>
    </w:p>
    <w:bookmarkStart w:id="3" w:name="_Toc517707639"/>
    <w:p w14:paraId="59BCAD07" w14:textId="77777777" w:rsidR="001922DD" w:rsidRPr="003D4DD8" w:rsidRDefault="007A0DCD">
      <w:pPr>
        <w:pStyle w:val="TOC1"/>
        <w:rPr>
          <w:bCs w:val="0"/>
          <w:noProof/>
        </w:rPr>
      </w:pPr>
      <w:r>
        <w:rPr>
          <w:bCs w:val="0"/>
        </w:rPr>
        <w:fldChar w:fldCharType="begin"/>
      </w:r>
      <w:bookmarkEnd w:id="3"/>
      <w:r>
        <w:rPr>
          <w:bCs w:val="0"/>
        </w:rPr>
        <w:instrText xml:space="preserve"> TOC \t "Appendix,1"  \n \*MERGEFORMAT \* CHARFORMAT </w:instrText>
      </w:r>
      <w:r>
        <w:rPr>
          <w:bCs w:val="0"/>
        </w:rPr>
        <w:fldChar w:fldCharType="separate"/>
      </w:r>
      <w:r w:rsidR="001922DD" w:rsidRPr="003D4DD8">
        <w:rPr>
          <w:bCs w:val="0"/>
          <w:noProof/>
        </w:rPr>
        <w:t>Appendix A – Common Abbreviations and Glossary</w:t>
      </w:r>
    </w:p>
    <w:p w14:paraId="3646C8C0" w14:textId="77777777" w:rsidR="001922DD" w:rsidRPr="003D4DD8" w:rsidRDefault="001922DD">
      <w:pPr>
        <w:pStyle w:val="TOC1"/>
        <w:rPr>
          <w:bCs w:val="0"/>
          <w:noProof/>
        </w:rPr>
      </w:pPr>
      <w:r w:rsidRPr="003D4DD8">
        <w:rPr>
          <w:bCs w:val="0"/>
          <w:noProof/>
        </w:rPr>
        <w:t>Appendix B – NPS Freshwater Attribute Tables</w:t>
      </w:r>
    </w:p>
    <w:p w14:paraId="5490341B" w14:textId="77777777" w:rsidR="001922DD" w:rsidRPr="003D4DD8" w:rsidRDefault="001922DD">
      <w:pPr>
        <w:pStyle w:val="TOC1"/>
        <w:rPr>
          <w:bCs w:val="0"/>
          <w:noProof/>
        </w:rPr>
      </w:pPr>
      <w:r w:rsidRPr="003D4DD8">
        <w:rPr>
          <w:bCs w:val="0"/>
          <w:noProof/>
        </w:rPr>
        <w:t>Appendix C – Wastewater network overflow example management approaches</w:t>
      </w:r>
    </w:p>
    <w:p w14:paraId="3B2BDF27" w14:textId="77777777" w:rsidR="002C28B0" w:rsidRPr="00BC4E63" w:rsidRDefault="007A0DCD" w:rsidP="002C28B0">
      <w:r>
        <w:rPr>
          <w:bCs/>
          <w:szCs w:val="20"/>
        </w:rPr>
        <w:fldChar w:fldCharType="end"/>
      </w:r>
    </w:p>
    <w:p w14:paraId="510D8152" w14:textId="77777777" w:rsidR="000B4C97" w:rsidRDefault="000B4C97" w:rsidP="002C28B0">
      <w:pPr>
        <w:rPr>
          <w:rFonts w:ascii="Arial Black" w:hAnsi="Arial Black"/>
          <w:sz w:val="40"/>
        </w:rPr>
        <w:sectPr w:rsidR="000B4C97" w:rsidSect="00FC2D3B">
          <w:headerReference w:type="even" r:id="rId23"/>
          <w:headerReference w:type="default" r:id="rId24"/>
          <w:footerReference w:type="even" r:id="rId25"/>
          <w:footerReference w:type="default" r:id="rId26"/>
          <w:headerReference w:type="first" r:id="rId27"/>
          <w:footerReference w:type="first" r:id="rId28"/>
          <w:type w:val="oddPage"/>
          <w:pgSz w:w="11907" w:h="16839" w:code="9"/>
          <w:pgMar w:top="1134" w:right="1134" w:bottom="1134" w:left="1701" w:header="709" w:footer="289" w:gutter="0"/>
          <w:pgNumType w:fmt="lowerRoman" w:start="1"/>
          <w:cols w:space="708"/>
          <w:docGrid w:linePitch="360"/>
        </w:sectPr>
      </w:pPr>
    </w:p>
    <w:p w14:paraId="0E27111E" w14:textId="77777777" w:rsidR="009B66BC" w:rsidRPr="00BC4E63" w:rsidRDefault="009B66BC" w:rsidP="009B66BC">
      <w:pPr>
        <w:pStyle w:val="Heading1"/>
      </w:pPr>
      <w:bookmarkStart w:id="4" w:name="TextBody"/>
      <w:bookmarkStart w:id="5" w:name="_Toc516741317"/>
      <w:bookmarkStart w:id="6" w:name="_Toc516840514"/>
      <w:bookmarkStart w:id="7" w:name="_Toc517267824"/>
      <w:bookmarkStart w:id="8" w:name="_Toc517707384"/>
      <w:bookmarkStart w:id="9" w:name="_Toc517787139"/>
      <w:bookmarkStart w:id="10" w:name="_Toc517793838"/>
      <w:bookmarkStart w:id="11" w:name="_Toc518646174"/>
      <w:bookmarkStart w:id="12" w:name="_Toc518653075"/>
      <w:bookmarkStart w:id="13" w:name="_Toc527638629"/>
      <w:bookmarkEnd w:id="4"/>
      <w:r w:rsidRPr="00BC4E63">
        <w:lastRenderedPageBreak/>
        <w:t>Introduction</w:t>
      </w:r>
      <w:bookmarkEnd w:id="5"/>
      <w:bookmarkEnd w:id="6"/>
      <w:bookmarkEnd w:id="7"/>
      <w:bookmarkEnd w:id="8"/>
      <w:bookmarkEnd w:id="9"/>
      <w:bookmarkEnd w:id="10"/>
      <w:bookmarkEnd w:id="11"/>
      <w:bookmarkEnd w:id="12"/>
      <w:bookmarkEnd w:id="13"/>
    </w:p>
    <w:p w14:paraId="0BC855B6" w14:textId="77777777" w:rsidR="00BD373B" w:rsidRDefault="007A7882" w:rsidP="009B66BC">
      <w:pPr>
        <w:pStyle w:val="Heading2"/>
      </w:pPr>
      <w:bookmarkStart w:id="14" w:name="_Toc516741318"/>
      <w:bookmarkStart w:id="15" w:name="_Toc516840515"/>
      <w:bookmarkStart w:id="16" w:name="_Toc517267825"/>
      <w:bookmarkStart w:id="17" w:name="_Toc517707385"/>
      <w:bookmarkStart w:id="18" w:name="_Toc517787140"/>
      <w:bookmarkStart w:id="19" w:name="_Toc517793839"/>
      <w:bookmarkStart w:id="20" w:name="_Toc518646175"/>
      <w:bookmarkStart w:id="21" w:name="_Toc518653076"/>
      <w:bookmarkStart w:id="22" w:name="_Toc527638630"/>
      <w:r>
        <w:t>Purpose</w:t>
      </w:r>
      <w:bookmarkEnd w:id="14"/>
      <w:bookmarkEnd w:id="15"/>
      <w:bookmarkEnd w:id="16"/>
      <w:bookmarkEnd w:id="17"/>
      <w:bookmarkEnd w:id="18"/>
      <w:bookmarkEnd w:id="19"/>
      <w:bookmarkEnd w:id="20"/>
      <w:bookmarkEnd w:id="21"/>
      <w:bookmarkEnd w:id="22"/>
    </w:p>
    <w:p w14:paraId="1F8CE83B" w14:textId="77777777" w:rsidR="00663B4B" w:rsidRDefault="00D77899" w:rsidP="001B765F">
      <w:pPr>
        <w:pStyle w:val="Body"/>
      </w:pPr>
      <w:r>
        <w:t xml:space="preserve">Boffa Miskell </w:t>
      </w:r>
      <w:r w:rsidR="001B765F">
        <w:t xml:space="preserve">Ltd (Boffa Miskell) </w:t>
      </w:r>
      <w:r>
        <w:t>and GHD</w:t>
      </w:r>
      <w:r w:rsidR="005804D7">
        <w:t xml:space="preserve"> Ltd (GHD) were </w:t>
      </w:r>
      <w:r>
        <w:t xml:space="preserve">commissioned by the Department of Internal Affairs to scope the national-level compliance cost for local authority wastewater </w:t>
      </w:r>
      <w:r w:rsidR="009A5E79">
        <w:t xml:space="preserve">treatment </w:t>
      </w:r>
      <w:r w:rsidR="004F671A">
        <w:t xml:space="preserve">plants </w:t>
      </w:r>
      <w:r w:rsidR="009A5E79">
        <w:t xml:space="preserve">(WWTPs) </w:t>
      </w:r>
      <w:r w:rsidR="00621149">
        <w:t xml:space="preserve">to meet </w:t>
      </w:r>
      <w:r>
        <w:t xml:space="preserve">National Policy Statement (NPS) </w:t>
      </w:r>
      <w:r w:rsidR="00621149">
        <w:t xml:space="preserve">water quality criteria </w:t>
      </w:r>
      <w:r>
        <w:t>for Freshwater Management</w:t>
      </w:r>
      <w:r w:rsidR="00663B4B">
        <w:t xml:space="preserve"> (NPS Freshwater)</w:t>
      </w:r>
      <w:r>
        <w:t>.</w:t>
      </w:r>
      <w:r w:rsidR="00D01D39">
        <w:t xml:space="preserve"> The Wastewater Specialists (TWWS)</w:t>
      </w:r>
      <w:r w:rsidR="00452405">
        <w:t xml:space="preserve"> provided technical support and local knowledge o</w:t>
      </w:r>
      <w:r w:rsidR="00DA02E0">
        <w:t>f</w:t>
      </w:r>
      <w:r w:rsidR="00452405">
        <w:t xml:space="preserve"> WWTP operation around New Zealand; particularly in relation to oxidation ponds.</w:t>
      </w:r>
    </w:p>
    <w:p w14:paraId="7BB5F35A" w14:textId="77777777" w:rsidR="001B765F" w:rsidRDefault="00D77899" w:rsidP="001B765F">
      <w:pPr>
        <w:pStyle w:val="Body"/>
      </w:pPr>
      <w:r>
        <w:t xml:space="preserve">The project is one part of the Three Waters Review, which </w:t>
      </w:r>
      <w:r w:rsidR="00CE5CBA">
        <w:t xml:space="preserve">the Department of Internal Affairs </w:t>
      </w:r>
      <w:r>
        <w:t>is undertaking to gain a better understanding of the challenges facing three water</w:t>
      </w:r>
      <w:r w:rsidR="00EA08C0">
        <w:t>s</w:t>
      </w:r>
      <w:r>
        <w:t xml:space="preserve"> services. </w:t>
      </w:r>
    </w:p>
    <w:p w14:paraId="0E45AE52" w14:textId="77777777" w:rsidR="00DA02E0" w:rsidRDefault="00D77899" w:rsidP="0029411D">
      <w:pPr>
        <w:pStyle w:val="Body"/>
      </w:pPr>
      <w:r>
        <w:t xml:space="preserve">The project specifically considers discharges </w:t>
      </w:r>
      <w:r w:rsidR="00627572">
        <w:t xml:space="preserve">from </w:t>
      </w:r>
      <w:r w:rsidR="009A5E79">
        <w:t>WWTPs</w:t>
      </w:r>
      <w:r>
        <w:t xml:space="preserve"> to fr</w:t>
      </w:r>
      <w:r w:rsidR="001B765F">
        <w:t>eshwater receiving environments</w:t>
      </w:r>
      <w:r w:rsidR="00CE5CBA">
        <w:t xml:space="preserve">, </w:t>
      </w:r>
      <w:r>
        <w:t>and reviews the benefits</w:t>
      </w:r>
      <w:r w:rsidR="00627572">
        <w:t xml:space="preserve"> and associated costs</w:t>
      </w:r>
      <w:r>
        <w:t xml:space="preserve"> of upgrading </w:t>
      </w:r>
      <w:r w:rsidR="009A5E79">
        <w:t>these</w:t>
      </w:r>
      <w:r>
        <w:t xml:space="preserve"> to achieve improved receiving water quality.</w:t>
      </w:r>
      <w:r w:rsidR="009A5E79">
        <w:t xml:space="preserve"> </w:t>
      </w:r>
    </w:p>
    <w:p w14:paraId="223D458D" w14:textId="77777777" w:rsidR="00DA02E0" w:rsidRDefault="00CB470F" w:rsidP="0029411D">
      <w:pPr>
        <w:pStyle w:val="Body"/>
      </w:pPr>
      <w:r>
        <w:t xml:space="preserve">Receiving water quality is influenced by </w:t>
      </w:r>
      <w:r w:rsidR="00DA02E0">
        <w:t xml:space="preserve">both </w:t>
      </w:r>
      <w:r>
        <w:t>diffuse and point source contaminant contributions from</w:t>
      </w:r>
      <w:r w:rsidR="00627572">
        <w:t xml:space="preserve"> other activities and </w:t>
      </w:r>
      <w:r w:rsidR="00715C25">
        <w:t>land uses</w:t>
      </w:r>
      <w:r w:rsidR="00627572">
        <w:t xml:space="preserve"> within the catchments where there are WWTP discharges and wastewater network overflows. This report has focussed on assessing the contribution of </w:t>
      </w:r>
      <w:r w:rsidRPr="00CB470F">
        <w:t xml:space="preserve">treated wastewater discharges </w:t>
      </w:r>
      <w:r w:rsidR="003D1C23">
        <w:t>to freshwater quality</w:t>
      </w:r>
      <w:r w:rsidR="00BB0564">
        <w:t>,</w:t>
      </w:r>
      <w:r w:rsidRPr="00CB470F">
        <w:t xml:space="preserve"> </w:t>
      </w:r>
      <w:r w:rsidR="00BB0564">
        <w:t>estimating costs to improve discharge water quality and providing a high level evaluation of whether investment in improvements will materially assist with meeting NPS Freshwater objectives.</w:t>
      </w:r>
    </w:p>
    <w:p w14:paraId="23A1E9D2" w14:textId="77777777" w:rsidR="0029411D" w:rsidRDefault="0029411D" w:rsidP="0029411D">
      <w:pPr>
        <w:pStyle w:val="Body"/>
      </w:pPr>
      <w:r>
        <w:t>It is important to note that the study has assessed the status of WWTPs as they are in 2018 and cost estimates do not account for future growth</w:t>
      </w:r>
      <w:r w:rsidR="00747F85">
        <w:t xml:space="preserve"> as this was outside the study scope</w:t>
      </w:r>
      <w:r>
        <w:t xml:space="preserve">. It </w:t>
      </w:r>
      <w:r w:rsidR="009A5E79">
        <w:t xml:space="preserve">is </w:t>
      </w:r>
      <w:r>
        <w:t>acknowledged that when considering upgrades to their wastewater networks</w:t>
      </w:r>
      <w:r w:rsidR="00BB0564">
        <w:t>,</w:t>
      </w:r>
      <w:r>
        <w:t xml:space="preserve"> th</w:t>
      </w:r>
      <w:r w:rsidR="00414A25">
        <w:t>at</w:t>
      </w:r>
      <w:r>
        <w:t xml:space="preserve"> asset owners will in most cases provide for future growth to </w:t>
      </w:r>
      <w:r w:rsidR="00747F85">
        <w:t>optimise the investment</w:t>
      </w:r>
      <w:r w:rsidR="00111AB8">
        <w:t>,</w:t>
      </w:r>
      <w:r w:rsidR="00FE4F59">
        <w:t xml:space="preserve"> and upgrades to account for this will increase cost. </w:t>
      </w:r>
    </w:p>
    <w:p w14:paraId="1593EE97" w14:textId="77777777" w:rsidR="004F671A" w:rsidRPr="00AD0C46" w:rsidRDefault="004F671A" w:rsidP="0029411D">
      <w:pPr>
        <w:pStyle w:val="Body"/>
        <w:rPr>
          <w:i/>
        </w:rPr>
      </w:pPr>
      <w:r w:rsidRPr="004F671A">
        <w:t>The study included a high</w:t>
      </w:r>
      <w:r w:rsidR="00770B67">
        <w:t>-</w:t>
      </w:r>
      <w:r w:rsidRPr="004F671A">
        <w:t xml:space="preserve">level review of the contribution of wastewater network overflows to receiving water quality and examples of different approaches to wastewater network overflow management are </w:t>
      </w:r>
      <w:r w:rsidR="00DA02E0">
        <w:t>appended.</w:t>
      </w:r>
      <w:r w:rsidR="00631A11">
        <w:t xml:space="preserve"> Cost estimates for reducing or removing wastewater network overflows w</w:t>
      </w:r>
      <w:r w:rsidR="0050335B">
        <w:t>ere</w:t>
      </w:r>
      <w:r w:rsidR="00631A11">
        <w:t xml:space="preserve"> not included in the study </w:t>
      </w:r>
      <w:r w:rsidR="0050335B">
        <w:t>due to</w:t>
      </w:r>
      <w:r w:rsidR="00631A11">
        <w:t xml:space="preserve"> the </w:t>
      </w:r>
      <w:r w:rsidR="00414A25" w:rsidRPr="00414A25">
        <w:t xml:space="preserve">to the variability and often absence </w:t>
      </w:r>
      <w:r w:rsidR="00414A25">
        <w:t xml:space="preserve">of </w:t>
      </w:r>
      <w:r w:rsidR="0050335B">
        <w:t>performance targets that apply across the regions, and differing levels of data available from network owners on overflow frequency and planned improvement works. The level of variability in all of these factors made it difficult to develop a national cost estimate with a consistent basis.</w:t>
      </w:r>
      <w:r w:rsidR="00631A11">
        <w:t xml:space="preserve"> </w:t>
      </w:r>
    </w:p>
    <w:p w14:paraId="6734CD67" w14:textId="77777777" w:rsidR="003D5F1F" w:rsidRDefault="005804D7" w:rsidP="005804D7">
      <w:pPr>
        <w:pStyle w:val="Heading2"/>
      </w:pPr>
      <w:bookmarkStart w:id="23" w:name="_Toc516741319"/>
      <w:bookmarkStart w:id="24" w:name="_Toc516840516"/>
      <w:bookmarkStart w:id="25" w:name="_Toc517267826"/>
      <w:bookmarkStart w:id="26" w:name="_Toc517707386"/>
      <w:bookmarkStart w:id="27" w:name="_Toc517787141"/>
      <w:bookmarkStart w:id="28" w:name="_Toc517793840"/>
      <w:bookmarkStart w:id="29" w:name="_Toc518646176"/>
      <w:bookmarkStart w:id="30" w:name="_Toc518653077"/>
      <w:bookmarkStart w:id="31" w:name="_Toc527638631"/>
      <w:r>
        <w:t>Scope</w:t>
      </w:r>
      <w:bookmarkEnd w:id="23"/>
      <w:bookmarkEnd w:id="24"/>
      <w:bookmarkEnd w:id="25"/>
      <w:bookmarkEnd w:id="26"/>
      <w:bookmarkEnd w:id="27"/>
      <w:bookmarkEnd w:id="28"/>
      <w:bookmarkEnd w:id="29"/>
      <w:bookmarkEnd w:id="30"/>
      <w:bookmarkEnd w:id="31"/>
    </w:p>
    <w:p w14:paraId="6FB8CB3F" w14:textId="77777777" w:rsidR="005804D7" w:rsidRDefault="005804D7" w:rsidP="003D5F1F">
      <w:pPr>
        <w:pStyle w:val="Body"/>
      </w:pPr>
      <w:r>
        <w:t>The study scope</w:t>
      </w:r>
      <w:r w:rsidR="00AD0C46">
        <w:t xml:space="preserve"> and background on the NPS Freshwater objectives</w:t>
      </w:r>
      <w:r>
        <w:t xml:space="preserve"> as outlined by the </w:t>
      </w:r>
      <w:r w:rsidR="00AD0C46">
        <w:t>Department of Internal Affairs is reproduced following</w:t>
      </w:r>
      <w:r>
        <w:t>:</w:t>
      </w:r>
    </w:p>
    <w:p w14:paraId="1F5A2022" w14:textId="77777777" w:rsidR="00393EA7" w:rsidRPr="0027376E" w:rsidRDefault="005804D7" w:rsidP="005804D7">
      <w:pPr>
        <w:pStyle w:val="Body"/>
        <w:numPr>
          <w:ilvl w:val="0"/>
          <w:numId w:val="30"/>
        </w:numPr>
        <w:rPr>
          <w:i/>
        </w:rPr>
      </w:pPr>
      <w:r w:rsidRPr="0027376E">
        <w:rPr>
          <w:i/>
        </w:rPr>
        <w:t>A</w:t>
      </w:r>
      <w:r w:rsidR="00393EA7" w:rsidRPr="0027376E">
        <w:rPr>
          <w:i/>
        </w:rPr>
        <w:t xml:space="preserve">ssessment of the potential cost for local government to upgrade wastewater infrastructure to meet increasing standards under the </w:t>
      </w:r>
      <w:r w:rsidRPr="0027376E">
        <w:rPr>
          <w:i/>
        </w:rPr>
        <w:t>NPS</w:t>
      </w:r>
      <w:r w:rsidR="00393EA7" w:rsidRPr="0027376E">
        <w:rPr>
          <w:i/>
        </w:rPr>
        <w:t xml:space="preserve"> for Freshwater Management.  The assessment </w:t>
      </w:r>
      <w:r w:rsidRPr="0027376E">
        <w:rPr>
          <w:i/>
        </w:rPr>
        <w:t>is</w:t>
      </w:r>
      <w:r w:rsidR="00393EA7" w:rsidRPr="0027376E">
        <w:rPr>
          <w:i/>
        </w:rPr>
        <w:t xml:space="preserve"> to consider the potential costs both for current form of the </w:t>
      </w:r>
      <w:r w:rsidRPr="0027376E">
        <w:rPr>
          <w:i/>
        </w:rPr>
        <w:t xml:space="preserve">NPS </w:t>
      </w:r>
      <w:r w:rsidR="00393EA7" w:rsidRPr="0027376E">
        <w:rPr>
          <w:i/>
        </w:rPr>
        <w:t xml:space="preserve"> and any associated standards or targets set under it, and if standards or targets continue to increase in the future.</w:t>
      </w:r>
    </w:p>
    <w:p w14:paraId="5F8F6F92" w14:textId="77777777" w:rsidR="00393EA7" w:rsidRPr="0027376E" w:rsidRDefault="00393EA7" w:rsidP="005804D7">
      <w:pPr>
        <w:pStyle w:val="Body"/>
        <w:numPr>
          <w:ilvl w:val="0"/>
          <w:numId w:val="30"/>
        </w:numPr>
        <w:rPr>
          <w:i/>
        </w:rPr>
      </w:pPr>
      <w:r w:rsidRPr="0027376E">
        <w:rPr>
          <w:i/>
        </w:rPr>
        <w:t>The assessment will need to identify the environmental attributes that will be the key cost drivers in this area, and estimate the potential national cost to upgrade wastewater infrastructure.</w:t>
      </w:r>
    </w:p>
    <w:p w14:paraId="1CB82F39" w14:textId="77777777" w:rsidR="00393EA7" w:rsidRPr="0027376E" w:rsidRDefault="005804D7" w:rsidP="005804D7">
      <w:pPr>
        <w:pStyle w:val="Body"/>
        <w:numPr>
          <w:ilvl w:val="0"/>
          <w:numId w:val="30"/>
        </w:numPr>
        <w:rPr>
          <w:i/>
        </w:rPr>
      </w:pPr>
      <w:r w:rsidRPr="0027376E">
        <w:rPr>
          <w:i/>
        </w:rPr>
        <w:lastRenderedPageBreak/>
        <w:t>Provide</w:t>
      </w:r>
      <w:r w:rsidR="00393EA7" w:rsidRPr="0027376E">
        <w:rPr>
          <w:i/>
        </w:rPr>
        <w:t xml:space="preserve"> a breakdown of how cost drivers differ across profiles, such as types of wastewater systems, components within the system (such as reticulated or plant infrastructure), or factors such as network age or condition.  </w:t>
      </w:r>
    </w:p>
    <w:p w14:paraId="60F868DC" w14:textId="77777777" w:rsidR="00393EA7" w:rsidRPr="0027376E" w:rsidRDefault="005804D7" w:rsidP="005804D7">
      <w:pPr>
        <w:pStyle w:val="Body"/>
        <w:numPr>
          <w:ilvl w:val="0"/>
          <w:numId w:val="30"/>
        </w:numPr>
        <w:rPr>
          <w:i/>
        </w:rPr>
      </w:pPr>
      <w:r w:rsidRPr="0027376E">
        <w:rPr>
          <w:i/>
        </w:rPr>
        <w:t xml:space="preserve">Provide commentary </w:t>
      </w:r>
      <w:r w:rsidR="00393EA7" w:rsidRPr="0027376E">
        <w:rPr>
          <w:i/>
        </w:rPr>
        <w:t>on how different attributes (such as E. coli, nitrates, or phosphorous) are currently treated by wastewater plants, and what the cost will be if standards or targets increase, or requirements for attributes change over time.</w:t>
      </w:r>
    </w:p>
    <w:p w14:paraId="34DBA0E1" w14:textId="77777777" w:rsidR="00393EA7" w:rsidRPr="00AD0C46" w:rsidRDefault="00393EA7" w:rsidP="001870BC">
      <w:pPr>
        <w:pStyle w:val="Body"/>
        <w:rPr>
          <w:i/>
        </w:rPr>
      </w:pPr>
      <w:r w:rsidRPr="00AD0C46">
        <w:rPr>
          <w:i/>
        </w:rPr>
        <w:t xml:space="preserve">The </w:t>
      </w:r>
      <w:r w:rsidR="005804D7" w:rsidRPr="00AD0C46">
        <w:rPr>
          <w:i/>
        </w:rPr>
        <w:t xml:space="preserve">NPS </w:t>
      </w:r>
      <w:r w:rsidR="00771E67" w:rsidRPr="00AD0C46">
        <w:rPr>
          <w:i/>
        </w:rPr>
        <w:t>Freshwater</w:t>
      </w:r>
      <w:r w:rsidR="005804D7" w:rsidRPr="00AD0C46">
        <w:rPr>
          <w:i/>
        </w:rPr>
        <w:t xml:space="preserve"> </w:t>
      </w:r>
      <w:r w:rsidRPr="00AD0C46">
        <w:rPr>
          <w:i/>
        </w:rPr>
        <w:t>sets an overarching methodology for management of freshwater bodies, along with national targets and national bottom lines.  Implementation however occurs at a regional level through regional plans, and regional councils are currently at different stages of implementation.  Many regional councils are still in the process of making decisions that will affect any potential upgrades to wastewater infrastructure that might be required, such as:</w:t>
      </w:r>
    </w:p>
    <w:p w14:paraId="68B7B339" w14:textId="77777777" w:rsidR="00393EA7" w:rsidRPr="00AD0C46" w:rsidRDefault="005804D7" w:rsidP="005804D7">
      <w:pPr>
        <w:pStyle w:val="Body"/>
        <w:numPr>
          <w:ilvl w:val="0"/>
          <w:numId w:val="30"/>
        </w:numPr>
        <w:rPr>
          <w:i/>
        </w:rPr>
      </w:pPr>
      <w:r w:rsidRPr="00AD0C46">
        <w:rPr>
          <w:i/>
        </w:rPr>
        <w:t>T</w:t>
      </w:r>
      <w:r w:rsidR="00393EA7" w:rsidRPr="00AD0C46">
        <w:rPr>
          <w:i/>
        </w:rPr>
        <w:t>he objectives and values for freshwater bodies;</w:t>
      </w:r>
    </w:p>
    <w:p w14:paraId="6A638997" w14:textId="77777777" w:rsidR="00393EA7" w:rsidRPr="00AD0C46" w:rsidRDefault="005804D7" w:rsidP="005804D7">
      <w:pPr>
        <w:pStyle w:val="Body"/>
        <w:numPr>
          <w:ilvl w:val="0"/>
          <w:numId w:val="30"/>
        </w:numPr>
        <w:rPr>
          <w:i/>
        </w:rPr>
      </w:pPr>
      <w:r w:rsidRPr="00AD0C46">
        <w:rPr>
          <w:i/>
        </w:rPr>
        <w:t>T</w:t>
      </w:r>
      <w:r w:rsidR="00393EA7" w:rsidRPr="00AD0C46">
        <w:rPr>
          <w:i/>
        </w:rPr>
        <w:t>he levels and targets for attribute states (including whether levels will be set above national bottom lines);</w:t>
      </w:r>
    </w:p>
    <w:p w14:paraId="07A257AD" w14:textId="77777777" w:rsidR="00393EA7" w:rsidRPr="00AD0C46" w:rsidRDefault="005804D7" w:rsidP="005804D7">
      <w:pPr>
        <w:pStyle w:val="Body"/>
        <w:numPr>
          <w:ilvl w:val="0"/>
          <w:numId w:val="30"/>
        </w:numPr>
        <w:rPr>
          <w:i/>
        </w:rPr>
      </w:pPr>
      <w:r w:rsidRPr="00AD0C46">
        <w:rPr>
          <w:i/>
        </w:rPr>
        <w:t>T</w:t>
      </w:r>
      <w:r w:rsidR="00393EA7" w:rsidRPr="00AD0C46">
        <w:rPr>
          <w:i/>
        </w:rPr>
        <w:t>he proportionate impact that wastewater systems will have on a freshwater body, set through resource consent conditions and limits, relative to other activities that contribute to freshwater quality;</w:t>
      </w:r>
    </w:p>
    <w:p w14:paraId="7A0A37F3" w14:textId="77777777" w:rsidR="003D5F1F" w:rsidRPr="00AD0C46" w:rsidRDefault="005804D7" w:rsidP="009A5E79">
      <w:pPr>
        <w:pStyle w:val="Body"/>
        <w:numPr>
          <w:ilvl w:val="0"/>
          <w:numId w:val="30"/>
        </w:numPr>
        <w:rPr>
          <w:i/>
        </w:rPr>
      </w:pPr>
      <w:r w:rsidRPr="00AD0C46">
        <w:rPr>
          <w:i/>
        </w:rPr>
        <w:t>T</w:t>
      </w:r>
      <w:r w:rsidR="00393EA7" w:rsidRPr="00AD0C46">
        <w:rPr>
          <w:i/>
        </w:rPr>
        <w:t xml:space="preserve">imeframes over which improvements to freshwater quality </w:t>
      </w:r>
      <w:r w:rsidR="00814A29" w:rsidRPr="00AD0C46">
        <w:rPr>
          <w:i/>
        </w:rPr>
        <w:t xml:space="preserve">will </w:t>
      </w:r>
      <w:r w:rsidR="00393EA7" w:rsidRPr="00AD0C46">
        <w:rPr>
          <w:i/>
        </w:rPr>
        <w:t>occur.</w:t>
      </w:r>
    </w:p>
    <w:p w14:paraId="751156A4" w14:textId="77777777" w:rsidR="00663B4B" w:rsidRDefault="00663B4B" w:rsidP="00663B4B">
      <w:pPr>
        <w:pStyle w:val="Heading2"/>
        <w:rPr>
          <w:lang w:eastAsia="en-AU"/>
        </w:rPr>
      </w:pPr>
      <w:bookmarkStart w:id="32" w:name="_Toc516741320"/>
      <w:bookmarkStart w:id="33" w:name="_Toc516840517"/>
      <w:bookmarkStart w:id="34" w:name="_Toc517267827"/>
      <w:bookmarkStart w:id="35" w:name="_Toc517707387"/>
      <w:bookmarkStart w:id="36" w:name="_Toc517787142"/>
      <w:bookmarkStart w:id="37" w:name="_Toc517793841"/>
      <w:bookmarkStart w:id="38" w:name="_Toc518646177"/>
      <w:bookmarkStart w:id="39" w:name="_Toc518653078"/>
      <w:bookmarkStart w:id="40" w:name="_Toc527638632"/>
      <w:r>
        <w:rPr>
          <w:lang w:eastAsia="en-AU"/>
        </w:rPr>
        <w:t xml:space="preserve">NPS Freshwater Management </w:t>
      </w:r>
      <w:bookmarkEnd w:id="32"/>
      <w:bookmarkEnd w:id="33"/>
      <w:bookmarkEnd w:id="34"/>
      <w:bookmarkEnd w:id="35"/>
      <w:bookmarkEnd w:id="36"/>
      <w:r w:rsidR="002C3FCF">
        <w:rPr>
          <w:lang w:eastAsia="en-AU"/>
        </w:rPr>
        <w:t>implementation</w:t>
      </w:r>
      <w:bookmarkEnd w:id="37"/>
      <w:bookmarkEnd w:id="38"/>
      <w:bookmarkEnd w:id="39"/>
      <w:bookmarkEnd w:id="40"/>
    </w:p>
    <w:p w14:paraId="3535CB0A" w14:textId="77777777" w:rsidR="00663B4B" w:rsidRPr="002F5232" w:rsidRDefault="004F671A" w:rsidP="00441B5A">
      <w:pPr>
        <w:pStyle w:val="Body"/>
        <w:rPr>
          <w:lang w:eastAsia="en-AU"/>
        </w:rPr>
      </w:pPr>
      <w:r>
        <w:rPr>
          <w:lang w:eastAsia="en-AU"/>
        </w:rPr>
        <w:t xml:space="preserve">The </w:t>
      </w:r>
      <w:r w:rsidR="00663B4B" w:rsidRPr="002F5232">
        <w:rPr>
          <w:lang w:eastAsia="en-AU"/>
        </w:rPr>
        <w:t xml:space="preserve">NPS Freshwater came into effect on 1 August 2014 with amendments made in August 2017. The document acknowledges that freshwater is important for New Zealand’s economic, environmental, cultural and social well-being and there are a number of increasing threats (i.e. water quality degradation, climate change, over allocation) to this vital resource. </w:t>
      </w:r>
    </w:p>
    <w:p w14:paraId="6BBB030A" w14:textId="77777777" w:rsidR="00663B4B" w:rsidRPr="002F5232" w:rsidRDefault="008A22C5" w:rsidP="00441B5A">
      <w:pPr>
        <w:pStyle w:val="Body"/>
        <w:rPr>
          <w:lang w:eastAsia="en-AU"/>
        </w:rPr>
      </w:pPr>
      <w:r w:rsidRPr="008A22C5">
        <w:rPr>
          <w:lang w:eastAsia="en-AU"/>
        </w:rPr>
        <w:t xml:space="preserve">The NPS Freshwater provides for a National Objective Framework that establishes freshwater objectives for national, and other, values for freshwater.  Attributes, or measures of the environmental state (parameters) relating to ecosystem health and human health for recreation national values have been developed in the </w:t>
      </w:r>
      <w:r w:rsidR="00CE5CBA">
        <w:rPr>
          <w:lang w:eastAsia="en-AU"/>
        </w:rPr>
        <w:t>NPS Freshwater</w:t>
      </w:r>
      <w:r w:rsidRPr="008A22C5">
        <w:rPr>
          <w:lang w:eastAsia="en-AU"/>
        </w:rPr>
        <w:t xml:space="preserve">. The attribute tables provide different states </w:t>
      </w:r>
      <w:r w:rsidR="00CE5CBA">
        <w:rPr>
          <w:lang w:eastAsia="en-AU"/>
        </w:rPr>
        <w:t>against which water quality is measured,</w:t>
      </w:r>
      <w:r w:rsidRPr="008A22C5">
        <w:rPr>
          <w:lang w:eastAsia="en-AU"/>
        </w:rPr>
        <w:t xml:space="preserve"> as well as a national bottom line standard.  The NPS </w:t>
      </w:r>
      <w:r w:rsidR="00CE5CBA">
        <w:rPr>
          <w:lang w:eastAsia="en-AU"/>
        </w:rPr>
        <w:t>Freshwater</w:t>
      </w:r>
      <w:r w:rsidRPr="008A22C5">
        <w:rPr>
          <w:lang w:eastAsia="en-AU"/>
        </w:rPr>
        <w:t xml:space="preserve"> makes it clear that the national bottom line is not a standard to aim for</w:t>
      </w:r>
      <w:r w:rsidR="00CE5CBA">
        <w:rPr>
          <w:lang w:eastAsia="en-AU"/>
        </w:rPr>
        <w:t>.  R</w:t>
      </w:r>
      <w:r w:rsidRPr="008A22C5">
        <w:rPr>
          <w:lang w:eastAsia="en-AU"/>
        </w:rPr>
        <w:t>ather</w:t>
      </w:r>
      <w:r w:rsidR="00CE5CBA">
        <w:rPr>
          <w:lang w:eastAsia="en-AU"/>
        </w:rPr>
        <w:t>,</w:t>
      </w:r>
      <w:r w:rsidRPr="008A22C5">
        <w:rPr>
          <w:lang w:eastAsia="en-AU"/>
        </w:rPr>
        <w:t xml:space="preserve"> its purpose is for freshwater systems below this bottom line to improve to at least this state or better over time. The relevant </w:t>
      </w:r>
      <w:r w:rsidR="00CA42B5">
        <w:rPr>
          <w:lang w:eastAsia="en-AU"/>
        </w:rPr>
        <w:t>a</w:t>
      </w:r>
      <w:r w:rsidR="00CA42B5" w:rsidRPr="008A22C5">
        <w:rPr>
          <w:lang w:eastAsia="en-AU"/>
        </w:rPr>
        <w:t xml:space="preserve">ttribute </w:t>
      </w:r>
      <w:r w:rsidRPr="008A22C5">
        <w:rPr>
          <w:lang w:eastAsia="en-AU"/>
        </w:rPr>
        <w:t xml:space="preserve">standards </w:t>
      </w:r>
      <w:r w:rsidR="002954B2">
        <w:rPr>
          <w:lang w:eastAsia="en-AU"/>
        </w:rPr>
        <w:t xml:space="preserve">used in this project </w:t>
      </w:r>
      <w:r w:rsidRPr="008A22C5">
        <w:rPr>
          <w:lang w:eastAsia="en-AU"/>
        </w:rPr>
        <w:t>are provided in</w:t>
      </w:r>
      <w:r w:rsidR="00331143">
        <w:rPr>
          <w:lang w:eastAsia="en-AU"/>
        </w:rPr>
        <w:t xml:space="preserve"> </w:t>
      </w:r>
      <w:r w:rsidR="00331143">
        <w:rPr>
          <w:lang w:eastAsia="en-AU"/>
        </w:rPr>
        <w:fldChar w:fldCharType="begin"/>
      </w:r>
      <w:r w:rsidR="00331143">
        <w:rPr>
          <w:lang w:eastAsia="en-AU"/>
        </w:rPr>
        <w:instrText xml:space="preserve"> REF _Ref517794340 \r \h </w:instrText>
      </w:r>
      <w:r w:rsidR="00331143">
        <w:rPr>
          <w:lang w:eastAsia="en-AU"/>
        </w:rPr>
      </w:r>
      <w:r w:rsidR="00331143">
        <w:rPr>
          <w:lang w:eastAsia="en-AU"/>
        </w:rPr>
        <w:fldChar w:fldCharType="separate"/>
      </w:r>
      <w:r w:rsidR="002777A8">
        <w:rPr>
          <w:lang w:eastAsia="en-AU"/>
        </w:rPr>
        <w:t>Appendix B</w:t>
      </w:r>
      <w:r w:rsidR="00331143">
        <w:rPr>
          <w:lang w:eastAsia="en-AU"/>
        </w:rPr>
        <w:fldChar w:fldCharType="end"/>
      </w:r>
      <w:r w:rsidRPr="008A22C5">
        <w:rPr>
          <w:lang w:eastAsia="en-AU"/>
        </w:rPr>
        <w:t xml:space="preserve">. </w:t>
      </w:r>
    </w:p>
    <w:p w14:paraId="0070909F" w14:textId="77777777" w:rsidR="00663B4B" w:rsidRPr="002F5232" w:rsidRDefault="00357D23" w:rsidP="00441B5A">
      <w:pPr>
        <w:pStyle w:val="Body"/>
        <w:rPr>
          <w:lang w:eastAsia="en-AU"/>
        </w:rPr>
      </w:pPr>
      <w:r w:rsidRPr="00357D23">
        <w:rPr>
          <w:lang w:eastAsia="en-AU"/>
        </w:rPr>
        <w:t xml:space="preserve">Regional (and unitary) councils are required to fully implement the NPS Freshwater within their respective policies and plans no later than the end of 2025 (although this may be extended to the end of 2030 in some circumstances). </w:t>
      </w:r>
      <w:r w:rsidR="00663B4B" w:rsidRPr="002F5232">
        <w:rPr>
          <w:lang w:eastAsia="en-AU"/>
        </w:rPr>
        <w:t>Each region will be divided up into separate freshwater management units with specific limits for water quality based on consultation with the community and other stakeholders. Water quality limits will vary between and within freshwater management units.</w:t>
      </w:r>
    </w:p>
    <w:p w14:paraId="7968CC25" w14:textId="77777777" w:rsidR="00663B4B" w:rsidRPr="002F5232" w:rsidRDefault="00663B4B" w:rsidP="00441B5A">
      <w:pPr>
        <w:pStyle w:val="Body"/>
        <w:rPr>
          <w:lang w:eastAsia="en-AU"/>
        </w:rPr>
      </w:pPr>
      <w:r w:rsidRPr="002F5232">
        <w:rPr>
          <w:lang w:eastAsia="en-AU"/>
        </w:rPr>
        <w:t>At the time of writing this document, councils were in varying stages of implementing the NPS Freshwater. Some councils (i.e. Environment Canterbury) have already been through the required planning processes and implemented policies and objectives and set limits for water quality for some freshwater management units.</w:t>
      </w:r>
    </w:p>
    <w:p w14:paraId="446CA3F9" w14:textId="77777777" w:rsidR="00A90E01" w:rsidRDefault="00AF5134" w:rsidP="00441B5A">
      <w:pPr>
        <w:pStyle w:val="Heading2"/>
      </w:pPr>
      <w:bookmarkStart w:id="41" w:name="_Toc516741321"/>
      <w:bookmarkStart w:id="42" w:name="_Toc518653079"/>
      <w:bookmarkStart w:id="43" w:name="_Toc516741322"/>
      <w:bookmarkStart w:id="44" w:name="_Toc516840518"/>
      <w:bookmarkStart w:id="45" w:name="_Toc517267828"/>
      <w:bookmarkStart w:id="46" w:name="_Toc517707388"/>
      <w:bookmarkStart w:id="47" w:name="_Toc517787143"/>
      <w:bookmarkStart w:id="48" w:name="_Toc517793842"/>
      <w:bookmarkStart w:id="49" w:name="_Toc518646179"/>
      <w:bookmarkStart w:id="50" w:name="_Toc527638633"/>
      <w:bookmarkEnd w:id="41"/>
      <w:r>
        <w:t xml:space="preserve">Overview of </w:t>
      </w:r>
      <w:r w:rsidR="002C3FCF">
        <w:t>wastewater treatment plants</w:t>
      </w:r>
      <w:r w:rsidR="004F671A">
        <w:t xml:space="preserve"> </w:t>
      </w:r>
      <w:r w:rsidR="007A7882">
        <w:t>in New Zealand</w:t>
      </w:r>
      <w:bookmarkEnd w:id="42"/>
      <w:bookmarkEnd w:id="43"/>
      <w:bookmarkEnd w:id="44"/>
      <w:bookmarkEnd w:id="45"/>
      <w:bookmarkEnd w:id="46"/>
      <w:bookmarkEnd w:id="47"/>
      <w:bookmarkEnd w:id="48"/>
      <w:bookmarkEnd w:id="49"/>
      <w:bookmarkEnd w:id="50"/>
    </w:p>
    <w:p w14:paraId="16DB687E" w14:textId="77777777" w:rsidR="00306D76" w:rsidRPr="00441B5A" w:rsidRDefault="00306D76" w:rsidP="00306D76">
      <w:pPr>
        <w:pStyle w:val="Body"/>
      </w:pPr>
      <w:r>
        <w:t xml:space="preserve">Most cities and towns in New Zealand are serviced by centralised WWTPs. This means that wastewater is conveyed from individual dwellings, through reticulation, to a centralised location </w:t>
      </w:r>
      <w:r>
        <w:lastRenderedPageBreak/>
        <w:t xml:space="preserve">for treatment and disposal. Some small towns are serviced by de-centralised systems in which each individual house, or cluster of houses, is serviced by its own on-site WWTP and disposal field. In general, decentralised systems are becoming less common as </w:t>
      </w:r>
      <w:r w:rsidR="004F671A">
        <w:t xml:space="preserve">councils </w:t>
      </w:r>
      <w:r>
        <w:t>provide reticulation and centralised treatment for their communities due to high</w:t>
      </w:r>
      <w:r w:rsidR="00814A29">
        <w:t>er</w:t>
      </w:r>
      <w:r>
        <w:t xml:space="preserve"> failure rates of on-site systems. </w:t>
      </w:r>
    </w:p>
    <w:p w14:paraId="7A4465DD" w14:textId="77777777" w:rsidR="00516E05" w:rsidRDefault="00306D76" w:rsidP="00516E05">
      <w:pPr>
        <w:pStyle w:val="Body"/>
      </w:pPr>
      <w:r>
        <w:t xml:space="preserve">The majority of centralised WWTPs in New Zealand </w:t>
      </w:r>
      <w:r w:rsidR="00DA02E0">
        <w:t>were</w:t>
      </w:r>
      <w:r>
        <w:t xml:space="preserve"> constructed over the past 60 years. Approximately 60% of the municipal WWTPs in New Zealand use </w:t>
      </w:r>
      <w:r w:rsidR="00D73476">
        <w:t xml:space="preserve">waste stabilisation pond </w:t>
      </w:r>
      <w:r>
        <w:t xml:space="preserve">technology. </w:t>
      </w:r>
      <w:r w:rsidR="00D73476">
        <w:t>Waste stabilisation ponds</w:t>
      </w:r>
      <w:r>
        <w:t xml:space="preserve"> are passive, large footprint treatment processes that require minimal </w:t>
      </w:r>
      <w:r w:rsidR="00D73476">
        <w:t>operation and maintenance.</w:t>
      </w:r>
      <w:r>
        <w:t xml:space="preserve"> </w:t>
      </w:r>
    </w:p>
    <w:p w14:paraId="2D04C30D" w14:textId="77777777" w:rsidR="00306D76" w:rsidRDefault="00306D76" w:rsidP="00306D76">
      <w:pPr>
        <w:pStyle w:val="Body"/>
      </w:pPr>
      <w:r>
        <w:t xml:space="preserve">The performance of </w:t>
      </w:r>
      <w:r w:rsidR="00D73476">
        <w:t xml:space="preserve">waste stabilisation ponds </w:t>
      </w:r>
      <w:r>
        <w:t xml:space="preserve">is highly seasonal, generally providing a better level of treatment during summer due to the warmer temperatures, but poorer effluent quality in winter. In general, the effluent quality from a </w:t>
      </w:r>
      <w:r w:rsidR="00D73476">
        <w:t>pond</w:t>
      </w:r>
      <w:r w:rsidR="00414A25">
        <w:t xml:space="preserve"> </w:t>
      </w:r>
      <w:r>
        <w:t xml:space="preserve">based WWTP is relatively poor in comparison to more modern treatment technologies, in particular with regard to ammonia. </w:t>
      </w:r>
    </w:p>
    <w:p w14:paraId="2ABB95A0" w14:textId="77777777" w:rsidR="007B5B9B" w:rsidRDefault="00306D76" w:rsidP="00306D76">
      <w:pPr>
        <w:pStyle w:val="Body"/>
      </w:pPr>
      <w:r>
        <w:t xml:space="preserve">Where basic </w:t>
      </w:r>
      <w:r w:rsidR="008C3BC5">
        <w:t>pond</w:t>
      </w:r>
      <w:r w:rsidR="00414A25">
        <w:t xml:space="preserve"> </w:t>
      </w:r>
      <w:r>
        <w:t xml:space="preserve">based WWTPs cannot provide the level of treatment required to meet increasingly stringent resource consent conditions, WWTPs are being upgraded. Upgrades of WWTPs in New Zealand can be broadly divided into two categories. </w:t>
      </w:r>
    </w:p>
    <w:p w14:paraId="7967F509" w14:textId="77777777" w:rsidR="00771E67" w:rsidRDefault="00516E05" w:rsidP="00337399">
      <w:pPr>
        <w:pStyle w:val="Body"/>
        <w:numPr>
          <w:ilvl w:val="0"/>
          <w:numId w:val="97"/>
        </w:numPr>
      </w:pPr>
      <w:r w:rsidRPr="00811B63">
        <w:rPr>
          <w:b/>
        </w:rPr>
        <w:t>Approach 1</w:t>
      </w:r>
      <w:r>
        <w:t xml:space="preserve"> - </w:t>
      </w:r>
      <w:r w:rsidR="004F671A">
        <w:t>U</w:t>
      </w:r>
      <w:r w:rsidR="00306D76">
        <w:t>pgrades using more modern technology</w:t>
      </w:r>
      <w:r w:rsidR="004F671A">
        <w:t xml:space="preserve"> which is </w:t>
      </w:r>
      <w:r w:rsidR="00306D76">
        <w:t>generally a variation of an activated sludge process. This includes sequencing batch reactors, membrane bioreactors, and biological nutrient removal processes such as Bardenpho reactors. Activated sludge</w:t>
      </w:r>
      <w:r w:rsidR="00DA02E0">
        <w:t xml:space="preserve"> </w:t>
      </w:r>
      <w:r w:rsidR="00306D76">
        <w:t xml:space="preserve">based WWTPs can provide consistent, year round treatment of wastewater to a higher level than generally achievable through </w:t>
      </w:r>
      <w:r w:rsidR="008C3BC5">
        <w:t>waste stabilisation pond</w:t>
      </w:r>
      <w:r w:rsidR="00414A25">
        <w:t xml:space="preserve"> </w:t>
      </w:r>
      <w:r w:rsidR="00306D76">
        <w:t>based processes</w:t>
      </w:r>
      <w:r w:rsidR="008C3BC5">
        <w:t>,</w:t>
      </w:r>
      <w:r w:rsidR="00306D76">
        <w:t xml:space="preserve"> including reliable nitrification (conversion of ammonia to nitrate). However, activated sludge treatment comes with a higher cost, both capital and operational, and increased complexity requiring more skilled operators. The majority of larger towns and cities in New Zealand are now serviced by activated sludge</w:t>
      </w:r>
      <w:r w:rsidR="008441D5">
        <w:t xml:space="preserve"> </w:t>
      </w:r>
      <w:r w:rsidR="00306D76">
        <w:t xml:space="preserve">based WWTPs. </w:t>
      </w:r>
    </w:p>
    <w:p w14:paraId="24305946" w14:textId="77777777" w:rsidR="00306D76" w:rsidRDefault="00516E05" w:rsidP="00337399">
      <w:pPr>
        <w:pStyle w:val="Body"/>
        <w:numPr>
          <w:ilvl w:val="0"/>
          <w:numId w:val="97"/>
        </w:numPr>
      </w:pPr>
      <w:r w:rsidRPr="00811B63">
        <w:rPr>
          <w:b/>
        </w:rPr>
        <w:t xml:space="preserve">Approach 2 </w:t>
      </w:r>
      <w:r>
        <w:t xml:space="preserve">- </w:t>
      </w:r>
      <w:r w:rsidR="00306D76">
        <w:t xml:space="preserve">The second category of WWTP upgrades </w:t>
      </w:r>
      <w:r w:rsidR="00111F79">
        <w:t xml:space="preserve">involves </w:t>
      </w:r>
      <w:r w:rsidR="00306D76">
        <w:t xml:space="preserve">modification to </w:t>
      </w:r>
      <w:r w:rsidR="008C3BC5">
        <w:t>waste stabilisation ponds</w:t>
      </w:r>
      <w:r w:rsidR="00306D76">
        <w:t xml:space="preserve">. This has provided a major challenge to New Zealand over the past 15 years, and continues to do so. Council’s often undertake </w:t>
      </w:r>
      <w:r w:rsidR="008C3BC5">
        <w:t xml:space="preserve">such </w:t>
      </w:r>
      <w:r w:rsidR="00306D76">
        <w:t xml:space="preserve">modifications because the cost of upgrading to an activated sludge process is perceived to be unaffordable, particularly for smaller communities. </w:t>
      </w:r>
      <w:r w:rsidR="008C3BC5">
        <w:t>Waste stabilisation pond</w:t>
      </w:r>
      <w:r w:rsidR="00306D76">
        <w:t xml:space="preserve"> modifications are fuelled by the plethora of suppliers </w:t>
      </w:r>
      <w:r w:rsidR="008C3BC5">
        <w:t>who</w:t>
      </w:r>
      <w:r w:rsidR="00306D76">
        <w:t xml:space="preserve"> actively promot</w:t>
      </w:r>
      <w:r w:rsidR="008C3BC5">
        <w:t>e</w:t>
      </w:r>
      <w:r w:rsidR="00306D76">
        <w:t xml:space="preserve"> their treatment solutions in New Zealand. </w:t>
      </w:r>
    </w:p>
    <w:p w14:paraId="6DDDA7C5" w14:textId="77777777" w:rsidR="00E51D72" w:rsidRDefault="000A2DFD" w:rsidP="00E51D72">
      <w:pPr>
        <w:pStyle w:val="Body"/>
      </w:pPr>
      <w:r w:rsidRPr="000A2DFD">
        <w:t xml:space="preserve">Modifications to </w:t>
      </w:r>
      <w:r w:rsidR="008C3BC5">
        <w:t>waste stabilisation ponds</w:t>
      </w:r>
      <w:r w:rsidR="008C3BC5" w:rsidRPr="000A2DFD">
        <w:t xml:space="preserve"> </w:t>
      </w:r>
      <w:r w:rsidRPr="000A2DFD">
        <w:t>come with a significant risk of failure, and there have been many examples of such upgrades failing to meet expectations.</w:t>
      </w:r>
      <w:r>
        <w:t xml:space="preserve"> </w:t>
      </w:r>
      <w:r w:rsidR="00E51D72">
        <w:t xml:space="preserve">A review of the performance of a number of different upgrade options was completed in 2016 and reported in a paper prepared for </w:t>
      </w:r>
      <w:r w:rsidR="000A7350">
        <w:t xml:space="preserve">the </w:t>
      </w:r>
      <w:r w:rsidR="00E51D72">
        <w:t>Water</w:t>
      </w:r>
      <w:r w:rsidR="008C3BC5">
        <w:t xml:space="preserve"> </w:t>
      </w:r>
      <w:r w:rsidR="00E51D72">
        <w:t>NZ</w:t>
      </w:r>
      <w:r w:rsidR="000A7350">
        <w:t xml:space="preserve"> annual conference </w:t>
      </w:r>
      <w:r w:rsidR="00E51D72">
        <w:t xml:space="preserve"> titled “Upgrading waste stabilisation ponds: reviewing the upgrade options” (Ratsey, 2016). Case studies from across New Zealand were used </w:t>
      </w:r>
      <w:r w:rsidR="00516E05">
        <w:t>by TWWS</w:t>
      </w:r>
      <w:r w:rsidR="00E51D72">
        <w:t xml:space="preserve"> to assess the performance of a wide range of technologies added to </w:t>
      </w:r>
      <w:r w:rsidR="008C3BC5">
        <w:t>pond</w:t>
      </w:r>
      <w:r w:rsidR="00F85E5E">
        <w:t xml:space="preserve"> </w:t>
      </w:r>
      <w:r w:rsidR="00E51D72">
        <w:t>based WWTPs. Treatment technologies reviewed included AquaMats, floating wetlands, partitioned ponds, baffles, Actiflo, BioFiltro, wetlands, filtration, and ultra-violet disinfection</w:t>
      </w:r>
      <w:r w:rsidR="00864FEC">
        <w:t xml:space="preserve"> (refer </w:t>
      </w:r>
      <w:r w:rsidR="00864FEC">
        <w:fldChar w:fldCharType="begin"/>
      </w:r>
      <w:r w:rsidR="00864FEC">
        <w:instrText xml:space="preserve"> REF _Ref517353420 \r \h </w:instrText>
      </w:r>
      <w:r w:rsidR="00864FEC">
        <w:fldChar w:fldCharType="separate"/>
      </w:r>
      <w:r w:rsidR="002777A8">
        <w:t>Appendix A</w:t>
      </w:r>
      <w:r w:rsidR="00864FEC">
        <w:fldChar w:fldCharType="end"/>
      </w:r>
      <w:r>
        <w:t xml:space="preserve"> for </w:t>
      </w:r>
      <w:r w:rsidR="00DA02E0">
        <w:t xml:space="preserve">an </w:t>
      </w:r>
      <w:r>
        <w:t>explanation of these technologies)</w:t>
      </w:r>
      <w:r w:rsidR="00E51D72">
        <w:t xml:space="preserve">. </w:t>
      </w:r>
    </w:p>
    <w:p w14:paraId="6B7A2C7F" w14:textId="77777777" w:rsidR="003D1C23" w:rsidRDefault="00E51D72" w:rsidP="00E51D72">
      <w:pPr>
        <w:pStyle w:val="Body"/>
      </w:pPr>
      <w:r>
        <w:t xml:space="preserve">The key findings of this review </w:t>
      </w:r>
      <w:r w:rsidR="00770B67">
        <w:t>indicate</w:t>
      </w:r>
      <w:r>
        <w:t xml:space="preserve"> that upgrades of </w:t>
      </w:r>
      <w:r w:rsidR="008C3BC5">
        <w:t xml:space="preserve">waste stabilisation ponds </w:t>
      </w:r>
      <w:r w:rsidR="00F85E5E">
        <w:t xml:space="preserve">that </w:t>
      </w:r>
      <w:r>
        <w:t xml:space="preserve">rely on natural treatment processes invariably retain one major disadvantage of </w:t>
      </w:r>
      <w:r w:rsidR="008C3BC5">
        <w:t>pond</w:t>
      </w:r>
      <w:r w:rsidR="00F85E5E">
        <w:t xml:space="preserve"> </w:t>
      </w:r>
      <w:r w:rsidR="008C3BC5">
        <w:t xml:space="preserve">based treatment </w:t>
      </w:r>
      <w:r>
        <w:t>i.e. inconsistent and unpredictable performance. In particular, if reliable year</w:t>
      </w:r>
      <w:r w:rsidR="00DA02E0">
        <w:t xml:space="preserve"> </w:t>
      </w:r>
      <w:r>
        <w:t xml:space="preserve">round nitrification is required, </w:t>
      </w:r>
      <w:r w:rsidR="008C3BC5">
        <w:t xml:space="preserve">waste stabilisation pond </w:t>
      </w:r>
      <w:r>
        <w:t xml:space="preserve">upgrading is considered to be a high risk option. </w:t>
      </w:r>
    </w:p>
    <w:p w14:paraId="4909EE9C" w14:textId="77777777" w:rsidR="00E51D72" w:rsidRDefault="00E51D72" w:rsidP="00E51D72">
      <w:pPr>
        <w:pStyle w:val="Body"/>
      </w:pPr>
      <w:r>
        <w:t xml:space="preserve">Where </w:t>
      </w:r>
      <w:r w:rsidR="008C3BC5">
        <w:t xml:space="preserve">waste stabilisation ponds </w:t>
      </w:r>
      <w:r>
        <w:t xml:space="preserve">are upgraded using physical or chemical treatment processes the level of treatment attainable is more predictable. </w:t>
      </w:r>
      <w:r w:rsidR="00715C25">
        <w:t>However,</w:t>
      </w:r>
      <w:r>
        <w:t xml:space="preserve"> it is important </w:t>
      </w:r>
      <w:r w:rsidR="003D1C23">
        <w:t xml:space="preserve">that </w:t>
      </w:r>
      <w:r w:rsidR="00AB360E">
        <w:t xml:space="preserve">the process </w:t>
      </w:r>
      <w:r w:rsidR="00AB360E">
        <w:lastRenderedPageBreak/>
        <w:t>selected aligns with required discharge water quality targets since there is variability in contaminant removal efficiency with different processes.</w:t>
      </w:r>
    </w:p>
    <w:p w14:paraId="1D13B4DC" w14:textId="77777777" w:rsidR="002C7AA2" w:rsidRDefault="00306D76" w:rsidP="00306D76">
      <w:pPr>
        <w:pStyle w:val="Body"/>
      </w:pPr>
      <w:r>
        <w:t>WWTPs typically evolve as populations increase and resource consent conditions become more stringent. This has resulted in non-standardised WWTPs throughout New Zealand, particularly those servicing small to medium towns.</w:t>
      </w:r>
    </w:p>
    <w:p w14:paraId="180E1BC3" w14:textId="77777777" w:rsidR="007214E3" w:rsidRDefault="00AF5134" w:rsidP="001870BC">
      <w:pPr>
        <w:pStyle w:val="Heading2"/>
        <w:tabs>
          <w:tab w:val="clear" w:pos="1417"/>
          <w:tab w:val="left" w:pos="1418"/>
        </w:tabs>
        <w:ind w:left="1418" w:hanging="851"/>
      </w:pPr>
      <w:bookmarkStart w:id="51" w:name="_Toc517787144"/>
      <w:bookmarkStart w:id="52" w:name="_Toc516741323"/>
      <w:bookmarkStart w:id="53" w:name="_Toc516840519"/>
      <w:bookmarkStart w:id="54" w:name="_Toc517267829"/>
      <w:bookmarkStart w:id="55" w:name="_Toc517707389"/>
      <w:bookmarkStart w:id="56" w:name="_Toc517793843"/>
      <w:bookmarkStart w:id="57" w:name="_Toc518646180"/>
      <w:bookmarkStart w:id="58" w:name="_Toc518653080"/>
      <w:bookmarkStart w:id="59" w:name="_Toc527638634"/>
      <w:r>
        <w:t xml:space="preserve">Overview of </w:t>
      </w:r>
      <w:r w:rsidR="002C3FCF">
        <w:t xml:space="preserve">wastewater </w:t>
      </w:r>
      <w:bookmarkEnd w:id="51"/>
      <w:r w:rsidR="002C3FCF">
        <w:t>networks</w:t>
      </w:r>
      <w:bookmarkEnd w:id="52"/>
      <w:bookmarkEnd w:id="53"/>
      <w:bookmarkEnd w:id="54"/>
      <w:bookmarkEnd w:id="55"/>
      <w:bookmarkEnd w:id="56"/>
      <w:bookmarkEnd w:id="57"/>
      <w:bookmarkEnd w:id="58"/>
      <w:bookmarkEnd w:id="59"/>
      <w:r w:rsidR="001870BC">
        <w:t xml:space="preserve"> </w:t>
      </w:r>
    </w:p>
    <w:p w14:paraId="704BD863" w14:textId="77777777" w:rsidR="001870BC" w:rsidRDefault="00AF5134" w:rsidP="001870BC">
      <w:pPr>
        <w:pStyle w:val="Body"/>
      </w:pPr>
      <w:r>
        <w:t xml:space="preserve">Wastewater </w:t>
      </w:r>
      <w:r w:rsidR="001B096D">
        <w:t>networks are</w:t>
      </w:r>
      <w:r w:rsidR="006E108D">
        <w:t xml:space="preserve"> </w:t>
      </w:r>
      <w:r>
        <w:t>designed to convey wastewater to a WWTP</w:t>
      </w:r>
      <w:r w:rsidR="001B096D">
        <w:t xml:space="preserve">. The complexity </w:t>
      </w:r>
      <w:r w:rsidR="001F0544">
        <w:t xml:space="preserve">and scale </w:t>
      </w:r>
      <w:r w:rsidR="001B096D">
        <w:t>of the networks operating in New Zealand varies across communities</w:t>
      </w:r>
      <w:r w:rsidR="003D1C23">
        <w:t>.</w:t>
      </w:r>
      <w:r w:rsidR="008441D5">
        <w:t xml:space="preserve"> </w:t>
      </w:r>
      <w:r w:rsidR="003D1C23">
        <w:t>Many networks include a combination</w:t>
      </w:r>
      <w:r w:rsidR="001B096D">
        <w:t xml:space="preserve"> of </w:t>
      </w:r>
      <w:r w:rsidR="003D1C23">
        <w:t>both old and new sections. While the majority of networks operate using</w:t>
      </w:r>
      <w:r w:rsidR="001B096D">
        <w:t xml:space="preserve"> gravity</w:t>
      </w:r>
      <w:r w:rsidR="00C83BE4">
        <w:t>,</w:t>
      </w:r>
      <w:r w:rsidR="003D1C23">
        <w:t xml:space="preserve"> there is a steady increase in the installation of </w:t>
      </w:r>
      <w:r w:rsidR="001B096D">
        <w:t>pressurised systems</w:t>
      </w:r>
      <w:r w:rsidR="003D1C23">
        <w:t xml:space="preserve"> being retrofitted to older areas of networks or being installed to service new developments</w:t>
      </w:r>
      <w:r w:rsidR="001B096D">
        <w:t xml:space="preserve">. </w:t>
      </w:r>
    </w:p>
    <w:p w14:paraId="28B931EC" w14:textId="77777777" w:rsidR="006E108D" w:rsidRDefault="001F0544" w:rsidP="00B56F0D">
      <w:pPr>
        <w:pStyle w:val="Body"/>
      </w:pPr>
      <w:r>
        <w:t xml:space="preserve">For most </w:t>
      </w:r>
      <w:r w:rsidR="00715C25">
        <w:t>networks,</w:t>
      </w:r>
      <w:r>
        <w:t xml:space="preserve"> the wastewater conveyed is derived from a combination </w:t>
      </w:r>
      <w:r w:rsidR="006E108D">
        <w:t xml:space="preserve">of </w:t>
      </w:r>
      <w:r>
        <w:t xml:space="preserve">residential, commercial and industrial sources. In </w:t>
      </w:r>
      <w:r w:rsidR="00715C25">
        <w:t>addition,</w:t>
      </w:r>
      <w:r>
        <w:t xml:space="preserve"> water commonly enters networks from either infiltration of groundwater or rainfall and also via illegal stormwater connections. The</w:t>
      </w:r>
      <w:r w:rsidR="006E108D">
        <w:t xml:space="preserve"> load from</w:t>
      </w:r>
      <w:r>
        <w:t xml:space="preserve"> rainfall derived inflow and </w:t>
      </w:r>
      <w:r w:rsidR="008C3BC5">
        <w:t>i</w:t>
      </w:r>
      <w:r>
        <w:t xml:space="preserve">nfiltration </w:t>
      </w:r>
      <w:r w:rsidR="006E108D">
        <w:t>often causes total inflows to exceed the capacity of the network; and for this reason m</w:t>
      </w:r>
      <w:r w:rsidR="00525B61">
        <w:t>any</w:t>
      </w:r>
      <w:r w:rsidR="006E108D">
        <w:t xml:space="preserve"> systems incorporate engineered overflow points. These are designed overflow points that have been located to minimise the impacts of an overflow on the public (e.g. avoiding private property). These overflows are </w:t>
      </w:r>
      <w:r w:rsidR="000B68AE">
        <w:t>often</w:t>
      </w:r>
      <w:r w:rsidR="006E108D">
        <w:t xml:space="preserve"> termed wet weather </w:t>
      </w:r>
      <w:r w:rsidR="00DB43CC">
        <w:t>over</w:t>
      </w:r>
      <w:r w:rsidR="006E108D">
        <w:t>flows</w:t>
      </w:r>
      <w:r w:rsidR="000A7350">
        <w:t>.</w:t>
      </w:r>
    </w:p>
    <w:p w14:paraId="63BCEA0C" w14:textId="77777777" w:rsidR="001F0544" w:rsidRDefault="006E108D" w:rsidP="001870BC">
      <w:pPr>
        <w:pStyle w:val="Body"/>
      </w:pPr>
      <w:r>
        <w:t xml:space="preserve">In some parts of New </w:t>
      </w:r>
      <w:r w:rsidR="001B3C31">
        <w:t>Zealand,</w:t>
      </w:r>
      <w:r>
        <w:t xml:space="preserve"> wastewater networks </w:t>
      </w:r>
      <w:r w:rsidR="00DB43CC">
        <w:t>are</w:t>
      </w:r>
      <w:r>
        <w:t xml:space="preserve"> specifically designed to overflow to the stormwater system in rainfall events. In </w:t>
      </w:r>
      <w:r w:rsidR="000B68AE">
        <w:t>other situations</w:t>
      </w:r>
      <w:r>
        <w:t xml:space="preserve"> the wastewater and stormwater networks are </w:t>
      </w:r>
      <w:r w:rsidR="000B68AE">
        <w:t xml:space="preserve">combined and incorporate designed overflow points to receiving waters when it rains. Overflows from combined networks are </w:t>
      </w:r>
      <w:r>
        <w:t xml:space="preserve">called a </w:t>
      </w:r>
      <w:r w:rsidR="008C3BC5">
        <w:t>c</w:t>
      </w:r>
      <w:r>
        <w:t xml:space="preserve">ombined </w:t>
      </w:r>
      <w:r w:rsidR="008C3BC5">
        <w:t>s</w:t>
      </w:r>
      <w:r>
        <w:t xml:space="preserve">ewer </w:t>
      </w:r>
      <w:r w:rsidR="008C3BC5">
        <w:t>o</w:t>
      </w:r>
      <w:r>
        <w:t>verflow. Combined systems are no longer constructed and in cases where they exist the network owners are working to eliminate them over time.</w:t>
      </w:r>
    </w:p>
    <w:p w14:paraId="616BBADB" w14:textId="77777777" w:rsidR="00B56F0D" w:rsidRDefault="00B56F0D" w:rsidP="00B56F0D">
      <w:pPr>
        <w:pStyle w:val="Body"/>
      </w:pPr>
      <w:r w:rsidRPr="00B56F0D">
        <w:t>Wastewater networks are no</w:t>
      </w:r>
      <w:r>
        <w:t>t</w:t>
      </w:r>
      <w:r w:rsidRPr="00B56F0D">
        <w:t xml:space="preserve"> desi</w:t>
      </w:r>
      <w:r>
        <w:t xml:space="preserve">gned for discharge of </w:t>
      </w:r>
      <w:r w:rsidR="008C3BC5">
        <w:t>dry w</w:t>
      </w:r>
      <w:r>
        <w:t xml:space="preserve">eather </w:t>
      </w:r>
      <w:r w:rsidR="008C3BC5">
        <w:t>f</w:t>
      </w:r>
      <w:r>
        <w:t>low</w:t>
      </w:r>
      <w:r w:rsidR="00770B67">
        <w:t xml:space="preserve">, </w:t>
      </w:r>
      <w:r>
        <w:t xml:space="preserve">which is wastewater plus any groundwater within the system flowing in dry conditions. However overflows of networks can occur due to various failures within a system such as a pump failing or </w:t>
      </w:r>
      <w:r w:rsidR="000B68AE">
        <w:t xml:space="preserve">more commonly system </w:t>
      </w:r>
      <w:r>
        <w:t>blockage. This type of overflow is</w:t>
      </w:r>
      <w:r w:rsidR="00DB43CC">
        <w:t xml:space="preserve"> </w:t>
      </w:r>
      <w:r>
        <w:t xml:space="preserve">called a </w:t>
      </w:r>
      <w:r w:rsidR="008C3BC5">
        <w:t>d</w:t>
      </w:r>
      <w:r>
        <w:t xml:space="preserve">ry </w:t>
      </w:r>
      <w:r w:rsidR="008C3BC5">
        <w:t>w</w:t>
      </w:r>
      <w:r>
        <w:t xml:space="preserve">eather </w:t>
      </w:r>
      <w:r w:rsidR="008C3BC5">
        <w:t>o</w:t>
      </w:r>
      <w:r>
        <w:t xml:space="preserve">verflow. </w:t>
      </w:r>
    </w:p>
    <w:p w14:paraId="7CEC3DFE" w14:textId="77777777" w:rsidR="00DB43CC" w:rsidRDefault="00DB43CC" w:rsidP="00B56F0D">
      <w:pPr>
        <w:pStyle w:val="Body"/>
      </w:pPr>
      <w:r>
        <w:t xml:space="preserve">The rate and frequency of overflows from wastewater networks varies across New Zealand. In </w:t>
      </w:r>
      <w:r w:rsidR="005C5F56">
        <w:t xml:space="preserve">many </w:t>
      </w:r>
      <w:r>
        <w:t xml:space="preserve">municipalities network owners are </w:t>
      </w:r>
      <w:r w:rsidR="005C5F56">
        <w:t xml:space="preserve">operating systems that were constructed more than 50 years ago </w:t>
      </w:r>
      <w:r w:rsidR="00160406">
        <w:t xml:space="preserve">and are managing associated issues with degradation (causing infiltration) and lack of capacity to deal with population growth. </w:t>
      </w:r>
    </w:p>
    <w:p w14:paraId="0E1342B2" w14:textId="77777777" w:rsidR="00516E05" w:rsidRDefault="0083505B" w:rsidP="00111AB8">
      <w:pPr>
        <w:pStyle w:val="Body"/>
      </w:pPr>
      <w:r>
        <w:t>Another complexity is that t</w:t>
      </w:r>
      <w:r w:rsidR="00160406">
        <w:t xml:space="preserve">he approach to consenting of wastewater overflows varies across the regions, as does the approach </w:t>
      </w:r>
      <w:r w:rsidR="001B3C31">
        <w:t>being</w:t>
      </w:r>
      <w:r w:rsidR="003F5B28">
        <w:t xml:space="preserve"> </w:t>
      </w:r>
      <w:r w:rsidR="00160406">
        <w:t xml:space="preserve">taken by networks owners to </w:t>
      </w:r>
      <w:r w:rsidR="003F5B28">
        <w:t>managing</w:t>
      </w:r>
      <w:r w:rsidR="00160406">
        <w:t xml:space="preserve"> overflows. </w:t>
      </w:r>
      <w:r w:rsidR="0023741A">
        <w:fldChar w:fldCharType="begin"/>
      </w:r>
      <w:r w:rsidR="0023741A">
        <w:instrText xml:space="preserve"> REF _Ref517186315 \r \h </w:instrText>
      </w:r>
      <w:r w:rsidR="0023741A">
        <w:fldChar w:fldCharType="separate"/>
      </w:r>
      <w:r w:rsidR="002777A8">
        <w:t>Appendix C</w:t>
      </w:r>
      <w:r w:rsidR="0023741A">
        <w:fldChar w:fldCharType="end"/>
      </w:r>
      <w:r w:rsidR="0023741A">
        <w:t xml:space="preserve"> </w:t>
      </w:r>
      <w:r w:rsidR="001B3C31">
        <w:t xml:space="preserve">provides </w:t>
      </w:r>
      <w:r w:rsidR="00111AB8">
        <w:t>examples of different management approaches being applied across New Zealand</w:t>
      </w:r>
      <w:r w:rsidR="003F5B28">
        <w:t>.</w:t>
      </w:r>
    </w:p>
    <w:p w14:paraId="13F25F17" w14:textId="77777777" w:rsidR="00516E05" w:rsidRDefault="006D449C">
      <w:pPr>
        <w:spacing w:after="0"/>
      </w:pPr>
      <w:r>
        <w:br w:type="page"/>
      </w:r>
    </w:p>
    <w:p w14:paraId="5436A037" w14:textId="77777777" w:rsidR="0027376E" w:rsidRDefault="0027376E" w:rsidP="00A90E01">
      <w:pPr>
        <w:pStyle w:val="Heading2"/>
        <w:tabs>
          <w:tab w:val="clear" w:pos="1417"/>
          <w:tab w:val="left" w:pos="1418"/>
        </w:tabs>
        <w:ind w:left="1418" w:hanging="851"/>
      </w:pPr>
      <w:bookmarkStart w:id="60" w:name="_Toc516741325"/>
      <w:bookmarkStart w:id="61" w:name="_Toc516840521"/>
      <w:bookmarkStart w:id="62" w:name="_Toc517267831"/>
      <w:bookmarkStart w:id="63" w:name="_Toc517707390"/>
      <w:bookmarkStart w:id="64" w:name="_Toc517787145"/>
      <w:bookmarkStart w:id="65" w:name="_Toc517793844"/>
      <w:bookmarkStart w:id="66" w:name="_Toc518646181"/>
      <w:bookmarkStart w:id="67" w:name="_Toc518653081"/>
      <w:bookmarkStart w:id="68" w:name="_Toc527638635"/>
      <w:bookmarkStart w:id="69" w:name="_Toc317513538"/>
      <w:r>
        <w:lastRenderedPageBreak/>
        <w:t>Acknowledgements</w:t>
      </w:r>
      <w:bookmarkEnd w:id="60"/>
      <w:bookmarkEnd w:id="61"/>
      <w:bookmarkEnd w:id="62"/>
      <w:bookmarkEnd w:id="63"/>
      <w:bookmarkEnd w:id="64"/>
      <w:bookmarkEnd w:id="65"/>
      <w:bookmarkEnd w:id="66"/>
      <w:bookmarkEnd w:id="67"/>
      <w:bookmarkEnd w:id="68"/>
    </w:p>
    <w:p w14:paraId="4EAD33EC" w14:textId="77777777" w:rsidR="00A737E5" w:rsidRDefault="000B68AE" w:rsidP="0027376E">
      <w:pPr>
        <w:pStyle w:val="Body"/>
      </w:pPr>
      <w:r>
        <w:t xml:space="preserve">This study has required the collaboration and input from a number of wastewater network owners and operators across New Zealand. The open discussions, ready sharing of information and assistance with </w:t>
      </w:r>
      <w:r w:rsidR="00C5012C">
        <w:t xml:space="preserve">a </w:t>
      </w:r>
      <w:r w:rsidR="00F85E5E">
        <w:t xml:space="preserve">focus </w:t>
      </w:r>
      <w:r w:rsidR="001653C5">
        <w:t xml:space="preserve">group </w:t>
      </w:r>
      <w:r w:rsidR="00C5012C">
        <w:t>discussion</w:t>
      </w:r>
      <w:r w:rsidR="001653C5">
        <w:t xml:space="preserve"> is appreciated and acknowledged. </w:t>
      </w:r>
    </w:p>
    <w:p w14:paraId="65ADCBAF" w14:textId="77777777" w:rsidR="000B68AE" w:rsidRDefault="001653C5" w:rsidP="0027376E">
      <w:pPr>
        <w:pStyle w:val="Body"/>
      </w:pPr>
      <w:r>
        <w:t xml:space="preserve">Specific thanks </w:t>
      </w:r>
      <w:r w:rsidR="00A31182">
        <w:t xml:space="preserve">are </w:t>
      </w:r>
      <w:r>
        <w:t>given to the following organisations for their participation</w:t>
      </w:r>
      <w:r w:rsidR="00C5012C">
        <w:t xml:space="preserve"> in meetings and the project </w:t>
      </w:r>
      <w:r w:rsidR="00A31182">
        <w:t xml:space="preserve">industry </w:t>
      </w:r>
      <w:r w:rsidR="00516E05">
        <w:t xml:space="preserve">focus </w:t>
      </w:r>
      <w:r w:rsidR="00C5012C">
        <w:t>group</w:t>
      </w:r>
      <w:r>
        <w:t>:</w:t>
      </w:r>
    </w:p>
    <w:tbl>
      <w:tblPr>
        <w:tblStyle w:val="Table-Style3"/>
        <w:tblW w:w="0" w:type="auto"/>
        <w:tblLook w:val="04A0" w:firstRow="1" w:lastRow="0" w:firstColumn="1" w:lastColumn="0" w:noHBand="0" w:noVBand="1"/>
      </w:tblPr>
      <w:tblGrid>
        <w:gridCol w:w="4361"/>
        <w:gridCol w:w="4360"/>
      </w:tblGrid>
      <w:tr w:rsidR="001653C5" w14:paraId="70356D27" w14:textId="77777777" w:rsidTr="00E66F34">
        <w:trPr>
          <w:cnfStyle w:val="100000000000" w:firstRow="1" w:lastRow="0" w:firstColumn="0" w:lastColumn="0" w:oddVBand="0" w:evenVBand="0" w:oddHBand="0" w:evenHBand="0" w:firstRowFirstColumn="0" w:firstRowLastColumn="0" w:lastRowFirstColumn="0" w:lastRowLastColumn="0"/>
        </w:trPr>
        <w:tc>
          <w:tcPr>
            <w:tcW w:w="4526" w:type="dxa"/>
          </w:tcPr>
          <w:p w14:paraId="576BE871" w14:textId="77777777" w:rsidR="001653C5" w:rsidRDefault="001653C5" w:rsidP="0027376E">
            <w:pPr>
              <w:pStyle w:val="Body"/>
              <w:spacing w:before="45" w:after="91"/>
              <w:ind w:left="0"/>
            </w:pPr>
            <w:r>
              <w:t>Christchurch City Council</w:t>
            </w:r>
          </w:p>
          <w:p w14:paraId="61C11828" w14:textId="77777777" w:rsidR="001653C5" w:rsidRDefault="001653C5" w:rsidP="0027376E">
            <w:pPr>
              <w:pStyle w:val="Body"/>
              <w:spacing w:before="45" w:after="91"/>
              <w:ind w:left="0"/>
            </w:pPr>
            <w:r>
              <w:t>Dunedin City Council</w:t>
            </w:r>
          </w:p>
          <w:p w14:paraId="47C89FF5" w14:textId="77777777" w:rsidR="001653C5" w:rsidRDefault="001653C5" w:rsidP="0027376E">
            <w:pPr>
              <w:pStyle w:val="Body"/>
              <w:spacing w:before="45" w:after="91"/>
              <w:ind w:left="0"/>
            </w:pPr>
            <w:r>
              <w:t>Hamilton City Council</w:t>
            </w:r>
          </w:p>
          <w:p w14:paraId="76AD4348" w14:textId="77777777" w:rsidR="001653C5" w:rsidRDefault="001653C5" w:rsidP="0027376E">
            <w:pPr>
              <w:pStyle w:val="Body"/>
              <w:spacing w:before="45" w:after="91"/>
              <w:ind w:left="0"/>
            </w:pPr>
            <w:r>
              <w:t>Hauraki District Council</w:t>
            </w:r>
          </w:p>
          <w:p w14:paraId="6FFB13B8" w14:textId="77777777" w:rsidR="001653C5" w:rsidRDefault="001653C5" w:rsidP="0027376E">
            <w:pPr>
              <w:pStyle w:val="Body"/>
              <w:spacing w:before="45" w:after="91"/>
              <w:ind w:left="0"/>
            </w:pPr>
            <w:r>
              <w:t>Waipa District Council</w:t>
            </w:r>
          </w:p>
          <w:p w14:paraId="0E306FB6" w14:textId="77777777" w:rsidR="001653C5" w:rsidRDefault="001653C5" w:rsidP="0027376E">
            <w:pPr>
              <w:pStyle w:val="Body"/>
              <w:spacing w:before="45" w:after="91"/>
              <w:ind w:left="0"/>
            </w:pPr>
            <w:r>
              <w:t>Western Bay Of Plenty District Council</w:t>
            </w:r>
          </w:p>
        </w:tc>
        <w:tc>
          <w:tcPr>
            <w:tcW w:w="4526" w:type="dxa"/>
          </w:tcPr>
          <w:p w14:paraId="733A41F3" w14:textId="77777777" w:rsidR="001653C5" w:rsidRDefault="001653C5" w:rsidP="0027376E">
            <w:pPr>
              <w:pStyle w:val="Body"/>
              <w:spacing w:before="45" w:after="91"/>
              <w:ind w:left="0"/>
            </w:pPr>
            <w:r>
              <w:t>Queenstown Lakes District Council</w:t>
            </w:r>
          </w:p>
          <w:p w14:paraId="1D010742" w14:textId="77777777" w:rsidR="001653C5" w:rsidRDefault="001653C5" w:rsidP="0027376E">
            <w:pPr>
              <w:pStyle w:val="Body"/>
              <w:spacing w:before="45" w:after="91"/>
              <w:ind w:left="0"/>
            </w:pPr>
            <w:r>
              <w:t>Waikato Regional Council</w:t>
            </w:r>
          </w:p>
          <w:p w14:paraId="4B802BBE" w14:textId="77777777" w:rsidR="001653C5" w:rsidRDefault="001653C5" w:rsidP="0027376E">
            <w:pPr>
              <w:pStyle w:val="Body"/>
              <w:spacing w:before="45" w:after="91"/>
              <w:ind w:left="0"/>
            </w:pPr>
            <w:r>
              <w:t>Watercare Services Ltd</w:t>
            </w:r>
          </w:p>
          <w:p w14:paraId="0F1AFDC8" w14:textId="77777777" w:rsidR="001653C5" w:rsidRDefault="001653C5" w:rsidP="0027376E">
            <w:pPr>
              <w:pStyle w:val="Body"/>
              <w:spacing w:before="45" w:after="91"/>
              <w:ind w:left="0"/>
            </w:pPr>
            <w:r>
              <w:t>Wellington Water</w:t>
            </w:r>
          </w:p>
          <w:p w14:paraId="19868866" w14:textId="77777777" w:rsidR="001653C5" w:rsidRDefault="001653C5" w:rsidP="0027376E">
            <w:pPr>
              <w:pStyle w:val="Body"/>
              <w:spacing w:before="45" w:after="91"/>
              <w:ind w:left="0"/>
            </w:pPr>
            <w:r>
              <w:t>Water New Zealand</w:t>
            </w:r>
          </w:p>
          <w:p w14:paraId="592B6102" w14:textId="77777777" w:rsidR="001653C5" w:rsidRDefault="001653C5" w:rsidP="0027376E">
            <w:pPr>
              <w:pStyle w:val="Body"/>
              <w:spacing w:before="45" w:after="91"/>
              <w:ind w:left="0"/>
            </w:pPr>
            <w:r>
              <w:t>Water Services Managers Group</w:t>
            </w:r>
          </w:p>
        </w:tc>
      </w:tr>
      <w:bookmarkEnd w:id="69"/>
    </w:tbl>
    <w:p w14:paraId="4CA972CB" w14:textId="77777777" w:rsidR="00771E67" w:rsidRPr="007D1129" w:rsidRDefault="00771E67" w:rsidP="007D1129">
      <w:pPr>
        <w:autoSpaceDE w:val="0"/>
        <w:autoSpaceDN w:val="0"/>
        <w:adjustRightInd w:val="0"/>
        <w:spacing w:before="100" w:beforeAutospacing="1" w:after="100" w:afterAutospacing="1"/>
        <w:ind w:left="567"/>
        <w:rPr>
          <w:rFonts w:cs="Arial"/>
          <w:i/>
          <w:szCs w:val="20"/>
          <w:lang w:eastAsia="en-AU"/>
        </w:rPr>
      </w:pPr>
    </w:p>
    <w:p w14:paraId="1BA5B8BB" w14:textId="77777777" w:rsidR="00663959" w:rsidRDefault="00663959">
      <w:pPr>
        <w:spacing w:after="0"/>
        <w:rPr>
          <w:lang w:eastAsia="en-AU"/>
        </w:rPr>
      </w:pPr>
      <w:bookmarkStart w:id="70" w:name="_Toc516741327"/>
      <w:r>
        <w:rPr>
          <w:lang w:eastAsia="en-AU"/>
        </w:rPr>
        <w:br w:type="page"/>
      </w:r>
    </w:p>
    <w:p w14:paraId="3FAC8F63" w14:textId="77777777" w:rsidR="00A90E01" w:rsidRDefault="007A7882" w:rsidP="007A7882">
      <w:pPr>
        <w:pStyle w:val="Heading1"/>
        <w:rPr>
          <w:lang w:eastAsia="en-AU"/>
        </w:rPr>
      </w:pPr>
      <w:bookmarkStart w:id="71" w:name="_Toc516840523"/>
      <w:bookmarkStart w:id="72" w:name="_Toc517267833"/>
      <w:bookmarkStart w:id="73" w:name="_Toc517707392"/>
      <w:bookmarkStart w:id="74" w:name="_Toc517787147"/>
      <w:bookmarkStart w:id="75" w:name="_Toc517793846"/>
      <w:bookmarkStart w:id="76" w:name="_Toc518646182"/>
      <w:bookmarkStart w:id="77" w:name="_Toc518653082"/>
      <w:bookmarkStart w:id="78" w:name="_Toc527638636"/>
      <w:r>
        <w:rPr>
          <w:lang w:eastAsia="en-AU"/>
        </w:rPr>
        <w:lastRenderedPageBreak/>
        <w:t>Methodology</w:t>
      </w:r>
      <w:bookmarkEnd w:id="70"/>
      <w:bookmarkEnd w:id="71"/>
      <w:bookmarkEnd w:id="72"/>
      <w:bookmarkEnd w:id="73"/>
      <w:bookmarkEnd w:id="74"/>
      <w:bookmarkEnd w:id="75"/>
      <w:bookmarkEnd w:id="76"/>
      <w:bookmarkEnd w:id="77"/>
      <w:bookmarkEnd w:id="78"/>
    </w:p>
    <w:p w14:paraId="5A059E4F" w14:textId="77777777" w:rsidR="0027376E" w:rsidRDefault="007A7882" w:rsidP="00697248">
      <w:pPr>
        <w:pStyle w:val="Heading2"/>
        <w:rPr>
          <w:lang w:eastAsia="en-AU"/>
        </w:rPr>
      </w:pPr>
      <w:bookmarkStart w:id="79" w:name="_Toc516741328"/>
      <w:bookmarkStart w:id="80" w:name="_Toc516840524"/>
      <w:bookmarkStart w:id="81" w:name="_Toc517267834"/>
      <w:bookmarkStart w:id="82" w:name="_Toc517707393"/>
      <w:bookmarkStart w:id="83" w:name="_Toc517787148"/>
      <w:bookmarkStart w:id="84" w:name="_Toc517793847"/>
      <w:bookmarkStart w:id="85" w:name="_Toc518646183"/>
      <w:bookmarkStart w:id="86" w:name="_Toc518653083"/>
      <w:bookmarkStart w:id="87" w:name="_Toc527638637"/>
      <w:r>
        <w:rPr>
          <w:lang w:eastAsia="en-AU"/>
        </w:rPr>
        <w:t>Approach</w:t>
      </w:r>
      <w:bookmarkEnd w:id="79"/>
      <w:bookmarkEnd w:id="80"/>
      <w:bookmarkEnd w:id="81"/>
      <w:bookmarkEnd w:id="82"/>
      <w:bookmarkEnd w:id="83"/>
      <w:bookmarkEnd w:id="84"/>
      <w:bookmarkEnd w:id="85"/>
      <w:bookmarkEnd w:id="86"/>
      <w:bookmarkEnd w:id="87"/>
    </w:p>
    <w:p w14:paraId="24971245" w14:textId="77777777" w:rsidR="00147B0E" w:rsidRDefault="004A58C4" w:rsidP="00147B0E">
      <w:pPr>
        <w:pStyle w:val="Body"/>
        <w:rPr>
          <w:lang w:eastAsia="en-AU"/>
        </w:rPr>
      </w:pPr>
      <w:r>
        <w:rPr>
          <w:lang w:eastAsia="en-AU"/>
        </w:rPr>
        <w:t xml:space="preserve">A key focus for the study has been to align the impacts of WWTP discharges on receiving water quality. </w:t>
      </w:r>
      <w:r w:rsidR="00E77A8F">
        <w:rPr>
          <w:lang w:eastAsia="en-AU"/>
        </w:rPr>
        <w:t xml:space="preserve">This has involved comparing the contribution of </w:t>
      </w:r>
      <w:r w:rsidR="00A73A1C">
        <w:rPr>
          <w:lang w:eastAsia="en-AU"/>
        </w:rPr>
        <w:t>WWTP discharges</w:t>
      </w:r>
      <w:r w:rsidR="00E77A8F">
        <w:rPr>
          <w:lang w:eastAsia="en-AU"/>
        </w:rPr>
        <w:t xml:space="preserve"> </w:t>
      </w:r>
      <w:r w:rsidR="00442898">
        <w:rPr>
          <w:lang w:eastAsia="en-AU"/>
        </w:rPr>
        <w:t xml:space="preserve">to inputs from the wider catchment that also </w:t>
      </w:r>
      <w:r w:rsidR="00D54330">
        <w:rPr>
          <w:lang w:eastAsia="en-AU"/>
        </w:rPr>
        <w:t xml:space="preserve">influence the potential for a watercourse to meet </w:t>
      </w:r>
      <w:r w:rsidR="00442898">
        <w:rPr>
          <w:lang w:eastAsia="en-AU"/>
        </w:rPr>
        <w:t xml:space="preserve">NPS Freshwater </w:t>
      </w:r>
      <w:r w:rsidR="00663B4B">
        <w:rPr>
          <w:lang w:eastAsia="en-AU"/>
        </w:rPr>
        <w:t xml:space="preserve">quality standards </w:t>
      </w:r>
      <w:r w:rsidR="00442898">
        <w:rPr>
          <w:lang w:eastAsia="en-AU"/>
        </w:rPr>
        <w:t>(refer</w:t>
      </w:r>
      <w:r w:rsidR="0023741A">
        <w:rPr>
          <w:lang w:eastAsia="en-AU"/>
        </w:rPr>
        <w:t xml:space="preserve"> </w:t>
      </w:r>
      <w:r w:rsidR="008F740A">
        <w:rPr>
          <w:lang w:eastAsia="en-AU"/>
        </w:rPr>
        <w:t xml:space="preserve">section </w:t>
      </w:r>
      <w:r w:rsidR="0023741A">
        <w:rPr>
          <w:lang w:eastAsia="en-AU"/>
        </w:rPr>
        <w:fldChar w:fldCharType="begin"/>
      </w:r>
      <w:r w:rsidR="0023741A">
        <w:rPr>
          <w:lang w:eastAsia="en-AU"/>
        </w:rPr>
        <w:instrText xml:space="preserve"> REF _Ref516840164 \r \h </w:instrText>
      </w:r>
      <w:r w:rsidR="0023741A">
        <w:rPr>
          <w:lang w:eastAsia="en-AU"/>
        </w:rPr>
      </w:r>
      <w:r w:rsidR="0023741A">
        <w:rPr>
          <w:lang w:eastAsia="en-AU"/>
        </w:rPr>
        <w:fldChar w:fldCharType="separate"/>
      </w:r>
      <w:r w:rsidR="002777A8">
        <w:rPr>
          <w:lang w:eastAsia="en-AU"/>
        </w:rPr>
        <w:t>3.4.3</w:t>
      </w:r>
      <w:r w:rsidR="0023741A">
        <w:rPr>
          <w:lang w:eastAsia="en-AU"/>
        </w:rPr>
        <w:fldChar w:fldCharType="end"/>
      </w:r>
      <w:r w:rsidR="00801985">
        <w:rPr>
          <w:lang w:eastAsia="en-AU"/>
        </w:rPr>
        <w:fldChar w:fldCharType="begin"/>
      </w:r>
      <w:r w:rsidR="00801985">
        <w:rPr>
          <w:lang w:eastAsia="en-AU"/>
        </w:rPr>
        <w:fldChar w:fldCharType="separate"/>
      </w:r>
      <w:r w:rsidR="00FA00BB">
        <w:rPr>
          <w:lang w:eastAsia="en-AU"/>
        </w:rPr>
        <w:t>Appendix A</w:t>
      </w:r>
      <w:r w:rsidR="00801985">
        <w:rPr>
          <w:lang w:eastAsia="en-AU"/>
        </w:rPr>
        <w:fldChar w:fldCharType="end"/>
      </w:r>
      <w:r w:rsidR="00442898">
        <w:rPr>
          <w:lang w:eastAsia="en-AU"/>
        </w:rPr>
        <w:t xml:space="preserve">). </w:t>
      </w:r>
      <w:r w:rsidR="00147B0E">
        <w:rPr>
          <w:lang w:eastAsia="en-AU"/>
        </w:rPr>
        <w:t xml:space="preserve">The study also </w:t>
      </w:r>
      <w:r w:rsidR="003B7523">
        <w:rPr>
          <w:lang w:eastAsia="en-AU"/>
        </w:rPr>
        <w:t xml:space="preserve">included </w:t>
      </w:r>
      <w:r w:rsidR="00147B0E">
        <w:rPr>
          <w:lang w:eastAsia="en-AU"/>
        </w:rPr>
        <w:t xml:space="preserve">reviewing whether WWTPs comply with their current discharge consent conditions </w:t>
      </w:r>
      <w:r w:rsidR="00516E05">
        <w:rPr>
          <w:lang w:eastAsia="en-AU"/>
        </w:rPr>
        <w:t>based on available data</w:t>
      </w:r>
      <w:r w:rsidR="00850BDE">
        <w:rPr>
          <w:lang w:eastAsia="en-AU"/>
        </w:rPr>
        <w:t>.</w:t>
      </w:r>
      <w:r w:rsidR="00147B0E">
        <w:rPr>
          <w:lang w:eastAsia="en-AU"/>
        </w:rPr>
        <w:t xml:space="preserve"> </w:t>
      </w:r>
    </w:p>
    <w:p w14:paraId="52A4A52D" w14:textId="77777777" w:rsidR="0023741A" w:rsidRDefault="00442898" w:rsidP="00147B0E">
      <w:pPr>
        <w:pStyle w:val="Body"/>
        <w:rPr>
          <w:lang w:eastAsia="en-AU"/>
        </w:rPr>
      </w:pPr>
      <w:r>
        <w:rPr>
          <w:lang w:eastAsia="en-AU"/>
        </w:rPr>
        <w:t>Where improvements to WWTP</w:t>
      </w:r>
      <w:r w:rsidR="00A73A1C">
        <w:rPr>
          <w:lang w:eastAsia="en-AU"/>
        </w:rPr>
        <w:t>s</w:t>
      </w:r>
      <w:r>
        <w:rPr>
          <w:lang w:eastAsia="en-AU"/>
        </w:rPr>
        <w:t xml:space="preserve"> </w:t>
      </w:r>
      <w:r w:rsidR="00850BDE">
        <w:rPr>
          <w:lang w:eastAsia="en-AU"/>
        </w:rPr>
        <w:t xml:space="preserve">are </w:t>
      </w:r>
      <w:r>
        <w:rPr>
          <w:lang w:eastAsia="en-AU"/>
        </w:rPr>
        <w:t>identified by the study to be beneficial</w:t>
      </w:r>
      <w:r w:rsidR="00850BDE">
        <w:rPr>
          <w:lang w:eastAsia="en-AU"/>
        </w:rPr>
        <w:t>,</w:t>
      </w:r>
      <w:r>
        <w:rPr>
          <w:lang w:eastAsia="en-AU"/>
        </w:rPr>
        <w:t xml:space="preserve"> a </w:t>
      </w:r>
      <w:r w:rsidR="00C74121">
        <w:rPr>
          <w:lang w:eastAsia="en-AU"/>
        </w:rPr>
        <w:t>high-</w:t>
      </w:r>
      <w:r>
        <w:rPr>
          <w:lang w:eastAsia="en-AU"/>
        </w:rPr>
        <w:t>level cost estimate to enhance treatment has been developed.</w:t>
      </w:r>
    </w:p>
    <w:p w14:paraId="11618D76" w14:textId="77777777" w:rsidR="00A945B5" w:rsidRDefault="00442898" w:rsidP="0027376E">
      <w:pPr>
        <w:pStyle w:val="Body"/>
        <w:rPr>
          <w:lang w:eastAsia="en-AU"/>
        </w:rPr>
      </w:pPr>
      <w:r>
        <w:rPr>
          <w:lang w:eastAsia="en-AU"/>
        </w:rPr>
        <w:t xml:space="preserve">The nature of the study is that it has </w:t>
      </w:r>
      <w:r w:rsidR="00773571">
        <w:rPr>
          <w:lang w:eastAsia="en-AU"/>
        </w:rPr>
        <w:t>involved</w:t>
      </w:r>
      <w:r>
        <w:rPr>
          <w:lang w:eastAsia="en-AU"/>
        </w:rPr>
        <w:t xml:space="preserve"> </w:t>
      </w:r>
      <w:r w:rsidR="004A58C4">
        <w:rPr>
          <w:lang w:eastAsia="en-AU"/>
        </w:rPr>
        <w:t xml:space="preserve">collation and review of a large dataset </w:t>
      </w:r>
      <w:r>
        <w:rPr>
          <w:lang w:eastAsia="en-AU"/>
        </w:rPr>
        <w:t xml:space="preserve">covering WWTP characteristics and receiving environment values. There were gaps in the </w:t>
      </w:r>
      <w:r w:rsidR="00850BDE">
        <w:rPr>
          <w:lang w:eastAsia="en-AU"/>
        </w:rPr>
        <w:t xml:space="preserve">available </w:t>
      </w:r>
      <w:r>
        <w:rPr>
          <w:lang w:eastAsia="en-AU"/>
        </w:rPr>
        <w:t xml:space="preserve">data </w:t>
      </w:r>
      <w:r w:rsidR="00773571">
        <w:rPr>
          <w:lang w:eastAsia="en-AU"/>
        </w:rPr>
        <w:t xml:space="preserve">and these have been filled using </w:t>
      </w:r>
      <w:r w:rsidR="00516E05">
        <w:rPr>
          <w:lang w:eastAsia="en-AU"/>
        </w:rPr>
        <w:t xml:space="preserve">a combination of </w:t>
      </w:r>
      <w:r w:rsidR="00773571">
        <w:rPr>
          <w:lang w:eastAsia="en-AU"/>
        </w:rPr>
        <w:t xml:space="preserve">assumptions </w:t>
      </w:r>
      <w:r w:rsidR="00516E05">
        <w:rPr>
          <w:lang w:eastAsia="en-AU"/>
        </w:rPr>
        <w:t>and information drawn</w:t>
      </w:r>
      <w:r w:rsidR="00773571">
        <w:rPr>
          <w:lang w:eastAsia="en-AU"/>
        </w:rPr>
        <w:t xml:space="preserve"> </w:t>
      </w:r>
      <w:r w:rsidR="00516E05">
        <w:rPr>
          <w:lang w:eastAsia="en-AU"/>
        </w:rPr>
        <w:t>from</w:t>
      </w:r>
      <w:r w:rsidR="00773571">
        <w:rPr>
          <w:lang w:eastAsia="en-AU"/>
        </w:rPr>
        <w:t xml:space="preserve"> case studies (refer</w:t>
      </w:r>
      <w:r w:rsidR="006C3635">
        <w:rPr>
          <w:lang w:eastAsia="en-AU"/>
        </w:rPr>
        <w:t xml:space="preserve"> section </w:t>
      </w:r>
      <w:r w:rsidR="006C3635">
        <w:rPr>
          <w:lang w:eastAsia="en-AU"/>
        </w:rPr>
        <w:fldChar w:fldCharType="begin"/>
      </w:r>
      <w:r w:rsidR="006C3635">
        <w:rPr>
          <w:lang w:eastAsia="en-AU"/>
        </w:rPr>
        <w:instrText xml:space="preserve"> REF _Ref523914951 \r \h </w:instrText>
      </w:r>
      <w:r w:rsidR="006C3635">
        <w:rPr>
          <w:lang w:eastAsia="en-AU"/>
        </w:rPr>
      </w:r>
      <w:r w:rsidR="006C3635">
        <w:rPr>
          <w:lang w:eastAsia="en-AU"/>
        </w:rPr>
        <w:fldChar w:fldCharType="separate"/>
      </w:r>
      <w:r w:rsidR="002777A8">
        <w:rPr>
          <w:lang w:eastAsia="en-AU"/>
        </w:rPr>
        <w:t>5</w:t>
      </w:r>
      <w:r w:rsidR="006C3635">
        <w:rPr>
          <w:lang w:eastAsia="en-AU"/>
        </w:rPr>
        <w:fldChar w:fldCharType="end"/>
      </w:r>
      <w:r w:rsidR="00773571">
        <w:rPr>
          <w:lang w:eastAsia="en-AU"/>
        </w:rPr>
        <w:t xml:space="preserve">). </w:t>
      </w:r>
      <w:r w:rsidR="0027376E">
        <w:rPr>
          <w:lang w:eastAsia="en-AU"/>
        </w:rPr>
        <w:t xml:space="preserve">The </w:t>
      </w:r>
      <w:r w:rsidR="00773571">
        <w:rPr>
          <w:lang w:eastAsia="en-AU"/>
        </w:rPr>
        <w:t>general</w:t>
      </w:r>
      <w:r w:rsidR="0027376E">
        <w:rPr>
          <w:lang w:eastAsia="en-AU"/>
        </w:rPr>
        <w:t xml:space="preserve"> approach taken </w:t>
      </w:r>
      <w:r w:rsidR="00A945B5">
        <w:rPr>
          <w:lang w:eastAsia="en-AU"/>
        </w:rPr>
        <w:t xml:space="preserve">to the study is </w:t>
      </w:r>
      <w:r w:rsidR="0027376E">
        <w:rPr>
          <w:lang w:eastAsia="en-AU"/>
        </w:rPr>
        <w:t xml:space="preserve">outlined in </w:t>
      </w:r>
      <w:r w:rsidR="00147B0E">
        <w:rPr>
          <w:lang w:eastAsia="en-AU"/>
        </w:rPr>
        <w:fldChar w:fldCharType="begin"/>
      </w:r>
      <w:r w:rsidR="00147B0E">
        <w:rPr>
          <w:lang w:eastAsia="en-AU"/>
        </w:rPr>
        <w:instrText xml:space="preserve"> REF _Ref516733327 \h </w:instrText>
      </w:r>
      <w:r w:rsidR="00147B0E">
        <w:rPr>
          <w:lang w:eastAsia="en-AU"/>
        </w:rPr>
      </w:r>
      <w:r w:rsidR="00147B0E">
        <w:rPr>
          <w:lang w:eastAsia="en-AU"/>
        </w:rPr>
        <w:fldChar w:fldCharType="separate"/>
      </w:r>
      <w:r w:rsidR="002777A8">
        <w:t xml:space="preserve">Table </w:t>
      </w:r>
      <w:r w:rsidR="002777A8">
        <w:rPr>
          <w:noProof/>
        </w:rPr>
        <w:t>1</w:t>
      </w:r>
      <w:r w:rsidR="00147B0E">
        <w:rPr>
          <w:lang w:eastAsia="en-AU"/>
        </w:rPr>
        <w:fldChar w:fldCharType="end"/>
      </w:r>
      <w:r w:rsidR="00A945B5">
        <w:rPr>
          <w:lang w:eastAsia="en-AU"/>
        </w:rPr>
        <w:t>.</w:t>
      </w:r>
    </w:p>
    <w:p w14:paraId="667CA0BC" w14:textId="77777777" w:rsidR="008D461A" w:rsidRDefault="008D461A" w:rsidP="0027376E">
      <w:pPr>
        <w:pStyle w:val="Body"/>
        <w:rPr>
          <w:lang w:eastAsia="en-AU"/>
        </w:rPr>
      </w:pPr>
    </w:p>
    <w:p w14:paraId="562F4754" w14:textId="77777777" w:rsidR="008D461A" w:rsidRDefault="008D461A">
      <w:pPr>
        <w:spacing w:after="0"/>
        <w:rPr>
          <w:lang w:eastAsia="en-AU"/>
        </w:rPr>
      </w:pPr>
      <w:r>
        <w:rPr>
          <w:lang w:eastAsia="en-AU"/>
        </w:rPr>
        <w:br w:type="page"/>
      </w:r>
    </w:p>
    <w:p w14:paraId="6ED04518" w14:textId="77777777" w:rsidR="00614227" w:rsidRDefault="00614227" w:rsidP="00614227">
      <w:pPr>
        <w:pStyle w:val="Caption"/>
        <w:rPr>
          <w:lang w:eastAsia="en-AU"/>
        </w:rPr>
      </w:pPr>
      <w:bookmarkStart w:id="88" w:name="_Ref516733327"/>
      <w:bookmarkStart w:id="89" w:name="_Toc516840503"/>
      <w:bookmarkStart w:id="90" w:name="_Toc517707640"/>
      <w:bookmarkStart w:id="91" w:name="_Toc517788311"/>
      <w:bookmarkStart w:id="92" w:name="_Toc517793880"/>
      <w:bookmarkStart w:id="93" w:name="_Toc518042079"/>
      <w:bookmarkStart w:id="94" w:name="_Toc518653117"/>
      <w:bookmarkStart w:id="95" w:name="_Toc521064784"/>
      <w:r>
        <w:lastRenderedPageBreak/>
        <w:t xml:space="preserve">Table </w:t>
      </w:r>
      <w:r w:rsidR="007B3D80">
        <w:rPr>
          <w:noProof/>
        </w:rPr>
        <w:fldChar w:fldCharType="begin"/>
      </w:r>
      <w:r w:rsidR="007B3D80">
        <w:rPr>
          <w:noProof/>
        </w:rPr>
        <w:instrText xml:space="preserve"> SEQ Table \* ARABIC </w:instrText>
      </w:r>
      <w:r w:rsidR="007B3D80">
        <w:rPr>
          <w:noProof/>
        </w:rPr>
        <w:fldChar w:fldCharType="separate"/>
      </w:r>
      <w:r w:rsidR="002777A8">
        <w:rPr>
          <w:noProof/>
        </w:rPr>
        <w:t>1</w:t>
      </w:r>
      <w:r w:rsidR="007B3D80">
        <w:rPr>
          <w:noProof/>
        </w:rPr>
        <w:fldChar w:fldCharType="end"/>
      </w:r>
      <w:bookmarkEnd w:id="88"/>
      <w:r>
        <w:t xml:space="preserve"> </w:t>
      </w:r>
      <w:r w:rsidR="000001B1">
        <w:t xml:space="preserve"> </w:t>
      </w:r>
      <w:r>
        <w:t xml:space="preserve">Summary of </w:t>
      </w:r>
      <w:r w:rsidR="00516E05">
        <w:t xml:space="preserve">study </w:t>
      </w:r>
      <w:bookmarkEnd w:id="89"/>
      <w:bookmarkEnd w:id="90"/>
      <w:r w:rsidR="00516E05">
        <w:t>methodology</w:t>
      </w:r>
      <w:bookmarkEnd w:id="91"/>
      <w:bookmarkEnd w:id="92"/>
      <w:bookmarkEnd w:id="93"/>
      <w:bookmarkEnd w:id="94"/>
      <w:bookmarkEnd w:id="95"/>
    </w:p>
    <w:tbl>
      <w:tblPr>
        <w:tblStyle w:val="Table-Style3"/>
        <w:tblW w:w="0" w:type="auto"/>
        <w:tblLook w:val="04A0" w:firstRow="1" w:lastRow="0" w:firstColumn="1" w:lastColumn="0" w:noHBand="0" w:noVBand="1"/>
      </w:tblPr>
      <w:tblGrid>
        <w:gridCol w:w="2117"/>
        <w:gridCol w:w="3827"/>
        <w:gridCol w:w="2541"/>
      </w:tblGrid>
      <w:tr w:rsidR="00A945B5" w14:paraId="5EC3BEF5" w14:textId="77777777" w:rsidTr="00E66F34">
        <w:trPr>
          <w:cnfStyle w:val="100000000000" w:firstRow="1" w:lastRow="0" w:firstColumn="0" w:lastColumn="0" w:oddVBand="0" w:evenVBand="0" w:oddHBand="0" w:evenHBand="0" w:firstRowFirstColumn="0" w:firstRowLastColumn="0" w:lastRowFirstColumn="0" w:lastRowLastColumn="0"/>
          <w:tblHeader/>
        </w:trPr>
        <w:tc>
          <w:tcPr>
            <w:tcW w:w="2117" w:type="dxa"/>
          </w:tcPr>
          <w:p w14:paraId="46F792EB" w14:textId="77777777" w:rsidR="00A945B5" w:rsidRDefault="00A945B5" w:rsidP="0027376E">
            <w:pPr>
              <w:pStyle w:val="Body"/>
              <w:spacing w:before="45" w:after="91"/>
              <w:ind w:left="0"/>
              <w:rPr>
                <w:lang w:eastAsia="en-AU"/>
              </w:rPr>
            </w:pPr>
            <w:r>
              <w:rPr>
                <w:lang w:eastAsia="en-AU"/>
              </w:rPr>
              <w:t>Step</w:t>
            </w:r>
          </w:p>
        </w:tc>
        <w:tc>
          <w:tcPr>
            <w:tcW w:w="3827" w:type="dxa"/>
          </w:tcPr>
          <w:p w14:paraId="22CC1C1D" w14:textId="77777777" w:rsidR="00A945B5" w:rsidRDefault="00A945B5" w:rsidP="0027376E">
            <w:pPr>
              <w:pStyle w:val="Body"/>
              <w:spacing w:before="45" w:after="91"/>
              <w:ind w:left="0"/>
              <w:rPr>
                <w:lang w:eastAsia="en-AU"/>
              </w:rPr>
            </w:pPr>
            <w:r>
              <w:rPr>
                <w:lang w:eastAsia="en-AU"/>
              </w:rPr>
              <w:t>Description</w:t>
            </w:r>
          </w:p>
        </w:tc>
        <w:tc>
          <w:tcPr>
            <w:tcW w:w="2541" w:type="dxa"/>
          </w:tcPr>
          <w:p w14:paraId="0B5F36BE" w14:textId="77777777" w:rsidR="00A945B5" w:rsidRDefault="00773571" w:rsidP="0027376E">
            <w:pPr>
              <w:pStyle w:val="Body"/>
              <w:spacing w:before="45" w:after="91"/>
              <w:ind w:left="0"/>
              <w:rPr>
                <w:lang w:eastAsia="en-AU"/>
              </w:rPr>
            </w:pPr>
            <w:r>
              <w:rPr>
                <w:lang w:eastAsia="en-AU"/>
              </w:rPr>
              <w:t xml:space="preserve">Primary </w:t>
            </w:r>
            <w:r w:rsidR="00A945B5">
              <w:rPr>
                <w:lang w:eastAsia="en-AU"/>
              </w:rPr>
              <w:t>Data Sources</w:t>
            </w:r>
          </w:p>
        </w:tc>
      </w:tr>
      <w:tr w:rsidR="00A945B5" w14:paraId="2B7E36F6" w14:textId="77777777" w:rsidTr="00E66F34">
        <w:tc>
          <w:tcPr>
            <w:tcW w:w="2117" w:type="dxa"/>
          </w:tcPr>
          <w:p w14:paraId="1681B617" w14:textId="77777777" w:rsidR="00A945B5" w:rsidRDefault="00A945B5" w:rsidP="00A352AD">
            <w:pPr>
              <w:pStyle w:val="Body"/>
              <w:spacing w:before="45" w:after="91"/>
              <w:ind w:left="0"/>
              <w:rPr>
                <w:lang w:eastAsia="en-AU"/>
              </w:rPr>
            </w:pPr>
            <w:r>
              <w:rPr>
                <w:lang w:eastAsia="en-AU"/>
              </w:rPr>
              <w:t xml:space="preserve">Step 1- Locate and </w:t>
            </w:r>
            <w:r w:rsidR="00F85E5E">
              <w:rPr>
                <w:lang w:eastAsia="en-AU"/>
              </w:rPr>
              <w:t xml:space="preserve">characterise </w:t>
            </w:r>
            <w:r>
              <w:rPr>
                <w:lang w:eastAsia="en-AU"/>
              </w:rPr>
              <w:t>WWTP</w:t>
            </w:r>
          </w:p>
        </w:tc>
        <w:tc>
          <w:tcPr>
            <w:tcW w:w="3827" w:type="dxa"/>
          </w:tcPr>
          <w:p w14:paraId="09335837" w14:textId="77777777" w:rsidR="00A945B5" w:rsidRDefault="00A945B5" w:rsidP="00A945B5">
            <w:pPr>
              <w:pStyle w:val="Body"/>
              <w:spacing w:before="45" w:after="91"/>
              <w:ind w:left="0"/>
              <w:rPr>
                <w:lang w:eastAsia="en-AU"/>
              </w:rPr>
            </w:pPr>
            <w:r w:rsidRPr="00A945B5">
              <w:rPr>
                <w:lang w:eastAsia="en-AU"/>
              </w:rPr>
              <w:t>Identif</w:t>
            </w:r>
            <w:r>
              <w:rPr>
                <w:lang w:eastAsia="en-AU"/>
              </w:rPr>
              <w:t>y</w:t>
            </w:r>
            <w:r w:rsidRPr="00A945B5">
              <w:rPr>
                <w:lang w:eastAsia="en-AU"/>
              </w:rPr>
              <w:t xml:space="preserve"> the locations and characteristics of all WWTP di</w:t>
            </w:r>
            <w:r>
              <w:rPr>
                <w:lang w:eastAsia="en-AU"/>
              </w:rPr>
              <w:t>scharges in N</w:t>
            </w:r>
            <w:r w:rsidR="00523E9E">
              <w:rPr>
                <w:lang w:eastAsia="en-AU"/>
              </w:rPr>
              <w:t xml:space="preserve">ew </w:t>
            </w:r>
            <w:r>
              <w:rPr>
                <w:lang w:eastAsia="en-AU"/>
              </w:rPr>
              <w:t>Z</w:t>
            </w:r>
            <w:r w:rsidR="00523E9E">
              <w:rPr>
                <w:lang w:eastAsia="en-AU"/>
              </w:rPr>
              <w:t>ealand</w:t>
            </w:r>
            <w:r>
              <w:rPr>
                <w:lang w:eastAsia="en-AU"/>
              </w:rPr>
              <w:t xml:space="preserve"> to </w:t>
            </w:r>
            <w:r w:rsidR="00715C25">
              <w:rPr>
                <w:lang w:eastAsia="en-AU"/>
              </w:rPr>
              <w:t>freshwater (</w:t>
            </w:r>
            <w:r w:rsidRPr="00A945B5">
              <w:rPr>
                <w:lang w:eastAsia="en-AU"/>
              </w:rPr>
              <w:t>discharge location, consent compliance, plant age</w:t>
            </w:r>
            <w:r w:rsidR="009F5620">
              <w:rPr>
                <w:lang w:eastAsia="en-AU"/>
              </w:rPr>
              <w:t xml:space="preserve"> and type</w:t>
            </w:r>
            <w:r w:rsidRPr="00A945B5">
              <w:rPr>
                <w:lang w:eastAsia="en-AU"/>
              </w:rPr>
              <w:t xml:space="preserve">, population served </w:t>
            </w:r>
            <w:r w:rsidR="00715C25" w:rsidRPr="00A945B5">
              <w:rPr>
                <w:lang w:eastAsia="en-AU"/>
              </w:rPr>
              <w:t>etc.</w:t>
            </w:r>
            <w:r w:rsidRPr="00A945B5">
              <w:rPr>
                <w:lang w:eastAsia="en-AU"/>
              </w:rPr>
              <w:t>)</w:t>
            </w:r>
          </w:p>
        </w:tc>
        <w:tc>
          <w:tcPr>
            <w:tcW w:w="2541" w:type="dxa"/>
          </w:tcPr>
          <w:p w14:paraId="11CBF0E1" w14:textId="77777777" w:rsidR="00A945B5" w:rsidRDefault="00947DA5" w:rsidP="0027376E">
            <w:pPr>
              <w:pStyle w:val="Body"/>
              <w:spacing w:before="45" w:after="91"/>
              <w:ind w:left="0"/>
              <w:rPr>
                <w:lang w:eastAsia="en-AU"/>
              </w:rPr>
            </w:pPr>
            <w:r>
              <w:rPr>
                <w:lang w:eastAsia="en-AU"/>
              </w:rPr>
              <w:t>New Zealand wastewater treatment plant inventory (</w:t>
            </w:r>
            <w:r w:rsidR="00111AB8">
              <w:rPr>
                <w:lang w:eastAsia="en-AU"/>
              </w:rPr>
              <w:t>Water</w:t>
            </w:r>
            <w:r w:rsidR="00645B1D">
              <w:rPr>
                <w:lang w:eastAsia="en-AU"/>
              </w:rPr>
              <w:t xml:space="preserve"> </w:t>
            </w:r>
            <w:r w:rsidR="00A945B5">
              <w:rPr>
                <w:lang w:eastAsia="en-AU"/>
              </w:rPr>
              <w:t>NZ</w:t>
            </w:r>
            <w:r>
              <w:rPr>
                <w:lang w:eastAsia="en-AU"/>
              </w:rPr>
              <w:t>)</w:t>
            </w:r>
          </w:p>
          <w:p w14:paraId="57E4925F" w14:textId="77777777" w:rsidR="00C72D06" w:rsidRDefault="00C72D06" w:rsidP="008324F9">
            <w:pPr>
              <w:pStyle w:val="Body"/>
              <w:spacing w:before="45" w:after="91"/>
              <w:ind w:left="0"/>
              <w:rPr>
                <w:lang w:eastAsia="en-AU"/>
              </w:rPr>
            </w:pPr>
            <w:r>
              <w:rPr>
                <w:lang w:eastAsia="en-AU"/>
              </w:rPr>
              <w:t>Water</w:t>
            </w:r>
            <w:r w:rsidR="00645B1D">
              <w:rPr>
                <w:lang w:eastAsia="en-AU"/>
              </w:rPr>
              <w:t xml:space="preserve"> </w:t>
            </w:r>
            <w:r>
              <w:rPr>
                <w:lang w:eastAsia="en-AU"/>
              </w:rPr>
              <w:t>NZ 2016/17 Benchmarking results</w:t>
            </w:r>
          </w:p>
          <w:p w14:paraId="76D02DE9" w14:textId="77777777" w:rsidR="00A945B5" w:rsidRDefault="00A945B5" w:rsidP="0027376E">
            <w:pPr>
              <w:pStyle w:val="Body"/>
              <w:spacing w:before="45" w:after="91"/>
              <w:ind w:left="0"/>
              <w:rPr>
                <w:lang w:eastAsia="en-AU"/>
              </w:rPr>
            </w:pPr>
          </w:p>
        </w:tc>
      </w:tr>
      <w:tr w:rsidR="00A945B5" w14:paraId="3E919EAB" w14:textId="77777777" w:rsidTr="00E66F34">
        <w:tc>
          <w:tcPr>
            <w:tcW w:w="2117" w:type="dxa"/>
          </w:tcPr>
          <w:p w14:paraId="240F43D3" w14:textId="77777777" w:rsidR="00A945B5" w:rsidRDefault="00A945B5" w:rsidP="00A945B5">
            <w:pPr>
              <w:pStyle w:val="Body"/>
              <w:spacing w:before="45" w:after="91"/>
              <w:ind w:left="0"/>
              <w:rPr>
                <w:lang w:eastAsia="en-AU"/>
              </w:rPr>
            </w:pPr>
            <w:r>
              <w:rPr>
                <w:lang w:eastAsia="en-AU"/>
              </w:rPr>
              <w:t>Step 2 –</w:t>
            </w:r>
            <w:r w:rsidR="00593EAE">
              <w:rPr>
                <w:lang w:eastAsia="en-AU"/>
              </w:rPr>
              <w:t xml:space="preserve">provide overview of </w:t>
            </w:r>
            <w:r w:rsidR="00645B1D">
              <w:rPr>
                <w:lang w:eastAsia="en-AU"/>
              </w:rPr>
              <w:t xml:space="preserve">wastewater </w:t>
            </w:r>
            <w:r>
              <w:rPr>
                <w:lang w:eastAsia="en-AU"/>
              </w:rPr>
              <w:t>network overflows</w:t>
            </w:r>
          </w:p>
        </w:tc>
        <w:tc>
          <w:tcPr>
            <w:tcW w:w="3827" w:type="dxa"/>
          </w:tcPr>
          <w:p w14:paraId="78A9C1ED" w14:textId="77777777" w:rsidR="00A945B5" w:rsidRDefault="00593EAE" w:rsidP="00A945B5">
            <w:pPr>
              <w:pStyle w:val="Body"/>
              <w:spacing w:before="45" w:after="91"/>
              <w:ind w:left="0"/>
              <w:rPr>
                <w:lang w:eastAsia="en-AU"/>
              </w:rPr>
            </w:pPr>
            <w:r>
              <w:rPr>
                <w:lang w:eastAsia="en-AU"/>
              </w:rPr>
              <w:t xml:space="preserve">Provide description of network overflows and strategies to reduce in major centres and representative medium and small centres </w:t>
            </w:r>
          </w:p>
        </w:tc>
        <w:tc>
          <w:tcPr>
            <w:tcW w:w="2541" w:type="dxa"/>
          </w:tcPr>
          <w:p w14:paraId="23819DDB" w14:textId="77777777" w:rsidR="00A945B5" w:rsidRDefault="00593EAE" w:rsidP="0027376E">
            <w:pPr>
              <w:pStyle w:val="Body"/>
              <w:spacing w:before="45" w:after="91"/>
              <w:ind w:left="0"/>
              <w:rPr>
                <w:lang w:eastAsia="en-AU"/>
              </w:rPr>
            </w:pPr>
            <w:r>
              <w:rPr>
                <w:lang w:eastAsia="en-AU"/>
              </w:rPr>
              <w:t xml:space="preserve">Direct approach to asset owners and operators refer section </w:t>
            </w:r>
            <w:r>
              <w:rPr>
                <w:lang w:eastAsia="en-AU"/>
              </w:rPr>
              <w:fldChar w:fldCharType="begin"/>
            </w:r>
            <w:r>
              <w:rPr>
                <w:lang w:eastAsia="en-AU"/>
              </w:rPr>
              <w:instrText xml:space="preserve"> REF _Ref516731889 \r \h </w:instrText>
            </w:r>
            <w:r>
              <w:rPr>
                <w:lang w:eastAsia="en-AU"/>
              </w:rPr>
            </w:r>
            <w:r>
              <w:rPr>
                <w:lang w:eastAsia="en-AU"/>
              </w:rPr>
              <w:fldChar w:fldCharType="separate"/>
            </w:r>
            <w:r w:rsidR="002777A8">
              <w:rPr>
                <w:lang w:eastAsia="en-AU"/>
              </w:rPr>
              <w:t>3.3</w:t>
            </w:r>
            <w:r>
              <w:rPr>
                <w:lang w:eastAsia="en-AU"/>
              </w:rPr>
              <w:fldChar w:fldCharType="end"/>
            </w:r>
            <w:r w:rsidR="00D54330">
              <w:rPr>
                <w:lang w:eastAsia="en-AU"/>
              </w:rPr>
              <w:t xml:space="preserve"> and </w:t>
            </w:r>
            <w:r w:rsidR="00D54330">
              <w:rPr>
                <w:lang w:eastAsia="en-AU"/>
              </w:rPr>
              <w:fldChar w:fldCharType="begin"/>
            </w:r>
            <w:r w:rsidR="00D54330">
              <w:rPr>
                <w:lang w:eastAsia="en-AU"/>
              </w:rPr>
              <w:instrText xml:space="preserve"> REF _Ref517678804 \r \h </w:instrText>
            </w:r>
            <w:r w:rsidR="00D54330">
              <w:rPr>
                <w:lang w:eastAsia="en-AU"/>
              </w:rPr>
            </w:r>
            <w:r w:rsidR="00D54330">
              <w:rPr>
                <w:lang w:eastAsia="en-AU"/>
              </w:rPr>
              <w:fldChar w:fldCharType="separate"/>
            </w:r>
            <w:r w:rsidR="002777A8">
              <w:rPr>
                <w:lang w:eastAsia="en-AU"/>
              </w:rPr>
              <w:t>Appendix C</w:t>
            </w:r>
            <w:r w:rsidR="00D54330">
              <w:rPr>
                <w:lang w:eastAsia="en-AU"/>
              </w:rPr>
              <w:fldChar w:fldCharType="end"/>
            </w:r>
            <w:r>
              <w:rPr>
                <w:lang w:eastAsia="en-AU"/>
              </w:rPr>
              <w:t xml:space="preserve"> </w:t>
            </w:r>
          </w:p>
        </w:tc>
      </w:tr>
      <w:tr w:rsidR="00A945B5" w14:paraId="4169299E" w14:textId="77777777" w:rsidTr="00E66F34">
        <w:tc>
          <w:tcPr>
            <w:tcW w:w="2117" w:type="dxa"/>
          </w:tcPr>
          <w:p w14:paraId="7380E43A" w14:textId="77777777" w:rsidR="00A945B5" w:rsidRDefault="00A945B5" w:rsidP="0027376E">
            <w:pPr>
              <w:pStyle w:val="Body"/>
              <w:spacing w:before="45" w:after="91"/>
              <w:ind w:left="0"/>
              <w:rPr>
                <w:lang w:eastAsia="en-AU"/>
              </w:rPr>
            </w:pPr>
            <w:r>
              <w:rPr>
                <w:lang w:eastAsia="en-AU"/>
              </w:rPr>
              <w:t>Step 3 - Mapping</w:t>
            </w:r>
          </w:p>
        </w:tc>
        <w:tc>
          <w:tcPr>
            <w:tcW w:w="3827" w:type="dxa"/>
          </w:tcPr>
          <w:p w14:paraId="32C08AAB" w14:textId="77777777" w:rsidR="00A945B5" w:rsidRDefault="00A945B5" w:rsidP="00A945B5">
            <w:pPr>
              <w:pStyle w:val="Body"/>
              <w:spacing w:before="45" w:after="91"/>
              <w:ind w:left="0"/>
              <w:rPr>
                <w:lang w:eastAsia="en-AU"/>
              </w:rPr>
            </w:pPr>
            <w:r w:rsidRPr="00A945B5">
              <w:rPr>
                <w:lang w:eastAsia="en-AU"/>
              </w:rPr>
              <w:t xml:space="preserve">Map all </w:t>
            </w:r>
            <w:r w:rsidR="00593EAE">
              <w:rPr>
                <w:lang w:eastAsia="en-AU"/>
              </w:rPr>
              <w:t>WWTP</w:t>
            </w:r>
            <w:r w:rsidRPr="00A945B5">
              <w:rPr>
                <w:lang w:eastAsia="en-AU"/>
              </w:rPr>
              <w:t xml:space="preserve"> </w:t>
            </w:r>
            <w:r>
              <w:rPr>
                <w:lang w:eastAsia="en-AU"/>
              </w:rPr>
              <w:t xml:space="preserve">location data </w:t>
            </w:r>
            <w:r w:rsidRPr="00A945B5">
              <w:rPr>
                <w:lang w:eastAsia="en-AU"/>
              </w:rPr>
              <w:t xml:space="preserve">in GIS and overlay available info on </w:t>
            </w:r>
            <w:r w:rsidR="00D54330">
              <w:rPr>
                <w:lang w:eastAsia="en-AU"/>
              </w:rPr>
              <w:t xml:space="preserve">the </w:t>
            </w:r>
            <w:r w:rsidRPr="00A945B5">
              <w:rPr>
                <w:lang w:eastAsia="en-AU"/>
              </w:rPr>
              <w:t xml:space="preserve">receiving environment, </w:t>
            </w:r>
            <w:r w:rsidR="00715C25" w:rsidRPr="00A945B5">
              <w:rPr>
                <w:lang w:eastAsia="en-AU"/>
              </w:rPr>
              <w:t>land use</w:t>
            </w:r>
            <w:r w:rsidRPr="00A945B5">
              <w:rPr>
                <w:lang w:eastAsia="en-AU"/>
              </w:rPr>
              <w:t xml:space="preserve"> </w:t>
            </w:r>
            <w:r w:rsidR="00715C25" w:rsidRPr="00A945B5">
              <w:rPr>
                <w:lang w:eastAsia="en-AU"/>
              </w:rPr>
              <w:t>etc.</w:t>
            </w:r>
            <w:r w:rsidRPr="00A945B5">
              <w:rPr>
                <w:lang w:eastAsia="en-AU"/>
              </w:rPr>
              <w:t xml:space="preserve"> to provide catchment context.</w:t>
            </w:r>
          </w:p>
        </w:tc>
        <w:tc>
          <w:tcPr>
            <w:tcW w:w="2541" w:type="dxa"/>
          </w:tcPr>
          <w:p w14:paraId="1F9496DE" w14:textId="77777777" w:rsidR="00C00E95" w:rsidRDefault="00A53972" w:rsidP="008324F9">
            <w:pPr>
              <w:pStyle w:val="Body"/>
              <w:spacing w:before="45" w:after="91"/>
              <w:ind w:left="0"/>
              <w:rPr>
                <w:lang w:eastAsia="en-AU"/>
              </w:rPr>
            </w:pPr>
            <w:r>
              <w:rPr>
                <w:rStyle w:val="FootnoteReference"/>
                <w:lang w:eastAsia="en-AU"/>
              </w:rPr>
              <w:footnoteReference w:id="4"/>
            </w:r>
            <w:r w:rsidR="00C00E95" w:rsidRPr="00C00E95">
              <w:rPr>
                <w:lang w:eastAsia="en-AU"/>
              </w:rPr>
              <w:t>Land, Air, Water, Aotearoa</w:t>
            </w:r>
            <w:r w:rsidR="00C00E95">
              <w:rPr>
                <w:lang w:eastAsia="en-AU"/>
              </w:rPr>
              <w:t xml:space="preserve"> (LAWA)</w:t>
            </w:r>
            <w:r w:rsidR="00C00E95" w:rsidRPr="00C00E95">
              <w:rPr>
                <w:lang w:eastAsia="en-AU"/>
              </w:rPr>
              <w:t xml:space="preserve"> website</w:t>
            </w:r>
          </w:p>
          <w:p w14:paraId="387D7E75" w14:textId="77777777" w:rsidR="00A945B5" w:rsidRDefault="00645B1D" w:rsidP="0027376E">
            <w:pPr>
              <w:pStyle w:val="Body"/>
              <w:spacing w:before="45" w:after="91"/>
              <w:ind w:left="0"/>
              <w:rPr>
                <w:lang w:eastAsia="en-AU"/>
              </w:rPr>
            </w:pPr>
            <w:r>
              <w:rPr>
                <w:lang w:eastAsia="en-AU"/>
              </w:rPr>
              <w:t xml:space="preserve">Ministry for the Environment </w:t>
            </w:r>
            <w:r w:rsidR="00C72D06">
              <w:rPr>
                <w:lang w:eastAsia="en-AU"/>
              </w:rPr>
              <w:t xml:space="preserve">overlays (flow rates, </w:t>
            </w:r>
            <w:r w:rsidR="00C83BE4">
              <w:rPr>
                <w:lang w:eastAsia="en-AU"/>
              </w:rPr>
              <w:t>land cover</w:t>
            </w:r>
            <w:r w:rsidR="00C72D06">
              <w:rPr>
                <w:lang w:eastAsia="en-AU"/>
              </w:rPr>
              <w:t>)</w:t>
            </w:r>
          </w:p>
        </w:tc>
      </w:tr>
      <w:tr w:rsidR="00A945B5" w14:paraId="3E17F3E4" w14:textId="77777777" w:rsidTr="00E66F34">
        <w:tc>
          <w:tcPr>
            <w:tcW w:w="2117" w:type="dxa"/>
          </w:tcPr>
          <w:p w14:paraId="7A6E6770" w14:textId="77777777" w:rsidR="00A945B5" w:rsidRDefault="00A945B5" w:rsidP="00A352AD">
            <w:pPr>
              <w:pStyle w:val="Body"/>
              <w:spacing w:before="45" w:after="91"/>
              <w:ind w:left="0"/>
              <w:rPr>
                <w:lang w:eastAsia="en-AU"/>
              </w:rPr>
            </w:pPr>
            <w:r>
              <w:rPr>
                <w:lang w:eastAsia="en-AU"/>
              </w:rPr>
              <w:t xml:space="preserve">Step 4 – </w:t>
            </w:r>
            <w:r w:rsidR="00FE4F59">
              <w:rPr>
                <w:lang w:eastAsia="en-AU"/>
              </w:rPr>
              <w:t>Assess</w:t>
            </w:r>
            <w:r>
              <w:rPr>
                <w:lang w:eastAsia="en-AU"/>
              </w:rPr>
              <w:t xml:space="preserve"> </w:t>
            </w:r>
            <w:r w:rsidR="00F85E5E">
              <w:rPr>
                <w:lang w:eastAsia="en-AU"/>
              </w:rPr>
              <w:t>receiving environment</w:t>
            </w:r>
          </w:p>
        </w:tc>
        <w:tc>
          <w:tcPr>
            <w:tcW w:w="3827" w:type="dxa"/>
          </w:tcPr>
          <w:p w14:paraId="78833A1B" w14:textId="77777777" w:rsidR="00A945B5" w:rsidRDefault="00A945B5" w:rsidP="0027376E">
            <w:pPr>
              <w:pStyle w:val="Body"/>
              <w:spacing w:before="45" w:after="91"/>
              <w:ind w:left="0"/>
              <w:rPr>
                <w:lang w:eastAsia="en-AU"/>
              </w:rPr>
            </w:pPr>
            <w:r>
              <w:rPr>
                <w:lang w:eastAsia="en-AU"/>
              </w:rPr>
              <w:t>Assessment of</w:t>
            </w:r>
            <w:r w:rsidRPr="00A945B5">
              <w:rPr>
                <w:lang w:eastAsia="en-AU"/>
              </w:rPr>
              <w:t xml:space="preserve"> the receiving environments (stream order, land use, specific values </w:t>
            </w:r>
            <w:r w:rsidR="00715C25" w:rsidRPr="00A945B5">
              <w:rPr>
                <w:lang w:eastAsia="en-AU"/>
              </w:rPr>
              <w:t>etc.</w:t>
            </w:r>
            <w:r w:rsidRPr="00A945B5">
              <w:rPr>
                <w:lang w:eastAsia="en-AU"/>
              </w:rPr>
              <w:t xml:space="preserve">) and the relative contribution </w:t>
            </w:r>
            <w:r w:rsidR="00A73A1C">
              <w:rPr>
                <w:lang w:eastAsia="en-AU"/>
              </w:rPr>
              <w:t>of WWTP discharges</w:t>
            </w:r>
            <w:r w:rsidR="004A58C4">
              <w:rPr>
                <w:lang w:eastAsia="en-AU"/>
              </w:rPr>
              <w:t xml:space="preserve"> </w:t>
            </w:r>
            <w:r w:rsidRPr="00A945B5">
              <w:rPr>
                <w:lang w:eastAsia="en-AU"/>
              </w:rPr>
              <w:t xml:space="preserve">to freshwater quality and to meeting NPS </w:t>
            </w:r>
            <w:r w:rsidR="004A58C4">
              <w:rPr>
                <w:lang w:eastAsia="en-AU"/>
              </w:rPr>
              <w:t xml:space="preserve">freshwater </w:t>
            </w:r>
            <w:r w:rsidRPr="00A945B5">
              <w:rPr>
                <w:lang w:eastAsia="en-AU"/>
              </w:rPr>
              <w:t>targets.</w:t>
            </w:r>
          </w:p>
        </w:tc>
        <w:tc>
          <w:tcPr>
            <w:tcW w:w="2541" w:type="dxa"/>
          </w:tcPr>
          <w:p w14:paraId="5D5918C4" w14:textId="77777777" w:rsidR="00A945B5" w:rsidRDefault="009F5620">
            <w:pPr>
              <w:pStyle w:val="Body"/>
              <w:spacing w:before="45" w:after="91"/>
              <w:ind w:left="0"/>
              <w:rPr>
                <w:lang w:eastAsia="en-AU"/>
              </w:rPr>
            </w:pPr>
            <w:r>
              <w:rPr>
                <w:lang w:eastAsia="en-AU"/>
              </w:rPr>
              <w:t xml:space="preserve">GIS maps and </w:t>
            </w:r>
            <w:r w:rsidR="009E2920">
              <w:rPr>
                <w:lang w:eastAsia="en-AU"/>
              </w:rPr>
              <w:t xml:space="preserve">LAWA </w:t>
            </w:r>
            <w:r>
              <w:rPr>
                <w:lang w:eastAsia="en-AU"/>
              </w:rPr>
              <w:t xml:space="preserve">data refer section </w:t>
            </w:r>
            <w:r>
              <w:rPr>
                <w:lang w:eastAsia="en-AU"/>
              </w:rPr>
              <w:fldChar w:fldCharType="begin"/>
            </w:r>
            <w:r>
              <w:rPr>
                <w:lang w:eastAsia="en-AU"/>
              </w:rPr>
              <w:instrText xml:space="preserve"> REF _Ref516732065 \r \h </w:instrText>
            </w:r>
            <w:r>
              <w:rPr>
                <w:lang w:eastAsia="en-AU"/>
              </w:rPr>
            </w:r>
            <w:r>
              <w:rPr>
                <w:lang w:eastAsia="en-AU"/>
              </w:rPr>
              <w:fldChar w:fldCharType="separate"/>
            </w:r>
            <w:r w:rsidR="002777A8">
              <w:rPr>
                <w:lang w:eastAsia="en-AU"/>
              </w:rPr>
              <w:t>3.4</w:t>
            </w:r>
            <w:r>
              <w:rPr>
                <w:lang w:eastAsia="en-AU"/>
              </w:rPr>
              <w:fldChar w:fldCharType="end"/>
            </w:r>
          </w:p>
        </w:tc>
      </w:tr>
      <w:tr w:rsidR="00A945B5" w14:paraId="4E321EB5" w14:textId="77777777" w:rsidTr="00E66F34">
        <w:tc>
          <w:tcPr>
            <w:tcW w:w="2117" w:type="dxa"/>
          </w:tcPr>
          <w:p w14:paraId="37F43FC1" w14:textId="77777777" w:rsidR="00A945B5" w:rsidRDefault="00A945B5" w:rsidP="0027376E">
            <w:pPr>
              <w:pStyle w:val="Body"/>
              <w:spacing w:before="45" w:after="91"/>
              <w:ind w:left="0"/>
              <w:rPr>
                <w:lang w:eastAsia="en-AU"/>
              </w:rPr>
            </w:pPr>
            <w:r>
              <w:rPr>
                <w:lang w:eastAsia="en-AU"/>
              </w:rPr>
              <w:t xml:space="preserve">Step 5 – Upgrade assessment based on </w:t>
            </w:r>
            <w:r w:rsidR="00BC6D6E">
              <w:rPr>
                <w:lang w:eastAsia="en-AU"/>
              </w:rPr>
              <w:t xml:space="preserve">current consent compliance and </w:t>
            </w:r>
            <w:r>
              <w:rPr>
                <w:lang w:eastAsia="en-AU"/>
              </w:rPr>
              <w:t>receiving environment</w:t>
            </w:r>
          </w:p>
        </w:tc>
        <w:tc>
          <w:tcPr>
            <w:tcW w:w="3827" w:type="dxa"/>
          </w:tcPr>
          <w:p w14:paraId="303EA55B" w14:textId="77777777" w:rsidR="00BC6D6E" w:rsidRDefault="00BC6D6E" w:rsidP="00A945B5">
            <w:pPr>
              <w:pStyle w:val="Body"/>
              <w:spacing w:before="45" w:after="91"/>
              <w:ind w:left="0"/>
              <w:rPr>
                <w:lang w:eastAsia="en-AU"/>
              </w:rPr>
            </w:pPr>
            <w:r>
              <w:rPr>
                <w:lang w:eastAsia="en-AU"/>
              </w:rPr>
              <w:t>Review of WWTP current compliance position</w:t>
            </w:r>
            <w:r w:rsidR="00FE4F59">
              <w:rPr>
                <w:lang w:eastAsia="en-AU"/>
              </w:rPr>
              <w:t xml:space="preserve"> where information is available</w:t>
            </w:r>
            <w:r w:rsidR="00D54330">
              <w:rPr>
                <w:lang w:eastAsia="en-AU"/>
              </w:rPr>
              <w:t>.</w:t>
            </w:r>
          </w:p>
          <w:p w14:paraId="6E5A7085" w14:textId="77777777" w:rsidR="00A945B5" w:rsidRDefault="00A945B5" w:rsidP="00FE4F59">
            <w:pPr>
              <w:pStyle w:val="Body"/>
              <w:spacing w:before="45" w:after="91"/>
              <w:ind w:left="0"/>
              <w:rPr>
                <w:lang w:eastAsia="en-AU"/>
              </w:rPr>
            </w:pPr>
            <w:r>
              <w:rPr>
                <w:lang w:eastAsia="en-AU"/>
              </w:rPr>
              <w:t>H</w:t>
            </w:r>
            <w:r w:rsidRPr="00A945B5">
              <w:rPr>
                <w:lang w:eastAsia="en-AU"/>
              </w:rPr>
              <w:t>igh level assessment of whether upgrades to the WWTP are material to meeting NPS values for freshwater</w:t>
            </w:r>
            <w:r>
              <w:rPr>
                <w:lang w:eastAsia="en-AU"/>
              </w:rPr>
              <w:t>.</w:t>
            </w:r>
          </w:p>
        </w:tc>
        <w:tc>
          <w:tcPr>
            <w:tcW w:w="2541" w:type="dxa"/>
          </w:tcPr>
          <w:p w14:paraId="1E9B7DB4" w14:textId="77777777" w:rsidR="00A945B5" w:rsidRDefault="00C72D06" w:rsidP="0027376E">
            <w:pPr>
              <w:pStyle w:val="Body"/>
              <w:spacing w:before="45" w:after="91"/>
              <w:ind w:left="0"/>
              <w:rPr>
                <w:lang w:eastAsia="en-AU"/>
              </w:rPr>
            </w:pPr>
            <w:r w:rsidRPr="00C72D06">
              <w:rPr>
                <w:lang w:eastAsia="en-AU"/>
              </w:rPr>
              <w:t>Water</w:t>
            </w:r>
            <w:r w:rsidR="00645B1D">
              <w:rPr>
                <w:lang w:eastAsia="en-AU"/>
              </w:rPr>
              <w:t xml:space="preserve"> </w:t>
            </w:r>
            <w:r w:rsidRPr="00C72D06">
              <w:rPr>
                <w:lang w:eastAsia="en-AU"/>
              </w:rPr>
              <w:t>NZ 2016/17 Benchmarking results</w:t>
            </w:r>
          </w:p>
        </w:tc>
      </w:tr>
      <w:tr w:rsidR="00A945B5" w14:paraId="26EAA05B" w14:textId="77777777" w:rsidTr="00E66F34">
        <w:tc>
          <w:tcPr>
            <w:tcW w:w="2117" w:type="dxa"/>
          </w:tcPr>
          <w:p w14:paraId="73D0E80F" w14:textId="77777777" w:rsidR="00A945B5" w:rsidRDefault="00A945B5" w:rsidP="00A352AD">
            <w:pPr>
              <w:pStyle w:val="Body"/>
              <w:spacing w:before="45" w:after="91"/>
              <w:ind w:left="0"/>
              <w:rPr>
                <w:lang w:eastAsia="en-AU"/>
              </w:rPr>
            </w:pPr>
            <w:r>
              <w:rPr>
                <w:lang w:eastAsia="en-AU"/>
              </w:rPr>
              <w:t xml:space="preserve">Step 6 </w:t>
            </w:r>
            <w:r w:rsidR="000E125F">
              <w:rPr>
                <w:lang w:eastAsia="en-AU"/>
              </w:rPr>
              <w:t>–</w:t>
            </w:r>
            <w:r>
              <w:rPr>
                <w:lang w:eastAsia="en-AU"/>
              </w:rPr>
              <w:t xml:space="preserve"> </w:t>
            </w:r>
            <w:r w:rsidR="000E125F">
              <w:rPr>
                <w:lang w:eastAsia="en-AU"/>
              </w:rPr>
              <w:t xml:space="preserve">WWTP </w:t>
            </w:r>
            <w:r w:rsidR="00F85E5E">
              <w:rPr>
                <w:lang w:eastAsia="en-AU"/>
              </w:rPr>
              <w:t xml:space="preserve">upgrade </w:t>
            </w:r>
            <w:r w:rsidR="009F5620">
              <w:rPr>
                <w:lang w:eastAsia="en-AU"/>
              </w:rPr>
              <w:t>definition</w:t>
            </w:r>
          </w:p>
        </w:tc>
        <w:tc>
          <w:tcPr>
            <w:tcW w:w="3827" w:type="dxa"/>
          </w:tcPr>
          <w:p w14:paraId="30636D47" w14:textId="77777777" w:rsidR="00A945B5" w:rsidRDefault="000E125F" w:rsidP="000E125F">
            <w:pPr>
              <w:pStyle w:val="Body"/>
              <w:spacing w:before="45" w:after="91"/>
              <w:ind w:left="0"/>
              <w:rPr>
                <w:lang w:eastAsia="en-AU"/>
              </w:rPr>
            </w:pPr>
            <w:r>
              <w:rPr>
                <w:lang w:eastAsia="en-AU"/>
              </w:rPr>
              <w:t xml:space="preserve">Grouping of </w:t>
            </w:r>
            <w:r w:rsidR="00A945B5" w:rsidRPr="00A945B5">
              <w:rPr>
                <w:lang w:eastAsia="en-AU"/>
              </w:rPr>
              <w:t>WWTP</w:t>
            </w:r>
            <w:r>
              <w:rPr>
                <w:lang w:eastAsia="en-AU"/>
              </w:rPr>
              <w:t xml:space="preserve"> </w:t>
            </w:r>
            <w:r w:rsidR="00A945B5" w:rsidRPr="00A945B5">
              <w:rPr>
                <w:lang w:eastAsia="en-AU"/>
              </w:rPr>
              <w:t xml:space="preserve">into categories </w:t>
            </w:r>
            <w:r w:rsidR="009F5620">
              <w:rPr>
                <w:lang w:eastAsia="en-AU"/>
              </w:rPr>
              <w:t>for upgrade cost estimation based on proposed process addition and treatment rate</w:t>
            </w:r>
          </w:p>
        </w:tc>
        <w:tc>
          <w:tcPr>
            <w:tcW w:w="2541" w:type="dxa"/>
          </w:tcPr>
          <w:p w14:paraId="716410EF" w14:textId="77777777" w:rsidR="00A945B5" w:rsidRDefault="00A945B5" w:rsidP="0027376E">
            <w:pPr>
              <w:pStyle w:val="Body"/>
              <w:spacing w:before="45" w:after="91"/>
              <w:ind w:left="0"/>
              <w:rPr>
                <w:lang w:eastAsia="en-AU"/>
              </w:rPr>
            </w:pPr>
          </w:p>
        </w:tc>
      </w:tr>
      <w:tr w:rsidR="00A945B5" w14:paraId="5D640417" w14:textId="77777777" w:rsidTr="00E66F34">
        <w:tc>
          <w:tcPr>
            <w:tcW w:w="2117" w:type="dxa"/>
          </w:tcPr>
          <w:p w14:paraId="12167C62" w14:textId="77777777" w:rsidR="00A945B5" w:rsidRDefault="00A945B5" w:rsidP="00A352AD">
            <w:pPr>
              <w:pStyle w:val="Body"/>
              <w:spacing w:before="45" w:after="91"/>
              <w:ind w:left="0"/>
              <w:rPr>
                <w:lang w:eastAsia="en-AU"/>
              </w:rPr>
            </w:pPr>
            <w:r>
              <w:rPr>
                <w:lang w:eastAsia="en-AU"/>
              </w:rPr>
              <w:t xml:space="preserve">Step 7- Cost </w:t>
            </w:r>
            <w:r w:rsidR="00F85E5E">
              <w:rPr>
                <w:lang w:eastAsia="en-AU"/>
              </w:rPr>
              <w:t>estimation</w:t>
            </w:r>
          </w:p>
        </w:tc>
        <w:tc>
          <w:tcPr>
            <w:tcW w:w="3827" w:type="dxa"/>
          </w:tcPr>
          <w:p w14:paraId="03AE6D5C" w14:textId="77777777" w:rsidR="00A945B5" w:rsidRDefault="00E3086F" w:rsidP="000E125F">
            <w:pPr>
              <w:pStyle w:val="Body"/>
              <w:spacing w:before="45" w:after="91"/>
              <w:ind w:left="0"/>
              <w:rPr>
                <w:lang w:eastAsia="en-AU"/>
              </w:rPr>
            </w:pPr>
            <w:r>
              <w:rPr>
                <w:lang w:eastAsia="en-AU"/>
              </w:rPr>
              <w:t>Cost estimate for</w:t>
            </w:r>
            <w:r w:rsidR="00A945B5" w:rsidRPr="00A945B5">
              <w:rPr>
                <w:lang w:eastAsia="en-AU"/>
              </w:rPr>
              <w:t xml:space="preserve"> upgrade </w:t>
            </w:r>
            <w:r>
              <w:rPr>
                <w:lang w:eastAsia="en-AU"/>
              </w:rPr>
              <w:t xml:space="preserve">of </w:t>
            </w:r>
            <w:r w:rsidR="00A945B5" w:rsidRPr="00A945B5">
              <w:rPr>
                <w:lang w:eastAsia="en-AU"/>
              </w:rPr>
              <w:t>all WWTP</w:t>
            </w:r>
            <w:r>
              <w:rPr>
                <w:lang w:eastAsia="en-AU"/>
              </w:rPr>
              <w:t>s</w:t>
            </w:r>
            <w:r w:rsidR="00A945B5" w:rsidRPr="00A945B5">
              <w:rPr>
                <w:lang w:eastAsia="en-AU"/>
              </w:rPr>
              <w:t xml:space="preserve"> in NZ </w:t>
            </w:r>
            <w:r>
              <w:rPr>
                <w:lang w:eastAsia="en-AU"/>
              </w:rPr>
              <w:t>based on Step 6 outcomes</w:t>
            </w:r>
          </w:p>
        </w:tc>
        <w:tc>
          <w:tcPr>
            <w:tcW w:w="2541" w:type="dxa"/>
          </w:tcPr>
          <w:p w14:paraId="55A606E9" w14:textId="77777777" w:rsidR="00A945B5" w:rsidRDefault="00E3086F" w:rsidP="0027376E">
            <w:pPr>
              <w:pStyle w:val="Body"/>
              <w:spacing w:before="45" w:after="91"/>
              <w:ind w:left="0"/>
              <w:rPr>
                <w:lang w:eastAsia="en-AU"/>
              </w:rPr>
            </w:pPr>
            <w:r>
              <w:rPr>
                <w:lang w:eastAsia="en-AU"/>
              </w:rPr>
              <w:t xml:space="preserve">GHD cost curves for WWTP process addition (refer </w:t>
            </w:r>
            <w:r w:rsidR="00036C09">
              <w:rPr>
                <w:lang w:eastAsia="en-AU"/>
              </w:rPr>
              <w:fldChar w:fldCharType="begin"/>
            </w:r>
            <w:r w:rsidR="00036C09">
              <w:rPr>
                <w:lang w:eastAsia="en-AU"/>
              </w:rPr>
              <w:instrText xml:space="preserve"> REF _Ref516840549 \r \h </w:instrText>
            </w:r>
            <w:r w:rsidR="00036C09">
              <w:rPr>
                <w:lang w:eastAsia="en-AU"/>
              </w:rPr>
            </w:r>
            <w:r w:rsidR="00036C09">
              <w:rPr>
                <w:lang w:eastAsia="en-AU"/>
              </w:rPr>
              <w:fldChar w:fldCharType="separate"/>
            </w:r>
            <w:r w:rsidR="002777A8">
              <w:rPr>
                <w:lang w:eastAsia="en-AU"/>
              </w:rPr>
              <w:t>6.3</w:t>
            </w:r>
            <w:r w:rsidR="00036C09">
              <w:rPr>
                <w:lang w:eastAsia="en-AU"/>
              </w:rPr>
              <w:fldChar w:fldCharType="end"/>
            </w:r>
            <w:r>
              <w:rPr>
                <w:lang w:eastAsia="en-AU"/>
              </w:rPr>
              <w:t>).</w:t>
            </w:r>
          </w:p>
        </w:tc>
      </w:tr>
      <w:tr w:rsidR="00A945B5" w14:paraId="58A2DDA5" w14:textId="77777777" w:rsidTr="00E66F34">
        <w:tc>
          <w:tcPr>
            <w:tcW w:w="2117" w:type="dxa"/>
          </w:tcPr>
          <w:p w14:paraId="60FDD253" w14:textId="77777777" w:rsidR="00A945B5" w:rsidRDefault="00A945B5" w:rsidP="00A352AD">
            <w:pPr>
              <w:pStyle w:val="Body"/>
              <w:spacing w:before="45" w:after="91"/>
              <w:ind w:left="0"/>
              <w:rPr>
                <w:lang w:eastAsia="en-AU"/>
              </w:rPr>
            </w:pPr>
            <w:r>
              <w:rPr>
                <w:lang w:eastAsia="en-AU"/>
              </w:rPr>
              <w:t xml:space="preserve">Step 8 – Case </w:t>
            </w:r>
            <w:r w:rsidR="00F85E5E">
              <w:rPr>
                <w:lang w:eastAsia="en-AU"/>
              </w:rPr>
              <w:t>studies</w:t>
            </w:r>
          </w:p>
        </w:tc>
        <w:tc>
          <w:tcPr>
            <w:tcW w:w="3827" w:type="dxa"/>
          </w:tcPr>
          <w:p w14:paraId="047AB08B" w14:textId="77777777" w:rsidR="00A945B5" w:rsidRPr="00111AB8" w:rsidRDefault="00A73A1C" w:rsidP="00261B3A">
            <w:pPr>
              <w:pStyle w:val="Body"/>
              <w:spacing w:before="45" w:after="91"/>
              <w:ind w:left="0"/>
              <w:rPr>
                <w:lang w:eastAsia="en-AU"/>
              </w:rPr>
            </w:pPr>
            <w:r>
              <w:rPr>
                <w:lang w:eastAsia="en-AU"/>
              </w:rPr>
              <w:t>Three c</w:t>
            </w:r>
            <w:r w:rsidRPr="00111AB8">
              <w:rPr>
                <w:lang w:eastAsia="en-AU"/>
              </w:rPr>
              <w:t>ase</w:t>
            </w:r>
            <w:r w:rsidR="00E3086F" w:rsidRPr="00111AB8">
              <w:rPr>
                <w:lang w:eastAsia="en-AU"/>
              </w:rPr>
              <w:t xml:space="preserve"> studies </w:t>
            </w:r>
            <w:r w:rsidR="00A31182">
              <w:rPr>
                <w:lang w:eastAsia="en-AU"/>
              </w:rPr>
              <w:t>were</w:t>
            </w:r>
            <w:r w:rsidR="00E3086F" w:rsidRPr="00111AB8">
              <w:rPr>
                <w:lang w:eastAsia="en-AU"/>
              </w:rPr>
              <w:t xml:space="preserve"> used to </w:t>
            </w:r>
            <w:r w:rsidR="00F90F22">
              <w:rPr>
                <w:lang w:eastAsia="en-AU"/>
              </w:rPr>
              <w:t xml:space="preserve">understand resource consent challenges, </w:t>
            </w:r>
            <w:r w:rsidR="00E3086F" w:rsidRPr="00111AB8">
              <w:rPr>
                <w:lang w:eastAsia="en-AU"/>
              </w:rPr>
              <w:t>validate cost estimates</w:t>
            </w:r>
            <w:r w:rsidR="00F90F22">
              <w:rPr>
                <w:lang w:eastAsia="en-AU"/>
              </w:rPr>
              <w:t xml:space="preserve"> and review the relative contribution of WWTPs to receiving environments.</w:t>
            </w:r>
            <w:r w:rsidR="00E3086F" w:rsidRPr="00111AB8">
              <w:rPr>
                <w:lang w:eastAsia="en-AU"/>
              </w:rPr>
              <w:t xml:space="preserve"> </w:t>
            </w:r>
          </w:p>
        </w:tc>
        <w:tc>
          <w:tcPr>
            <w:tcW w:w="2541" w:type="dxa"/>
          </w:tcPr>
          <w:p w14:paraId="71D377AB" w14:textId="77777777" w:rsidR="00A945B5" w:rsidRPr="00111AB8" w:rsidRDefault="00E3086F" w:rsidP="0027376E">
            <w:pPr>
              <w:pStyle w:val="Body"/>
              <w:spacing w:before="45" w:after="91"/>
              <w:ind w:left="0"/>
              <w:rPr>
                <w:lang w:eastAsia="en-AU"/>
              </w:rPr>
            </w:pPr>
            <w:r w:rsidRPr="00111AB8">
              <w:rPr>
                <w:lang w:eastAsia="en-AU"/>
              </w:rPr>
              <w:t>Information received from Watercare Services, Haur</w:t>
            </w:r>
            <w:r w:rsidR="00837CE3" w:rsidRPr="00111AB8">
              <w:rPr>
                <w:lang w:eastAsia="en-AU"/>
              </w:rPr>
              <w:t>aki</w:t>
            </w:r>
            <w:r w:rsidRPr="00111AB8">
              <w:rPr>
                <w:lang w:eastAsia="en-AU"/>
              </w:rPr>
              <w:t xml:space="preserve"> District Council and Waipa District Council</w:t>
            </w:r>
          </w:p>
        </w:tc>
      </w:tr>
    </w:tbl>
    <w:p w14:paraId="7B1DECD0" w14:textId="77777777" w:rsidR="004A58C4" w:rsidRDefault="004A58C4" w:rsidP="00A945B5">
      <w:pPr>
        <w:pStyle w:val="Body"/>
        <w:rPr>
          <w:lang w:eastAsia="en-AU"/>
        </w:rPr>
      </w:pPr>
    </w:p>
    <w:p w14:paraId="4612DAA7" w14:textId="77777777" w:rsidR="008D461A" w:rsidRDefault="008D461A">
      <w:pPr>
        <w:spacing w:after="0"/>
        <w:rPr>
          <w:rFonts w:eastAsiaTheme="minorHAnsi"/>
          <w:lang w:eastAsia="en-AU"/>
        </w:rPr>
      </w:pPr>
    </w:p>
    <w:p w14:paraId="5C5B1281" w14:textId="77777777" w:rsidR="00A73A1C" w:rsidRDefault="00837CE3" w:rsidP="008D461A">
      <w:pPr>
        <w:pStyle w:val="Body"/>
        <w:rPr>
          <w:rFonts w:eastAsiaTheme="minorHAnsi"/>
          <w:lang w:eastAsia="en-AU"/>
        </w:rPr>
      </w:pPr>
      <w:r w:rsidRPr="0014674E">
        <w:rPr>
          <w:rFonts w:eastAsiaTheme="minorHAnsi"/>
          <w:lang w:eastAsia="en-AU"/>
        </w:rPr>
        <w:t xml:space="preserve">The upgrade assessment in Step 5 is </w:t>
      </w:r>
      <w:r w:rsidR="00242ADD">
        <w:rPr>
          <w:rFonts w:eastAsiaTheme="minorHAnsi"/>
          <w:lang w:eastAsia="en-AU"/>
        </w:rPr>
        <w:t>shown</w:t>
      </w:r>
      <w:r w:rsidRPr="0014674E">
        <w:rPr>
          <w:rFonts w:eastAsiaTheme="minorHAnsi"/>
          <w:lang w:eastAsia="en-AU"/>
        </w:rPr>
        <w:t xml:space="preserve"> graphically in </w:t>
      </w:r>
      <w:r w:rsidRPr="0014674E">
        <w:rPr>
          <w:rFonts w:eastAsiaTheme="minorHAnsi"/>
          <w:lang w:eastAsia="en-AU"/>
        </w:rPr>
        <w:fldChar w:fldCharType="begin"/>
      </w:r>
      <w:r w:rsidRPr="0014674E">
        <w:rPr>
          <w:rFonts w:eastAsiaTheme="minorHAnsi"/>
          <w:lang w:eastAsia="en-AU"/>
        </w:rPr>
        <w:instrText xml:space="preserve"> REF _Ref516733231 \h </w:instrText>
      </w:r>
      <w:r w:rsidR="009A6DA1" w:rsidRPr="0014674E">
        <w:rPr>
          <w:rFonts w:eastAsiaTheme="minorHAnsi"/>
          <w:lang w:eastAsia="en-AU"/>
        </w:rPr>
        <w:instrText xml:space="preserve"> \* MERGEFORMAT </w:instrText>
      </w:r>
      <w:r w:rsidRPr="0014674E">
        <w:rPr>
          <w:rFonts w:eastAsiaTheme="minorHAnsi"/>
          <w:lang w:eastAsia="en-AU"/>
        </w:rPr>
      </w:r>
      <w:r w:rsidRPr="0014674E">
        <w:rPr>
          <w:rFonts w:eastAsiaTheme="minorHAnsi"/>
          <w:lang w:eastAsia="en-AU"/>
        </w:rPr>
        <w:fldChar w:fldCharType="separate"/>
      </w:r>
      <w:r w:rsidR="002777A8" w:rsidRPr="002777A8">
        <w:rPr>
          <w:rFonts w:eastAsiaTheme="minorHAnsi"/>
          <w:lang w:eastAsia="en-AU"/>
        </w:rPr>
        <w:t>Figure 1</w:t>
      </w:r>
      <w:r w:rsidRPr="0014674E">
        <w:rPr>
          <w:rFonts w:eastAsiaTheme="minorHAnsi"/>
          <w:lang w:eastAsia="en-AU"/>
        </w:rPr>
        <w:fldChar w:fldCharType="end"/>
      </w:r>
      <w:r w:rsidR="00CD580A">
        <w:rPr>
          <w:rFonts w:eastAsiaTheme="minorHAnsi"/>
          <w:lang w:eastAsia="en-AU"/>
        </w:rPr>
        <w:t xml:space="preserve"> and explained in following text</w:t>
      </w:r>
      <w:r w:rsidR="00A73A1C">
        <w:rPr>
          <w:rFonts w:eastAsiaTheme="minorHAnsi"/>
          <w:lang w:eastAsia="en-AU"/>
        </w:rPr>
        <w:t>.</w:t>
      </w:r>
    </w:p>
    <w:p w14:paraId="2CE1D6E6" w14:textId="77777777" w:rsidR="004A58C4" w:rsidRDefault="004A58C4">
      <w:pPr>
        <w:spacing w:after="0"/>
        <w:rPr>
          <w:lang w:eastAsia="en-AU"/>
        </w:rPr>
      </w:pPr>
    </w:p>
    <w:p w14:paraId="6EFE0EF1" w14:textId="77777777" w:rsidR="008D461A" w:rsidRDefault="00305472" w:rsidP="008D461A">
      <w:pPr>
        <w:pStyle w:val="Body"/>
        <w:jc w:val="center"/>
        <w:rPr>
          <w:lang w:eastAsia="en-AU"/>
        </w:rPr>
      </w:pPr>
      <w:r>
        <w:rPr>
          <w:noProof/>
          <w:lang w:val="en-NZ" w:eastAsia="en-NZ"/>
        </w:rPr>
        <w:drawing>
          <wp:inline distT="0" distB="0" distL="0" distR="0" wp14:anchorId="2E078E4B" wp14:editId="72EAA152">
            <wp:extent cx="4846320" cy="7040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46320" cy="7040880"/>
                    </a:xfrm>
                    <a:prstGeom prst="rect">
                      <a:avLst/>
                    </a:prstGeom>
                    <a:noFill/>
                    <a:ln>
                      <a:noFill/>
                    </a:ln>
                  </pic:spPr>
                </pic:pic>
              </a:graphicData>
            </a:graphic>
          </wp:inline>
        </w:drawing>
      </w:r>
    </w:p>
    <w:p w14:paraId="23902824" w14:textId="77777777" w:rsidR="008D461A" w:rsidRDefault="00837CE3" w:rsidP="008D461A">
      <w:pPr>
        <w:pStyle w:val="Caption"/>
        <w:rPr>
          <w:rFonts w:eastAsiaTheme="minorHAnsi"/>
          <w:lang w:eastAsia="en-AU"/>
        </w:rPr>
      </w:pPr>
      <w:bookmarkStart w:id="96" w:name="_Ref516733231"/>
      <w:bookmarkStart w:id="97" w:name="_Toc516840489"/>
      <w:bookmarkStart w:id="98" w:name="_Toc517707444"/>
      <w:bookmarkStart w:id="99" w:name="_Toc517788299"/>
      <w:bookmarkStart w:id="100" w:name="_Toc517793898"/>
      <w:bookmarkStart w:id="101" w:name="_Toc518653138"/>
      <w:bookmarkStart w:id="102" w:name="_Toc521064806"/>
      <w:r>
        <w:t xml:space="preserve">Figure </w:t>
      </w:r>
      <w:r w:rsidR="007B3D80">
        <w:rPr>
          <w:noProof/>
        </w:rPr>
        <w:fldChar w:fldCharType="begin"/>
      </w:r>
      <w:r w:rsidR="007B3D80">
        <w:rPr>
          <w:noProof/>
        </w:rPr>
        <w:instrText xml:space="preserve"> SEQ Figure \* ARABIC </w:instrText>
      </w:r>
      <w:r w:rsidR="007B3D80">
        <w:rPr>
          <w:noProof/>
        </w:rPr>
        <w:fldChar w:fldCharType="separate"/>
      </w:r>
      <w:r w:rsidR="002777A8">
        <w:rPr>
          <w:noProof/>
        </w:rPr>
        <w:t>1</w:t>
      </w:r>
      <w:r w:rsidR="007B3D80">
        <w:rPr>
          <w:noProof/>
        </w:rPr>
        <w:fldChar w:fldCharType="end"/>
      </w:r>
      <w:bookmarkEnd w:id="96"/>
      <w:r>
        <w:t xml:space="preserve"> </w:t>
      </w:r>
      <w:r w:rsidR="00033247">
        <w:t xml:space="preserve"> </w:t>
      </w:r>
      <w:r>
        <w:t xml:space="preserve">Assessment </w:t>
      </w:r>
      <w:r w:rsidR="00516E05">
        <w:t xml:space="preserve">process </w:t>
      </w:r>
      <w:r>
        <w:t xml:space="preserve">to </w:t>
      </w:r>
      <w:r w:rsidR="00FE6297">
        <w:t xml:space="preserve">identify </w:t>
      </w:r>
      <w:r>
        <w:t>WWTP upgrades</w:t>
      </w:r>
      <w:bookmarkEnd w:id="97"/>
      <w:bookmarkEnd w:id="98"/>
      <w:bookmarkEnd w:id="99"/>
      <w:bookmarkEnd w:id="100"/>
      <w:bookmarkEnd w:id="101"/>
      <w:bookmarkEnd w:id="102"/>
      <w:r>
        <w:t xml:space="preserve"> </w:t>
      </w:r>
      <w:bookmarkStart w:id="103" w:name="_Toc516741329"/>
      <w:bookmarkStart w:id="104" w:name="_Toc516840525"/>
      <w:bookmarkStart w:id="105" w:name="_Toc517267835"/>
    </w:p>
    <w:p w14:paraId="6C60B8D4" w14:textId="77777777" w:rsidR="008D461A" w:rsidRDefault="008D461A">
      <w:pPr>
        <w:spacing w:after="0"/>
        <w:rPr>
          <w:rFonts w:eastAsiaTheme="minorHAnsi"/>
          <w:lang w:eastAsia="en-AU"/>
        </w:rPr>
      </w:pPr>
      <w:r>
        <w:rPr>
          <w:rFonts w:eastAsiaTheme="minorHAnsi"/>
          <w:lang w:eastAsia="en-AU"/>
        </w:rPr>
        <w:br w:type="page"/>
      </w:r>
    </w:p>
    <w:p w14:paraId="559F8F5B" w14:textId="77777777" w:rsidR="00A73A1C" w:rsidRPr="0014674E" w:rsidRDefault="00CD580A" w:rsidP="00E770E8">
      <w:pPr>
        <w:pStyle w:val="Body"/>
        <w:rPr>
          <w:rFonts w:eastAsiaTheme="minorHAnsi"/>
          <w:lang w:eastAsia="en-AU"/>
        </w:rPr>
      </w:pPr>
      <w:r>
        <w:rPr>
          <w:rFonts w:eastAsiaTheme="minorHAnsi"/>
          <w:lang w:eastAsia="en-AU"/>
        </w:rPr>
        <w:lastRenderedPageBreak/>
        <w:t>T</w:t>
      </w:r>
      <w:r w:rsidR="00A73A1C" w:rsidRPr="0014674E">
        <w:rPr>
          <w:rFonts w:eastAsiaTheme="minorHAnsi"/>
          <w:lang w:eastAsia="en-AU"/>
        </w:rPr>
        <w:t>he following key queries were analysed</w:t>
      </w:r>
      <w:r>
        <w:rPr>
          <w:rFonts w:eastAsiaTheme="minorHAnsi"/>
          <w:lang w:eastAsia="en-AU"/>
        </w:rPr>
        <w:t xml:space="preserve"> for Step 5</w:t>
      </w:r>
      <w:r w:rsidR="00A73A1C" w:rsidRPr="0014674E">
        <w:rPr>
          <w:rFonts w:eastAsiaTheme="minorHAnsi"/>
          <w:lang w:eastAsia="en-AU"/>
        </w:rPr>
        <w:t>:</w:t>
      </w:r>
    </w:p>
    <w:p w14:paraId="654B76F0" w14:textId="77777777" w:rsidR="00A73A1C" w:rsidRPr="0014674E" w:rsidRDefault="00A73A1C" w:rsidP="009279A6">
      <w:pPr>
        <w:pStyle w:val="Body"/>
        <w:numPr>
          <w:ilvl w:val="0"/>
          <w:numId w:val="70"/>
        </w:numPr>
        <w:rPr>
          <w:lang w:eastAsia="en-AU"/>
        </w:rPr>
      </w:pPr>
      <w:r w:rsidRPr="0014674E">
        <w:rPr>
          <w:b/>
          <w:lang w:eastAsia="en-AU"/>
        </w:rPr>
        <w:t xml:space="preserve">Does the WWTP comply </w:t>
      </w:r>
      <w:r w:rsidR="006C3635">
        <w:rPr>
          <w:b/>
          <w:lang w:eastAsia="en-AU"/>
        </w:rPr>
        <w:t>with current consent conditions</w:t>
      </w:r>
      <w:r w:rsidRPr="0014674E">
        <w:rPr>
          <w:b/>
          <w:lang w:eastAsia="en-AU"/>
        </w:rPr>
        <w:t>?.</w:t>
      </w:r>
      <w:r w:rsidRPr="0014674E">
        <w:rPr>
          <w:lang w:eastAsia="en-AU"/>
        </w:rPr>
        <w:t xml:space="preserve"> If a WWTP is not meeting its current discharge consent condition</w:t>
      </w:r>
      <w:r w:rsidR="00D54330">
        <w:rPr>
          <w:lang w:eastAsia="en-AU"/>
        </w:rPr>
        <w:t>s</w:t>
      </w:r>
      <w:r w:rsidRPr="0014674E">
        <w:rPr>
          <w:lang w:eastAsia="en-AU"/>
        </w:rPr>
        <w:t xml:space="preserve"> there is a compliance issue to be </w:t>
      </w:r>
      <w:r w:rsidRPr="00D54330">
        <w:rPr>
          <w:lang w:eastAsia="en-AU"/>
        </w:rPr>
        <w:t xml:space="preserve">addressed and potentially an upgrade required to meet </w:t>
      </w:r>
      <w:r w:rsidR="00D54330">
        <w:rPr>
          <w:lang w:eastAsia="en-AU"/>
        </w:rPr>
        <w:t xml:space="preserve">full </w:t>
      </w:r>
      <w:r w:rsidRPr="00D54330">
        <w:rPr>
          <w:lang w:eastAsia="en-AU"/>
        </w:rPr>
        <w:t xml:space="preserve">compliance. Based on available data in the Water NZ National benchmarking database very little </w:t>
      </w:r>
      <w:r w:rsidR="009279A6" w:rsidRPr="009279A6">
        <w:rPr>
          <w:lang w:eastAsia="en-AU"/>
        </w:rPr>
        <w:t xml:space="preserve">enforcement action related to </w:t>
      </w:r>
      <w:r w:rsidRPr="00D54330">
        <w:rPr>
          <w:lang w:eastAsia="en-AU"/>
        </w:rPr>
        <w:t>non</w:t>
      </w:r>
      <w:r w:rsidR="00C74121">
        <w:rPr>
          <w:lang w:eastAsia="en-AU"/>
        </w:rPr>
        <w:t>-</w:t>
      </w:r>
      <w:r w:rsidRPr="00D54330">
        <w:rPr>
          <w:lang w:eastAsia="en-AU"/>
        </w:rPr>
        <w:t>compliance is reported at a national level. However based on information provided by our study participants, the benchmarking database does not necessarily reflect performance. Part of the complexity is that “non</w:t>
      </w:r>
      <w:r w:rsidR="00C74121">
        <w:rPr>
          <w:lang w:eastAsia="en-AU"/>
        </w:rPr>
        <w:t>-</w:t>
      </w:r>
      <w:r w:rsidRPr="00D54330">
        <w:rPr>
          <w:lang w:eastAsia="en-AU"/>
        </w:rPr>
        <w:t xml:space="preserve">compliance” can be very minor and addressed through improved </w:t>
      </w:r>
      <w:r w:rsidR="00523E9E">
        <w:rPr>
          <w:lang w:eastAsia="en-AU"/>
        </w:rPr>
        <w:t>operations and maintenance works</w:t>
      </w:r>
      <w:r w:rsidRPr="00D54330">
        <w:rPr>
          <w:lang w:eastAsia="en-AU"/>
        </w:rPr>
        <w:t xml:space="preserve"> r</w:t>
      </w:r>
      <w:r w:rsidRPr="0014674E">
        <w:rPr>
          <w:lang w:eastAsia="en-AU"/>
        </w:rPr>
        <w:t xml:space="preserve">ather than a significant plant upgrade. As discussed in section </w:t>
      </w:r>
      <w:r w:rsidR="00F85E5E">
        <w:rPr>
          <w:lang w:eastAsia="en-AU"/>
        </w:rPr>
        <w:fldChar w:fldCharType="begin"/>
      </w:r>
      <w:r w:rsidR="00F85E5E">
        <w:rPr>
          <w:lang w:eastAsia="en-AU"/>
        </w:rPr>
        <w:instrText xml:space="preserve"> REF _Ref520969006 \r \h </w:instrText>
      </w:r>
      <w:r w:rsidR="00F85E5E">
        <w:rPr>
          <w:lang w:eastAsia="en-AU"/>
        </w:rPr>
      </w:r>
      <w:r w:rsidR="00F85E5E">
        <w:rPr>
          <w:lang w:eastAsia="en-AU"/>
        </w:rPr>
        <w:fldChar w:fldCharType="separate"/>
      </w:r>
      <w:r w:rsidR="002777A8">
        <w:rPr>
          <w:lang w:eastAsia="en-AU"/>
        </w:rPr>
        <w:t>6.3.2</w:t>
      </w:r>
      <w:r w:rsidR="00F85E5E">
        <w:rPr>
          <w:lang w:eastAsia="en-AU"/>
        </w:rPr>
        <w:fldChar w:fldCharType="end"/>
      </w:r>
      <w:r w:rsidR="00F85E5E">
        <w:rPr>
          <w:lang w:eastAsia="en-AU"/>
        </w:rPr>
        <w:t xml:space="preserve"> </w:t>
      </w:r>
      <w:r w:rsidRPr="0014674E">
        <w:rPr>
          <w:lang w:eastAsia="en-AU"/>
        </w:rPr>
        <w:t xml:space="preserve">with little data readily available at a national level the Waikato region was used as an example to explain the issues and potential cost involved with meeting compliance.  </w:t>
      </w:r>
    </w:p>
    <w:p w14:paraId="1B1ED013" w14:textId="77777777" w:rsidR="00A73A1C" w:rsidRPr="0014674E" w:rsidRDefault="00A73A1C" w:rsidP="00A73A1C">
      <w:pPr>
        <w:pStyle w:val="Body"/>
        <w:numPr>
          <w:ilvl w:val="0"/>
          <w:numId w:val="70"/>
        </w:numPr>
        <w:rPr>
          <w:lang w:eastAsia="en-AU"/>
        </w:rPr>
      </w:pPr>
      <w:r w:rsidRPr="0014674E">
        <w:rPr>
          <w:b/>
          <w:lang w:eastAsia="en-AU"/>
        </w:rPr>
        <w:t>Does the plant meet the B Attribute Level?</w:t>
      </w:r>
      <w:r w:rsidRPr="0014674E">
        <w:rPr>
          <w:lang w:eastAsia="en-AU"/>
        </w:rPr>
        <w:t xml:space="preserve"> The NPS Freshwater Attribute</w:t>
      </w:r>
      <w:r w:rsidR="00FE6297">
        <w:rPr>
          <w:lang w:eastAsia="en-AU"/>
        </w:rPr>
        <w:t xml:space="preserve"> B values</w:t>
      </w:r>
      <w:r w:rsidRPr="0014674E">
        <w:rPr>
          <w:lang w:eastAsia="en-AU"/>
        </w:rPr>
        <w:t xml:space="preserve"> </w:t>
      </w:r>
      <w:r w:rsidR="00FE6297">
        <w:rPr>
          <w:lang w:eastAsia="en-AU"/>
        </w:rPr>
        <w:t>were</w:t>
      </w:r>
      <w:r w:rsidRPr="0014674E">
        <w:rPr>
          <w:lang w:eastAsia="en-AU"/>
        </w:rPr>
        <w:t xml:space="preserve"> chosen as the target to be achieved in receiving waters (refer section </w:t>
      </w:r>
      <w:r>
        <w:rPr>
          <w:lang w:eastAsia="en-AU"/>
        </w:rPr>
        <w:fldChar w:fldCharType="begin"/>
      </w:r>
      <w:r>
        <w:rPr>
          <w:lang w:eastAsia="en-AU"/>
        </w:rPr>
        <w:instrText xml:space="preserve"> REF _Ref516840164 \r \h </w:instrText>
      </w:r>
      <w:r>
        <w:rPr>
          <w:lang w:eastAsia="en-AU"/>
        </w:rPr>
      </w:r>
      <w:r>
        <w:rPr>
          <w:lang w:eastAsia="en-AU"/>
        </w:rPr>
        <w:fldChar w:fldCharType="separate"/>
      </w:r>
      <w:r w:rsidR="002777A8">
        <w:rPr>
          <w:lang w:eastAsia="en-AU"/>
        </w:rPr>
        <w:t>3.4.3</w:t>
      </w:r>
      <w:r>
        <w:rPr>
          <w:lang w:eastAsia="en-AU"/>
        </w:rPr>
        <w:fldChar w:fldCharType="end"/>
      </w:r>
      <w:r>
        <w:rPr>
          <w:lang w:eastAsia="en-AU"/>
        </w:rPr>
        <w:fldChar w:fldCharType="begin"/>
      </w:r>
      <w:r>
        <w:rPr>
          <w:lang w:eastAsia="en-AU"/>
        </w:rPr>
        <w:fldChar w:fldCharType="separate"/>
      </w:r>
      <w:r>
        <w:rPr>
          <w:lang w:eastAsia="en-AU"/>
        </w:rPr>
        <w:t>3.4.3</w:t>
      </w:r>
      <w:r>
        <w:rPr>
          <w:lang w:eastAsia="en-AU"/>
        </w:rPr>
        <w:fldChar w:fldCharType="end"/>
      </w:r>
      <w:r w:rsidRPr="0014674E">
        <w:rPr>
          <w:lang w:eastAsia="en-AU"/>
        </w:rPr>
        <w:t xml:space="preserve"> for an explanation). If a plant discharge is already meeting Attribute </w:t>
      </w:r>
      <w:r w:rsidR="00FE6297">
        <w:rPr>
          <w:lang w:eastAsia="en-AU"/>
        </w:rPr>
        <w:t>B</w:t>
      </w:r>
      <w:r w:rsidRPr="0014674E">
        <w:rPr>
          <w:lang w:eastAsia="en-AU"/>
        </w:rPr>
        <w:t xml:space="preserve"> levels for </w:t>
      </w:r>
      <w:r w:rsidR="008F06EE">
        <w:rPr>
          <w:i/>
          <w:lang w:eastAsia="en-AU"/>
        </w:rPr>
        <w:t>E.coli</w:t>
      </w:r>
      <w:r w:rsidRPr="0014674E">
        <w:rPr>
          <w:lang w:eastAsia="en-AU"/>
        </w:rPr>
        <w:t xml:space="preserve">, </w:t>
      </w:r>
      <w:r w:rsidR="00FE6297">
        <w:rPr>
          <w:lang w:eastAsia="en-AU"/>
        </w:rPr>
        <w:t>t</w:t>
      </w:r>
      <w:r w:rsidR="00FE6297" w:rsidRPr="0014674E">
        <w:rPr>
          <w:lang w:eastAsia="en-AU"/>
        </w:rPr>
        <w:t xml:space="preserve">otal </w:t>
      </w:r>
      <w:r w:rsidR="00FE6297">
        <w:rPr>
          <w:lang w:eastAsia="en-AU"/>
        </w:rPr>
        <w:t>n</w:t>
      </w:r>
      <w:r w:rsidR="00FE6297" w:rsidRPr="0014674E">
        <w:rPr>
          <w:lang w:eastAsia="en-AU"/>
        </w:rPr>
        <w:t xml:space="preserve">itrates </w:t>
      </w:r>
      <w:r w:rsidRPr="0014674E">
        <w:rPr>
          <w:lang w:eastAsia="en-AU"/>
        </w:rPr>
        <w:t xml:space="preserve">and </w:t>
      </w:r>
      <w:r w:rsidR="00FE6297">
        <w:rPr>
          <w:lang w:eastAsia="en-AU"/>
        </w:rPr>
        <w:t>a</w:t>
      </w:r>
      <w:r w:rsidR="00FE6297" w:rsidRPr="0014674E">
        <w:rPr>
          <w:lang w:eastAsia="en-AU"/>
        </w:rPr>
        <w:t xml:space="preserve">mmonia </w:t>
      </w:r>
      <w:r w:rsidRPr="0014674E">
        <w:rPr>
          <w:lang w:eastAsia="en-AU"/>
        </w:rPr>
        <w:t xml:space="preserve">no upgrade is </w:t>
      </w:r>
      <w:r>
        <w:rPr>
          <w:lang w:eastAsia="en-AU"/>
        </w:rPr>
        <w:t xml:space="preserve">assumed to be </w:t>
      </w:r>
      <w:r w:rsidRPr="0014674E">
        <w:rPr>
          <w:lang w:eastAsia="en-AU"/>
        </w:rPr>
        <w:t>required.</w:t>
      </w:r>
    </w:p>
    <w:p w14:paraId="08211830" w14:textId="77777777" w:rsidR="00A73A1C" w:rsidRDefault="00A73A1C" w:rsidP="002954B2">
      <w:pPr>
        <w:pStyle w:val="Body"/>
        <w:numPr>
          <w:ilvl w:val="0"/>
          <w:numId w:val="70"/>
        </w:numPr>
        <w:rPr>
          <w:lang w:eastAsia="en-AU"/>
        </w:rPr>
      </w:pPr>
      <w:r w:rsidRPr="0014674E">
        <w:rPr>
          <w:b/>
          <w:lang w:eastAsia="en-AU"/>
        </w:rPr>
        <w:t>Would an upgrade improve the rece</w:t>
      </w:r>
      <w:r w:rsidR="006C3635">
        <w:rPr>
          <w:b/>
          <w:lang w:eastAsia="en-AU"/>
        </w:rPr>
        <w:t>iving environment water quality</w:t>
      </w:r>
      <w:r w:rsidRPr="0014674E">
        <w:rPr>
          <w:b/>
          <w:lang w:eastAsia="en-AU"/>
        </w:rPr>
        <w:t>?</w:t>
      </w:r>
      <w:r w:rsidRPr="0014674E">
        <w:rPr>
          <w:lang w:eastAsia="en-AU"/>
        </w:rPr>
        <w:t xml:space="preserve">. </w:t>
      </w:r>
      <w:r w:rsidR="002954B2" w:rsidRPr="002954B2">
        <w:rPr>
          <w:lang w:eastAsia="en-AU"/>
        </w:rPr>
        <w:t xml:space="preserve">If the answer to query 2 is “No” </w:t>
      </w:r>
      <w:r w:rsidR="00523E9E">
        <w:rPr>
          <w:lang w:eastAsia="en-AU"/>
        </w:rPr>
        <w:t xml:space="preserve">the </w:t>
      </w:r>
      <w:r w:rsidR="002954B2" w:rsidRPr="002954B2">
        <w:rPr>
          <w:lang w:eastAsia="en-AU"/>
        </w:rPr>
        <w:t>question</w:t>
      </w:r>
      <w:r w:rsidR="00523E9E">
        <w:rPr>
          <w:lang w:eastAsia="en-AU"/>
        </w:rPr>
        <w:t xml:space="preserve"> then</w:t>
      </w:r>
      <w:r w:rsidR="002954B2" w:rsidRPr="002954B2">
        <w:rPr>
          <w:lang w:eastAsia="en-AU"/>
        </w:rPr>
        <w:t xml:space="preserve"> relates to what the likely existing nutrient and </w:t>
      </w:r>
      <w:r w:rsidR="002954B2" w:rsidRPr="00E66F34">
        <w:rPr>
          <w:i/>
          <w:lang w:eastAsia="en-AU"/>
        </w:rPr>
        <w:t xml:space="preserve">E. coli </w:t>
      </w:r>
      <w:r w:rsidR="002954B2" w:rsidRPr="002954B2">
        <w:rPr>
          <w:lang w:eastAsia="en-AU"/>
        </w:rPr>
        <w:t>contribution (small, moderate, or large) is</w:t>
      </w:r>
      <w:r w:rsidR="006F37AB">
        <w:rPr>
          <w:lang w:eastAsia="en-AU"/>
        </w:rPr>
        <w:t xml:space="preserve"> </w:t>
      </w:r>
      <w:r w:rsidR="002954B2" w:rsidRPr="002954B2">
        <w:rPr>
          <w:lang w:eastAsia="en-AU"/>
        </w:rPr>
        <w:t>from the WWTP to the receiving environment</w:t>
      </w:r>
      <w:r w:rsidR="00523E9E">
        <w:rPr>
          <w:lang w:eastAsia="en-AU"/>
        </w:rPr>
        <w:t>.</w:t>
      </w:r>
      <w:r w:rsidR="002954B2" w:rsidRPr="002954B2">
        <w:rPr>
          <w:lang w:eastAsia="en-AU"/>
        </w:rPr>
        <w:t xml:space="preserve"> </w:t>
      </w:r>
      <w:r w:rsidR="006F37AB">
        <w:rPr>
          <w:lang w:eastAsia="en-AU"/>
        </w:rPr>
        <w:t>Of particular interest is the que</w:t>
      </w:r>
      <w:r w:rsidR="00F90F22">
        <w:rPr>
          <w:lang w:eastAsia="en-AU"/>
        </w:rPr>
        <w:t>ry</w:t>
      </w:r>
      <w:r w:rsidR="006F37AB">
        <w:rPr>
          <w:lang w:eastAsia="en-AU"/>
        </w:rPr>
        <w:t xml:space="preserve"> “</w:t>
      </w:r>
      <w:r w:rsidR="006F37AB" w:rsidRPr="00E66F34">
        <w:rPr>
          <w:i/>
          <w:lang w:eastAsia="en-AU"/>
        </w:rPr>
        <w:t xml:space="preserve">if </w:t>
      </w:r>
      <w:r w:rsidR="00523E9E" w:rsidRPr="00E66F34">
        <w:rPr>
          <w:i/>
          <w:lang w:eastAsia="en-AU"/>
        </w:rPr>
        <w:t xml:space="preserve">investment </w:t>
      </w:r>
      <w:r w:rsidR="006F37AB" w:rsidRPr="00E66F34">
        <w:rPr>
          <w:i/>
          <w:lang w:eastAsia="en-AU"/>
        </w:rPr>
        <w:t xml:space="preserve">is made </w:t>
      </w:r>
      <w:r w:rsidR="00523E9E" w:rsidRPr="00E66F34">
        <w:rPr>
          <w:i/>
          <w:lang w:eastAsia="en-AU"/>
        </w:rPr>
        <w:t>in a</w:t>
      </w:r>
      <w:r w:rsidR="002954B2" w:rsidRPr="00E66F34">
        <w:rPr>
          <w:i/>
          <w:lang w:eastAsia="en-AU"/>
        </w:rPr>
        <w:t xml:space="preserve"> WWTP upgrade </w:t>
      </w:r>
      <w:r w:rsidR="006F37AB" w:rsidRPr="00E66F34">
        <w:rPr>
          <w:i/>
          <w:lang w:eastAsia="en-AU"/>
        </w:rPr>
        <w:t>to</w:t>
      </w:r>
      <w:r w:rsidR="002954B2" w:rsidRPr="00E66F34">
        <w:rPr>
          <w:i/>
          <w:lang w:eastAsia="en-AU"/>
        </w:rPr>
        <w:t xml:space="preserve"> meet Attribute B at the end of pipe, what would be the </w:t>
      </w:r>
      <w:r w:rsidR="00523E9E" w:rsidRPr="00E66F34">
        <w:rPr>
          <w:i/>
          <w:lang w:eastAsia="en-AU"/>
        </w:rPr>
        <w:t xml:space="preserve">likely </w:t>
      </w:r>
      <w:r w:rsidR="002954B2" w:rsidRPr="00E66F34">
        <w:rPr>
          <w:i/>
          <w:lang w:eastAsia="en-AU"/>
        </w:rPr>
        <w:t>magnitude of change to the receiving environment</w:t>
      </w:r>
      <w:r w:rsidR="00523E9E" w:rsidRPr="00E66F34">
        <w:rPr>
          <w:i/>
          <w:lang w:eastAsia="en-AU"/>
        </w:rPr>
        <w:t>?</w:t>
      </w:r>
      <w:r w:rsidR="006F37AB">
        <w:rPr>
          <w:lang w:eastAsia="en-AU"/>
        </w:rPr>
        <w:t>”</w:t>
      </w:r>
      <w:r w:rsidR="002954B2" w:rsidRPr="002954B2">
        <w:rPr>
          <w:lang w:eastAsia="en-AU"/>
        </w:rPr>
        <w:t xml:space="preserve">. Key considerations in making this assessment included what other land uses within the catchment generate nutrients and what proportion of flow and contaminant is sourced from the WWTP in comparison. </w:t>
      </w:r>
    </w:p>
    <w:p w14:paraId="78A98E26" w14:textId="77777777" w:rsidR="00A73A1C" w:rsidRDefault="00A73A1C" w:rsidP="00AE663D">
      <w:pPr>
        <w:pStyle w:val="Body"/>
        <w:rPr>
          <w:lang w:eastAsia="en-AU"/>
        </w:rPr>
      </w:pPr>
      <w:r>
        <w:rPr>
          <w:lang w:eastAsia="en-AU"/>
        </w:rPr>
        <w:t xml:space="preserve">The assessment process has a focus on receiving water quality impacts and ignores a range of other typical and site specific WWTP upgrade considerations (e.g. asset condition, plant load versus current capacity, </w:t>
      </w:r>
      <w:r w:rsidR="00FE6297">
        <w:rPr>
          <w:lang w:eastAsia="en-AU"/>
        </w:rPr>
        <w:t>population</w:t>
      </w:r>
      <w:r>
        <w:rPr>
          <w:lang w:eastAsia="en-AU"/>
        </w:rPr>
        <w:t xml:space="preserve"> growth)</w:t>
      </w:r>
      <w:r w:rsidR="00FE6297">
        <w:rPr>
          <w:lang w:eastAsia="en-AU"/>
        </w:rPr>
        <w:t>.</w:t>
      </w:r>
    </w:p>
    <w:p w14:paraId="1BBF4829" w14:textId="77777777" w:rsidR="006F37AB" w:rsidRDefault="006F37AB" w:rsidP="00AE663D">
      <w:pPr>
        <w:pStyle w:val="Body"/>
        <w:rPr>
          <w:lang w:eastAsia="en-AU"/>
        </w:rPr>
      </w:pPr>
      <w:r w:rsidRPr="006F37AB">
        <w:rPr>
          <w:lang w:eastAsia="en-AU"/>
        </w:rPr>
        <w:t xml:space="preserve">Where a plant upgrade is deemed unlikely to </w:t>
      </w:r>
      <w:r>
        <w:rPr>
          <w:lang w:eastAsia="en-AU"/>
        </w:rPr>
        <w:t xml:space="preserve">noticeably </w:t>
      </w:r>
      <w:r w:rsidRPr="006F37AB">
        <w:rPr>
          <w:lang w:eastAsia="en-AU"/>
        </w:rPr>
        <w:t>improve receiving water quality</w:t>
      </w:r>
      <w:r>
        <w:rPr>
          <w:lang w:eastAsia="en-AU"/>
        </w:rPr>
        <w:t>,</w:t>
      </w:r>
      <w:r w:rsidRPr="006F37AB">
        <w:rPr>
          <w:lang w:eastAsia="en-AU"/>
        </w:rPr>
        <w:t xml:space="preserve"> alternatives such as offset mitigation (e.g. native planting) or improvements to upstream landuse management practises could be considered. </w:t>
      </w:r>
      <w:r>
        <w:rPr>
          <w:lang w:eastAsia="en-AU"/>
        </w:rPr>
        <w:t>These</w:t>
      </w:r>
      <w:r w:rsidRPr="006F37AB">
        <w:rPr>
          <w:lang w:eastAsia="en-AU"/>
        </w:rPr>
        <w:t xml:space="preserve"> </w:t>
      </w:r>
      <w:r>
        <w:rPr>
          <w:lang w:eastAsia="en-AU"/>
        </w:rPr>
        <w:t>wider catchment initiatives to improve receiving water quality</w:t>
      </w:r>
      <w:r w:rsidRPr="006F37AB">
        <w:rPr>
          <w:lang w:eastAsia="en-AU"/>
        </w:rPr>
        <w:t xml:space="preserve"> are not </w:t>
      </w:r>
      <w:r>
        <w:rPr>
          <w:lang w:eastAsia="en-AU"/>
        </w:rPr>
        <w:t xml:space="preserve">specifically </w:t>
      </w:r>
      <w:r w:rsidRPr="006F37AB">
        <w:rPr>
          <w:lang w:eastAsia="en-AU"/>
        </w:rPr>
        <w:t xml:space="preserve">assessed in this </w:t>
      </w:r>
      <w:r w:rsidR="00A31182">
        <w:rPr>
          <w:lang w:eastAsia="en-AU"/>
        </w:rPr>
        <w:t>report</w:t>
      </w:r>
      <w:r w:rsidRPr="006F37AB">
        <w:rPr>
          <w:lang w:eastAsia="en-AU"/>
        </w:rPr>
        <w:t>.</w:t>
      </w:r>
    </w:p>
    <w:p w14:paraId="14400638" w14:textId="77777777" w:rsidR="008D461A" w:rsidRDefault="008D461A" w:rsidP="00AE663D">
      <w:pPr>
        <w:pStyle w:val="Body"/>
        <w:rPr>
          <w:lang w:eastAsia="en-AU"/>
        </w:rPr>
      </w:pPr>
    </w:p>
    <w:p w14:paraId="773B4418" w14:textId="77777777" w:rsidR="008D461A" w:rsidRDefault="008D461A">
      <w:pPr>
        <w:spacing w:after="0"/>
        <w:rPr>
          <w:lang w:eastAsia="en-AU"/>
        </w:rPr>
      </w:pPr>
      <w:r>
        <w:rPr>
          <w:lang w:eastAsia="en-AU"/>
        </w:rPr>
        <w:br w:type="page"/>
      </w:r>
    </w:p>
    <w:p w14:paraId="37B03DF0" w14:textId="77777777" w:rsidR="007214E3" w:rsidRDefault="00663B4B" w:rsidP="008324F9">
      <w:pPr>
        <w:pStyle w:val="Heading1"/>
        <w:rPr>
          <w:lang w:eastAsia="en-AU"/>
        </w:rPr>
      </w:pPr>
      <w:bookmarkStart w:id="106" w:name="_Toc517707394"/>
      <w:bookmarkStart w:id="107" w:name="_Toc517787149"/>
      <w:bookmarkStart w:id="108" w:name="_Toc517793848"/>
      <w:bookmarkStart w:id="109" w:name="_Toc518646184"/>
      <w:bookmarkStart w:id="110" w:name="_Toc518653084"/>
      <w:bookmarkStart w:id="111" w:name="_Toc527638638"/>
      <w:r>
        <w:rPr>
          <w:lang w:eastAsia="en-AU"/>
        </w:rPr>
        <w:lastRenderedPageBreak/>
        <w:t>Study Data Sources</w:t>
      </w:r>
      <w:bookmarkEnd w:id="103"/>
      <w:bookmarkEnd w:id="104"/>
      <w:bookmarkEnd w:id="105"/>
      <w:bookmarkEnd w:id="106"/>
      <w:bookmarkEnd w:id="107"/>
      <w:bookmarkEnd w:id="108"/>
      <w:bookmarkEnd w:id="109"/>
      <w:bookmarkEnd w:id="110"/>
      <w:bookmarkEnd w:id="111"/>
    </w:p>
    <w:p w14:paraId="7F44E558" w14:textId="77777777" w:rsidR="007214E3" w:rsidRDefault="007662C4" w:rsidP="008324F9">
      <w:pPr>
        <w:pStyle w:val="Heading2"/>
        <w:rPr>
          <w:lang w:eastAsia="en-AU"/>
        </w:rPr>
      </w:pPr>
      <w:bookmarkStart w:id="112" w:name="_Toc516741331"/>
      <w:bookmarkStart w:id="113" w:name="_Toc516840526"/>
      <w:bookmarkStart w:id="114" w:name="_Toc517267836"/>
      <w:bookmarkStart w:id="115" w:name="_Toc517707395"/>
      <w:bookmarkStart w:id="116" w:name="_Toc517787150"/>
      <w:bookmarkStart w:id="117" w:name="_Toc517793849"/>
      <w:bookmarkStart w:id="118" w:name="_Toc518646185"/>
      <w:bookmarkStart w:id="119" w:name="_Toc518653085"/>
      <w:bookmarkStart w:id="120" w:name="_Toc527638639"/>
      <w:r>
        <w:rPr>
          <w:lang w:eastAsia="en-AU"/>
        </w:rPr>
        <w:t xml:space="preserve">Overview of </w:t>
      </w:r>
      <w:r w:rsidR="00195670">
        <w:rPr>
          <w:lang w:eastAsia="en-AU"/>
        </w:rPr>
        <w:t>Data Sources</w:t>
      </w:r>
      <w:bookmarkEnd w:id="112"/>
      <w:bookmarkEnd w:id="113"/>
      <w:bookmarkEnd w:id="114"/>
      <w:bookmarkEnd w:id="115"/>
      <w:bookmarkEnd w:id="116"/>
      <w:bookmarkEnd w:id="117"/>
      <w:bookmarkEnd w:id="118"/>
      <w:bookmarkEnd w:id="119"/>
      <w:bookmarkEnd w:id="120"/>
    </w:p>
    <w:p w14:paraId="111F53E9" w14:textId="77777777" w:rsidR="009A7F32" w:rsidRPr="00FE4F59" w:rsidRDefault="00090302" w:rsidP="00FE4F59">
      <w:pPr>
        <w:pStyle w:val="Body"/>
        <w:rPr>
          <w:rFonts w:eastAsiaTheme="minorEastAsia"/>
          <w:lang w:eastAsia="en-AU"/>
        </w:rPr>
      </w:pPr>
      <w:r>
        <w:rPr>
          <w:rFonts w:eastAsiaTheme="minorEastAsia"/>
          <w:lang w:eastAsia="en-AU"/>
        </w:rPr>
        <w:t>A</w:t>
      </w:r>
      <w:r w:rsidR="009A7F32" w:rsidRPr="008324F9">
        <w:rPr>
          <w:rFonts w:eastAsiaTheme="minorEastAsia"/>
          <w:lang w:eastAsia="en-AU"/>
        </w:rPr>
        <w:t xml:space="preserve"> critical element of the </w:t>
      </w:r>
      <w:r>
        <w:rPr>
          <w:rFonts w:eastAsiaTheme="minorEastAsia"/>
          <w:lang w:eastAsia="en-AU"/>
        </w:rPr>
        <w:t xml:space="preserve">assessment </w:t>
      </w:r>
      <w:r w:rsidR="009A7F32" w:rsidRPr="008324F9">
        <w:rPr>
          <w:rFonts w:eastAsiaTheme="minorEastAsia"/>
          <w:lang w:eastAsia="en-AU"/>
        </w:rPr>
        <w:t xml:space="preserve">process was to access good quality detailed data and information on </w:t>
      </w:r>
      <w:r w:rsidR="00771E67">
        <w:rPr>
          <w:lang w:eastAsia="en-AU"/>
        </w:rPr>
        <w:t>WWTPs</w:t>
      </w:r>
      <w:r w:rsidR="009A7F32" w:rsidRPr="008324F9">
        <w:rPr>
          <w:rFonts w:eastAsiaTheme="minorEastAsia"/>
          <w:lang w:eastAsia="en-AU"/>
        </w:rPr>
        <w:t xml:space="preserve"> across the </w:t>
      </w:r>
      <w:r w:rsidR="00FE6297">
        <w:rPr>
          <w:rFonts w:eastAsiaTheme="minorEastAsia"/>
          <w:lang w:eastAsia="en-AU"/>
        </w:rPr>
        <w:t>c</w:t>
      </w:r>
      <w:r w:rsidR="00FE6297" w:rsidRPr="008324F9">
        <w:rPr>
          <w:rFonts w:eastAsiaTheme="minorEastAsia"/>
          <w:lang w:eastAsia="en-AU"/>
        </w:rPr>
        <w:t>ountry</w:t>
      </w:r>
      <w:r w:rsidR="009A7F32" w:rsidRPr="008324F9">
        <w:rPr>
          <w:rFonts w:eastAsiaTheme="minorEastAsia"/>
          <w:lang w:eastAsia="en-AU"/>
        </w:rPr>
        <w:t xml:space="preserve">. It became evident in the early stages of the </w:t>
      </w:r>
      <w:r>
        <w:rPr>
          <w:rFonts w:eastAsiaTheme="minorEastAsia"/>
          <w:lang w:eastAsia="en-AU"/>
        </w:rPr>
        <w:t xml:space="preserve">assessment </w:t>
      </w:r>
      <w:r w:rsidR="009A7F32" w:rsidRPr="008324F9">
        <w:rPr>
          <w:rFonts w:eastAsiaTheme="minorEastAsia"/>
          <w:lang w:eastAsia="en-AU"/>
        </w:rPr>
        <w:t xml:space="preserve">process that a single data set of the </w:t>
      </w:r>
      <w:r>
        <w:rPr>
          <w:rFonts w:eastAsiaTheme="minorEastAsia"/>
          <w:lang w:eastAsia="en-AU"/>
        </w:rPr>
        <w:t xml:space="preserve">required </w:t>
      </w:r>
      <w:r w:rsidR="009A7F32" w:rsidRPr="008324F9">
        <w:rPr>
          <w:rFonts w:eastAsiaTheme="minorEastAsia"/>
          <w:lang w:eastAsia="en-AU"/>
        </w:rPr>
        <w:t xml:space="preserve">information </w:t>
      </w:r>
      <w:r w:rsidR="00B87A43" w:rsidRPr="008324F9">
        <w:rPr>
          <w:rFonts w:eastAsiaTheme="minorEastAsia"/>
          <w:lang w:eastAsia="en-AU"/>
        </w:rPr>
        <w:t>d</w:t>
      </w:r>
      <w:r w:rsidR="00B87A43">
        <w:rPr>
          <w:rFonts w:eastAsiaTheme="minorEastAsia"/>
          <w:lang w:eastAsia="en-AU"/>
        </w:rPr>
        <w:t>oes</w:t>
      </w:r>
      <w:r w:rsidR="00B87A43" w:rsidRPr="008324F9">
        <w:rPr>
          <w:rFonts w:eastAsiaTheme="minorEastAsia"/>
          <w:lang w:eastAsia="en-AU"/>
        </w:rPr>
        <w:t xml:space="preserve"> </w:t>
      </w:r>
      <w:r w:rsidR="009A7F32" w:rsidRPr="008324F9">
        <w:rPr>
          <w:rFonts w:eastAsiaTheme="minorEastAsia"/>
          <w:lang w:eastAsia="en-AU"/>
        </w:rPr>
        <w:t>not currently exist</w:t>
      </w:r>
      <w:r w:rsidR="00B87A43">
        <w:rPr>
          <w:rFonts w:eastAsiaTheme="minorEastAsia"/>
          <w:lang w:eastAsia="en-AU"/>
        </w:rPr>
        <w:t xml:space="preserve">, and a number of data sources were </w:t>
      </w:r>
      <w:r w:rsidR="00CD02E1">
        <w:rPr>
          <w:rFonts w:eastAsiaTheme="minorEastAsia"/>
          <w:lang w:eastAsia="en-AU"/>
        </w:rPr>
        <w:t>used including:</w:t>
      </w:r>
    </w:p>
    <w:p w14:paraId="79E2DD8B" w14:textId="77777777" w:rsidR="00715AA7" w:rsidRPr="008324F9" w:rsidRDefault="00CD02E1" w:rsidP="008324F9">
      <w:pPr>
        <w:pStyle w:val="Body"/>
        <w:numPr>
          <w:ilvl w:val="0"/>
          <w:numId w:val="59"/>
        </w:numPr>
        <w:rPr>
          <w:lang w:eastAsia="en-AU"/>
        </w:rPr>
      </w:pPr>
      <w:r>
        <w:rPr>
          <w:rFonts w:eastAsiaTheme="minorEastAsia"/>
          <w:lang w:eastAsia="en-AU"/>
        </w:rPr>
        <w:t xml:space="preserve">The </w:t>
      </w:r>
      <w:r w:rsidR="00715AA7" w:rsidRPr="008324F9">
        <w:rPr>
          <w:rFonts w:eastAsiaTheme="minorEastAsia"/>
          <w:lang w:eastAsia="en-AU"/>
        </w:rPr>
        <w:t>Water</w:t>
      </w:r>
      <w:r w:rsidR="00F24BB3">
        <w:rPr>
          <w:rFonts w:eastAsiaTheme="minorEastAsia"/>
          <w:lang w:eastAsia="en-AU"/>
        </w:rPr>
        <w:t xml:space="preserve"> </w:t>
      </w:r>
      <w:r w:rsidR="00715AA7" w:rsidRPr="008324F9">
        <w:rPr>
          <w:rFonts w:eastAsiaTheme="minorEastAsia"/>
          <w:lang w:eastAsia="en-AU"/>
        </w:rPr>
        <w:t>NZ WWTP Database</w:t>
      </w:r>
    </w:p>
    <w:p w14:paraId="0F5A1DC7" w14:textId="77777777" w:rsidR="00715AA7" w:rsidRPr="008324F9" w:rsidRDefault="00715AA7" w:rsidP="008324F9">
      <w:pPr>
        <w:pStyle w:val="Body"/>
        <w:numPr>
          <w:ilvl w:val="0"/>
          <w:numId w:val="59"/>
        </w:numPr>
        <w:rPr>
          <w:lang w:eastAsia="en-AU"/>
        </w:rPr>
      </w:pPr>
      <w:r w:rsidRPr="008324F9">
        <w:rPr>
          <w:rFonts w:eastAsiaTheme="minorEastAsia"/>
          <w:lang w:eastAsia="en-AU"/>
        </w:rPr>
        <w:t>Water</w:t>
      </w:r>
      <w:r w:rsidR="00F24BB3">
        <w:rPr>
          <w:rFonts w:eastAsiaTheme="minorEastAsia"/>
          <w:lang w:eastAsia="en-AU"/>
        </w:rPr>
        <w:t xml:space="preserve"> </w:t>
      </w:r>
      <w:r w:rsidRPr="008324F9">
        <w:rPr>
          <w:rFonts w:eastAsiaTheme="minorEastAsia"/>
          <w:lang w:eastAsia="en-AU"/>
        </w:rPr>
        <w:t xml:space="preserve">NZ </w:t>
      </w:r>
      <w:r w:rsidR="009A7F32" w:rsidRPr="008324F9">
        <w:rPr>
          <w:rFonts w:eastAsiaTheme="minorEastAsia"/>
          <w:lang w:eastAsia="en-AU"/>
        </w:rPr>
        <w:t xml:space="preserve">2016/17 </w:t>
      </w:r>
      <w:r w:rsidRPr="008324F9">
        <w:rPr>
          <w:rFonts w:eastAsiaTheme="minorEastAsia"/>
          <w:lang w:eastAsia="en-AU"/>
        </w:rPr>
        <w:t>Benchmarking results</w:t>
      </w:r>
    </w:p>
    <w:p w14:paraId="0F350D93" w14:textId="77777777" w:rsidR="00715AA7" w:rsidRPr="008324F9" w:rsidRDefault="00715AA7" w:rsidP="008324F9">
      <w:pPr>
        <w:pStyle w:val="Body"/>
        <w:numPr>
          <w:ilvl w:val="0"/>
          <w:numId w:val="59"/>
        </w:numPr>
        <w:rPr>
          <w:lang w:eastAsia="en-AU"/>
        </w:rPr>
      </w:pPr>
      <w:r w:rsidRPr="008324F9">
        <w:rPr>
          <w:rFonts w:eastAsiaTheme="minorEastAsia"/>
          <w:lang w:eastAsia="en-AU"/>
        </w:rPr>
        <w:t>LAWA data set (</w:t>
      </w:r>
      <w:r w:rsidR="00F24BB3">
        <w:rPr>
          <w:rFonts w:eastAsiaTheme="minorEastAsia"/>
          <w:lang w:eastAsia="en-AU"/>
        </w:rPr>
        <w:t>NPS Freshwater</w:t>
      </w:r>
      <w:r w:rsidRPr="008324F9">
        <w:rPr>
          <w:rFonts w:eastAsiaTheme="minorEastAsia"/>
          <w:lang w:eastAsia="en-AU"/>
        </w:rPr>
        <w:t>)</w:t>
      </w:r>
    </w:p>
    <w:p w14:paraId="01566F50" w14:textId="77777777" w:rsidR="00715AA7" w:rsidRPr="008324F9" w:rsidRDefault="00715AA7" w:rsidP="008324F9">
      <w:pPr>
        <w:pStyle w:val="Body"/>
        <w:numPr>
          <w:ilvl w:val="0"/>
          <w:numId w:val="59"/>
        </w:numPr>
        <w:rPr>
          <w:lang w:eastAsia="en-AU"/>
        </w:rPr>
      </w:pPr>
      <w:r w:rsidRPr="008324F9">
        <w:rPr>
          <w:rFonts w:eastAsiaTheme="minorEastAsia"/>
          <w:lang w:eastAsia="en-AU"/>
        </w:rPr>
        <w:t>M</w:t>
      </w:r>
      <w:r w:rsidR="00FE6297">
        <w:rPr>
          <w:rFonts w:eastAsiaTheme="minorEastAsia"/>
          <w:lang w:eastAsia="en-AU"/>
        </w:rPr>
        <w:t xml:space="preserve">inistry </w:t>
      </w:r>
      <w:r w:rsidRPr="008324F9">
        <w:rPr>
          <w:rFonts w:eastAsiaTheme="minorEastAsia"/>
          <w:lang w:eastAsia="en-AU"/>
        </w:rPr>
        <w:t>f</w:t>
      </w:r>
      <w:r w:rsidR="00FE6297">
        <w:rPr>
          <w:rFonts w:eastAsiaTheme="minorEastAsia"/>
          <w:lang w:eastAsia="en-AU"/>
        </w:rPr>
        <w:t>or the Environment maps</w:t>
      </w:r>
      <w:r w:rsidRPr="008324F9">
        <w:rPr>
          <w:rFonts w:eastAsiaTheme="minorEastAsia"/>
          <w:lang w:eastAsia="en-AU"/>
        </w:rPr>
        <w:t xml:space="preserve"> (flow rates, </w:t>
      </w:r>
      <w:r w:rsidR="009776A1" w:rsidRPr="008324F9">
        <w:rPr>
          <w:rFonts w:eastAsiaTheme="minorEastAsia"/>
          <w:lang w:eastAsia="en-AU"/>
        </w:rPr>
        <w:t>land cover</w:t>
      </w:r>
      <w:r w:rsidRPr="008324F9">
        <w:rPr>
          <w:rFonts w:eastAsiaTheme="minorEastAsia"/>
          <w:lang w:eastAsia="en-AU"/>
        </w:rPr>
        <w:t>)</w:t>
      </w:r>
    </w:p>
    <w:p w14:paraId="6BF8F84C" w14:textId="77777777" w:rsidR="00E30868" w:rsidRPr="008324F9" w:rsidRDefault="00E30868" w:rsidP="008324F9">
      <w:pPr>
        <w:pStyle w:val="Body"/>
        <w:numPr>
          <w:ilvl w:val="0"/>
          <w:numId w:val="59"/>
        </w:numPr>
        <w:rPr>
          <w:lang w:eastAsia="en-AU"/>
        </w:rPr>
      </w:pPr>
      <w:r w:rsidRPr="008324F9">
        <w:rPr>
          <w:rFonts w:eastAsiaTheme="minorEastAsia"/>
          <w:lang w:eastAsia="en-AU"/>
        </w:rPr>
        <w:t xml:space="preserve">Distance to </w:t>
      </w:r>
      <w:r w:rsidR="008441D5">
        <w:rPr>
          <w:rFonts w:eastAsiaTheme="minorEastAsia"/>
          <w:lang w:eastAsia="en-AU"/>
        </w:rPr>
        <w:t xml:space="preserve">the </w:t>
      </w:r>
      <w:r w:rsidRPr="008324F9">
        <w:rPr>
          <w:rFonts w:eastAsiaTheme="minorEastAsia"/>
          <w:lang w:eastAsia="en-AU"/>
        </w:rPr>
        <w:t>sea</w:t>
      </w:r>
      <w:r w:rsidR="00CD02E1">
        <w:rPr>
          <w:rFonts w:eastAsiaTheme="minorEastAsia"/>
          <w:lang w:eastAsia="en-AU"/>
        </w:rPr>
        <w:t xml:space="preserve"> (analysis)</w:t>
      </w:r>
    </w:p>
    <w:p w14:paraId="495A6A34" w14:textId="77777777" w:rsidR="00E30868" w:rsidRDefault="00CD02E1" w:rsidP="008324F9">
      <w:pPr>
        <w:pStyle w:val="Body"/>
        <w:numPr>
          <w:ilvl w:val="0"/>
          <w:numId w:val="59"/>
        </w:numPr>
        <w:rPr>
          <w:lang w:eastAsia="en-AU"/>
        </w:rPr>
      </w:pPr>
      <w:r>
        <w:rPr>
          <w:rFonts w:eastAsiaTheme="minorEastAsia"/>
          <w:lang w:eastAsia="en-AU"/>
        </w:rPr>
        <w:t>C</w:t>
      </w:r>
      <w:r w:rsidR="00FE6297" w:rsidRPr="008324F9">
        <w:rPr>
          <w:rFonts w:eastAsiaTheme="minorEastAsia"/>
          <w:lang w:eastAsia="en-AU"/>
        </w:rPr>
        <w:t xml:space="preserve">ouncil </w:t>
      </w:r>
      <w:r w:rsidR="00E30868" w:rsidRPr="008324F9">
        <w:rPr>
          <w:rFonts w:eastAsiaTheme="minorEastAsia"/>
          <w:lang w:eastAsia="en-AU"/>
        </w:rPr>
        <w:t>A</w:t>
      </w:r>
      <w:r w:rsidR="008441D5">
        <w:rPr>
          <w:rFonts w:eastAsiaTheme="minorEastAsia"/>
          <w:lang w:eastAsia="en-AU"/>
        </w:rPr>
        <w:t xml:space="preserve">sset </w:t>
      </w:r>
      <w:r w:rsidR="00E30868" w:rsidRPr="008324F9">
        <w:rPr>
          <w:rFonts w:eastAsiaTheme="minorEastAsia"/>
          <w:lang w:eastAsia="en-AU"/>
        </w:rPr>
        <w:t>M</w:t>
      </w:r>
      <w:r w:rsidR="008441D5">
        <w:rPr>
          <w:rFonts w:eastAsiaTheme="minorEastAsia"/>
          <w:lang w:eastAsia="en-AU"/>
        </w:rPr>
        <w:t xml:space="preserve">anagement </w:t>
      </w:r>
      <w:r w:rsidR="00E30868" w:rsidRPr="008324F9">
        <w:rPr>
          <w:rFonts w:eastAsiaTheme="minorEastAsia"/>
          <w:lang w:eastAsia="en-AU"/>
        </w:rPr>
        <w:t>P</w:t>
      </w:r>
      <w:r w:rsidR="008441D5">
        <w:rPr>
          <w:rFonts w:eastAsiaTheme="minorEastAsia"/>
          <w:lang w:eastAsia="en-AU"/>
        </w:rPr>
        <w:t xml:space="preserve">lans </w:t>
      </w:r>
    </w:p>
    <w:p w14:paraId="2CA9362B" w14:textId="77777777" w:rsidR="001438FE" w:rsidRDefault="00771E67" w:rsidP="008324F9">
      <w:pPr>
        <w:pStyle w:val="Body"/>
        <w:rPr>
          <w:lang w:eastAsia="en-AU"/>
        </w:rPr>
      </w:pPr>
      <w:r>
        <w:rPr>
          <w:lang w:eastAsia="en-AU"/>
        </w:rPr>
        <w:t>The first screening that was undertaken was to identify whether a plant discharged to freshwater</w:t>
      </w:r>
      <w:r w:rsidR="00090302">
        <w:rPr>
          <w:lang w:eastAsia="en-AU"/>
        </w:rPr>
        <w:t xml:space="preserve"> or </w:t>
      </w:r>
      <w:r w:rsidR="008441D5">
        <w:rPr>
          <w:lang w:eastAsia="en-AU"/>
        </w:rPr>
        <w:t xml:space="preserve">to </w:t>
      </w:r>
      <w:r>
        <w:rPr>
          <w:lang w:eastAsia="en-AU"/>
        </w:rPr>
        <w:t xml:space="preserve">the sea. </w:t>
      </w:r>
      <w:r>
        <w:rPr>
          <w:lang w:eastAsia="en-AU"/>
        </w:rPr>
        <w:fldChar w:fldCharType="begin"/>
      </w:r>
      <w:r>
        <w:rPr>
          <w:lang w:eastAsia="en-AU"/>
        </w:rPr>
        <w:instrText xml:space="preserve"> REF _Ref516736448 \h </w:instrText>
      </w:r>
      <w:r>
        <w:rPr>
          <w:lang w:eastAsia="en-AU"/>
        </w:rPr>
      </w:r>
      <w:r>
        <w:rPr>
          <w:lang w:eastAsia="en-AU"/>
        </w:rPr>
        <w:fldChar w:fldCharType="separate"/>
      </w:r>
      <w:r w:rsidR="002777A8">
        <w:t xml:space="preserve">Figure </w:t>
      </w:r>
      <w:r w:rsidR="002777A8">
        <w:rPr>
          <w:noProof/>
        </w:rPr>
        <w:t>2</w:t>
      </w:r>
      <w:r>
        <w:rPr>
          <w:lang w:eastAsia="en-AU"/>
        </w:rPr>
        <w:fldChar w:fldCharType="end"/>
      </w:r>
      <w:r>
        <w:rPr>
          <w:lang w:eastAsia="en-AU"/>
        </w:rPr>
        <w:t xml:space="preserve"> shows the </w:t>
      </w:r>
      <w:r w:rsidR="00CD02E1">
        <w:rPr>
          <w:lang w:eastAsia="en-AU"/>
        </w:rPr>
        <w:t xml:space="preserve">geographic </w:t>
      </w:r>
      <w:r>
        <w:rPr>
          <w:lang w:eastAsia="en-AU"/>
        </w:rPr>
        <w:t>spread across New Zealand of WWTPs.</w:t>
      </w:r>
      <w:r w:rsidR="005F573F">
        <w:rPr>
          <w:lang w:eastAsia="en-AU"/>
        </w:rPr>
        <w:t xml:space="preserve"> </w:t>
      </w:r>
    </w:p>
    <w:p w14:paraId="728FCAF6" w14:textId="77777777" w:rsidR="006D449C" w:rsidRDefault="005F573F" w:rsidP="006D449C">
      <w:pPr>
        <w:pStyle w:val="Body"/>
        <w:rPr>
          <w:lang w:eastAsia="en-AU"/>
        </w:rPr>
      </w:pPr>
      <w:r>
        <w:rPr>
          <w:lang w:eastAsia="en-AU"/>
        </w:rPr>
        <w:t xml:space="preserve">This study has focussed only on WWTPs that are </w:t>
      </w:r>
      <w:r w:rsidR="00921A17">
        <w:rPr>
          <w:lang w:eastAsia="en-AU"/>
        </w:rPr>
        <w:t xml:space="preserve">publicly </w:t>
      </w:r>
      <w:r>
        <w:rPr>
          <w:lang w:eastAsia="en-AU"/>
        </w:rPr>
        <w:t>owned and operated i.e</w:t>
      </w:r>
      <w:r w:rsidR="00910129">
        <w:rPr>
          <w:lang w:eastAsia="en-AU"/>
        </w:rPr>
        <w:t xml:space="preserve">. by </w:t>
      </w:r>
      <w:r w:rsidR="00C96914">
        <w:rPr>
          <w:lang w:eastAsia="en-AU"/>
        </w:rPr>
        <w:t>c</w:t>
      </w:r>
      <w:r w:rsidR="00910129">
        <w:rPr>
          <w:lang w:eastAsia="en-AU"/>
        </w:rPr>
        <w:t>ouncils, Watercare and Wellington Water.</w:t>
      </w:r>
      <w:r w:rsidR="007662C4">
        <w:rPr>
          <w:lang w:eastAsia="en-AU"/>
        </w:rPr>
        <w:t xml:space="preserve"> </w:t>
      </w:r>
      <w:r w:rsidR="00910129">
        <w:rPr>
          <w:lang w:eastAsia="en-AU"/>
        </w:rPr>
        <w:t xml:space="preserve">There are a number of WWTPs operating in New Zealand that are </w:t>
      </w:r>
      <w:r w:rsidR="001F14F8">
        <w:rPr>
          <w:lang w:eastAsia="en-AU"/>
        </w:rPr>
        <w:t>owned</w:t>
      </w:r>
      <w:r w:rsidR="00910129">
        <w:rPr>
          <w:lang w:eastAsia="en-AU"/>
        </w:rPr>
        <w:t xml:space="preserve"> and operated </w:t>
      </w:r>
      <w:r w:rsidR="00332515">
        <w:rPr>
          <w:lang w:eastAsia="en-AU"/>
        </w:rPr>
        <w:t>by either government agencies (</w:t>
      </w:r>
      <w:r w:rsidR="00910129">
        <w:rPr>
          <w:lang w:eastAsia="en-AU"/>
        </w:rPr>
        <w:t>e.g.</w:t>
      </w:r>
      <w:r w:rsidR="001F14F8">
        <w:rPr>
          <w:lang w:eastAsia="en-AU"/>
        </w:rPr>
        <w:t xml:space="preserve"> </w:t>
      </w:r>
      <w:r w:rsidR="00910129">
        <w:rPr>
          <w:lang w:eastAsia="en-AU"/>
        </w:rPr>
        <w:t>Defence, Department of Corrections) or private companies. These were not included in the study</w:t>
      </w:r>
      <w:r w:rsidR="00FE6297">
        <w:rPr>
          <w:lang w:eastAsia="en-AU"/>
        </w:rPr>
        <w:t xml:space="preserve"> and the number of these has not been calculated</w:t>
      </w:r>
      <w:r w:rsidR="00910129">
        <w:rPr>
          <w:lang w:eastAsia="en-AU"/>
        </w:rPr>
        <w:t xml:space="preserve">.  </w:t>
      </w:r>
      <w:r>
        <w:rPr>
          <w:lang w:eastAsia="en-AU"/>
        </w:rPr>
        <w:t xml:space="preserve"> </w:t>
      </w:r>
    </w:p>
    <w:p w14:paraId="116A3A2E" w14:textId="77777777" w:rsidR="006D449C" w:rsidRDefault="006D449C" w:rsidP="006D449C">
      <w:pPr>
        <w:pStyle w:val="Body"/>
      </w:pPr>
      <w:r>
        <w:t xml:space="preserve">This initial screening indicated </w:t>
      </w:r>
      <w:r w:rsidR="00C96914">
        <w:t xml:space="preserve">there are </w:t>
      </w:r>
      <w:r w:rsidR="002F160E">
        <w:t>321</w:t>
      </w:r>
      <w:r>
        <w:t xml:space="preserve"> publicly owned WWTPs operating in New Zealand with the discharge split (sea versus freshwater) as shown in </w:t>
      </w:r>
      <w:r w:rsidR="000A4BBA">
        <w:fldChar w:fldCharType="begin"/>
      </w:r>
      <w:r w:rsidR="000A4BBA">
        <w:instrText xml:space="preserve"> REF _Ref518554393 \h </w:instrText>
      </w:r>
      <w:r w:rsidR="000A4BBA">
        <w:fldChar w:fldCharType="separate"/>
      </w:r>
      <w:r w:rsidR="002777A8">
        <w:t xml:space="preserve">Table </w:t>
      </w:r>
      <w:r w:rsidR="002777A8">
        <w:rPr>
          <w:noProof/>
        </w:rPr>
        <w:t>2</w:t>
      </w:r>
      <w:r w:rsidR="000A4BBA">
        <w:fldChar w:fldCharType="end"/>
      </w:r>
      <w:r w:rsidR="00C74121">
        <w:t>.</w:t>
      </w:r>
    </w:p>
    <w:p w14:paraId="33469F19" w14:textId="77777777" w:rsidR="006D449C" w:rsidRDefault="006D449C" w:rsidP="006D449C">
      <w:pPr>
        <w:pStyle w:val="Caption"/>
      </w:pPr>
      <w:bookmarkStart w:id="121" w:name="_Ref518554393"/>
      <w:bookmarkStart w:id="122" w:name="_Toc518042080"/>
      <w:bookmarkStart w:id="123" w:name="_Toc518653118"/>
      <w:bookmarkStart w:id="124" w:name="_Toc521064785"/>
      <w:r>
        <w:t xml:space="preserve">Table </w:t>
      </w:r>
      <w:r w:rsidR="007B3D80">
        <w:rPr>
          <w:noProof/>
        </w:rPr>
        <w:fldChar w:fldCharType="begin"/>
      </w:r>
      <w:r w:rsidR="007B3D80">
        <w:rPr>
          <w:noProof/>
        </w:rPr>
        <w:instrText xml:space="preserve"> SEQ Table \* ARABIC </w:instrText>
      </w:r>
      <w:r w:rsidR="007B3D80">
        <w:rPr>
          <w:noProof/>
        </w:rPr>
        <w:fldChar w:fldCharType="separate"/>
      </w:r>
      <w:r w:rsidR="002777A8">
        <w:rPr>
          <w:noProof/>
        </w:rPr>
        <w:t>2</w:t>
      </w:r>
      <w:r w:rsidR="007B3D80">
        <w:rPr>
          <w:noProof/>
        </w:rPr>
        <w:fldChar w:fldCharType="end"/>
      </w:r>
      <w:bookmarkEnd w:id="121"/>
      <w:r>
        <w:t xml:space="preserve">  Numbers of publicly owned WWTPs operating in New Zealand</w:t>
      </w:r>
      <w:bookmarkEnd w:id="122"/>
      <w:bookmarkEnd w:id="123"/>
      <w:bookmarkEnd w:id="124"/>
    </w:p>
    <w:tbl>
      <w:tblPr>
        <w:tblStyle w:val="Table-Style3"/>
        <w:tblW w:w="0" w:type="auto"/>
        <w:tblLook w:val="04A0" w:firstRow="1" w:lastRow="0" w:firstColumn="1" w:lastColumn="0" w:noHBand="0" w:noVBand="1"/>
      </w:tblPr>
      <w:tblGrid>
        <w:gridCol w:w="4243"/>
        <w:gridCol w:w="4242"/>
      </w:tblGrid>
      <w:tr w:rsidR="006D449C" w14:paraId="28F5B088" w14:textId="77777777" w:rsidTr="00E66F34">
        <w:trPr>
          <w:cnfStyle w:val="100000000000" w:firstRow="1" w:lastRow="0" w:firstColumn="0" w:lastColumn="0" w:oddVBand="0" w:evenVBand="0" w:oddHBand="0" w:evenHBand="0" w:firstRowFirstColumn="0" w:firstRowLastColumn="0" w:lastRowFirstColumn="0" w:lastRowLastColumn="0"/>
        </w:trPr>
        <w:tc>
          <w:tcPr>
            <w:tcW w:w="4243" w:type="dxa"/>
          </w:tcPr>
          <w:p w14:paraId="37525840" w14:textId="77777777" w:rsidR="006D449C" w:rsidRDefault="006D449C" w:rsidP="008A1CE9">
            <w:pPr>
              <w:pStyle w:val="Body"/>
              <w:spacing w:before="45" w:after="91"/>
              <w:ind w:left="0"/>
            </w:pPr>
            <w:r>
              <w:t>WWTPs discharging to ocean or land environments</w:t>
            </w:r>
          </w:p>
        </w:tc>
        <w:tc>
          <w:tcPr>
            <w:tcW w:w="4242" w:type="dxa"/>
          </w:tcPr>
          <w:p w14:paraId="6D1064BE" w14:textId="77777777" w:rsidR="006D449C" w:rsidRDefault="006D449C" w:rsidP="008A1CE9">
            <w:pPr>
              <w:pStyle w:val="Body"/>
              <w:spacing w:before="45" w:after="91"/>
              <w:ind w:left="0"/>
            </w:pPr>
            <w:r>
              <w:t>WWTPs discharging to freshwater</w:t>
            </w:r>
          </w:p>
        </w:tc>
      </w:tr>
      <w:tr w:rsidR="006D449C" w14:paraId="1AF19013" w14:textId="77777777" w:rsidTr="00E66F34">
        <w:tc>
          <w:tcPr>
            <w:tcW w:w="4243" w:type="dxa"/>
          </w:tcPr>
          <w:p w14:paraId="74820D45" w14:textId="77777777" w:rsidR="006D449C" w:rsidRDefault="002F160E" w:rsidP="008A1CE9">
            <w:pPr>
              <w:pStyle w:val="Body"/>
              <w:spacing w:before="45" w:after="91"/>
              <w:ind w:left="0"/>
              <w:jc w:val="center"/>
            </w:pPr>
            <w:r>
              <w:t>169</w:t>
            </w:r>
          </w:p>
        </w:tc>
        <w:tc>
          <w:tcPr>
            <w:tcW w:w="4242" w:type="dxa"/>
          </w:tcPr>
          <w:p w14:paraId="3C44154A" w14:textId="77777777" w:rsidR="006D449C" w:rsidRDefault="006D449C" w:rsidP="008A1CE9">
            <w:pPr>
              <w:pStyle w:val="Body"/>
              <w:spacing w:before="45" w:after="91"/>
              <w:ind w:left="0"/>
              <w:jc w:val="center"/>
            </w:pPr>
            <w:r>
              <w:t>152</w:t>
            </w:r>
          </w:p>
        </w:tc>
      </w:tr>
    </w:tbl>
    <w:p w14:paraId="4030FAB9" w14:textId="77777777" w:rsidR="006D449C" w:rsidRDefault="006D449C" w:rsidP="006D449C">
      <w:pPr>
        <w:pStyle w:val="Body"/>
      </w:pPr>
      <w:r w:rsidRPr="00612D30">
        <w:t xml:space="preserve">Further information on the breakdown of discharge types is provided in section </w:t>
      </w:r>
      <w:r w:rsidRPr="00612D30">
        <w:fldChar w:fldCharType="begin"/>
      </w:r>
      <w:r w:rsidRPr="001C135B">
        <w:instrText xml:space="preserve"> REF _Ref516738614 \n \h </w:instrText>
      </w:r>
      <w:r w:rsidR="00B87A43" w:rsidRPr="00E66F34">
        <w:instrText xml:space="preserve"> \* MERGEFORMAT </w:instrText>
      </w:r>
      <w:r w:rsidRPr="00612D30">
        <w:fldChar w:fldCharType="separate"/>
      </w:r>
      <w:r w:rsidR="002777A8">
        <w:t>3.2.2</w:t>
      </w:r>
      <w:r w:rsidRPr="00612D30">
        <w:fldChar w:fldCharType="end"/>
      </w:r>
      <w:r w:rsidRPr="00612D30">
        <w:t>.</w:t>
      </w:r>
      <w:r>
        <w:t xml:space="preserve"> </w:t>
      </w:r>
    </w:p>
    <w:p w14:paraId="320F7289" w14:textId="77777777" w:rsidR="006D449C" w:rsidRDefault="006D449C" w:rsidP="006D449C">
      <w:pPr>
        <w:pStyle w:val="Body"/>
      </w:pPr>
      <w:r w:rsidRPr="007662C4">
        <w:t xml:space="preserve">Data collection </w:t>
      </w:r>
      <w:r>
        <w:t xml:space="preserve">has </w:t>
      </w:r>
      <w:r w:rsidRPr="007662C4">
        <w:t xml:space="preserve">focussed on </w:t>
      </w:r>
      <w:r w:rsidR="003B7523">
        <w:t xml:space="preserve">those </w:t>
      </w:r>
      <w:r w:rsidRPr="007662C4">
        <w:t xml:space="preserve">WWTPs discharging to </w:t>
      </w:r>
      <w:r>
        <w:t>f</w:t>
      </w:r>
      <w:r w:rsidRPr="007662C4">
        <w:t>reshwater.</w:t>
      </w:r>
    </w:p>
    <w:p w14:paraId="15A9B7C1" w14:textId="77777777" w:rsidR="00771E67" w:rsidRPr="008324F9" w:rsidRDefault="00942A44" w:rsidP="00E770E8">
      <w:pPr>
        <w:pStyle w:val="Body"/>
        <w:rPr>
          <w:lang w:eastAsia="en-AU"/>
        </w:rPr>
      </w:pPr>
      <w:r w:rsidRPr="00942A44">
        <w:rPr>
          <w:noProof/>
          <w:lang w:val="en-NZ" w:eastAsia="en-NZ"/>
        </w:rPr>
        <w:lastRenderedPageBreak/>
        <w:drawing>
          <wp:inline distT="0" distB="0" distL="0" distR="0" wp14:anchorId="502DDEFB" wp14:editId="72F46D66">
            <wp:extent cx="5760720" cy="66954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6695440"/>
                    </a:xfrm>
                    <a:prstGeom prst="rect">
                      <a:avLst/>
                    </a:prstGeom>
                  </pic:spPr>
                </pic:pic>
              </a:graphicData>
            </a:graphic>
          </wp:inline>
        </w:drawing>
      </w:r>
    </w:p>
    <w:p w14:paraId="2AFB339E" w14:textId="77777777" w:rsidR="009A7F32" w:rsidRDefault="009A7F32" w:rsidP="00581922">
      <w:pPr>
        <w:spacing w:after="0"/>
        <w:contextualSpacing/>
        <w:jc w:val="center"/>
        <w:textAlignment w:val="baseline"/>
        <w:rPr>
          <w:rFonts w:ascii="Times New Roman" w:hAnsi="Times New Roman"/>
          <w:sz w:val="24"/>
          <w:lang w:val="en-NZ" w:eastAsia="en-NZ"/>
        </w:rPr>
      </w:pPr>
    </w:p>
    <w:p w14:paraId="01F7F956" w14:textId="77777777" w:rsidR="005E3F3B" w:rsidRDefault="005E3F3B">
      <w:pPr>
        <w:pStyle w:val="Caption"/>
      </w:pPr>
      <w:bookmarkStart w:id="125" w:name="_Ref516736448"/>
      <w:bookmarkStart w:id="126" w:name="_Toc516840490"/>
      <w:bookmarkStart w:id="127" w:name="_Toc517707445"/>
      <w:bookmarkStart w:id="128" w:name="_Toc517788300"/>
      <w:bookmarkStart w:id="129" w:name="_Toc517793899"/>
      <w:bookmarkStart w:id="130" w:name="_Toc518653139"/>
      <w:bookmarkStart w:id="131" w:name="_Toc521064807"/>
      <w:r>
        <w:t xml:space="preserve">Figure </w:t>
      </w:r>
      <w:r w:rsidR="007B3D80">
        <w:rPr>
          <w:noProof/>
        </w:rPr>
        <w:fldChar w:fldCharType="begin"/>
      </w:r>
      <w:r w:rsidR="007B3D80">
        <w:rPr>
          <w:noProof/>
        </w:rPr>
        <w:instrText xml:space="preserve"> SEQ Figure \* ARABIC </w:instrText>
      </w:r>
      <w:r w:rsidR="007B3D80">
        <w:rPr>
          <w:noProof/>
        </w:rPr>
        <w:fldChar w:fldCharType="separate"/>
      </w:r>
      <w:r w:rsidR="002777A8">
        <w:rPr>
          <w:noProof/>
        </w:rPr>
        <w:t>2</w:t>
      </w:r>
      <w:r w:rsidR="007B3D80">
        <w:rPr>
          <w:noProof/>
        </w:rPr>
        <w:fldChar w:fldCharType="end"/>
      </w:r>
      <w:bookmarkEnd w:id="125"/>
      <w:r w:rsidR="000001B1">
        <w:t xml:space="preserve">  </w:t>
      </w:r>
      <w:r w:rsidR="00163206">
        <w:t>Spatial</w:t>
      </w:r>
      <w:r>
        <w:t xml:space="preserve"> </w:t>
      </w:r>
      <w:r w:rsidR="002C3FCF">
        <w:t>location</w:t>
      </w:r>
      <w:r>
        <w:t xml:space="preserve"> of</w:t>
      </w:r>
      <w:r w:rsidR="00163206">
        <w:t xml:space="preserve"> </w:t>
      </w:r>
      <w:r w:rsidR="00910129">
        <w:t>WWTPs</w:t>
      </w:r>
      <w:bookmarkEnd w:id="126"/>
      <w:bookmarkEnd w:id="127"/>
      <w:bookmarkEnd w:id="128"/>
      <w:bookmarkEnd w:id="129"/>
      <w:bookmarkEnd w:id="130"/>
      <w:bookmarkEnd w:id="131"/>
    </w:p>
    <w:p w14:paraId="21250FEB" w14:textId="77777777" w:rsidR="007662C4" w:rsidRDefault="007662C4" w:rsidP="007662C4">
      <w:pPr>
        <w:pStyle w:val="Heading3"/>
        <w:rPr>
          <w:lang w:eastAsia="en-AU"/>
        </w:rPr>
      </w:pPr>
      <w:r>
        <w:rPr>
          <w:lang w:eastAsia="en-AU"/>
        </w:rPr>
        <w:t xml:space="preserve">Gap </w:t>
      </w:r>
      <w:r w:rsidR="002C3FCF">
        <w:rPr>
          <w:lang w:eastAsia="en-AU"/>
        </w:rPr>
        <w:t xml:space="preserve">analysis </w:t>
      </w:r>
      <w:r>
        <w:rPr>
          <w:lang w:eastAsia="en-AU"/>
        </w:rPr>
        <w:t xml:space="preserve">and </w:t>
      </w:r>
      <w:r w:rsidR="002C3FCF">
        <w:rPr>
          <w:lang w:eastAsia="en-AU"/>
        </w:rPr>
        <w:t>gap filling</w:t>
      </w:r>
    </w:p>
    <w:p w14:paraId="25E05C47" w14:textId="77777777" w:rsidR="007662C4" w:rsidRDefault="007662C4" w:rsidP="008324F9">
      <w:pPr>
        <w:pStyle w:val="Body"/>
      </w:pPr>
      <w:r w:rsidRPr="008324F9">
        <w:t>With significant gaps in the data sets</w:t>
      </w:r>
      <w:r w:rsidR="00CD02E1">
        <w:t xml:space="preserve"> available</w:t>
      </w:r>
      <w:r w:rsidRPr="008324F9">
        <w:t>, the project team was required to look for independent data sets and sources of data</w:t>
      </w:r>
      <w:r w:rsidR="00CD02E1">
        <w:t xml:space="preserve">. This </w:t>
      </w:r>
      <w:r w:rsidR="009279A6">
        <w:t xml:space="preserve">involved </w:t>
      </w:r>
      <w:r w:rsidR="00CD02E1" w:rsidRPr="00CD02E1">
        <w:t>analysis of published council documents, including Council Wastewater Activity Management Plans, Draft Long Term Plans and Annual Plans.</w:t>
      </w:r>
      <w:r w:rsidR="00CD02E1">
        <w:t xml:space="preserve"> All data was</w:t>
      </w:r>
      <w:r w:rsidRPr="008324F9">
        <w:t xml:space="preserve"> collate</w:t>
      </w:r>
      <w:r w:rsidR="00CD02E1">
        <w:t>d</w:t>
      </w:r>
      <w:r w:rsidRPr="008324F9">
        <w:t xml:space="preserve"> into one single repository. </w:t>
      </w:r>
    </w:p>
    <w:p w14:paraId="2B40D939" w14:textId="77777777" w:rsidR="00771E67" w:rsidRDefault="007662C4" w:rsidP="008D461A">
      <w:pPr>
        <w:pStyle w:val="Body"/>
      </w:pPr>
      <w:r>
        <w:fldChar w:fldCharType="begin"/>
      </w:r>
      <w:r>
        <w:instrText xml:space="preserve"> REF _Ref516736749 \h  \* MERGEFORMAT </w:instrText>
      </w:r>
      <w:r>
        <w:fldChar w:fldCharType="separate"/>
      </w:r>
      <w:r w:rsidR="002777A8">
        <w:t>Figure 3</w:t>
      </w:r>
      <w:r>
        <w:fldChar w:fldCharType="end"/>
      </w:r>
      <w:r>
        <w:t xml:space="preserve"> summarises </w:t>
      </w:r>
      <w:r w:rsidR="00CD02E1">
        <w:t xml:space="preserve">all of </w:t>
      </w:r>
      <w:r>
        <w:t>the data sources used to characterise WWTPs (Data Sources</w:t>
      </w:r>
      <w:r w:rsidR="00C74121">
        <w:t xml:space="preserve"> </w:t>
      </w:r>
      <w:r>
        <w:t>-</w:t>
      </w:r>
      <w:r w:rsidR="00C74121">
        <w:t xml:space="preserve"> </w:t>
      </w:r>
      <w:r>
        <w:t>Assets) and receiving environments (Data Sources –</w:t>
      </w:r>
      <w:r w:rsidR="00C74121">
        <w:t xml:space="preserve"> </w:t>
      </w:r>
      <w:r>
        <w:t>Environment).</w:t>
      </w:r>
      <w:r w:rsidRPr="007662C4">
        <w:t xml:space="preserve"> </w:t>
      </w:r>
    </w:p>
    <w:p w14:paraId="71DA39D8" w14:textId="77777777" w:rsidR="008D461A" w:rsidRPr="00191871" w:rsidRDefault="008D461A" w:rsidP="008D461A">
      <w:pPr>
        <w:pStyle w:val="Body"/>
      </w:pPr>
    </w:p>
    <w:p w14:paraId="5BEA0103" w14:textId="77777777" w:rsidR="00771E67" w:rsidRDefault="00771E67" w:rsidP="008324F9">
      <w:pPr>
        <w:pStyle w:val="Body"/>
      </w:pPr>
    </w:p>
    <w:p w14:paraId="7FF6ACA9" w14:textId="77777777" w:rsidR="00771E67" w:rsidRDefault="00771E67" w:rsidP="00771E67">
      <w:pPr>
        <w:pStyle w:val="Body"/>
        <w:sectPr w:rsidR="00771E67" w:rsidSect="005E425E">
          <w:headerReference w:type="even" r:id="rId31"/>
          <w:headerReference w:type="default" r:id="rId32"/>
          <w:footerReference w:type="default" r:id="rId33"/>
          <w:headerReference w:type="first" r:id="rId34"/>
          <w:pgSz w:w="11907" w:h="16839" w:code="9"/>
          <w:pgMar w:top="1134" w:right="1134" w:bottom="1134" w:left="1701" w:header="181" w:footer="227" w:gutter="0"/>
          <w:pgNumType w:start="1"/>
          <w:cols w:space="340"/>
          <w:docGrid w:linePitch="360"/>
        </w:sectPr>
      </w:pPr>
    </w:p>
    <w:p w14:paraId="354ABFF0" w14:textId="77777777" w:rsidR="00763EEF" w:rsidRPr="00763EEF" w:rsidRDefault="00E42D8D" w:rsidP="008324F9">
      <w:pPr>
        <w:pStyle w:val="Body"/>
        <w:jc w:val="center"/>
        <w:rPr>
          <w:lang w:eastAsia="en-AU"/>
        </w:rPr>
      </w:pPr>
      <w:r>
        <w:rPr>
          <w:noProof/>
          <w:lang w:val="en-NZ" w:eastAsia="en-NZ"/>
        </w:rPr>
        <w:lastRenderedPageBreak/>
        <w:drawing>
          <wp:inline distT="0" distB="0" distL="0" distR="0" wp14:anchorId="17537D12" wp14:editId="78F1CC9D">
            <wp:extent cx="9000000" cy="51253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000000" cy="5125386"/>
                    </a:xfrm>
                    <a:prstGeom prst="rect">
                      <a:avLst/>
                    </a:prstGeom>
                  </pic:spPr>
                </pic:pic>
              </a:graphicData>
            </a:graphic>
          </wp:inline>
        </w:drawing>
      </w:r>
      <w:r w:rsidR="00A317E1">
        <w:rPr>
          <w:noProof/>
          <w:lang w:val="en-NZ" w:eastAsia="en-NZ"/>
        </w:rPr>
        <w:t xml:space="preserve"> </w:t>
      </w:r>
    </w:p>
    <w:p w14:paraId="0FB22D49" w14:textId="77777777" w:rsidR="00771E67" w:rsidRDefault="00771E67" w:rsidP="008324F9">
      <w:pPr>
        <w:pStyle w:val="Caption"/>
        <w:rPr>
          <w:lang w:eastAsia="en-AU"/>
        </w:rPr>
      </w:pPr>
      <w:bookmarkStart w:id="132" w:name="_Ref516736749"/>
      <w:bookmarkStart w:id="133" w:name="_Toc516840491"/>
      <w:bookmarkStart w:id="134" w:name="_Toc517707446"/>
      <w:bookmarkStart w:id="135" w:name="_Toc517788301"/>
      <w:bookmarkStart w:id="136" w:name="_Toc517793900"/>
      <w:bookmarkStart w:id="137" w:name="_Toc518653140"/>
      <w:bookmarkStart w:id="138" w:name="_Toc521064808"/>
      <w:r>
        <w:t xml:space="preserve">Figure </w:t>
      </w:r>
      <w:r w:rsidR="007B3D80">
        <w:rPr>
          <w:noProof/>
        </w:rPr>
        <w:fldChar w:fldCharType="begin"/>
      </w:r>
      <w:r w:rsidR="007B3D80">
        <w:rPr>
          <w:noProof/>
        </w:rPr>
        <w:instrText xml:space="preserve"> SEQ Figure \* ARABIC </w:instrText>
      </w:r>
      <w:r w:rsidR="007B3D80">
        <w:rPr>
          <w:noProof/>
        </w:rPr>
        <w:fldChar w:fldCharType="separate"/>
      </w:r>
      <w:r w:rsidR="002777A8">
        <w:rPr>
          <w:noProof/>
        </w:rPr>
        <w:t>3</w:t>
      </w:r>
      <w:r w:rsidR="007B3D80">
        <w:rPr>
          <w:noProof/>
        </w:rPr>
        <w:fldChar w:fldCharType="end"/>
      </w:r>
      <w:bookmarkEnd w:id="132"/>
      <w:r w:rsidR="000001B1">
        <w:rPr>
          <w:noProof/>
        </w:rPr>
        <w:t xml:space="preserve"> </w:t>
      </w:r>
      <w:r>
        <w:t xml:space="preserve"> </w:t>
      </w:r>
      <w:r w:rsidR="005F573F">
        <w:t xml:space="preserve">Data </w:t>
      </w:r>
      <w:r w:rsidR="00FE6297">
        <w:t xml:space="preserve">source </w:t>
      </w:r>
      <w:bookmarkEnd w:id="133"/>
      <w:bookmarkEnd w:id="134"/>
      <w:r w:rsidR="00FE6297">
        <w:t>map</w:t>
      </w:r>
      <w:bookmarkEnd w:id="135"/>
      <w:bookmarkEnd w:id="136"/>
      <w:bookmarkEnd w:id="137"/>
      <w:bookmarkEnd w:id="138"/>
    </w:p>
    <w:p w14:paraId="41800DDB" w14:textId="77777777" w:rsidR="00771E67" w:rsidRDefault="00771E67">
      <w:pPr>
        <w:pStyle w:val="Body"/>
        <w:jc w:val="center"/>
        <w:rPr>
          <w:lang w:eastAsia="en-AU"/>
        </w:rPr>
        <w:sectPr w:rsidR="00771E67" w:rsidSect="00663959">
          <w:pgSz w:w="16839" w:h="11907" w:orient="landscape" w:code="9"/>
          <w:pgMar w:top="1701" w:right="1134" w:bottom="1134" w:left="1134" w:header="181" w:footer="227" w:gutter="0"/>
          <w:cols w:space="340"/>
          <w:docGrid w:linePitch="360"/>
        </w:sectPr>
      </w:pPr>
      <w:bookmarkStart w:id="139" w:name="_Ref516660828"/>
    </w:p>
    <w:p w14:paraId="68A05735" w14:textId="77777777" w:rsidR="007662C4" w:rsidRDefault="007662C4" w:rsidP="007662C4">
      <w:pPr>
        <w:pStyle w:val="Heading2"/>
        <w:rPr>
          <w:lang w:eastAsia="en-AU"/>
        </w:rPr>
      </w:pPr>
      <w:bookmarkStart w:id="140" w:name="_Toc516741332"/>
      <w:bookmarkStart w:id="141" w:name="_Toc516840527"/>
      <w:bookmarkStart w:id="142" w:name="_Toc517267837"/>
      <w:bookmarkStart w:id="143" w:name="_Toc517707396"/>
      <w:bookmarkStart w:id="144" w:name="_Toc517787151"/>
      <w:bookmarkStart w:id="145" w:name="_Toc517793850"/>
      <w:bookmarkStart w:id="146" w:name="_Toc518646186"/>
      <w:bookmarkStart w:id="147" w:name="_Toc518653086"/>
      <w:bookmarkStart w:id="148" w:name="_Toc527638640"/>
      <w:bookmarkEnd w:id="139"/>
      <w:r>
        <w:rPr>
          <w:lang w:eastAsia="en-AU"/>
        </w:rPr>
        <w:lastRenderedPageBreak/>
        <w:t xml:space="preserve">Data on </w:t>
      </w:r>
      <w:r w:rsidR="00174F8C">
        <w:rPr>
          <w:lang w:eastAsia="en-AU"/>
        </w:rPr>
        <w:t xml:space="preserve">wastewater treatment </w:t>
      </w:r>
      <w:bookmarkEnd w:id="140"/>
      <w:bookmarkEnd w:id="141"/>
      <w:bookmarkEnd w:id="142"/>
      <w:bookmarkEnd w:id="143"/>
      <w:r w:rsidR="00174F8C">
        <w:rPr>
          <w:lang w:eastAsia="en-AU"/>
        </w:rPr>
        <w:t>plants</w:t>
      </w:r>
      <w:bookmarkEnd w:id="144"/>
      <w:bookmarkEnd w:id="145"/>
      <w:bookmarkEnd w:id="146"/>
      <w:bookmarkEnd w:id="147"/>
      <w:bookmarkEnd w:id="148"/>
    </w:p>
    <w:p w14:paraId="6A3E857C" w14:textId="77777777" w:rsidR="009F03A6" w:rsidRDefault="009F03A6">
      <w:pPr>
        <w:pStyle w:val="Heading3"/>
      </w:pPr>
      <w:bookmarkStart w:id="149" w:name="_Ref516839820"/>
      <w:r>
        <w:t xml:space="preserve">WWTP </w:t>
      </w:r>
      <w:r w:rsidR="00174F8C">
        <w:t xml:space="preserve">discharge </w:t>
      </w:r>
      <w:bookmarkEnd w:id="149"/>
      <w:r w:rsidR="00174F8C">
        <w:t>rates</w:t>
      </w:r>
    </w:p>
    <w:p w14:paraId="7B93E233" w14:textId="77777777" w:rsidR="009F03A6" w:rsidRDefault="009F03A6" w:rsidP="00FE4F59">
      <w:pPr>
        <w:pStyle w:val="Body"/>
      </w:pPr>
      <w:r>
        <w:t xml:space="preserve">WWTP discharge rates </w:t>
      </w:r>
      <w:r w:rsidR="001074DC">
        <w:t>were</w:t>
      </w:r>
      <w:r>
        <w:t xml:space="preserve"> primarily sourced from the Water NZ </w:t>
      </w:r>
      <w:r w:rsidR="00E770E8">
        <w:t>WWTP</w:t>
      </w:r>
      <w:r>
        <w:t xml:space="preserve"> inventory that includes data for the year of 2014/15 or 2015/16. These discharge rates </w:t>
      </w:r>
      <w:r w:rsidR="00AC3E5A">
        <w:t xml:space="preserve">have been </w:t>
      </w:r>
      <w:r w:rsidR="001074DC">
        <w:t>updated</w:t>
      </w:r>
      <w:r>
        <w:t xml:space="preserve"> where more recent data is available in published council documents.</w:t>
      </w:r>
      <w:r w:rsidR="001074DC">
        <w:t xml:space="preserve"> Where actual discharge rates </w:t>
      </w:r>
      <w:r w:rsidR="00BE6A24">
        <w:t>were not</w:t>
      </w:r>
      <w:r w:rsidR="001074DC">
        <w:t xml:space="preserve"> </w:t>
      </w:r>
      <w:r w:rsidR="00BE6A24">
        <w:t>readily available</w:t>
      </w:r>
      <w:r w:rsidR="001074DC">
        <w:t xml:space="preserve">, </w:t>
      </w:r>
      <w:r w:rsidR="001438FE">
        <w:t xml:space="preserve">an </w:t>
      </w:r>
      <w:r w:rsidR="001438FE" w:rsidRPr="001438FE">
        <w:t xml:space="preserve">estimation of discharge rates was </w:t>
      </w:r>
      <w:r w:rsidR="00E770E8">
        <w:t>calculated</w:t>
      </w:r>
      <w:r w:rsidR="00E770E8" w:rsidRPr="001438FE">
        <w:t xml:space="preserve"> </w:t>
      </w:r>
      <w:r w:rsidR="001438FE" w:rsidRPr="001438FE">
        <w:t xml:space="preserve">by applying the </w:t>
      </w:r>
      <w:r w:rsidR="001438FE">
        <w:t xml:space="preserve">following </w:t>
      </w:r>
      <w:r w:rsidR="001438FE" w:rsidRPr="001438FE">
        <w:t>relationship:</w:t>
      </w:r>
      <w:r w:rsidR="001074DC">
        <w:t xml:space="preserve"> </w:t>
      </w:r>
    </w:p>
    <w:tbl>
      <w:tblPr>
        <w:tblStyle w:val="CoverTable"/>
        <w:tblW w:w="8487" w:type="dxa"/>
        <w:tblLook w:val="04A0" w:firstRow="1" w:lastRow="0" w:firstColumn="1" w:lastColumn="0" w:noHBand="0" w:noVBand="1"/>
      </w:tblPr>
      <w:tblGrid>
        <w:gridCol w:w="7370"/>
        <w:gridCol w:w="1117"/>
      </w:tblGrid>
      <w:tr w:rsidR="001074DC" w14:paraId="31AE1944" w14:textId="77777777" w:rsidTr="00E66F34">
        <w:tc>
          <w:tcPr>
            <w:tcW w:w="7370" w:type="dxa"/>
          </w:tcPr>
          <w:p w14:paraId="7359BDE7" w14:textId="77777777" w:rsidR="001074DC" w:rsidRDefault="008B514E">
            <w:pPr>
              <w:pStyle w:val="Body"/>
              <w:spacing w:before="45" w:after="91"/>
              <w:ind w:left="0"/>
              <w:rPr>
                <w:lang w:eastAsia="en-AU"/>
              </w:rPr>
            </w:pPr>
            <m:oMathPara>
              <m:oMath>
                <m:sSub>
                  <m:sSubPr>
                    <m:ctrlPr>
                      <w:rPr>
                        <w:rFonts w:ascii="Cambria Math" w:hAnsi="Cambria Math"/>
                        <w:i/>
                        <w:lang w:eastAsia="en-AU"/>
                      </w:rPr>
                    </m:ctrlPr>
                  </m:sSubPr>
                  <m:e>
                    <m:r>
                      <w:rPr>
                        <w:rFonts w:ascii="Cambria Math" w:hAnsi="Cambria Math"/>
                        <w:lang w:eastAsia="en-AU"/>
                      </w:rPr>
                      <m:t>Q</m:t>
                    </m:r>
                  </m:e>
                  <m:sub>
                    <m:r>
                      <w:rPr>
                        <w:rFonts w:ascii="Cambria Math" w:hAnsi="Cambria Math"/>
                        <w:lang w:eastAsia="en-AU"/>
                      </w:rPr>
                      <m:t>Avg</m:t>
                    </m:r>
                  </m:sub>
                </m:sSub>
                <m:r>
                  <w:rPr>
                    <w:rFonts w:ascii="Cambria Math" w:hAnsi="Cambria Math"/>
                    <w:lang w:eastAsia="en-AU"/>
                  </w:rPr>
                  <m:t xml:space="preserve">= 0.19 </m:t>
                </m:r>
                <m:sSup>
                  <m:sSupPr>
                    <m:ctrlPr>
                      <w:rPr>
                        <w:rFonts w:ascii="Cambria Math" w:hAnsi="Cambria Math"/>
                        <w:i/>
                        <w:lang w:eastAsia="en-AU"/>
                      </w:rPr>
                    </m:ctrlPr>
                  </m:sSupPr>
                  <m:e>
                    <m:r>
                      <w:rPr>
                        <w:rFonts w:ascii="Cambria Math" w:hAnsi="Cambria Math"/>
                        <w:lang w:eastAsia="en-AU"/>
                      </w:rPr>
                      <m:t>P</m:t>
                    </m:r>
                  </m:e>
                  <m:sup>
                    <m:r>
                      <w:rPr>
                        <w:rFonts w:ascii="Cambria Math" w:hAnsi="Cambria Math"/>
                        <w:lang w:eastAsia="en-AU"/>
                      </w:rPr>
                      <m:t>1.07</m:t>
                    </m:r>
                  </m:sup>
                </m:sSup>
              </m:oMath>
            </m:oMathPara>
          </w:p>
        </w:tc>
        <w:tc>
          <w:tcPr>
            <w:tcW w:w="1117" w:type="dxa"/>
          </w:tcPr>
          <w:p w14:paraId="6C1661AD" w14:textId="77777777" w:rsidR="001074DC" w:rsidRDefault="001074DC" w:rsidP="009704E7">
            <w:pPr>
              <w:pStyle w:val="Body"/>
              <w:spacing w:before="45" w:after="91"/>
              <w:ind w:left="0"/>
              <w:rPr>
                <w:lang w:eastAsia="en-AU"/>
              </w:rPr>
            </w:pPr>
            <w:r>
              <w:rPr>
                <w:lang w:eastAsia="en-AU"/>
              </w:rPr>
              <w:t xml:space="preserve">(Eq. </w:t>
            </w:r>
            <w:r w:rsidR="009704E7">
              <w:rPr>
                <w:lang w:eastAsia="en-AU"/>
              </w:rPr>
              <w:t>1</w:t>
            </w:r>
            <w:r>
              <w:rPr>
                <w:lang w:eastAsia="en-AU"/>
              </w:rPr>
              <w:t>)</w:t>
            </w:r>
          </w:p>
        </w:tc>
      </w:tr>
    </w:tbl>
    <w:p w14:paraId="7F0C236F" w14:textId="77777777" w:rsidR="001438FE" w:rsidRDefault="00AC3E5A" w:rsidP="008324F9">
      <w:pPr>
        <w:pStyle w:val="Body"/>
      </w:pPr>
      <w:r>
        <w:t>w</w:t>
      </w:r>
      <w:r w:rsidR="001074DC">
        <w:t xml:space="preserve">here </w:t>
      </w:r>
      <w:r w:rsidR="00DC038D">
        <w:rPr>
          <w:i/>
        </w:rPr>
        <w:t>P</w:t>
      </w:r>
      <w:r w:rsidR="00DC038D">
        <w:t xml:space="preserve"> is the population and </w:t>
      </w:r>
      <w:r w:rsidR="00DC038D">
        <w:rPr>
          <w:i/>
        </w:rPr>
        <w:t>Q</w:t>
      </w:r>
      <w:r w:rsidR="00DC038D">
        <w:rPr>
          <w:i/>
          <w:vertAlign w:val="subscript"/>
        </w:rPr>
        <w:t>Avg</w:t>
      </w:r>
      <w:r w:rsidR="00DC038D">
        <w:t xml:space="preserve"> is the mean discharge rate in m</w:t>
      </w:r>
      <w:r w:rsidR="00DC038D">
        <w:rPr>
          <w:vertAlign w:val="superscript"/>
        </w:rPr>
        <w:t>3</w:t>
      </w:r>
      <w:r w:rsidR="00DC038D">
        <w:t>/</w:t>
      </w:r>
      <w:r w:rsidR="00EA590F">
        <w:t>d</w:t>
      </w:r>
      <w:r w:rsidR="00DC038D">
        <w:t>.</w:t>
      </w:r>
      <w:r w:rsidR="001438FE">
        <w:t xml:space="preserve"> </w:t>
      </w:r>
    </w:p>
    <w:p w14:paraId="0FB86272" w14:textId="77777777" w:rsidR="00653715" w:rsidRDefault="001438FE" w:rsidP="008324F9">
      <w:pPr>
        <w:pStyle w:val="Body"/>
      </w:pPr>
      <w:r>
        <w:t xml:space="preserve">This relationship was developed by correlating </w:t>
      </w:r>
      <w:r w:rsidRPr="001438FE">
        <w:t>connected population and WWTP discharge rates across the available dataset.</w:t>
      </w:r>
      <w:r w:rsidR="00653715">
        <w:t xml:space="preserve"> </w:t>
      </w:r>
    </w:p>
    <w:p w14:paraId="2FA57254" w14:textId="77777777" w:rsidR="001074DC" w:rsidRDefault="00C74121" w:rsidP="008324F9">
      <w:pPr>
        <w:pStyle w:val="Body"/>
      </w:pPr>
      <w:r>
        <w:t>F</w:t>
      </w:r>
      <w:r w:rsidR="006775FF" w:rsidRPr="006775FF">
        <w:t xml:space="preserve">or design and assessment of WWTP capacity </w:t>
      </w:r>
      <w:r w:rsidR="006775FF">
        <w:t>a</w:t>
      </w:r>
      <w:r w:rsidR="00E14E96">
        <w:t xml:space="preserve"> </w:t>
      </w:r>
      <w:r w:rsidR="006775FF" w:rsidRPr="006775FF">
        <w:t xml:space="preserve">“population equivalent” or PE is commonly </w:t>
      </w:r>
      <w:r w:rsidR="006775FF">
        <w:t>calculated</w:t>
      </w:r>
      <w:r w:rsidR="006775FF" w:rsidRPr="006775FF">
        <w:t>. Population equivalent accounts for domestic population and also includes a capacity allowance for non domestic (i.e. commercial and industrial) users of a wastewater network. The calculation of this value varies depending on what type of industrial and commercial use applies</w:t>
      </w:r>
      <w:r w:rsidR="006775FF">
        <w:t>. For simplicity this study has used population</w:t>
      </w:r>
      <w:r w:rsidR="00E14E96">
        <w:t xml:space="preserve"> </w:t>
      </w:r>
      <w:r w:rsidR="006775FF">
        <w:t>estimates</w:t>
      </w:r>
      <w:r w:rsidR="00A31182">
        <w:t xml:space="preserve"> derived with equation 1 above</w:t>
      </w:r>
      <w:r w:rsidR="006775FF">
        <w:t xml:space="preserve"> to generate WW</w:t>
      </w:r>
      <w:r w:rsidR="00E14E96">
        <w:t xml:space="preserve">TP discharge rates </w:t>
      </w:r>
      <w:r w:rsidR="006775FF">
        <w:t>where it is not provided</w:t>
      </w:r>
      <w:r w:rsidR="00E14E96">
        <w:t xml:space="preserve"> in data</w:t>
      </w:r>
      <w:r w:rsidR="006775FF">
        <w:t>.</w:t>
      </w:r>
      <w:r w:rsidR="00653715">
        <w:t xml:space="preserve"> </w:t>
      </w:r>
    </w:p>
    <w:p w14:paraId="791FBBDB" w14:textId="77777777" w:rsidR="00DC038D" w:rsidRDefault="00DC038D">
      <w:pPr>
        <w:pStyle w:val="Heading3"/>
      </w:pPr>
      <w:bookmarkStart w:id="150" w:name="_Ref516738614"/>
      <w:r>
        <w:t xml:space="preserve">Discharge </w:t>
      </w:r>
      <w:r w:rsidR="00174F8C">
        <w:t>classifications</w:t>
      </w:r>
      <w:bookmarkEnd w:id="150"/>
    </w:p>
    <w:p w14:paraId="5176BB5E" w14:textId="77777777" w:rsidR="00C72D06" w:rsidRPr="00C72D06" w:rsidRDefault="004E148D" w:rsidP="00C30AC3">
      <w:pPr>
        <w:pStyle w:val="Body"/>
      </w:pPr>
      <w:r>
        <w:t>T</w:t>
      </w:r>
      <w:r w:rsidR="00C72D06" w:rsidRPr="00C72D06">
        <w:rPr>
          <w:bCs/>
        </w:rPr>
        <w:t>he focus of this study</w:t>
      </w:r>
      <w:r w:rsidR="00E770E8">
        <w:rPr>
          <w:bCs/>
        </w:rPr>
        <w:t xml:space="preserve"> </w:t>
      </w:r>
      <w:r w:rsidR="00357626">
        <w:rPr>
          <w:bCs/>
        </w:rPr>
        <w:t>is</w:t>
      </w:r>
      <w:r w:rsidR="00C72D06" w:rsidRPr="00C72D06">
        <w:rPr>
          <w:bCs/>
        </w:rPr>
        <w:t xml:space="preserve"> to consider WWTPs discharging to and affecting freshwater bodies. In line with this objective, each </w:t>
      </w:r>
      <w:r w:rsidR="00C72D06">
        <w:rPr>
          <w:bCs/>
        </w:rPr>
        <w:t>WWTP</w:t>
      </w:r>
      <w:r w:rsidR="00C72D06" w:rsidRPr="00C72D06">
        <w:rPr>
          <w:bCs/>
        </w:rPr>
        <w:t xml:space="preserve"> ha</w:t>
      </w:r>
      <w:r w:rsidR="00C72D06">
        <w:rPr>
          <w:bCs/>
        </w:rPr>
        <w:t>s</w:t>
      </w:r>
      <w:r w:rsidR="00C72D06" w:rsidRPr="00C72D06">
        <w:rPr>
          <w:bCs/>
        </w:rPr>
        <w:t xml:space="preserve"> been allocated to one of the following three categories based on the dominant receiving environment and criteria described:</w:t>
      </w:r>
    </w:p>
    <w:p w14:paraId="52FED3E6" w14:textId="77777777" w:rsidR="009F3754" w:rsidRPr="00E770E8" w:rsidRDefault="00A84DA5" w:rsidP="008324F9">
      <w:pPr>
        <w:pStyle w:val="BulletNumber"/>
        <w:rPr>
          <w:b/>
        </w:rPr>
      </w:pPr>
      <w:r w:rsidRPr="00E770E8">
        <w:rPr>
          <w:b/>
        </w:rPr>
        <w:t>Ocean</w:t>
      </w:r>
    </w:p>
    <w:p w14:paraId="1513F4BA" w14:textId="77777777" w:rsidR="009F41D4" w:rsidRDefault="009F41D4" w:rsidP="008324F9">
      <w:pPr>
        <w:pStyle w:val="BulletNumber"/>
        <w:numPr>
          <w:ilvl w:val="2"/>
          <w:numId w:val="22"/>
        </w:numPr>
      </w:pPr>
      <w:r>
        <w:t>Discharges via ocean outfalls,</w:t>
      </w:r>
    </w:p>
    <w:p w14:paraId="39A032B3" w14:textId="77777777" w:rsidR="009F41D4" w:rsidRDefault="00C72D06" w:rsidP="008324F9">
      <w:pPr>
        <w:pStyle w:val="BulletNumber"/>
        <w:numPr>
          <w:ilvl w:val="2"/>
          <w:numId w:val="22"/>
        </w:numPr>
      </w:pPr>
      <w:r>
        <w:t>D</w:t>
      </w:r>
      <w:r w:rsidR="009F41D4">
        <w:t>ischarges to estuaries and harbours,</w:t>
      </w:r>
    </w:p>
    <w:p w14:paraId="51C5E088" w14:textId="77777777" w:rsidR="009F41D4" w:rsidRDefault="00C72D06" w:rsidP="008324F9">
      <w:pPr>
        <w:pStyle w:val="BulletNumber"/>
        <w:numPr>
          <w:ilvl w:val="2"/>
          <w:numId w:val="22"/>
        </w:numPr>
      </w:pPr>
      <w:r>
        <w:t>D</w:t>
      </w:r>
      <w:r w:rsidR="009F41D4">
        <w:t>ischarges to a periodic saltwater environment that use an outgoing tide as a means to flush the treated effluent.</w:t>
      </w:r>
    </w:p>
    <w:p w14:paraId="2F43A3A3" w14:textId="77777777" w:rsidR="009F3754" w:rsidRPr="00E770E8" w:rsidRDefault="009F3754" w:rsidP="008324F9">
      <w:pPr>
        <w:pStyle w:val="BulletNumber"/>
        <w:rPr>
          <w:b/>
        </w:rPr>
      </w:pPr>
      <w:r w:rsidRPr="00E770E8">
        <w:rPr>
          <w:b/>
        </w:rPr>
        <w:t>Land</w:t>
      </w:r>
    </w:p>
    <w:p w14:paraId="50E98313" w14:textId="77777777" w:rsidR="009F41D4" w:rsidRDefault="00371624" w:rsidP="008324F9">
      <w:pPr>
        <w:pStyle w:val="BulletNumber"/>
        <w:numPr>
          <w:ilvl w:val="2"/>
          <w:numId w:val="22"/>
        </w:numPr>
      </w:pPr>
      <w:r>
        <w:t>Discharges via irrigation</w:t>
      </w:r>
      <w:r w:rsidR="009F41D4">
        <w:t>,</w:t>
      </w:r>
    </w:p>
    <w:p w14:paraId="29564818" w14:textId="77777777" w:rsidR="009F41D4" w:rsidRDefault="00C72D06" w:rsidP="008324F9">
      <w:pPr>
        <w:pStyle w:val="BulletNumber"/>
        <w:numPr>
          <w:ilvl w:val="2"/>
          <w:numId w:val="22"/>
        </w:numPr>
      </w:pPr>
      <w:r>
        <w:t>D</w:t>
      </w:r>
      <w:r w:rsidR="009F41D4">
        <w:t>ischarges via engineered infiltration systems,</w:t>
      </w:r>
    </w:p>
    <w:p w14:paraId="6E18928A" w14:textId="77777777" w:rsidR="009F41D4" w:rsidRDefault="00C72D06" w:rsidP="008324F9">
      <w:pPr>
        <w:pStyle w:val="BulletNumber"/>
        <w:numPr>
          <w:ilvl w:val="2"/>
          <w:numId w:val="22"/>
        </w:numPr>
      </w:pPr>
      <w:r>
        <w:t>D</w:t>
      </w:r>
      <w:r w:rsidR="009F41D4">
        <w:t xml:space="preserve">ischarges to engineered wetlands for </w:t>
      </w:r>
      <w:r w:rsidR="00612D30">
        <w:t xml:space="preserve">the </w:t>
      </w:r>
      <w:r w:rsidR="009F41D4">
        <w:t>purpose of passive treatment and infiltration.</w:t>
      </w:r>
    </w:p>
    <w:p w14:paraId="3FBA9F76" w14:textId="77777777" w:rsidR="009F3754" w:rsidRPr="00E770E8" w:rsidRDefault="00A84DA5" w:rsidP="008324F9">
      <w:pPr>
        <w:pStyle w:val="BulletNumber"/>
        <w:rPr>
          <w:b/>
        </w:rPr>
      </w:pPr>
      <w:r w:rsidRPr="00E770E8">
        <w:rPr>
          <w:b/>
        </w:rPr>
        <w:t>Freshwater</w:t>
      </w:r>
    </w:p>
    <w:p w14:paraId="758437EC" w14:textId="77777777" w:rsidR="009F41D4" w:rsidRDefault="009F41D4" w:rsidP="008324F9">
      <w:pPr>
        <w:pStyle w:val="BulletNumber"/>
        <w:numPr>
          <w:ilvl w:val="2"/>
          <w:numId w:val="22"/>
        </w:numPr>
      </w:pPr>
      <w:r>
        <w:t>Discharges directly to rivers or lakes,</w:t>
      </w:r>
    </w:p>
    <w:p w14:paraId="6C625291" w14:textId="77777777" w:rsidR="009F41D4" w:rsidRDefault="009F41D4" w:rsidP="008324F9">
      <w:pPr>
        <w:pStyle w:val="BulletNumber"/>
        <w:numPr>
          <w:ilvl w:val="2"/>
          <w:numId w:val="22"/>
        </w:numPr>
      </w:pPr>
      <w:r>
        <w:t xml:space="preserve">Discharges to ground via rapid infiltration systems </w:t>
      </w:r>
      <w:r w:rsidR="0041119E">
        <w:t>with</w:t>
      </w:r>
      <w:r>
        <w:t xml:space="preserve"> close proximity to surface freshwater bodies.</w:t>
      </w:r>
    </w:p>
    <w:p w14:paraId="13066BDB" w14:textId="77777777" w:rsidR="009279A6" w:rsidRDefault="0041119E" w:rsidP="00261B3A">
      <w:pPr>
        <w:pStyle w:val="Body"/>
      </w:pPr>
      <w:r>
        <w:t>Classification of each WWTP has been conducted by first reviewing asset descriptions within published council documents</w:t>
      </w:r>
      <w:r w:rsidR="00E770E8">
        <w:t xml:space="preserve"> and</w:t>
      </w:r>
      <w:r>
        <w:t xml:space="preserve"> second</w:t>
      </w:r>
      <w:r w:rsidR="00E770E8">
        <w:t>ly</w:t>
      </w:r>
      <w:r>
        <w:t xml:space="preserve"> reviewing data in the Water NZ </w:t>
      </w:r>
      <w:r w:rsidR="00C77E49">
        <w:t>WWTP</w:t>
      </w:r>
      <w:r>
        <w:t xml:space="preserve"> inventory</w:t>
      </w:r>
      <w:r w:rsidR="00E770E8">
        <w:t>. Classification was</w:t>
      </w:r>
      <w:r>
        <w:t xml:space="preserve"> completed by assessing aerial imagery and GIS data sources </w:t>
      </w:r>
      <w:r w:rsidR="00E770E8">
        <w:t xml:space="preserve">if </w:t>
      </w:r>
      <w:r>
        <w:t>required.</w:t>
      </w:r>
      <w:r w:rsidR="00976290">
        <w:t xml:space="preserve"> </w:t>
      </w:r>
      <w:r w:rsidR="0006442E">
        <w:t>In</w:t>
      </w:r>
      <w:r w:rsidR="007D6A00">
        <w:t xml:space="preserve"> some </w:t>
      </w:r>
      <w:r w:rsidR="0006442E">
        <w:t>cases,</w:t>
      </w:r>
      <w:r w:rsidR="007D6A00">
        <w:t xml:space="preserve"> WWTPs discharge to more than one of the receiving environments described</w:t>
      </w:r>
      <w:r w:rsidR="0006442E">
        <w:t xml:space="preserve">, for example a few treatment plants discharge to land in the summer and have overflow allowances to a river during the winter or high flow periods. </w:t>
      </w:r>
      <w:r w:rsidR="000A7EAB">
        <w:t xml:space="preserve">Where WWTPs discharge to multiple </w:t>
      </w:r>
      <w:r w:rsidR="000A7EAB">
        <w:lastRenderedPageBreak/>
        <w:t>environments classification was made considering the dominant discharge type and objectives of this report.</w:t>
      </w:r>
    </w:p>
    <w:p w14:paraId="786468AD" w14:textId="77777777" w:rsidR="00F90F22" w:rsidRDefault="000A7EAB" w:rsidP="00261B3A">
      <w:pPr>
        <w:pStyle w:val="Body"/>
      </w:pPr>
      <w:r>
        <w:fldChar w:fldCharType="begin"/>
      </w:r>
      <w:r>
        <w:instrText xml:space="preserve"> REF _Ref518641256 \h </w:instrText>
      </w:r>
      <w:r>
        <w:fldChar w:fldCharType="separate"/>
      </w:r>
      <w:r w:rsidR="002777A8">
        <w:t xml:space="preserve">Figure </w:t>
      </w:r>
      <w:r w:rsidR="002777A8">
        <w:rPr>
          <w:noProof/>
        </w:rPr>
        <w:t>4</w:t>
      </w:r>
      <w:r>
        <w:fldChar w:fldCharType="end"/>
      </w:r>
      <w:r>
        <w:t xml:space="preserve"> shows graphically the distribution of discharge types that apply for New Zealand WWTPs. </w:t>
      </w:r>
      <w:r w:rsidR="00E01D9F">
        <w:t>Based on this classification</w:t>
      </w:r>
      <w:r w:rsidR="00311ED5">
        <w:t>,</w:t>
      </w:r>
      <w:r w:rsidR="00E01D9F">
        <w:t xml:space="preserve"> </w:t>
      </w:r>
      <w:r w:rsidR="00311ED5">
        <w:t>nearly half</w:t>
      </w:r>
      <w:r w:rsidR="00E01D9F">
        <w:t xml:space="preserve"> of the </w:t>
      </w:r>
      <w:r w:rsidR="009776A1">
        <w:t>nation’s</w:t>
      </w:r>
      <w:r w:rsidR="009279A6">
        <w:t xml:space="preserve"> </w:t>
      </w:r>
      <w:r w:rsidR="00E01D9F">
        <w:t xml:space="preserve">WWTPs </w:t>
      </w:r>
      <w:r w:rsidR="00311ED5">
        <w:t>discharge</w:t>
      </w:r>
      <w:r w:rsidR="00E01D9F">
        <w:t xml:space="preserve"> to freshwater</w:t>
      </w:r>
      <w:r w:rsidR="009279A6">
        <w:t xml:space="preserve">, </w:t>
      </w:r>
      <w:r w:rsidR="00311ED5">
        <w:t>with approximately one quarter each discharging to the land and ocean. As most of New Zealand’s larger population centres are located on the coast the discharge classification skews towards the ocean on a per population basis</w:t>
      </w:r>
      <w:r w:rsidR="00472B70">
        <w:t xml:space="preserve">. </w:t>
      </w:r>
      <w:r w:rsidR="002C6217">
        <w:t>F</w:t>
      </w:r>
      <w:r w:rsidR="00311ED5">
        <w:t xml:space="preserve">reshwater and land based discharges from publically owned treatment plants </w:t>
      </w:r>
      <w:r w:rsidR="002C6217">
        <w:t>serve</w:t>
      </w:r>
      <w:r w:rsidR="00472B70">
        <w:t xml:space="preserve"> </w:t>
      </w:r>
      <w:r w:rsidR="002C6217">
        <w:t>13</w:t>
      </w:r>
      <w:r w:rsidR="00472B70">
        <w:t xml:space="preserve">% and </w:t>
      </w:r>
      <w:r w:rsidR="002C6217">
        <w:t>5</w:t>
      </w:r>
      <w:r w:rsidR="00472B70">
        <w:t xml:space="preserve">% </w:t>
      </w:r>
      <w:r w:rsidR="002C6217">
        <w:t xml:space="preserve">respectively </w:t>
      </w:r>
      <w:r w:rsidR="00472B70">
        <w:t xml:space="preserve">of </w:t>
      </w:r>
      <w:r w:rsidR="002C6217">
        <w:t xml:space="preserve">New Zealand’s total current estimated </w:t>
      </w:r>
      <w:r w:rsidR="00472B70">
        <w:t>population</w:t>
      </w:r>
      <w:r w:rsidR="002C6217">
        <w:t xml:space="preserve"> (4,897,000)</w:t>
      </w:r>
      <w:r w:rsidR="00472B70">
        <w:t>.</w:t>
      </w:r>
    </w:p>
    <w:p w14:paraId="3F10B6EC" w14:textId="77777777" w:rsidR="00581922" w:rsidRDefault="00581922" w:rsidP="00261B3A">
      <w:pPr>
        <w:pStyle w:val="Body"/>
      </w:pPr>
    </w:p>
    <w:p w14:paraId="7F466228" w14:textId="77777777" w:rsidR="00612D30" w:rsidRDefault="00255400" w:rsidP="001C135B">
      <w:pPr>
        <w:pStyle w:val="Body"/>
      </w:pPr>
      <w:r>
        <w:rPr>
          <w:noProof/>
          <w:lang w:val="en-NZ" w:eastAsia="en-NZ"/>
        </w:rPr>
        <w:drawing>
          <wp:inline distT="0" distB="0" distL="0" distR="0" wp14:anchorId="6F43A243" wp14:editId="10B4CEAB">
            <wp:extent cx="5410200" cy="2886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10200" cy="2886075"/>
                    </a:xfrm>
                    <a:prstGeom prst="rect">
                      <a:avLst/>
                    </a:prstGeom>
                    <a:noFill/>
                    <a:ln>
                      <a:noFill/>
                    </a:ln>
                  </pic:spPr>
                </pic:pic>
              </a:graphicData>
            </a:graphic>
          </wp:inline>
        </w:drawing>
      </w:r>
    </w:p>
    <w:p w14:paraId="4A30A459" w14:textId="77777777" w:rsidR="00612D30" w:rsidRDefault="00612D30" w:rsidP="00E66F34">
      <w:pPr>
        <w:pStyle w:val="Caption"/>
      </w:pPr>
      <w:bookmarkStart w:id="151" w:name="_Ref518641256"/>
      <w:bookmarkStart w:id="152" w:name="_Toc518653141"/>
      <w:bookmarkStart w:id="153" w:name="_Toc521064809"/>
      <w:r>
        <w:t xml:space="preserve">Figure </w:t>
      </w:r>
      <w:r w:rsidR="007B3D80">
        <w:rPr>
          <w:noProof/>
        </w:rPr>
        <w:fldChar w:fldCharType="begin"/>
      </w:r>
      <w:r w:rsidR="007B3D80">
        <w:rPr>
          <w:noProof/>
        </w:rPr>
        <w:instrText xml:space="preserve"> SEQ Figure \* ARABIC </w:instrText>
      </w:r>
      <w:r w:rsidR="007B3D80">
        <w:rPr>
          <w:noProof/>
        </w:rPr>
        <w:fldChar w:fldCharType="separate"/>
      </w:r>
      <w:r w:rsidR="002777A8">
        <w:rPr>
          <w:noProof/>
        </w:rPr>
        <w:t>4</w:t>
      </w:r>
      <w:r w:rsidR="007B3D80">
        <w:rPr>
          <w:noProof/>
        </w:rPr>
        <w:fldChar w:fldCharType="end"/>
      </w:r>
      <w:bookmarkEnd w:id="151"/>
      <w:r>
        <w:t xml:space="preserve"> </w:t>
      </w:r>
      <w:r w:rsidR="00033247">
        <w:t xml:space="preserve"> </w:t>
      </w:r>
      <w:r>
        <w:t>Discharge classifications for all council owned WWTPs in New</w:t>
      </w:r>
      <w:r w:rsidR="00033247">
        <w:t> </w:t>
      </w:r>
      <w:r>
        <w:t>Zealand</w:t>
      </w:r>
      <w:bookmarkEnd w:id="152"/>
      <w:bookmarkEnd w:id="153"/>
    </w:p>
    <w:p w14:paraId="471DC1EC" w14:textId="77777777" w:rsidR="00807B6D" w:rsidRDefault="00807B6D" w:rsidP="00554D29">
      <w:pPr>
        <w:pStyle w:val="Body"/>
        <w:rPr>
          <w:lang w:eastAsia="en-AU"/>
        </w:rPr>
      </w:pPr>
    </w:p>
    <w:p w14:paraId="5BA56189" w14:textId="77777777" w:rsidR="00606961" w:rsidRDefault="00807B6D" w:rsidP="00A27F3D">
      <w:pPr>
        <w:pStyle w:val="Heading3"/>
        <w:rPr>
          <w:lang w:eastAsia="en-AU"/>
        </w:rPr>
      </w:pPr>
      <w:r>
        <w:rPr>
          <w:lang w:eastAsia="en-AU"/>
        </w:rPr>
        <w:t xml:space="preserve">Summary of WWTPs </w:t>
      </w:r>
      <w:r w:rsidR="00174F8C">
        <w:rPr>
          <w:lang w:eastAsia="en-AU"/>
        </w:rPr>
        <w:t xml:space="preserve">discharging </w:t>
      </w:r>
      <w:r>
        <w:rPr>
          <w:lang w:eastAsia="en-AU"/>
        </w:rPr>
        <w:t xml:space="preserve">to </w:t>
      </w:r>
      <w:r w:rsidR="00174F8C">
        <w:rPr>
          <w:lang w:eastAsia="en-AU"/>
        </w:rPr>
        <w:t>freshwater</w:t>
      </w:r>
    </w:p>
    <w:p w14:paraId="729BA6B3" w14:textId="77777777" w:rsidR="00345E1D" w:rsidRPr="00345E1D" w:rsidRDefault="00606961" w:rsidP="00345E1D">
      <w:pPr>
        <w:pStyle w:val="Body"/>
        <w:rPr>
          <w:lang w:eastAsia="en-AU"/>
        </w:rPr>
      </w:pPr>
      <w:r>
        <w:rPr>
          <w:lang w:eastAsia="en-AU"/>
        </w:rPr>
        <w:fldChar w:fldCharType="begin"/>
      </w:r>
      <w:r>
        <w:rPr>
          <w:lang w:eastAsia="en-AU"/>
        </w:rPr>
        <w:instrText xml:space="preserve"> REF _Ref517246901 \h </w:instrText>
      </w:r>
      <w:r>
        <w:rPr>
          <w:lang w:eastAsia="en-AU"/>
        </w:rPr>
      </w:r>
      <w:r>
        <w:rPr>
          <w:lang w:eastAsia="en-AU"/>
        </w:rPr>
        <w:fldChar w:fldCharType="separate"/>
      </w:r>
      <w:r w:rsidR="002777A8">
        <w:t xml:space="preserve">Table </w:t>
      </w:r>
      <w:r w:rsidR="002777A8">
        <w:rPr>
          <w:bCs/>
          <w:noProof/>
        </w:rPr>
        <w:t>3</w:t>
      </w:r>
      <w:r>
        <w:rPr>
          <w:lang w:eastAsia="en-AU"/>
        </w:rPr>
        <w:fldChar w:fldCharType="end"/>
      </w:r>
      <w:r>
        <w:rPr>
          <w:lang w:eastAsia="en-AU"/>
        </w:rPr>
        <w:t xml:space="preserve"> summarises the distribution of WWTPs that discharge to freshwater</w:t>
      </w:r>
      <w:r w:rsidR="003568D3">
        <w:rPr>
          <w:lang w:eastAsia="en-AU"/>
        </w:rPr>
        <w:t xml:space="preserve"> </w:t>
      </w:r>
      <w:r>
        <w:rPr>
          <w:lang w:eastAsia="en-AU"/>
        </w:rPr>
        <w:t>by region and size.</w:t>
      </w:r>
      <w:r w:rsidR="00C77E49">
        <w:rPr>
          <w:lang w:eastAsia="en-AU"/>
        </w:rPr>
        <w:t xml:space="preserve"> </w:t>
      </w:r>
      <w:r w:rsidR="00936F3F">
        <w:rPr>
          <w:lang w:eastAsia="en-AU"/>
        </w:rPr>
        <w:t xml:space="preserve">The total number of WWTPs i.e. including those discharging to the coast or land are also listed for comparison. </w:t>
      </w:r>
      <w:r w:rsidR="00345E1D" w:rsidRPr="00345E1D">
        <w:rPr>
          <w:lang w:eastAsia="en-AU"/>
        </w:rPr>
        <w:t>The study distinguishes between WWTPs based on the following population categories:</w:t>
      </w:r>
    </w:p>
    <w:p w14:paraId="58570A60" w14:textId="77777777" w:rsidR="00345E1D" w:rsidRPr="00345E1D" w:rsidRDefault="00345E1D" w:rsidP="00345E1D">
      <w:pPr>
        <w:pStyle w:val="Body"/>
        <w:numPr>
          <w:ilvl w:val="0"/>
          <w:numId w:val="76"/>
        </w:numPr>
        <w:rPr>
          <w:lang w:eastAsia="en-AU"/>
        </w:rPr>
      </w:pPr>
      <w:r w:rsidRPr="00345E1D">
        <w:rPr>
          <w:lang w:eastAsia="en-AU"/>
        </w:rPr>
        <w:t>Large – greater than 10,000 people</w:t>
      </w:r>
    </w:p>
    <w:p w14:paraId="1E35ED8D" w14:textId="77777777" w:rsidR="00345E1D" w:rsidRPr="00345E1D" w:rsidRDefault="00345E1D" w:rsidP="00345E1D">
      <w:pPr>
        <w:pStyle w:val="Body"/>
        <w:numPr>
          <w:ilvl w:val="0"/>
          <w:numId w:val="76"/>
        </w:numPr>
        <w:rPr>
          <w:lang w:eastAsia="en-AU"/>
        </w:rPr>
      </w:pPr>
      <w:r w:rsidRPr="00345E1D">
        <w:rPr>
          <w:lang w:eastAsia="en-AU"/>
        </w:rPr>
        <w:t>Medium – 5,001-10,000 people</w:t>
      </w:r>
    </w:p>
    <w:p w14:paraId="15E70A8C" w14:textId="77777777" w:rsidR="00345E1D" w:rsidRDefault="00345E1D" w:rsidP="00A27F3D">
      <w:pPr>
        <w:pStyle w:val="Body"/>
        <w:numPr>
          <w:ilvl w:val="0"/>
          <w:numId w:val="76"/>
        </w:numPr>
        <w:rPr>
          <w:lang w:eastAsia="en-AU"/>
        </w:rPr>
      </w:pPr>
      <w:r w:rsidRPr="00345E1D">
        <w:rPr>
          <w:lang w:eastAsia="en-AU"/>
        </w:rPr>
        <w:t>Minor – 501 – 5,000 people</w:t>
      </w:r>
    </w:p>
    <w:p w14:paraId="5B8C6BE8" w14:textId="77777777" w:rsidR="00606961" w:rsidRDefault="00345E1D" w:rsidP="00E66F34">
      <w:pPr>
        <w:pStyle w:val="Body"/>
        <w:numPr>
          <w:ilvl w:val="0"/>
          <w:numId w:val="76"/>
        </w:numPr>
        <w:rPr>
          <w:lang w:eastAsia="en-AU"/>
        </w:rPr>
      </w:pPr>
      <w:r w:rsidRPr="00345E1D">
        <w:rPr>
          <w:lang w:eastAsia="en-AU"/>
        </w:rPr>
        <w:t xml:space="preserve">Small – Less than </w:t>
      </w:r>
      <w:r w:rsidR="008F6995" w:rsidRPr="00345E1D">
        <w:rPr>
          <w:lang w:eastAsia="en-AU"/>
        </w:rPr>
        <w:t>50</w:t>
      </w:r>
      <w:r w:rsidR="008F6995">
        <w:rPr>
          <w:lang w:eastAsia="en-AU"/>
        </w:rPr>
        <w:t>1</w:t>
      </w:r>
      <w:r w:rsidR="008F6995" w:rsidRPr="00345E1D">
        <w:rPr>
          <w:lang w:eastAsia="en-AU"/>
        </w:rPr>
        <w:t xml:space="preserve"> </w:t>
      </w:r>
      <w:r w:rsidRPr="00345E1D">
        <w:rPr>
          <w:lang w:eastAsia="en-AU"/>
        </w:rPr>
        <w:t>people</w:t>
      </w:r>
    </w:p>
    <w:p w14:paraId="35149553" w14:textId="77777777" w:rsidR="00124F13" w:rsidRDefault="00124F13">
      <w:pPr>
        <w:spacing w:after="0"/>
        <w:rPr>
          <w:lang w:eastAsia="en-AU"/>
        </w:rPr>
      </w:pPr>
      <w:r>
        <w:rPr>
          <w:lang w:eastAsia="en-AU"/>
        </w:rPr>
        <w:br w:type="page"/>
      </w:r>
    </w:p>
    <w:p w14:paraId="71B15629" w14:textId="77777777" w:rsidR="00606961" w:rsidRDefault="00606961" w:rsidP="002C75CD">
      <w:pPr>
        <w:pStyle w:val="Caption"/>
        <w:rPr>
          <w:lang w:eastAsia="en-AU"/>
        </w:rPr>
      </w:pPr>
      <w:bookmarkStart w:id="154" w:name="_Ref517246901"/>
      <w:bookmarkStart w:id="155" w:name="_Toc517707642"/>
      <w:bookmarkStart w:id="156" w:name="_Toc517788313"/>
      <w:bookmarkStart w:id="157" w:name="_Toc517793882"/>
      <w:bookmarkStart w:id="158" w:name="_Toc518042081"/>
      <w:bookmarkStart w:id="159" w:name="_Toc518653119"/>
      <w:bookmarkStart w:id="160" w:name="_Toc521064786"/>
      <w:r>
        <w:lastRenderedPageBreak/>
        <w:t xml:space="preserve">Table </w:t>
      </w:r>
      <w:r w:rsidR="007C0229">
        <w:fldChar w:fldCharType="begin"/>
      </w:r>
      <w:r w:rsidR="007C0229">
        <w:rPr>
          <w:bCs w:val="0"/>
        </w:rPr>
        <w:instrText xml:space="preserve"> SEQ Table \* ARABIC </w:instrText>
      </w:r>
      <w:r w:rsidR="007C0229">
        <w:fldChar w:fldCharType="separate"/>
      </w:r>
      <w:r w:rsidR="002777A8">
        <w:rPr>
          <w:bCs w:val="0"/>
          <w:noProof/>
        </w:rPr>
        <w:t>3</w:t>
      </w:r>
      <w:r w:rsidR="007C0229">
        <w:rPr>
          <w:noProof/>
        </w:rPr>
        <w:fldChar w:fldCharType="end"/>
      </w:r>
      <w:bookmarkEnd w:id="154"/>
      <w:r>
        <w:t xml:space="preserve"> </w:t>
      </w:r>
      <w:r w:rsidR="00784BA4">
        <w:t xml:space="preserve"> </w:t>
      </w:r>
      <w:r>
        <w:t xml:space="preserve">Summary of WWTPs </w:t>
      </w:r>
      <w:r w:rsidR="006B303F">
        <w:t xml:space="preserve">discharging </w:t>
      </w:r>
      <w:r>
        <w:t xml:space="preserve">to </w:t>
      </w:r>
      <w:r w:rsidR="006B303F">
        <w:t xml:space="preserve">freshwater </w:t>
      </w:r>
      <w:r>
        <w:t>in New Zealand</w:t>
      </w:r>
      <w:bookmarkEnd w:id="155"/>
      <w:bookmarkEnd w:id="156"/>
      <w:bookmarkEnd w:id="157"/>
      <w:bookmarkEnd w:id="158"/>
      <w:bookmarkEnd w:id="159"/>
      <w:bookmarkEnd w:id="160"/>
    </w:p>
    <w:tbl>
      <w:tblPr>
        <w:tblW w:w="8301" w:type="dxa"/>
        <w:tblInd w:w="567" w:type="dxa"/>
        <w:tblLayout w:type="fixed"/>
        <w:tblLook w:val="04A0" w:firstRow="1" w:lastRow="0" w:firstColumn="1" w:lastColumn="0" w:noHBand="0" w:noVBand="1"/>
      </w:tblPr>
      <w:tblGrid>
        <w:gridCol w:w="1556"/>
        <w:gridCol w:w="1348"/>
        <w:gridCol w:w="1349"/>
        <w:gridCol w:w="1348"/>
        <w:gridCol w:w="1349"/>
        <w:gridCol w:w="1351"/>
      </w:tblGrid>
      <w:tr w:rsidR="007B1549" w:rsidRPr="001E1EDA" w14:paraId="504EF97C" w14:textId="77777777" w:rsidTr="00033247">
        <w:trPr>
          <w:trHeight w:val="306"/>
        </w:trPr>
        <w:tc>
          <w:tcPr>
            <w:tcW w:w="1556" w:type="dxa"/>
            <w:vMerge w:val="restart"/>
            <w:tcBorders>
              <w:top w:val="nil"/>
              <w:left w:val="nil"/>
              <w:right w:val="single" w:sz="8" w:space="0" w:color="FFFFFF"/>
            </w:tcBorders>
            <w:shd w:val="clear" w:color="000000" w:fill="00599C"/>
            <w:noWrap/>
            <w:vAlign w:val="center"/>
          </w:tcPr>
          <w:p w14:paraId="3B4347E6" w14:textId="77777777" w:rsidR="007B1549" w:rsidRDefault="007B1549" w:rsidP="007B1549">
            <w:pPr>
              <w:spacing w:after="0"/>
              <w:rPr>
                <w:rFonts w:cs="Arial"/>
                <w:color w:val="FFFFFF"/>
                <w:szCs w:val="20"/>
                <w:lang w:val="en-NZ" w:eastAsia="en-NZ"/>
              </w:rPr>
            </w:pPr>
            <w:r>
              <w:rPr>
                <w:rFonts w:cs="Arial"/>
                <w:color w:val="FFFFFF"/>
                <w:szCs w:val="20"/>
                <w:lang w:val="en-NZ" w:eastAsia="en-NZ"/>
              </w:rPr>
              <w:t>Region</w:t>
            </w:r>
          </w:p>
        </w:tc>
        <w:tc>
          <w:tcPr>
            <w:tcW w:w="6745" w:type="dxa"/>
            <w:gridSpan w:val="5"/>
            <w:tcBorders>
              <w:top w:val="nil"/>
              <w:left w:val="nil"/>
              <w:bottom w:val="nil"/>
              <w:right w:val="single" w:sz="8" w:space="0" w:color="FFFFFF"/>
            </w:tcBorders>
            <w:shd w:val="clear" w:color="000000" w:fill="00599C"/>
            <w:noWrap/>
          </w:tcPr>
          <w:p w14:paraId="1F2A16B4" w14:textId="77777777" w:rsidR="007A017C" w:rsidRDefault="007B1549" w:rsidP="00033247">
            <w:pPr>
              <w:spacing w:after="0"/>
              <w:jc w:val="center"/>
              <w:rPr>
                <w:rFonts w:cs="Arial"/>
                <w:color w:val="FFFFFF"/>
                <w:szCs w:val="20"/>
                <w:lang w:val="en-NZ" w:eastAsia="en-NZ"/>
              </w:rPr>
            </w:pPr>
            <w:r>
              <w:rPr>
                <w:rFonts w:cs="Arial"/>
                <w:color w:val="FFFFFF"/>
                <w:szCs w:val="20"/>
                <w:lang w:val="en-NZ" w:eastAsia="en-NZ"/>
              </w:rPr>
              <w:t xml:space="preserve">No. of WWTPs in </w:t>
            </w:r>
            <w:r w:rsidR="00936F3F">
              <w:rPr>
                <w:rFonts w:cs="Arial"/>
                <w:color w:val="FFFFFF"/>
                <w:szCs w:val="20"/>
                <w:lang w:val="en-NZ" w:eastAsia="en-NZ"/>
              </w:rPr>
              <w:t>each population</w:t>
            </w:r>
            <w:r w:rsidR="00784BA4">
              <w:rPr>
                <w:rFonts w:cs="Arial"/>
                <w:color w:val="FFFFFF"/>
                <w:szCs w:val="20"/>
                <w:lang w:val="en-NZ" w:eastAsia="en-NZ"/>
              </w:rPr>
              <w:t xml:space="preserve"> category</w:t>
            </w:r>
          </w:p>
          <w:p w14:paraId="2CB5AA32" w14:textId="77777777" w:rsidR="007B1549" w:rsidRPr="001E1EDA" w:rsidRDefault="007B1549" w:rsidP="00784BA4">
            <w:pPr>
              <w:spacing w:after="0"/>
              <w:jc w:val="center"/>
              <w:rPr>
                <w:rFonts w:cs="Arial"/>
                <w:color w:val="FFFFFF"/>
                <w:szCs w:val="20"/>
                <w:lang w:val="en-NZ" w:eastAsia="en-NZ"/>
              </w:rPr>
            </w:pPr>
            <w:r>
              <w:rPr>
                <w:rFonts w:cs="Arial"/>
                <w:color w:val="FFFFFF"/>
                <w:szCs w:val="20"/>
                <w:lang w:val="en-NZ" w:eastAsia="en-NZ"/>
              </w:rPr>
              <w:t>(</w:t>
            </w:r>
            <w:r w:rsidR="007A017C">
              <w:rPr>
                <w:rFonts w:cs="Arial"/>
                <w:color w:val="FFFFFF"/>
                <w:szCs w:val="20"/>
                <w:lang w:val="en-NZ" w:eastAsia="en-NZ"/>
              </w:rPr>
              <w:t xml:space="preserve">Total / </w:t>
            </w:r>
            <w:r>
              <w:rPr>
                <w:rFonts w:cs="Arial"/>
                <w:color w:val="FFFFFF"/>
                <w:szCs w:val="20"/>
                <w:lang w:val="en-NZ" w:eastAsia="en-NZ"/>
              </w:rPr>
              <w:t>Fresh</w:t>
            </w:r>
            <w:r w:rsidR="00936F3F">
              <w:rPr>
                <w:rFonts w:cs="Arial"/>
                <w:color w:val="FFFFFF"/>
                <w:szCs w:val="20"/>
                <w:lang w:val="en-NZ" w:eastAsia="en-NZ"/>
              </w:rPr>
              <w:t>water</w:t>
            </w:r>
            <w:r>
              <w:rPr>
                <w:rFonts w:cs="Arial"/>
                <w:color w:val="FFFFFF"/>
                <w:szCs w:val="20"/>
                <w:lang w:val="en-NZ" w:eastAsia="en-NZ"/>
              </w:rPr>
              <w:t xml:space="preserve"> </w:t>
            </w:r>
            <w:r w:rsidR="00936F3F">
              <w:rPr>
                <w:rFonts w:cs="Arial"/>
                <w:color w:val="FFFFFF"/>
                <w:szCs w:val="20"/>
                <w:lang w:val="en-NZ" w:eastAsia="en-NZ"/>
              </w:rPr>
              <w:t xml:space="preserve">discharge </w:t>
            </w:r>
            <w:r>
              <w:rPr>
                <w:rFonts w:cs="Arial"/>
                <w:color w:val="FFFFFF"/>
                <w:szCs w:val="20"/>
                <w:lang w:val="en-NZ" w:eastAsia="en-NZ"/>
              </w:rPr>
              <w:t xml:space="preserve">/ </w:t>
            </w:r>
            <w:r w:rsidR="007A017C">
              <w:rPr>
                <w:rFonts w:cs="Arial"/>
                <w:color w:val="FFFFFF"/>
                <w:szCs w:val="20"/>
                <w:lang w:val="en-NZ" w:eastAsia="en-NZ"/>
              </w:rPr>
              <w:t xml:space="preserve">Upgrade </w:t>
            </w:r>
            <w:r w:rsidR="009279A6">
              <w:rPr>
                <w:rFonts w:cs="Arial"/>
                <w:color w:val="FFFFFF"/>
                <w:szCs w:val="20"/>
                <w:lang w:val="en-NZ" w:eastAsia="en-NZ"/>
              </w:rPr>
              <w:t xml:space="preserve">required </w:t>
            </w:r>
            <w:r w:rsidR="001017CE">
              <w:rPr>
                <w:rFonts w:cs="Arial"/>
                <w:color w:val="FFFFFF"/>
                <w:szCs w:val="20"/>
                <w:lang w:val="en-NZ" w:eastAsia="en-NZ"/>
              </w:rPr>
              <w:t>to meet NPS Freshwater</w:t>
            </w:r>
            <w:r w:rsidR="00976290">
              <w:rPr>
                <w:rFonts w:cs="Arial"/>
                <w:color w:val="FFFFFF"/>
                <w:szCs w:val="20"/>
                <w:lang w:val="en-NZ" w:eastAsia="en-NZ"/>
              </w:rPr>
              <w:t xml:space="preserve"> at </w:t>
            </w:r>
            <w:r w:rsidR="009279A6">
              <w:rPr>
                <w:rFonts w:cs="Arial"/>
                <w:color w:val="FFFFFF"/>
                <w:szCs w:val="20"/>
                <w:lang w:val="en-NZ" w:eastAsia="en-NZ"/>
              </w:rPr>
              <w:t>discharge</w:t>
            </w:r>
            <w:r>
              <w:rPr>
                <w:rFonts w:cs="Arial"/>
                <w:color w:val="FFFFFF"/>
                <w:szCs w:val="20"/>
                <w:lang w:val="en-NZ" w:eastAsia="en-NZ"/>
              </w:rPr>
              <w:t>)</w:t>
            </w:r>
          </w:p>
        </w:tc>
      </w:tr>
      <w:tr w:rsidR="007B1549" w:rsidRPr="001E1EDA" w14:paraId="6FAA75E7" w14:textId="77777777" w:rsidTr="00033247">
        <w:trPr>
          <w:trHeight w:val="306"/>
        </w:trPr>
        <w:tc>
          <w:tcPr>
            <w:tcW w:w="1556" w:type="dxa"/>
            <w:vMerge/>
            <w:tcBorders>
              <w:left w:val="nil"/>
              <w:bottom w:val="nil"/>
              <w:right w:val="single" w:sz="8" w:space="0" w:color="FFFFFF"/>
            </w:tcBorders>
            <w:shd w:val="clear" w:color="000000" w:fill="00599C"/>
            <w:noWrap/>
            <w:vAlign w:val="center"/>
            <w:hideMark/>
          </w:tcPr>
          <w:p w14:paraId="00C5E22B" w14:textId="77777777" w:rsidR="007B1549" w:rsidRPr="001E1EDA" w:rsidRDefault="007B1549" w:rsidP="007B1549">
            <w:pPr>
              <w:spacing w:after="0"/>
              <w:rPr>
                <w:rFonts w:cs="Arial"/>
                <w:color w:val="FFFFFF"/>
                <w:szCs w:val="20"/>
                <w:lang w:val="en-NZ" w:eastAsia="en-NZ"/>
              </w:rPr>
            </w:pPr>
          </w:p>
        </w:tc>
        <w:tc>
          <w:tcPr>
            <w:tcW w:w="1348" w:type="dxa"/>
            <w:tcBorders>
              <w:top w:val="nil"/>
              <w:left w:val="nil"/>
              <w:bottom w:val="nil"/>
              <w:right w:val="single" w:sz="8" w:space="0" w:color="FFFFFF"/>
            </w:tcBorders>
            <w:shd w:val="clear" w:color="000000" w:fill="00599C"/>
            <w:noWrap/>
            <w:hideMark/>
          </w:tcPr>
          <w:p w14:paraId="4282301D" w14:textId="77777777" w:rsidR="007B1549" w:rsidRDefault="007B1549" w:rsidP="00033247">
            <w:pPr>
              <w:spacing w:after="0"/>
              <w:jc w:val="center"/>
              <w:rPr>
                <w:rFonts w:cs="Arial"/>
                <w:color w:val="FFFFFF"/>
                <w:szCs w:val="20"/>
                <w:lang w:val="en-NZ" w:eastAsia="en-NZ"/>
              </w:rPr>
            </w:pPr>
            <w:r w:rsidRPr="001E1EDA">
              <w:rPr>
                <w:rFonts w:cs="Arial"/>
                <w:color w:val="FFFFFF"/>
                <w:szCs w:val="20"/>
                <w:lang w:val="en-NZ" w:eastAsia="en-NZ"/>
              </w:rPr>
              <w:t>Large</w:t>
            </w:r>
          </w:p>
          <w:p w14:paraId="177C8D9F" w14:textId="77777777" w:rsidR="007B1549" w:rsidRPr="001E1EDA" w:rsidRDefault="007B1549" w:rsidP="00033247">
            <w:pPr>
              <w:spacing w:after="0"/>
              <w:jc w:val="center"/>
              <w:rPr>
                <w:rFonts w:cs="Arial"/>
                <w:color w:val="FFFFFF"/>
                <w:szCs w:val="20"/>
                <w:lang w:val="en-NZ" w:eastAsia="en-NZ"/>
              </w:rPr>
            </w:pPr>
            <w:r w:rsidRPr="001E1EDA">
              <w:rPr>
                <w:rFonts w:cs="Arial"/>
                <w:color w:val="FFFFFF"/>
                <w:szCs w:val="20"/>
                <w:lang w:val="en-NZ" w:eastAsia="en-NZ"/>
              </w:rPr>
              <w:t>(&gt;10,000)</w:t>
            </w:r>
          </w:p>
        </w:tc>
        <w:tc>
          <w:tcPr>
            <w:tcW w:w="1349" w:type="dxa"/>
            <w:tcBorders>
              <w:top w:val="nil"/>
              <w:left w:val="nil"/>
              <w:bottom w:val="nil"/>
              <w:right w:val="single" w:sz="8" w:space="0" w:color="FFFFFF"/>
            </w:tcBorders>
            <w:shd w:val="clear" w:color="000000" w:fill="00599C"/>
            <w:noWrap/>
            <w:hideMark/>
          </w:tcPr>
          <w:p w14:paraId="2051DDD6" w14:textId="77777777" w:rsidR="007B1549" w:rsidRDefault="007B1549" w:rsidP="00033247">
            <w:pPr>
              <w:spacing w:after="0"/>
              <w:jc w:val="center"/>
              <w:rPr>
                <w:rFonts w:cs="Arial"/>
                <w:color w:val="FFFFFF"/>
                <w:szCs w:val="20"/>
                <w:lang w:val="en-NZ" w:eastAsia="en-NZ"/>
              </w:rPr>
            </w:pPr>
            <w:r w:rsidRPr="001E1EDA">
              <w:rPr>
                <w:rFonts w:cs="Arial"/>
                <w:color w:val="FFFFFF"/>
                <w:szCs w:val="20"/>
                <w:lang w:val="en-NZ" w:eastAsia="en-NZ"/>
              </w:rPr>
              <w:t>Medium</w:t>
            </w:r>
          </w:p>
          <w:p w14:paraId="7FB822BF" w14:textId="77777777" w:rsidR="007B1549" w:rsidRPr="001E1EDA" w:rsidRDefault="007B1549" w:rsidP="00033247">
            <w:pPr>
              <w:spacing w:after="0"/>
              <w:jc w:val="center"/>
              <w:rPr>
                <w:rFonts w:cs="Arial"/>
                <w:color w:val="FFFFFF"/>
                <w:szCs w:val="20"/>
                <w:lang w:val="en-NZ" w:eastAsia="en-NZ"/>
              </w:rPr>
            </w:pPr>
            <w:r w:rsidRPr="001E1EDA">
              <w:rPr>
                <w:rFonts w:cs="Arial"/>
                <w:color w:val="FFFFFF"/>
                <w:szCs w:val="20"/>
                <w:lang w:val="en-NZ" w:eastAsia="en-NZ"/>
              </w:rPr>
              <w:t>(5,001 – 10,000)</w:t>
            </w:r>
          </w:p>
        </w:tc>
        <w:tc>
          <w:tcPr>
            <w:tcW w:w="1348" w:type="dxa"/>
            <w:tcBorders>
              <w:top w:val="nil"/>
              <w:left w:val="nil"/>
              <w:bottom w:val="nil"/>
              <w:right w:val="single" w:sz="8" w:space="0" w:color="FFFFFF"/>
            </w:tcBorders>
            <w:shd w:val="clear" w:color="000000" w:fill="00599C"/>
            <w:noWrap/>
            <w:hideMark/>
          </w:tcPr>
          <w:p w14:paraId="5619E894" w14:textId="77777777" w:rsidR="007B1549" w:rsidRDefault="007B1549" w:rsidP="00033247">
            <w:pPr>
              <w:spacing w:after="0"/>
              <w:jc w:val="center"/>
              <w:rPr>
                <w:rFonts w:cs="Arial"/>
                <w:color w:val="FFFFFF"/>
                <w:szCs w:val="20"/>
                <w:lang w:val="en-NZ" w:eastAsia="en-NZ"/>
              </w:rPr>
            </w:pPr>
            <w:r w:rsidRPr="001E1EDA">
              <w:rPr>
                <w:rFonts w:cs="Arial"/>
                <w:color w:val="FFFFFF"/>
                <w:szCs w:val="20"/>
                <w:lang w:val="en-NZ" w:eastAsia="en-NZ"/>
              </w:rPr>
              <w:t>Minor</w:t>
            </w:r>
          </w:p>
          <w:p w14:paraId="3AFC64E3" w14:textId="77777777" w:rsidR="007B1549" w:rsidRPr="001E1EDA" w:rsidRDefault="007B1549" w:rsidP="00033247">
            <w:pPr>
              <w:spacing w:after="0"/>
              <w:jc w:val="center"/>
              <w:rPr>
                <w:rFonts w:cs="Arial"/>
                <w:color w:val="FFFFFF"/>
                <w:szCs w:val="20"/>
                <w:lang w:val="en-NZ" w:eastAsia="en-NZ"/>
              </w:rPr>
            </w:pPr>
            <w:r w:rsidRPr="001E1EDA">
              <w:rPr>
                <w:rFonts w:cs="Arial"/>
                <w:color w:val="FFFFFF"/>
                <w:szCs w:val="20"/>
                <w:lang w:val="en-NZ" w:eastAsia="en-NZ"/>
              </w:rPr>
              <w:t>(501 – 5,000)</w:t>
            </w:r>
          </w:p>
        </w:tc>
        <w:tc>
          <w:tcPr>
            <w:tcW w:w="1349" w:type="dxa"/>
            <w:tcBorders>
              <w:top w:val="nil"/>
              <w:left w:val="nil"/>
              <w:bottom w:val="nil"/>
              <w:right w:val="single" w:sz="8" w:space="0" w:color="FFFFFF"/>
            </w:tcBorders>
            <w:shd w:val="clear" w:color="000000" w:fill="00599C"/>
            <w:noWrap/>
            <w:hideMark/>
          </w:tcPr>
          <w:p w14:paraId="7FB71A40" w14:textId="77777777" w:rsidR="007B1549" w:rsidRDefault="007B1549" w:rsidP="00033247">
            <w:pPr>
              <w:spacing w:after="0"/>
              <w:jc w:val="center"/>
              <w:rPr>
                <w:rFonts w:cs="Arial"/>
                <w:color w:val="FFFFFF"/>
                <w:szCs w:val="20"/>
                <w:lang w:val="en-NZ" w:eastAsia="en-NZ"/>
              </w:rPr>
            </w:pPr>
            <w:r w:rsidRPr="001E1EDA">
              <w:rPr>
                <w:rFonts w:cs="Arial"/>
                <w:color w:val="FFFFFF"/>
                <w:szCs w:val="20"/>
                <w:lang w:val="en-NZ" w:eastAsia="en-NZ"/>
              </w:rPr>
              <w:t>Small</w:t>
            </w:r>
          </w:p>
          <w:p w14:paraId="2E76F586" w14:textId="77777777" w:rsidR="007B1549" w:rsidRPr="001E1EDA" w:rsidRDefault="007B1549" w:rsidP="00033247">
            <w:pPr>
              <w:spacing w:after="0"/>
              <w:jc w:val="center"/>
              <w:rPr>
                <w:rFonts w:cs="Arial"/>
                <w:color w:val="FFFFFF"/>
                <w:szCs w:val="20"/>
                <w:lang w:val="en-NZ" w:eastAsia="en-NZ"/>
              </w:rPr>
            </w:pPr>
            <w:r w:rsidRPr="001E1EDA">
              <w:rPr>
                <w:rFonts w:cs="Arial"/>
                <w:color w:val="FFFFFF"/>
                <w:szCs w:val="20"/>
                <w:lang w:val="en-NZ" w:eastAsia="en-NZ"/>
              </w:rPr>
              <w:t>(&lt;</w:t>
            </w:r>
            <w:r w:rsidR="008F6995" w:rsidRPr="001E1EDA">
              <w:rPr>
                <w:rFonts w:cs="Arial"/>
                <w:color w:val="FFFFFF"/>
                <w:szCs w:val="20"/>
                <w:lang w:val="en-NZ" w:eastAsia="en-NZ"/>
              </w:rPr>
              <w:t>50</w:t>
            </w:r>
            <w:r w:rsidR="008F6995">
              <w:rPr>
                <w:rFonts w:cs="Arial"/>
                <w:color w:val="FFFFFF"/>
                <w:szCs w:val="20"/>
                <w:lang w:val="en-NZ" w:eastAsia="en-NZ"/>
              </w:rPr>
              <w:t>1</w:t>
            </w:r>
            <w:r w:rsidRPr="001E1EDA">
              <w:rPr>
                <w:rFonts w:cs="Arial"/>
                <w:color w:val="FFFFFF"/>
                <w:szCs w:val="20"/>
                <w:lang w:val="en-NZ" w:eastAsia="en-NZ"/>
              </w:rPr>
              <w:t>)</w:t>
            </w:r>
          </w:p>
        </w:tc>
        <w:tc>
          <w:tcPr>
            <w:tcW w:w="1349" w:type="dxa"/>
            <w:tcBorders>
              <w:top w:val="nil"/>
              <w:left w:val="nil"/>
              <w:bottom w:val="nil"/>
              <w:right w:val="single" w:sz="8" w:space="0" w:color="FFFFFF"/>
            </w:tcBorders>
            <w:shd w:val="clear" w:color="000000" w:fill="00599C"/>
            <w:noWrap/>
            <w:hideMark/>
          </w:tcPr>
          <w:p w14:paraId="24B5DB4A" w14:textId="77777777" w:rsidR="007B1549" w:rsidRPr="001E1EDA" w:rsidRDefault="007B1549" w:rsidP="00033247">
            <w:pPr>
              <w:spacing w:after="0"/>
              <w:jc w:val="center"/>
              <w:rPr>
                <w:rFonts w:cs="Arial"/>
                <w:color w:val="FFFFFF"/>
                <w:szCs w:val="20"/>
                <w:lang w:val="en-NZ" w:eastAsia="en-NZ"/>
              </w:rPr>
            </w:pPr>
            <w:r w:rsidRPr="001E1EDA">
              <w:rPr>
                <w:rFonts w:cs="Arial"/>
                <w:color w:val="FFFFFF"/>
                <w:szCs w:val="20"/>
                <w:lang w:val="en-NZ" w:eastAsia="en-NZ"/>
              </w:rPr>
              <w:t>Total</w:t>
            </w:r>
          </w:p>
        </w:tc>
      </w:tr>
      <w:tr w:rsidR="007B1549" w:rsidRPr="001E1EDA" w14:paraId="03D85BEF" w14:textId="77777777" w:rsidTr="00E66F34">
        <w:trPr>
          <w:trHeight w:val="306"/>
        </w:trPr>
        <w:tc>
          <w:tcPr>
            <w:tcW w:w="1556" w:type="dxa"/>
            <w:tcBorders>
              <w:top w:val="single" w:sz="8" w:space="0" w:color="FFFFFF"/>
              <w:left w:val="single" w:sz="8" w:space="0" w:color="FFFFFF"/>
              <w:bottom w:val="single" w:sz="8" w:space="0" w:color="FFFFFF"/>
              <w:right w:val="single" w:sz="8" w:space="0" w:color="FFFFFF"/>
            </w:tcBorders>
            <w:shd w:val="clear" w:color="000000" w:fill="E7E7E8"/>
            <w:noWrap/>
            <w:vAlign w:val="center"/>
            <w:hideMark/>
          </w:tcPr>
          <w:p w14:paraId="797A1ED1" w14:textId="77777777" w:rsidR="007B1549" w:rsidRPr="00B818DC" w:rsidRDefault="007B1549" w:rsidP="007B1549">
            <w:pPr>
              <w:spacing w:after="0"/>
              <w:rPr>
                <w:rFonts w:cs="Arial"/>
                <w:color w:val="000000"/>
                <w:szCs w:val="20"/>
                <w:lang w:val="en-NZ" w:eastAsia="en-NZ"/>
              </w:rPr>
            </w:pPr>
            <w:r w:rsidRPr="00B818DC">
              <w:rPr>
                <w:rFonts w:cs="Arial"/>
                <w:color w:val="000000"/>
                <w:szCs w:val="20"/>
                <w:lang w:val="en-NZ" w:eastAsia="en-NZ"/>
              </w:rPr>
              <w:t>Auckland</w:t>
            </w:r>
          </w:p>
        </w:tc>
        <w:tc>
          <w:tcPr>
            <w:tcW w:w="1348" w:type="dxa"/>
            <w:tcBorders>
              <w:top w:val="single" w:sz="8" w:space="0" w:color="FFFFFF"/>
              <w:left w:val="nil"/>
              <w:bottom w:val="single" w:sz="8" w:space="0" w:color="FFFFFF"/>
              <w:right w:val="single" w:sz="8" w:space="0" w:color="FFFFFF"/>
            </w:tcBorders>
            <w:shd w:val="clear" w:color="000000" w:fill="E7E7E8"/>
            <w:noWrap/>
            <w:vAlign w:val="center"/>
            <w:hideMark/>
          </w:tcPr>
          <w:p w14:paraId="5CFD3A86"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3 / </w:t>
            </w:r>
            <w:r w:rsidR="007B1549" w:rsidRPr="00B818DC">
              <w:rPr>
                <w:rFonts w:cs="Arial"/>
                <w:color w:val="000000"/>
                <w:szCs w:val="20"/>
              </w:rPr>
              <w:t xml:space="preserve">0 / </w:t>
            </w:r>
            <w:r w:rsidRPr="00B818DC">
              <w:rPr>
                <w:rFonts w:cs="Arial"/>
                <w:color w:val="000000"/>
                <w:szCs w:val="20"/>
              </w:rPr>
              <w:t>0</w:t>
            </w:r>
          </w:p>
        </w:tc>
        <w:tc>
          <w:tcPr>
            <w:tcW w:w="1349" w:type="dxa"/>
            <w:tcBorders>
              <w:top w:val="single" w:sz="8" w:space="0" w:color="FFFFFF"/>
              <w:left w:val="nil"/>
              <w:bottom w:val="single" w:sz="8" w:space="0" w:color="FFFFFF"/>
              <w:right w:val="single" w:sz="8" w:space="0" w:color="FFFFFF"/>
            </w:tcBorders>
            <w:shd w:val="clear" w:color="000000" w:fill="E7E7E8"/>
            <w:noWrap/>
            <w:vAlign w:val="center"/>
            <w:hideMark/>
          </w:tcPr>
          <w:p w14:paraId="79BB1798" w14:textId="77777777" w:rsidR="007B1549" w:rsidRPr="00B818DC" w:rsidRDefault="007B1549" w:rsidP="00E66F34">
            <w:pPr>
              <w:spacing w:after="0"/>
              <w:jc w:val="center"/>
              <w:rPr>
                <w:rFonts w:cs="Arial"/>
                <w:color w:val="000000"/>
                <w:szCs w:val="20"/>
                <w:lang w:val="en-NZ" w:eastAsia="en-NZ"/>
              </w:rPr>
            </w:pPr>
            <w:r w:rsidRPr="00B818DC">
              <w:rPr>
                <w:rFonts w:cs="Arial"/>
                <w:color w:val="000000"/>
                <w:szCs w:val="20"/>
              </w:rPr>
              <w:t>1 / 1</w:t>
            </w:r>
            <w:r w:rsidR="007A017C" w:rsidRPr="00B818DC">
              <w:rPr>
                <w:rFonts w:cs="Arial"/>
                <w:color w:val="000000"/>
                <w:szCs w:val="20"/>
              </w:rPr>
              <w:t xml:space="preserve"> / 0</w:t>
            </w:r>
          </w:p>
        </w:tc>
        <w:tc>
          <w:tcPr>
            <w:tcW w:w="1348" w:type="dxa"/>
            <w:tcBorders>
              <w:top w:val="single" w:sz="8" w:space="0" w:color="FFFFFF"/>
              <w:left w:val="nil"/>
              <w:bottom w:val="single" w:sz="8" w:space="0" w:color="FFFFFF"/>
              <w:right w:val="single" w:sz="8" w:space="0" w:color="FFFFFF"/>
            </w:tcBorders>
            <w:shd w:val="clear" w:color="000000" w:fill="E7E7E8"/>
            <w:noWrap/>
            <w:vAlign w:val="center"/>
            <w:hideMark/>
          </w:tcPr>
          <w:p w14:paraId="19851829"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8 / </w:t>
            </w:r>
            <w:r w:rsidR="007B1549" w:rsidRPr="00B818DC">
              <w:rPr>
                <w:rFonts w:cs="Arial"/>
                <w:color w:val="000000"/>
                <w:szCs w:val="20"/>
              </w:rPr>
              <w:t xml:space="preserve">4 / </w:t>
            </w:r>
            <w:r w:rsidRPr="00B818DC">
              <w:rPr>
                <w:rFonts w:cs="Arial"/>
                <w:color w:val="000000"/>
                <w:szCs w:val="20"/>
              </w:rPr>
              <w:t>3</w:t>
            </w:r>
          </w:p>
        </w:tc>
        <w:tc>
          <w:tcPr>
            <w:tcW w:w="1349" w:type="dxa"/>
            <w:tcBorders>
              <w:top w:val="single" w:sz="8" w:space="0" w:color="FFFFFF"/>
              <w:left w:val="nil"/>
              <w:bottom w:val="single" w:sz="8" w:space="0" w:color="FFFFFF"/>
              <w:right w:val="single" w:sz="8" w:space="0" w:color="FFFFFF"/>
            </w:tcBorders>
            <w:shd w:val="clear" w:color="000000" w:fill="E7E7E8"/>
            <w:noWrap/>
            <w:vAlign w:val="center"/>
            <w:hideMark/>
          </w:tcPr>
          <w:p w14:paraId="21FC8CA0"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5 / </w:t>
            </w:r>
            <w:r w:rsidR="007B1549" w:rsidRPr="00B818DC">
              <w:rPr>
                <w:rFonts w:cs="Arial"/>
                <w:color w:val="000000"/>
                <w:szCs w:val="20"/>
              </w:rPr>
              <w:t xml:space="preserve">1 / </w:t>
            </w:r>
            <w:r w:rsidRPr="00B818DC">
              <w:rPr>
                <w:rFonts w:cs="Arial"/>
                <w:color w:val="000000"/>
                <w:szCs w:val="20"/>
              </w:rPr>
              <w:t>1</w:t>
            </w:r>
          </w:p>
        </w:tc>
        <w:tc>
          <w:tcPr>
            <w:tcW w:w="1351" w:type="dxa"/>
            <w:tcBorders>
              <w:top w:val="single" w:sz="8" w:space="0" w:color="FFFFFF"/>
              <w:left w:val="nil"/>
              <w:bottom w:val="single" w:sz="8" w:space="0" w:color="FFFFFF"/>
              <w:right w:val="single" w:sz="8" w:space="0" w:color="FFFFFF"/>
            </w:tcBorders>
            <w:shd w:val="clear" w:color="000000" w:fill="E7E7E8"/>
            <w:noWrap/>
            <w:vAlign w:val="center"/>
            <w:hideMark/>
          </w:tcPr>
          <w:p w14:paraId="70ABA4A6"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17 / </w:t>
            </w:r>
            <w:r w:rsidR="007B1549" w:rsidRPr="00B818DC">
              <w:rPr>
                <w:rFonts w:cs="Arial"/>
                <w:color w:val="000000"/>
                <w:szCs w:val="20"/>
              </w:rPr>
              <w:t xml:space="preserve">6 / </w:t>
            </w:r>
            <w:r w:rsidRPr="00B818DC">
              <w:rPr>
                <w:rFonts w:cs="Arial"/>
                <w:color w:val="000000"/>
                <w:szCs w:val="20"/>
              </w:rPr>
              <w:t>4</w:t>
            </w:r>
          </w:p>
        </w:tc>
      </w:tr>
      <w:tr w:rsidR="007B1549" w:rsidRPr="001E1EDA" w14:paraId="58A50B72" w14:textId="77777777" w:rsidTr="00E66F34">
        <w:trPr>
          <w:trHeight w:val="306"/>
        </w:trPr>
        <w:tc>
          <w:tcPr>
            <w:tcW w:w="1556" w:type="dxa"/>
            <w:tcBorders>
              <w:top w:val="nil"/>
              <w:left w:val="single" w:sz="8" w:space="0" w:color="FFFFFF"/>
              <w:bottom w:val="single" w:sz="8" w:space="0" w:color="FFFFFF"/>
              <w:right w:val="single" w:sz="8" w:space="0" w:color="FFFFFF"/>
            </w:tcBorders>
            <w:shd w:val="clear" w:color="000000" w:fill="E7E7E8"/>
            <w:noWrap/>
            <w:vAlign w:val="center"/>
            <w:hideMark/>
          </w:tcPr>
          <w:p w14:paraId="1E4B9B65" w14:textId="77777777" w:rsidR="007B1549" w:rsidRPr="00B818DC" w:rsidRDefault="007B1549" w:rsidP="007B1549">
            <w:pPr>
              <w:spacing w:after="0"/>
              <w:rPr>
                <w:rFonts w:cs="Arial"/>
                <w:color w:val="000000"/>
                <w:szCs w:val="20"/>
                <w:lang w:val="en-NZ" w:eastAsia="en-NZ"/>
              </w:rPr>
            </w:pPr>
            <w:r w:rsidRPr="00B818DC">
              <w:rPr>
                <w:rFonts w:cs="Arial"/>
                <w:color w:val="000000"/>
                <w:szCs w:val="20"/>
                <w:lang w:val="en-NZ" w:eastAsia="en-NZ"/>
              </w:rPr>
              <w:t>Bay of Plenty</w:t>
            </w:r>
          </w:p>
        </w:tc>
        <w:tc>
          <w:tcPr>
            <w:tcW w:w="1348" w:type="dxa"/>
            <w:tcBorders>
              <w:top w:val="nil"/>
              <w:left w:val="nil"/>
              <w:bottom w:val="single" w:sz="8" w:space="0" w:color="FFFFFF"/>
              <w:right w:val="single" w:sz="8" w:space="0" w:color="FFFFFF"/>
            </w:tcBorders>
            <w:shd w:val="clear" w:color="000000" w:fill="E7E7E8"/>
            <w:noWrap/>
            <w:vAlign w:val="center"/>
            <w:hideMark/>
          </w:tcPr>
          <w:p w14:paraId="559534AD"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4 / </w:t>
            </w:r>
            <w:r w:rsidR="007B1549" w:rsidRPr="00B818DC">
              <w:rPr>
                <w:rFonts w:cs="Arial"/>
                <w:color w:val="000000"/>
                <w:szCs w:val="20"/>
              </w:rPr>
              <w:t xml:space="preserve">0 / </w:t>
            </w:r>
            <w:r w:rsidRPr="00B818DC">
              <w:rPr>
                <w:rFonts w:cs="Arial"/>
                <w:color w:val="000000"/>
                <w:szCs w:val="20"/>
              </w:rPr>
              <w:t>0</w:t>
            </w:r>
          </w:p>
        </w:tc>
        <w:tc>
          <w:tcPr>
            <w:tcW w:w="1349" w:type="dxa"/>
            <w:tcBorders>
              <w:top w:val="nil"/>
              <w:left w:val="nil"/>
              <w:bottom w:val="single" w:sz="8" w:space="0" w:color="FFFFFF"/>
              <w:right w:val="single" w:sz="8" w:space="0" w:color="FFFFFF"/>
            </w:tcBorders>
            <w:shd w:val="clear" w:color="000000" w:fill="E7E7E8"/>
            <w:noWrap/>
            <w:vAlign w:val="center"/>
            <w:hideMark/>
          </w:tcPr>
          <w:p w14:paraId="5812B985"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3 / </w:t>
            </w:r>
            <w:r w:rsidR="007B1549" w:rsidRPr="00B818DC">
              <w:rPr>
                <w:rFonts w:cs="Arial"/>
                <w:color w:val="000000"/>
                <w:szCs w:val="20"/>
              </w:rPr>
              <w:t xml:space="preserve">2 / </w:t>
            </w:r>
            <w:r w:rsidRPr="00B818DC">
              <w:rPr>
                <w:rFonts w:cs="Arial"/>
                <w:color w:val="000000"/>
                <w:szCs w:val="20"/>
              </w:rPr>
              <w:t>2</w:t>
            </w:r>
          </w:p>
        </w:tc>
        <w:tc>
          <w:tcPr>
            <w:tcW w:w="1348" w:type="dxa"/>
            <w:tcBorders>
              <w:top w:val="nil"/>
              <w:left w:val="nil"/>
              <w:bottom w:val="single" w:sz="8" w:space="0" w:color="FFFFFF"/>
              <w:right w:val="single" w:sz="8" w:space="0" w:color="FFFFFF"/>
            </w:tcBorders>
            <w:shd w:val="clear" w:color="000000" w:fill="E7E7E8"/>
            <w:noWrap/>
            <w:vAlign w:val="center"/>
            <w:hideMark/>
          </w:tcPr>
          <w:p w14:paraId="61641A00"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7 / </w:t>
            </w:r>
            <w:r w:rsidR="007B1549" w:rsidRPr="00B818DC">
              <w:rPr>
                <w:rFonts w:cs="Arial"/>
                <w:color w:val="000000"/>
                <w:szCs w:val="20"/>
              </w:rPr>
              <w:t xml:space="preserve">3 / </w:t>
            </w:r>
            <w:r w:rsidRPr="00B818DC">
              <w:rPr>
                <w:rFonts w:cs="Arial"/>
                <w:color w:val="000000"/>
                <w:szCs w:val="20"/>
              </w:rPr>
              <w:t>3</w:t>
            </w:r>
          </w:p>
        </w:tc>
        <w:tc>
          <w:tcPr>
            <w:tcW w:w="1349" w:type="dxa"/>
            <w:tcBorders>
              <w:top w:val="nil"/>
              <w:left w:val="nil"/>
              <w:bottom w:val="single" w:sz="8" w:space="0" w:color="FFFFFF"/>
              <w:right w:val="single" w:sz="8" w:space="0" w:color="FFFFFF"/>
            </w:tcBorders>
            <w:shd w:val="clear" w:color="000000" w:fill="E7E7E8"/>
            <w:noWrap/>
            <w:vAlign w:val="center"/>
            <w:hideMark/>
          </w:tcPr>
          <w:p w14:paraId="58466769"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2 / </w:t>
            </w:r>
            <w:r w:rsidR="007B1549" w:rsidRPr="00B818DC">
              <w:rPr>
                <w:rFonts w:cs="Arial"/>
                <w:color w:val="000000"/>
                <w:szCs w:val="20"/>
              </w:rPr>
              <w:t xml:space="preserve">1 / </w:t>
            </w:r>
            <w:r w:rsidRPr="00B818DC">
              <w:rPr>
                <w:rFonts w:cs="Arial"/>
                <w:color w:val="000000"/>
                <w:szCs w:val="20"/>
              </w:rPr>
              <w:t>1</w:t>
            </w:r>
          </w:p>
        </w:tc>
        <w:tc>
          <w:tcPr>
            <w:tcW w:w="1351" w:type="dxa"/>
            <w:tcBorders>
              <w:top w:val="nil"/>
              <w:left w:val="nil"/>
              <w:bottom w:val="single" w:sz="8" w:space="0" w:color="FFFFFF"/>
              <w:right w:val="single" w:sz="8" w:space="0" w:color="FFFFFF"/>
            </w:tcBorders>
            <w:shd w:val="clear" w:color="000000" w:fill="E7E7E8"/>
            <w:noWrap/>
            <w:vAlign w:val="center"/>
            <w:hideMark/>
          </w:tcPr>
          <w:p w14:paraId="1FFA1930"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16 / </w:t>
            </w:r>
            <w:r w:rsidR="007B1549" w:rsidRPr="00B818DC">
              <w:rPr>
                <w:rFonts w:cs="Arial"/>
                <w:color w:val="000000"/>
                <w:szCs w:val="20"/>
              </w:rPr>
              <w:t xml:space="preserve">6 / </w:t>
            </w:r>
            <w:r w:rsidRPr="00B818DC">
              <w:rPr>
                <w:rFonts w:cs="Arial"/>
                <w:color w:val="000000"/>
                <w:szCs w:val="20"/>
              </w:rPr>
              <w:t>6</w:t>
            </w:r>
          </w:p>
        </w:tc>
      </w:tr>
      <w:tr w:rsidR="007B1549" w:rsidRPr="001E1EDA" w14:paraId="02325D81" w14:textId="77777777" w:rsidTr="00E66F34">
        <w:trPr>
          <w:trHeight w:val="306"/>
        </w:trPr>
        <w:tc>
          <w:tcPr>
            <w:tcW w:w="1556" w:type="dxa"/>
            <w:tcBorders>
              <w:top w:val="nil"/>
              <w:left w:val="single" w:sz="8" w:space="0" w:color="FFFFFF"/>
              <w:bottom w:val="single" w:sz="8" w:space="0" w:color="FFFFFF"/>
              <w:right w:val="single" w:sz="8" w:space="0" w:color="FFFFFF"/>
            </w:tcBorders>
            <w:shd w:val="clear" w:color="000000" w:fill="E7E7E8"/>
            <w:noWrap/>
            <w:vAlign w:val="center"/>
            <w:hideMark/>
          </w:tcPr>
          <w:p w14:paraId="4EB4F96B" w14:textId="77777777" w:rsidR="007B1549" w:rsidRPr="00B818DC" w:rsidRDefault="007B1549" w:rsidP="007B1549">
            <w:pPr>
              <w:spacing w:after="0"/>
              <w:rPr>
                <w:rFonts w:cs="Arial"/>
                <w:color w:val="000000"/>
                <w:szCs w:val="20"/>
                <w:lang w:val="en-NZ" w:eastAsia="en-NZ"/>
              </w:rPr>
            </w:pPr>
            <w:r w:rsidRPr="00B818DC">
              <w:rPr>
                <w:rFonts w:cs="Arial"/>
                <w:color w:val="000000"/>
                <w:szCs w:val="20"/>
                <w:lang w:val="en-NZ" w:eastAsia="en-NZ"/>
              </w:rPr>
              <w:t>Canterbury</w:t>
            </w:r>
          </w:p>
        </w:tc>
        <w:tc>
          <w:tcPr>
            <w:tcW w:w="1348" w:type="dxa"/>
            <w:tcBorders>
              <w:top w:val="nil"/>
              <w:left w:val="nil"/>
              <w:bottom w:val="single" w:sz="8" w:space="0" w:color="FFFFFF"/>
              <w:right w:val="single" w:sz="8" w:space="0" w:color="FFFFFF"/>
            </w:tcBorders>
            <w:shd w:val="clear" w:color="000000" w:fill="E7E7E8"/>
            <w:noWrap/>
            <w:vAlign w:val="center"/>
            <w:hideMark/>
          </w:tcPr>
          <w:p w14:paraId="0FD15205"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7 / </w:t>
            </w:r>
            <w:r w:rsidR="007B1549" w:rsidRPr="00B818DC">
              <w:rPr>
                <w:rFonts w:cs="Arial"/>
                <w:color w:val="000000"/>
                <w:szCs w:val="20"/>
              </w:rPr>
              <w:t xml:space="preserve">0 / </w:t>
            </w:r>
            <w:r w:rsidRPr="00B818DC">
              <w:rPr>
                <w:rFonts w:cs="Arial"/>
                <w:color w:val="000000"/>
                <w:szCs w:val="20"/>
              </w:rPr>
              <w:t>0</w:t>
            </w:r>
          </w:p>
        </w:tc>
        <w:tc>
          <w:tcPr>
            <w:tcW w:w="1349" w:type="dxa"/>
            <w:tcBorders>
              <w:top w:val="nil"/>
              <w:left w:val="nil"/>
              <w:bottom w:val="single" w:sz="8" w:space="0" w:color="FFFFFF"/>
              <w:right w:val="single" w:sz="8" w:space="0" w:color="FFFFFF"/>
            </w:tcBorders>
            <w:shd w:val="clear" w:color="000000" w:fill="E7E7E8"/>
            <w:noWrap/>
            <w:vAlign w:val="center"/>
            <w:hideMark/>
          </w:tcPr>
          <w:p w14:paraId="6C443C9E" w14:textId="77777777" w:rsidR="007B1549" w:rsidRPr="00B818DC" w:rsidRDefault="007B1549" w:rsidP="00E66F34">
            <w:pPr>
              <w:spacing w:after="0"/>
              <w:jc w:val="center"/>
              <w:rPr>
                <w:rFonts w:cs="Arial"/>
                <w:color w:val="000000"/>
                <w:szCs w:val="20"/>
                <w:lang w:val="en-NZ" w:eastAsia="en-NZ"/>
              </w:rPr>
            </w:pPr>
            <w:r w:rsidRPr="00B818DC">
              <w:rPr>
                <w:rFonts w:cs="Arial"/>
                <w:color w:val="000000"/>
                <w:szCs w:val="20"/>
              </w:rPr>
              <w:t>0 / 0</w:t>
            </w:r>
            <w:r w:rsidR="007A017C" w:rsidRPr="00B818DC">
              <w:rPr>
                <w:rFonts w:cs="Arial"/>
                <w:color w:val="000000"/>
                <w:szCs w:val="20"/>
              </w:rPr>
              <w:t xml:space="preserve"> / 0</w:t>
            </w:r>
          </w:p>
        </w:tc>
        <w:tc>
          <w:tcPr>
            <w:tcW w:w="1348" w:type="dxa"/>
            <w:tcBorders>
              <w:top w:val="nil"/>
              <w:left w:val="nil"/>
              <w:bottom w:val="single" w:sz="8" w:space="0" w:color="FFFFFF"/>
              <w:right w:val="single" w:sz="8" w:space="0" w:color="FFFFFF"/>
            </w:tcBorders>
            <w:shd w:val="clear" w:color="000000" w:fill="E7E7E8"/>
            <w:noWrap/>
            <w:vAlign w:val="center"/>
            <w:hideMark/>
          </w:tcPr>
          <w:p w14:paraId="10D65916"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18 / </w:t>
            </w:r>
            <w:r w:rsidR="007B1549" w:rsidRPr="00B818DC">
              <w:rPr>
                <w:rFonts w:cs="Arial"/>
                <w:color w:val="000000"/>
                <w:szCs w:val="20"/>
              </w:rPr>
              <w:t xml:space="preserve">5 / </w:t>
            </w:r>
            <w:r w:rsidRPr="00B818DC">
              <w:rPr>
                <w:rFonts w:cs="Arial"/>
                <w:color w:val="000000"/>
                <w:szCs w:val="20"/>
              </w:rPr>
              <w:t>5</w:t>
            </w:r>
          </w:p>
        </w:tc>
        <w:tc>
          <w:tcPr>
            <w:tcW w:w="1349" w:type="dxa"/>
            <w:tcBorders>
              <w:top w:val="nil"/>
              <w:left w:val="nil"/>
              <w:bottom w:val="single" w:sz="8" w:space="0" w:color="FFFFFF"/>
              <w:right w:val="single" w:sz="8" w:space="0" w:color="FFFFFF"/>
            </w:tcBorders>
            <w:shd w:val="clear" w:color="000000" w:fill="E7E7E8"/>
            <w:noWrap/>
            <w:vAlign w:val="center"/>
            <w:hideMark/>
          </w:tcPr>
          <w:p w14:paraId="0A2452D3"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20 / </w:t>
            </w:r>
            <w:r w:rsidR="007B1549" w:rsidRPr="00B818DC">
              <w:rPr>
                <w:rFonts w:cs="Arial"/>
                <w:color w:val="000000"/>
                <w:szCs w:val="20"/>
              </w:rPr>
              <w:t xml:space="preserve">7 / </w:t>
            </w:r>
            <w:r w:rsidRPr="00B818DC">
              <w:rPr>
                <w:rFonts w:cs="Arial"/>
                <w:color w:val="000000"/>
                <w:szCs w:val="20"/>
              </w:rPr>
              <w:t>7</w:t>
            </w:r>
          </w:p>
        </w:tc>
        <w:tc>
          <w:tcPr>
            <w:tcW w:w="1351" w:type="dxa"/>
            <w:tcBorders>
              <w:top w:val="nil"/>
              <w:left w:val="nil"/>
              <w:bottom w:val="single" w:sz="8" w:space="0" w:color="FFFFFF"/>
              <w:right w:val="single" w:sz="8" w:space="0" w:color="FFFFFF"/>
            </w:tcBorders>
            <w:shd w:val="clear" w:color="000000" w:fill="E7E7E8"/>
            <w:noWrap/>
            <w:vAlign w:val="center"/>
            <w:hideMark/>
          </w:tcPr>
          <w:p w14:paraId="2E8A141D"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45 / </w:t>
            </w:r>
            <w:r w:rsidR="007B1549" w:rsidRPr="00B818DC">
              <w:rPr>
                <w:rFonts w:cs="Arial"/>
                <w:color w:val="000000"/>
                <w:szCs w:val="20"/>
              </w:rPr>
              <w:t xml:space="preserve">12 / </w:t>
            </w:r>
            <w:r w:rsidRPr="00B818DC">
              <w:rPr>
                <w:rFonts w:cs="Arial"/>
                <w:color w:val="000000"/>
                <w:szCs w:val="20"/>
              </w:rPr>
              <w:t>12</w:t>
            </w:r>
          </w:p>
        </w:tc>
      </w:tr>
      <w:tr w:rsidR="007B1549" w:rsidRPr="001E1EDA" w14:paraId="4875D74B" w14:textId="77777777" w:rsidTr="00E66F34">
        <w:trPr>
          <w:trHeight w:val="306"/>
        </w:trPr>
        <w:tc>
          <w:tcPr>
            <w:tcW w:w="1556" w:type="dxa"/>
            <w:tcBorders>
              <w:top w:val="nil"/>
              <w:left w:val="single" w:sz="8" w:space="0" w:color="FFFFFF"/>
              <w:bottom w:val="single" w:sz="8" w:space="0" w:color="FFFFFF"/>
              <w:right w:val="single" w:sz="8" w:space="0" w:color="FFFFFF"/>
            </w:tcBorders>
            <w:shd w:val="clear" w:color="000000" w:fill="E7E7E8"/>
            <w:noWrap/>
            <w:vAlign w:val="center"/>
            <w:hideMark/>
          </w:tcPr>
          <w:p w14:paraId="6139BD7B" w14:textId="77777777" w:rsidR="007B1549" w:rsidRPr="00B818DC" w:rsidRDefault="007B1549" w:rsidP="007B1549">
            <w:pPr>
              <w:spacing w:after="0"/>
              <w:rPr>
                <w:rFonts w:cs="Arial"/>
                <w:color w:val="000000"/>
                <w:szCs w:val="20"/>
                <w:lang w:val="en-NZ" w:eastAsia="en-NZ"/>
              </w:rPr>
            </w:pPr>
            <w:r w:rsidRPr="00B818DC">
              <w:rPr>
                <w:rFonts w:cs="Arial"/>
                <w:color w:val="000000"/>
                <w:szCs w:val="20"/>
                <w:lang w:val="en-NZ" w:eastAsia="en-NZ"/>
              </w:rPr>
              <w:t>Gisborne</w:t>
            </w:r>
          </w:p>
        </w:tc>
        <w:tc>
          <w:tcPr>
            <w:tcW w:w="1348" w:type="dxa"/>
            <w:tcBorders>
              <w:top w:val="nil"/>
              <w:left w:val="nil"/>
              <w:bottom w:val="single" w:sz="8" w:space="0" w:color="FFFFFF"/>
              <w:right w:val="single" w:sz="8" w:space="0" w:color="FFFFFF"/>
            </w:tcBorders>
            <w:shd w:val="clear" w:color="000000" w:fill="E7E7E8"/>
            <w:noWrap/>
            <w:vAlign w:val="center"/>
            <w:hideMark/>
          </w:tcPr>
          <w:p w14:paraId="7F270A8C"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1 / </w:t>
            </w:r>
            <w:r w:rsidR="007B1549" w:rsidRPr="00B818DC">
              <w:rPr>
                <w:rFonts w:cs="Arial"/>
                <w:color w:val="000000"/>
                <w:szCs w:val="20"/>
              </w:rPr>
              <w:t xml:space="preserve">0 / </w:t>
            </w:r>
            <w:r w:rsidRPr="00B818DC">
              <w:rPr>
                <w:rFonts w:cs="Arial"/>
                <w:color w:val="000000"/>
                <w:szCs w:val="20"/>
              </w:rPr>
              <w:t>0</w:t>
            </w:r>
          </w:p>
        </w:tc>
        <w:tc>
          <w:tcPr>
            <w:tcW w:w="1349" w:type="dxa"/>
            <w:tcBorders>
              <w:top w:val="nil"/>
              <w:left w:val="nil"/>
              <w:bottom w:val="single" w:sz="8" w:space="0" w:color="FFFFFF"/>
              <w:right w:val="single" w:sz="8" w:space="0" w:color="FFFFFF"/>
            </w:tcBorders>
            <w:shd w:val="clear" w:color="000000" w:fill="E7E7E8"/>
            <w:noWrap/>
            <w:vAlign w:val="center"/>
            <w:hideMark/>
          </w:tcPr>
          <w:p w14:paraId="17CC9F2A" w14:textId="77777777" w:rsidR="007B1549" w:rsidRPr="00B818DC" w:rsidRDefault="007B1549" w:rsidP="00E66F34">
            <w:pPr>
              <w:spacing w:after="0"/>
              <w:jc w:val="center"/>
              <w:rPr>
                <w:rFonts w:cs="Arial"/>
                <w:color w:val="000000"/>
                <w:szCs w:val="20"/>
                <w:lang w:val="en-NZ" w:eastAsia="en-NZ"/>
              </w:rPr>
            </w:pPr>
            <w:r w:rsidRPr="00B818DC">
              <w:rPr>
                <w:rFonts w:cs="Arial"/>
                <w:color w:val="000000"/>
                <w:szCs w:val="20"/>
              </w:rPr>
              <w:t>0 / 0</w:t>
            </w:r>
            <w:r w:rsidR="007A017C" w:rsidRPr="00B818DC">
              <w:rPr>
                <w:rFonts w:cs="Arial"/>
                <w:color w:val="000000"/>
                <w:szCs w:val="20"/>
              </w:rPr>
              <w:t xml:space="preserve"> / 0</w:t>
            </w:r>
          </w:p>
        </w:tc>
        <w:tc>
          <w:tcPr>
            <w:tcW w:w="1348" w:type="dxa"/>
            <w:tcBorders>
              <w:top w:val="nil"/>
              <w:left w:val="nil"/>
              <w:bottom w:val="single" w:sz="8" w:space="0" w:color="FFFFFF"/>
              <w:right w:val="single" w:sz="8" w:space="0" w:color="FFFFFF"/>
            </w:tcBorders>
            <w:shd w:val="clear" w:color="000000" w:fill="E7E7E8"/>
            <w:noWrap/>
            <w:vAlign w:val="center"/>
            <w:hideMark/>
          </w:tcPr>
          <w:p w14:paraId="2002BCF1" w14:textId="77777777" w:rsidR="007B1549" w:rsidRPr="00B818DC" w:rsidRDefault="007B1549" w:rsidP="00E66F34">
            <w:pPr>
              <w:spacing w:after="0"/>
              <w:jc w:val="center"/>
              <w:rPr>
                <w:rFonts w:cs="Arial"/>
                <w:color w:val="000000"/>
                <w:szCs w:val="20"/>
                <w:lang w:val="en-NZ" w:eastAsia="en-NZ"/>
              </w:rPr>
            </w:pPr>
            <w:r w:rsidRPr="00B818DC">
              <w:rPr>
                <w:rFonts w:cs="Arial"/>
                <w:color w:val="000000"/>
                <w:szCs w:val="20"/>
              </w:rPr>
              <w:t>1 / 1</w:t>
            </w:r>
            <w:r w:rsidR="007A017C" w:rsidRPr="00B818DC">
              <w:rPr>
                <w:rFonts w:cs="Arial"/>
                <w:color w:val="000000"/>
                <w:szCs w:val="20"/>
              </w:rPr>
              <w:t xml:space="preserve"> / 1</w:t>
            </w:r>
          </w:p>
        </w:tc>
        <w:tc>
          <w:tcPr>
            <w:tcW w:w="1349" w:type="dxa"/>
            <w:tcBorders>
              <w:top w:val="nil"/>
              <w:left w:val="nil"/>
              <w:bottom w:val="single" w:sz="8" w:space="0" w:color="FFFFFF"/>
              <w:right w:val="single" w:sz="8" w:space="0" w:color="FFFFFF"/>
            </w:tcBorders>
            <w:shd w:val="clear" w:color="000000" w:fill="E7E7E8"/>
            <w:noWrap/>
            <w:vAlign w:val="center"/>
            <w:hideMark/>
          </w:tcPr>
          <w:p w14:paraId="2417233F" w14:textId="77777777" w:rsidR="007B1549" w:rsidRPr="00B818DC" w:rsidRDefault="007B1549" w:rsidP="00E66F34">
            <w:pPr>
              <w:spacing w:after="0"/>
              <w:jc w:val="center"/>
              <w:rPr>
                <w:rFonts w:cs="Arial"/>
                <w:color w:val="000000"/>
                <w:szCs w:val="20"/>
                <w:lang w:val="en-NZ" w:eastAsia="en-NZ"/>
              </w:rPr>
            </w:pPr>
            <w:r w:rsidRPr="00B818DC">
              <w:rPr>
                <w:rFonts w:cs="Arial"/>
                <w:color w:val="000000"/>
                <w:szCs w:val="20"/>
              </w:rPr>
              <w:t>0 / 0</w:t>
            </w:r>
            <w:r w:rsidR="007A017C" w:rsidRPr="00B818DC">
              <w:rPr>
                <w:rFonts w:cs="Arial"/>
                <w:color w:val="000000"/>
                <w:szCs w:val="20"/>
              </w:rPr>
              <w:t xml:space="preserve"> / 0</w:t>
            </w:r>
          </w:p>
        </w:tc>
        <w:tc>
          <w:tcPr>
            <w:tcW w:w="1351" w:type="dxa"/>
            <w:tcBorders>
              <w:top w:val="nil"/>
              <w:left w:val="nil"/>
              <w:bottom w:val="single" w:sz="8" w:space="0" w:color="FFFFFF"/>
              <w:right w:val="single" w:sz="8" w:space="0" w:color="FFFFFF"/>
            </w:tcBorders>
            <w:shd w:val="clear" w:color="000000" w:fill="E7E7E8"/>
            <w:noWrap/>
            <w:vAlign w:val="center"/>
            <w:hideMark/>
          </w:tcPr>
          <w:p w14:paraId="26AFFC7C"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2 / </w:t>
            </w:r>
            <w:r w:rsidR="007B1549" w:rsidRPr="00B818DC">
              <w:rPr>
                <w:rFonts w:cs="Arial"/>
                <w:color w:val="000000"/>
                <w:szCs w:val="20"/>
              </w:rPr>
              <w:t xml:space="preserve">1 / </w:t>
            </w:r>
            <w:r w:rsidRPr="00B818DC">
              <w:rPr>
                <w:rFonts w:cs="Arial"/>
                <w:color w:val="000000"/>
                <w:szCs w:val="20"/>
              </w:rPr>
              <w:t>1</w:t>
            </w:r>
          </w:p>
        </w:tc>
      </w:tr>
      <w:tr w:rsidR="007B1549" w:rsidRPr="001E1EDA" w14:paraId="3A73F48E" w14:textId="77777777" w:rsidTr="00E66F34">
        <w:trPr>
          <w:trHeight w:val="306"/>
        </w:trPr>
        <w:tc>
          <w:tcPr>
            <w:tcW w:w="1556" w:type="dxa"/>
            <w:tcBorders>
              <w:top w:val="nil"/>
              <w:left w:val="single" w:sz="8" w:space="0" w:color="FFFFFF"/>
              <w:bottom w:val="single" w:sz="8" w:space="0" w:color="FFFFFF"/>
              <w:right w:val="single" w:sz="8" w:space="0" w:color="FFFFFF"/>
            </w:tcBorders>
            <w:shd w:val="clear" w:color="000000" w:fill="E7E7E8"/>
            <w:noWrap/>
            <w:vAlign w:val="center"/>
            <w:hideMark/>
          </w:tcPr>
          <w:p w14:paraId="6BD14590" w14:textId="77777777" w:rsidR="007B1549" w:rsidRPr="00B818DC" w:rsidRDefault="007B1549" w:rsidP="007B1549">
            <w:pPr>
              <w:spacing w:after="0"/>
              <w:rPr>
                <w:rFonts w:cs="Arial"/>
                <w:color w:val="000000"/>
                <w:szCs w:val="20"/>
                <w:lang w:val="en-NZ" w:eastAsia="en-NZ"/>
              </w:rPr>
            </w:pPr>
            <w:r w:rsidRPr="00B818DC">
              <w:rPr>
                <w:rFonts w:cs="Arial"/>
                <w:color w:val="000000"/>
                <w:szCs w:val="20"/>
                <w:lang w:val="en-NZ" w:eastAsia="en-NZ"/>
              </w:rPr>
              <w:t>Hawke's Bay</w:t>
            </w:r>
          </w:p>
        </w:tc>
        <w:tc>
          <w:tcPr>
            <w:tcW w:w="1348" w:type="dxa"/>
            <w:tcBorders>
              <w:top w:val="nil"/>
              <w:left w:val="nil"/>
              <w:bottom w:val="single" w:sz="8" w:space="0" w:color="FFFFFF"/>
              <w:right w:val="single" w:sz="8" w:space="0" w:color="FFFFFF"/>
            </w:tcBorders>
            <w:shd w:val="clear" w:color="000000" w:fill="E7E7E8"/>
            <w:noWrap/>
            <w:vAlign w:val="center"/>
            <w:hideMark/>
          </w:tcPr>
          <w:p w14:paraId="5666A60A"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1 / </w:t>
            </w:r>
            <w:r w:rsidR="007B1549" w:rsidRPr="00B818DC">
              <w:rPr>
                <w:rFonts w:cs="Arial"/>
                <w:color w:val="000000"/>
                <w:szCs w:val="20"/>
              </w:rPr>
              <w:t xml:space="preserve">0 / </w:t>
            </w:r>
            <w:r w:rsidRPr="00B818DC">
              <w:rPr>
                <w:rFonts w:cs="Arial"/>
                <w:color w:val="000000"/>
                <w:szCs w:val="20"/>
              </w:rPr>
              <w:t>0</w:t>
            </w:r>
          </w:p>
        </w:tc>
        <w:tc>
          <w:tcPr>
            <w:tcW w:w="1349" w:type="dxa"/>
            <w:tcBorders>
              <w:top w:val="nil"/>
              <w:left w:val="nil"/>
              <w:bottom w:val="single" w:sz="8" w:space="0" w:color="FFFFFF"/>
              <w:right w:val="single" w:sz="8" w:space="0" w:color="FFFFFF"/>
            </w:tcBorders>
            <w:shd w:val="clear" w:color="000000" w:fill="E7E7E8"/>
            <w:noWrap/>
            <w:vAlign w:val="center"/>
            <w:hideMark/>
          </w:tcPr>
          <w:p w14:paraId="3AFCA9B8" w14:textId="77777777" w:rsidR="007B1549" w:rsidRPr="00B818DC" w:rsidRDefault="007B1549" w:rsidP="00E66F34">
            <w:pPr>
              <w:spacing w:after="0"/>
              <w:jc w:val="center"/>
              <w:rPr>
                <w:rFonts w:cs="Arial"/>
                <w:color w:val="000000"/>
                <w:szCs w:val="20"/>
                <w:lang w:val="en-NZ" w:eastAsia="en-NZ"/>
              </w:rPr>
            </w:pPr>
            <w:r w:rsidRPr="00B818DC">
              <w:rPr>
                <w:rFonts w:cs="Arial"/>
                <w:color w:val="000000"/>
                <w:szCs w:val="20"/>
              </w:rPr>
              <w:t>0 / 0</w:t>
            </w:r>
            <w:r w:rsidR="007A017C" w:rsidRPr="00B818DC">
              <w:rPr>
                <w:rFonts w:cs="Arial"/>
                <w:color w:val="000000"/>
                <w:szCs w:val="20"/>
              </w:rPr>
              <w:t xml:space="preserve"> / 0</w:t>
            </w:r>
          </w:p>
        </w:tc>
        <w:tc>
          <w:tcPr>
            <w:tcW w:w="1348" w:type="dxa"/>
            <w:tcBorders>
              <w:top w:val="nil"/>
              <w:left w:val="nil"/>
              <w:bottom w:val="single" w:sz="8" w:space="0" w:color="FFFFFF"/>
              <w:right w:val="single" w:sz="8" w:space="0" w:color="FFFFFF"/>
            </w:tcBorders>
            <w:shd w:val="clear" w:color="000000" w:fill="E7E7E8"/>
            <w:noWrap/>
            <w:vAlign w:val="center"/>
            <w:hideMark/>
          </w:tcPr>
          <w:p w14:paraId="0A07DAC1"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6 / </w:t>
            </w:r>
            <w:r w:rsidR="007B1549" w:rsidRPr="00B818DC">
              <w:rPr>
                <w:rFonts w:cs="Arial"/>
                <w:color w:val="000000"/>
                <w:szCs w:val="20"/>
              </w:rPr>
              <w:t xml:space="preserve">4 / </w:t>
            </w:r>
            <w:r w:rsidRPr="00B818DC">
              <w:rPr>
                <w:rFonts w:cs="Arial"/>
                <w:color w:val="000000"/>
                <w:szCs w:val="20"/>
              </w:rPr>
              <w:t>4</w:t>
            </w:r>
          </w:p>
        </w:tc>
        <w:tc>
          <w:tcPr>
            <w:tcW w:w="1349" w:type="dxa"/>
            <w:tcBorders>
              <w:top w:val="nil"/>
              <w:left w:val="nil"/>
              <w:bottom w:val="single" w:sz="8" w:space="0" w:color="FFFFFF"/>
              <w:right w:val="single" w:sz="8" w:space="0" w:color="FFFFFF"/>
            </w:tcBorders>
            <w:shd w:val="clear" w:color="000000" w:fill="E7E7E8"/>
            <w:noWrap/>
            <w:vAlign w:val="center"/>
            <w:hideMark/>
          </w:tcPr>
          <w:p w14:paraId="6A5FC898"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3 / </w:t>
            </w:r>
            <w:r w:rsidR="007B1549" w:rsidRPr="00B818DC">
              <w:rPr>
                <w:rFonts w:cs="Arial"/>
                <w:color w:val="000000"/>
                <w:szCs w:val="20"/>
              </w:rPr>
              <w:t xml:space="preserve">1 / </w:t>
            </w:r>
            <w:r w:rsidRPr="00B818DC">
              <w:rPr>
                <w:rFonts w:cs="Arial"/>
                <w:color w:val="000000"/>
                <w:szCs w:val="20"/>
              </w:rPr>
              <w:t>1</w:t>
            </w:r>
          </w:p>
        </w:tc>
        <w:tc>
          <w:tcPr>
            <w:tcW w:w="1351" w:type="dxa"/>
            <w:tcBorders>
              <w:top w:val="nil"/>
              <w:left w:val="nil"/>
              <w:bottom w:val="single" w:sz="8" w:space="0" w:color="FFFFFF"/>
              <w:right w:val="single" w:sz="8" w:space="0" w:color="FFFFFF"/>
            </w:tcBorders>
            <w:shd w:val="clear" w:color="000000" w:fill="E7E7E8"/>
            <w:noWrap/>
            <w:vAlign w:val="center"/>
            <w:hideMark/>
          </w:tcPr>
          <w:p w14:paraId="779F6F0B"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10 / </w:t>
            </w:r>
            <w:r w:rsidR="007B1549" w:rsidRPr="00B818DC">
              <w:rPr>
                <w:rFonts w:cs="Arial"/>
                <w:color w:val="000000"/>
                <w:szCs w:val="20"/>
              </w:rPr>
              <w:t xml:space="preserve">5 / </w:t>
            </w:r>
            <w:r w:rsidRPr="00B818DC">
              <w:rPr>
                <w:rFonts w:cs="Arial"/>
                <w:color w:val="000000"/>
                <w:szCs w:val="20"/>
              </w:rPr>
              <w:t>5</w:t>
            </w:r>
          </w:p>
        </w:tc>
      </w:tr>
      <w:tr w:rsidR="007B1549" w:rsidRPr="001E1EDA" w14:paraId="01261A76" w14:textId="77777777" w:rsidTr="00E66F34">
        <w:trPr>
          <w:trHeight w:val="306"/>
        </w:trPr>
        <w:tc>
          <w:tcPr>
            <w:tcW w:w="1556" w:type="dxa"/>
            <w:tcBorders>
              <w:top w:val="nil"/>
              <w:left w:val="single" w:sz="8" w:space="0" w:color="FFFFFF"/>
              <w:bottom w:val="single" w:sz="8" w:space="0" w:color="FFFFFF"/>
              <w:right w:val="single" w:sz="8" w:space="0" w:color="FFFFFF"/>
            </w:tcBorders>
            <w:shd w:val="clear" w:color="000000" w:fill="E7E7E8"/>
            <w:noWrap/>
            <w:vAlign w:val="center"/>
            <w:hideMark/>
          </w:tcPr>
          <w:p w14:paraId="0D79B34C" w14:textId="77777777" w:rsidR="007B1549" w:rsidRPr="00B818DC" w:rsidRDefault="007B1549" w:rsidP="007B1549">
            <w:pPr>
              <w:spacing w:after="0"/>
              <w:rPr>
                <w:rFonts w:cs="Arial"/>
                <w:color w:val="000000"/>
                <w:szCs w:val="20"/>
                <w:lang w:val="en-NZ" w:eastAsia="en-NZ"/>
              </w:rPr>
            </w:pPr>
            <w:r w:rsidRPr="00B818DC">
              <w:rPr>
                <w:rFonts w:cs="Arial"/>
                <w:color w:val="000000"/>
                <w:szCs w:val="20"/>
                <w:lang w:val="en-NZ" w:eastAsia="en-NZ"/>
              </w:rPr>
              <w:t>Manawatu-Wanganui</w:t>
            </w:r>
          </w:p>
        </w:tc>
        <w:tc>
          <w:tcPr>
            <w:tcW w:w="1348" w:type="dxa"/>
            <w:tcBorders>
              <w:top w:val="nil"/>
              <w:left w:val="nil"/>
              <w:bottom w:val="single" w:sz="8" w:space="0" w:color="FFFFFF"/>
              <w:right w:val="single" w:sz="8" w:space="0" w:color="FFFFFF"/>
            </w:tcBorders>
            <w:shd w:val="clear" w:color="000000" w:fill="E7E7E8"/>
            <w:noWrap/>
            <w:vAlign w:val="center"/>
            <w:hideMark/>
          </w:tcPr>
          <w:p w14:paraId="10E01792"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4 / </w:t>
            </w:r>
            <w:r w:rsidR="007B1549" w:rsidRPr="00B818DC">
              <w:rPr>
                <w:rFonts w:cs="Arial"/>
                <w:color w:val="000000"/>
                <w:szCs w:val="20"/>
              </w:rPr>
              <w:t xml:space="preserve">2 / </w:t>
            </w:r>
            <w:r w:rsidRPr="00B818DC">
              <w:rPr>
                <w:rFonts w:cs="Arial"/>
                <w:color w:val="000000"/>
                <w:szCs w:val="20"/>
              </w:rPr>
              <w:t>2</w:t>
            </w:r>
          </w:p>
        </w:tc>
        <w:tc>
          <w:tcPr>
            <w:tcW w:w="1349" w:type="dxa"/>
            <w:tcBorders>
              <w:top w:val="nil"/>
              <w:left w:val="nil"/>
              <w:bottom w:val="single" w:sz="8" w:space="0" w:color="FFFFFF"/>
              <w:right w:val="single" w:sz="8" w:space="0" w:color="FFFFFF"/>
            </w:tcBorders>
            <w:shd w:val="clear" w:color="000000" w:fill="E7E7E8"/>
            <w:noWrap/>
            <w:vAlign w:val="center"/>
            <w:hideMark/>
          </w:tcPr>
          <w:p w14:paraId="7FF4EEE9" w14:textId="77777777" w:rsidR="007B1549" w:rsidRPr="00B818DC" w:rsidRDefault="007B1549" w:rsidP="00E66F34">
            <w:pPr>
              <w:spacing w:after="0"/>
              <w:jc w:val="center"/>
              <w:rPr>
                <w:rFonts w:cs="Arial"/>
                <w:color w:val="000000"/>
                <w:szCs w:val="20"/>
                <w:lang w:val="en-NZ" w:eastAsia="en-NZ"/>
              </w:rPr>
            </w:pPr>
            <w:r w:rsidRPr="00B818DC">
              <w:rPr>
                <w:rFonts w:cs="Arial"/>
                <w:color w:val="000000"/>
                <w:szCs w:val="20"/>
              </w:rPr>
              <w:t>3 / 3</w:t>
            </w:r>
            <w:r w:rsidR="007A017C" w:rsidRPr="00B818DC">
              <w:rPr>
                <w:rFonts w:cs="Arial"/>
                <w:color w:val="000000"/>
                <w:szCs w:val="20"/>
              </w:rPr>
              <w:t xml:space="preserve"> / 3</w:t>
            </w:r>
          </w:p>
        </w:tc>
        <w:tc>
          <w:tcPr>
            <w:tcW w:w="1348" w:type="dxa"/>
            <w:tcBorders>
              <w:top w:val="nil"/>
              <w:left w:val="nil"/>
              <w:bottom w:val="single" w:sz="8" w:space="0" w:color="FFFFFF"/>
              <w:right w:val="single" w:sz="8" w:space="0" w:color="FFFFFF"/>
            </w:tcBorders>
            <w:shd w:val="clear" w:color="000000" w:fill="E7E7E8"/>
            <w:noWrap/>
            <w:vAlign w:val="center"/>
            <w:hideMark/>
          </w:tcPr>
          <w:p w14:paraId="727E6DA8"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15 / </w:t>
            </w:r>
            <w:r w:rsidR="007B1549" w:rsidRPr="00B818DC">
              <w:rPr>
                <w:rFonts w:cs="Arial"/>
                <w:color w:val="000000"/>
                <w:szCs w:val="20"/>
              </w:rPr>
              <w:t xml:space="preserve">11 / </w:t>
            </w:r>
            <w:r w:rsidRPr="00B818DC">
              <w:rPr>
                <w:rFonts w:cs="Arial"/>
                <w:color w:val="000000"/>
                <w:szCs w:val="20"/>
              </w:rPr>
              <w:t>11</w:t>
            </w:r>
          </w:p>
        </w:tc>
        <w:tc>
          <w:tcPr>
            <w:tcW w:w="1349" w:type="dxa"/>
            <w:tcBorders>
              <w:top w:val="nil"/>
              <w:left w:val="nil"/>
              <w:bottom w:val="single" w:sz="8" w:space="0" w:color="FFFFFF"/>
              <w:right w:val="single" w:sz="8" w:space="0" w:color="FFFFFF"/>
            </w:tcBorders>
            <w:shd w:val="clear" w:color="000000" w:fill="E7E7E8"/>
            <w:noWrap/>
            <w:vAlign w:val="center"/>
            <w:hideMark/>
          </w:tcPr>
          <w:p w14:paraId="7741C063"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15 / </w:t>
            </w:r>
            <w:r w:rsidR="007B1549" w:rsidRPr="00B818DC">
              <w:rPr>
                <w:rFonts w:cs="Arial"/>
                <w:color w:val="000000"/>
                <w:szCs w:val="20"/>
              </w:rPr>
              <w:t xml:space="preserve">8 / </w:t>
            </w:r>
            <w:r w:rsidRPr="00B818DC">
              <w:rPr>
                <w:rFonts w:cs="Arial"/>
                <w:color w:val="000000"/>
                <w:szCs w:val="20"/>
              </w:rPr>
              <w:t>8</w:t>
            </w:r>
          </w:p>
        </w:tc>
        <w:tc>
          <w:tcPr>
            <w:tcW w:w="1351" w:type="dxa"/>
            <w:tcBorders>
              <w:top w:val="nil"/>
              <w:left w:val="nil"/>
              <w:bottom w:val="single" w:sz="8" w:space="0" w:color="FFFFFF"/>
              <w:right w:val="single" w:sz="8" w:space="0" w:color="FFFFFF"/>
            </w:tcBorders>
            <w:shd w:val="clear" w:color="000000" w:fill="E7E7E8"/>
            <w:noWrap/>
            <w:vAlign w:val="center"/>
            <w:hideMark/>
          </w:tcPr>
          <w:p w14:paraId="307E87A2"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37 / </w:t>
            </w:r>
            <w:r w:rsidR="007B1549" w:rsidRPr="00B818DC">
              <w:rPr>
                <w:rFonts w:cs="Arial"/>
                <w:color w:val="000000"/>
                <w:szCs w:val="20"/>
              </w:rPr>
              <w:t xml:space="preserve">24 / </w:t>
            </w:r>
            <w:r w:rsidRPr="00B818DC">
              <w:rPr>
                <w:rFonts w:cs="Arial"/>
                <w:color w:val="000000"/>
                <w:szCs w:val="20"/>
              </w:rPr>
              <w:t>24</w:t>
            </w:r>
          </w:p>
        </w:tc>
      </w:tr>
      <w:tr w:rsidR="007B1549" w:rsidRPr="001E1EDA" w14:paraId="360F50DB" w14:textId="77777777" w:rsidTr="00E66F34">
        <w:trPr>
          <w:trHeight w:val="306"/>
        </w:trPr>
        <w:tc>
          <w:tcPr>
            <w:tcW w:w="1556" w:type="dxa"/>
            <w:tcBorders>
              <w:top w:val="nil"/>
              <w:left w:val="single" w:sz="8" w:space="0" w:color="FFFFFF"/>
              <w:bottom w:val="single" w:sz="8" w:space="0" w:color="FFFFFF"/>
              <w:right w:val="single" w:sz="8" w:space="0" w:color="FFFFFF"/>
            </w:tcBorders>
            <w:shd w:val="clear" w:color="000000" w:fill="E7E7E8"/>
            <w:noWrap/>
            <w:vAlign w:val="center"/>
            <w:hideMark/>
          </w:tcPr>
          <w:p w14:paraId="2DD1D4B8" w14:textId="77777777" w:rsidR="007B1549" w:rsidRPr="00B818DC" w:rsidRDefault="007B1549" w:rsidP="007B1549">
            <w:pPr>
              <w:spacing w:after="0"/>
              <w:rPr>
                <w:rFonts w:cs="Arial"/>
                <w:color w:val="000000"/>
                <w:szCs w:val="20"/>
                <w:lang w:val="en-NZ" w:eastAsia="en-NZ"/>
              </w:rPr>
            </w:pPr>
            <w:r w:rsidRPr="00B818DC">
              <w:rPr>
                <w:rFonts w:cs="Arial"/>
                <w:color w:val="000000"/>
                <w:szCs w:val="20"/>
                <w:lang w:val="en-NZ" w:eastAsia="en-NZ"/>
              </w:rPr>
              <w:t>Marlborough</w:t>
            </w:r>
          </w:p>
        </w:tc>
        <w:tc>
          <w:tcPr>
            <w:tcW w:w="1348" w:type="dxa"/>
            <w:tcBorders>
              <w:top w:val="nil"/>
              <w:left w:val="nil"/>
              <w:bottom w:val="single" w:sz="8" w:space="0" w:color="FFFFFF"/>
              <w:right w:val="single" w:sz="8" w:space="0" w:color="FFFFFF"/>
            </w:tcBorders>
            <w:shd w:val="clear" w:color="000000" w:fill="E7E7E8"/>
            <w:noWrap/>
            <w:vAlign w:val="center"/>
            <w:hideMark/>
          </w:tcPr>
          <w:p w14:paraId="65DA64FE"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1 / </w:t>
            </w:r>
            <w:r w:rsidR="007B1549" w:rsidRPr="00B818DC">
              <w:rPr>
                <w:rFonts w:cs="Arial"/>
                <w:color w:val="000000"/>
                <w:szCs w:val="20"/>
              </w:rPr>
              <w:t xml:space="preserve">0 / </w:t>
            </w:r>
            <w:r w:rsidRPr="00B818DC">
              <w:rPr>
                <w:rFonts w:cs="Arial"/>
                <w:color w:val="000000"/>
                <w:szCs w:val="20"/>
              </w:rPr>
              <w:t>0</w:t>
            </w:r>
          </w:p>
        </w:tc>
        <w:tc>
          <w:tcPr>
            <w:tcW w:w="1349" w:type="dxa"/>
            <w:tcBorders>
              <w:top w:val="nil"/>
              <w:left w:val="nil"/>
              <w:bottom w:val="single" w:sz="8" w:space="0" w:color="FFFFFF"/>
              <w:right w:val="single" w:sz="8" w:space="0" w:color="FFFFFF"/>
            </w:tcBorders>
            <w:shd w:val="clear" w:color="000000" w:fill="E7E7E8"/>
            <w:noWrap/>
            <w:vAlign w:val="center"/>
            <w:hideMark/>
          </w:tcPr>
          <w:p w14:paraId="06615AED" w14:textId="77777777" w:rsidR="007B1549" w:rsidRPr="00B818DC" w:rsidRDefault="007B1549" w:rsidP="00E66F34">
            <w:pPr>
              <w:spacing w:after="0"/>
              <w:jc w:val="center"/>
              <w:rPr>
                <w:rFonts w:cs="Arial"/>
                <w:color w:val="000000"/>
                <w:szCs w:val="20"/>
                <w:lang w:val="en-NZ" w:eastAsia="en-NZ"/>
              </w:rPr>
            </w:pPr>
            <w:r w:rsidRPr="00B818DC">
              <w:rPr>
                <w:rFonts w:cs="Arial"/>
                <w:color w:val="000000"/>
                <w:szCs w:val="20"/>
              </w:rPr>
              <w:t>0 / 0</w:t>
            </w:r>
            <w:r w:rsidR="007A017C" w:rsidRPr="00B818DC">
              <w:rPr>
                <w:rFonts w:cs="Arial"/>
                <w:color w:val="000000"/>
                <w:szCs w:val="20"/>
              </w:rPr>
              <w:t xml:space="preserve"> / 0</w:t>
            </w:r>
          </w:p>
        </w:tc>
        <w:tc>
          <w:tcPr>
            <w:tcW w:w="1348" w:type="dxa"/>
            <w:tcBorders>
              <w:top w:val="nil"/>
              <w:left w:val="nil"/>
              <w:bottom w:val="single" w:sz="8" w:space="0" w:color="FFFFFF"/>
              <w:right w:val="single" w:sz="8" w:space="0" w:color="FFFFFF"/>
            </w:tcBorders>
            <w:shd w:val="clear" w:color="000000" w:fill="E7E7E8"/>
            <w:noWrap/>
            <w:vAlign w:val="center"/>
            <w:hideMark/>
          </w:tcPr>
          <w:p w14:paraId="5FE9EE84"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3 / </w:t>
            </w:r>
            <w:r w:rsidR="007B1549" w:rsidRPr="00B818DC">
              <w:rPr>
                <w:rFonts w:cs="Arial"/>
                <w:color w:val="000000"/>
                <w:szCs w:val="20"/>
              </w:rPr>
              <w:t xml:space="preserve">1 / </w:t>
            </w:r>
            <w:r w:rsidRPr="00B818DC">
              <w:rPr>
                <w:rFonts w:cs="Arial"/>
                <w:color w:val="000000"/>
                <w:szCs w:val="20"/>
              </w:rPr>
              <w:t>1</w:t>
            </w:r>
          </w:p>
        </w:tc>
        <w:tc>
          <w:tcPr>
            <w:tcW w:w="1349" w:type="dxa"/>
            <w:tcBorders>
              <w:top w:val="nil"/>
              <w:left w:val="nil"/>
              <w:bottom w:val="single" w:sz="8" w:space="0" w:color="FFFFFF"/>
              <w:right w:val="single" w:sz="8" w:space="0" w:color="FFFFFF"/>
            </w:tcBorders>
            <w:shd w:val="clear" w:color="000000" w:fill="E7E7E8"/>
            <w:noWrap/>
            <w:vAlign w:val="center"/>
            <w:hideMark/>
          </w:tcPr>
          <w:p w14:paraId="2C70358A" w14:textId="77777777" w:rsidR="007B1549" w:rsidRPr="00B818DC" w:rsidRDefault="007B1549" w:rsidP="00E66F34">
            <w:pPr>
              <w:spacing w:after="0"/>
              <w:jc w:val="center"/>
              <w:rPr>
                <w:rFonts w:cs="Arial"/>
                <w:color w:val="000000"/>
                <w:szCs w:val="20"/>
                <w:lang w:val="en-NZ" w:eastAsia="en-NZ"/>
              </w:rPr>
            </w:pPr>
            <w:r w:rsidRPr="00B818DC">
              <w:rPr>
                <w:rFonts w:cs="Arial"/>
                <w:color w:val="000000"/>
                <w:szCs w:val="20"/>
              </w:rPr>
              <w:t>0 / 0</w:t>
            </w:r>
            <w:r w:rsidR="007A017C" w:rsidRPr="00B818DC">
              <w:rPr>
                <w:rFonts w:cs="Arial"/>
                <w:color w:val="000000"/>
                <w:szCs w:val="20"/>
              </w:rPr>
              <w:t xml:space="preserve"> / 0</w:t>
            </w:r>
          </w:p>
        </w:tc>
        <w:tc>
          <w:tcPr>
            <w:tcW w:w="1351" w:type="dxa"/>
            <w:tcBorders>
              <w:top w:val="nil"/>
              <w:left w:val="nil"/>
              <w:bottom w:val="single" w:sz="8" w:space="0" w:color="FFFFFF"/>
              <w:right w:val="single" w:sz="8" w:space="0" w:color="FFFFFF"/>
            </w:tcBorders>
            <w:shd w:val="clear" w:color="000000" w:fill="E7E7E8"/>
            <w:noWrap/>
            <w:vAlign w:val="center"/>
            <w:hideMark/>
          </w:tcPr>
          <w:p w14:paraId="67C2C513"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4 / </w:t>
            </w:r>
            <w:r w:rsidR="007B1549" w:rsidRPr="00B818DC">
              <w:rPr>
                <w:rFonts w:cs="Arial"/>
                <w:color w:val="000000"/>
                <w:szCs w:val="20"/>
              </w:rPr>
              <w:t xml:space="preserve">1 / </w:t>
            </w:r>
            <w:r w:rsidRPr="00B818DC">
              <w:rPr>
                <w:rFonts w:cs="Arial"/>
                <w:color w:val="000000"/>
                <w:szCs w:val="20"/>
              </w:rPr>
              <w:t>1</w:t>
            </w:r>
          </w:p>
        </w:tc>
      </w:tr>
      <w:tr w:rsidR="007B1549" w:rsidRPr="001E1EDA" w14:paraId="1BCF938A" w14:textId="77777777" w:rsidTr="00E66F34">
        <w:trPr>
          <w:trHeight w:val="306"/>
        </w:trPr>
        <w:tc>
          <w:tcPr>
            <w:tcW w:w="1556" w:type="dxa"/>
            <w:tcBorders>
              <w:top w:val="nil"/>
              <w:left w:val="single" w:sz="8" w:space="0" w:color="FFFFFF"/>
              <w:bottom w:val="single" w:sz="8" w:space="0" w:color="FFFFFF"/>
              <w:right w:val="single" w:sz="8" w:space="0" w:color="FFFFFF"/>
            </w:tcBorders>
            <w:shd w:val="clear" w:color="000000" w:fill="E7E7E8"/>
            <w:noWrap/>
            <w:vAlign w:val="center"/>
            <w:hideMark/>
          </w:tcPr>
          <w:p w14:paraId="049DAB11" w14:textId="77777777" w:rsidR="007B1549" w:rsidRPr="00B818DC" w:rsidRDefault="007B1549" w:rsidP="007B1549">
            <w:pPr>
              <w:spacing w:after="0"/>
              <w:rPr>
                <w:rFonts w:cs="Arial"/>
                <w:color w:val="000000"/>
                <w:szCs w:val="20"/>
                <w:lang w:val="en-NZ" w:eastAsia="en-NZ"/>
              </w:rPr>
            </w:pPr>
            <w:r w:rsidRPr="00B818DC">
              <w:rPr>
                <w:rFonts w:cs="Arial"/>
                <w:color w:val="000000"/>
                <w:szCs w:val="20"/>
                <w:lang w:val="en-NZ" w:eastAsia="en-NZ"/>
              </w:rPr>
              <w:t>Nelson</w:t>
            </w:r>
          </w:p>
        </w:tc>
        <w:tc>
          <w:tcPr>
            <w:tcW w:w="1348" w:type="dxa"/>
            <w:tcBorders>
              <w:top w:val="nil"/>
              <w:left w:val="nil"/>
              <w:bottom w:val="single" w:sz="8" w:space="0" w:color="FFFFFF"/>
              <w:right w:val="single" w:sz="8" w:space="0" w:color="FFFFFF"/>
            </w:tcBorders>
            <w:shd w:val="clear" w:color="000000" w:fill="E7E7E8"/>
            <w:noWrap/>
            <w:vAlign w:val="center"/>
            <w:hideMark/>
          </w:tcPr>
          <w:p w14:paraId="2FB865EC"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1 / </w:t>
            </w:r>
            <w:r w:rsidR="007B1549" w:rsidRPr="00B818DC">
              <w:rPr>
                <w:rFonts w:cs="Arial"/>
                <w:color w:val="000000"/>
                <w:szCs w:val="20"/>
              </w:rPr>
              <w:t xml:space="preserve">0 / </w:t>
            </w:r>
            <w:r w:rsidRPr="00B818DC">
              <w:rPr>
                <w:rFonts w:cs="Arial"/>
                <w:color w:val="000000"/>
                <w:szCs w:val="20"/>
              </w:rPr>
              <w:t>0</w:t>
            </w:r>
          </w:p>
        </w:tc>
        <w:tc>
          <w:tcPr>
            <w:tcW w:w="1349" w:type="dxa"/>
            <w:tcBorders>
              <w:top w:val="nil"/>
              <w:left w:val="nil"/>
              <w:bottom w:val="single" w:sz="8" w:space="0" w:color="FFFFFF"/>
              <w:right w:val="single" w:sz="8" w:space="0" w:color="FFFFFF"/>
            </w:tcBorders>
            <w:shd w:val="clear" w:color="000000" w:fill="E7E7E8"/>
            <w:noWrap/>
            <w:vAlign w:val="center"/>
            <w:hideMark/>
          </w:tcPr>
          <w:p w14:paraId="502AD1CB" w14:textId="77777777" w:rsidR="007B1549" w:rsidRPr="00B818DC" w:rsidRDefault="007B1549" w:rsidP="00E66F34">
            <w:pPr>
              <w:spacing w:after="0"/>
              <w:jc w:val="center"/>
              <w:rPr>
                <w:rFonts w:cs="Arial"/>
                <w:color w:val="000000"/>
                <w:szCs w:val="20"/>
                <w:lang w:val="en-NZ" w:eastAsia="en-NZ"/>
              </w:rPr>
            </w:pPr>
            <w:r w:rsidRPr="00B818DC">
              <w:rPr>
                <w:rFonts w:cs="Arial"/>
                <w:color w:val="000000"/>
                <w:szCs w:val="20"/>
              </w:rPr>
              <w:t>0 / 0</w:t>
            </w:r>
            <w:r w:rsidR="007A017C" w:rsidRPr="00B818DC">
              <w:rPr>
                <w:rFonts w:cs="Arial"/>
                <w:color w:val="000000"/>
                <w:szCs w:val="20"/>
              </w:rPr>
              <w:t xml:space="preserve"> / 0</w:t>
            </w:r>
          </w:p>
        </w:tc>
        <w:tc>
          <w:tcPr>
            <w:tcW w:w="1348" w:type="dxa"/>
            <w:tcBorders>
              <w:top w:val="nil"/>
              <w:left w:val="nil"/>
              <w:bottom w:val="single" w:sz="8" w:space="0" w:color="FFFFFF"/>
              <w:right w:val="single" w:sz="8" w:space="0" w:color="FFFFFF"/>
            </w:tcBorders>
            <w:shd w:val="clear" w:color="000000" w:fill="E7E7E8"/>
            <w:noWrap/>
            <w:vAlign w:val="center"/>
            <w:hideMark/>
          </w:tcPr>
          <w:p w14:paraId="15BF4864" w14:textId="77777777" w:rsidR="007B1549" w:rsidRPr="00B818DC" w:rsidRDefault="007B1549" w:rsidP="00E66F34">
            <w:pPr>
              <w:spacing w:after="0"/>
              <w:jc w:val="center"/>
              <w:rPr>
                <w:rFonts w:cs="Arial"/>
                <w:color w:val="000000"/>
                <w:szCs w:val="20"/>
                <w:lang w:val="en-NZ" w:eastAsia="en-NZ"/>
              </w:rPr>
            </w:pPr>
            <w:r w:rsidRPr="00B818DC">
              <w:rPr>
                <w:rFonts w:cs="Arial"/>
                <w:color w:val="000000"/>
                <w:szCs w:val="20"/>
              </w:rPr>
              <w:t>0 / 0</w:t>
            </w:r>
            <w:r w:rsidR="007A017C" w:rsidRPr="00B818DC">
              <w:rPr>
                <w:rFonts w:cs="Arial"/>
                <w:color w:val="000000"/>
                <w:szCs w:val="20"/>
              </w:rPr>
              <w:t xml:space="preserve"> / 0</w:t>
            </w:r>
          </w:p>
        </w:tc>
        <w:tc>
          <w:tcPr>
            <w:tcW w:w="1349" w:type="dxa"/>
            <w:tcBorders>
              <w:top w:val="nil"/>
              <w:left w:val="nil"/>
              <w:bottom w:val="single" w:sz="8" w:space="0" w:color="FFFFFF"/>
              <w:right w:val="single" w:sz="8" w:space="0" w:color="FFFFFF"/>
            </w:tcBorders>
            <w:shd w:val="clear" w:color="000000" w:fill="E7E7E8"/>
            <w:noWrap/>
            <w:vAlign w:val="center"/>
            <w:hideMark/>
          </w:tcPr>
          <w:p w14:paraId="6648F087" w14:textId="77777777" w:rsidR="007B1549" w:rsidRPr="00B818DC" w:rsidRDefault="007B1549" w:rsidP="00E66F34">
            <w:pPr>
              <w:spacing w:after="0"/>
              <w:jc w:val="center"/>
              <w:rPr>
                <w:rFonts w:cs="Arial"/>
                <w:color w:val="000000"/>
                <w:szCs w:val="20"/>
                <w:lang w:val="en-NZ" w:eastAsia="en-NZ"/>
              </w:rPr>
            </w:pPr>
            <w:r w:rsidRPr="00B818DC">
              <w:rPr>
                <w:rFonts w:cs="Arial"/>
                <w:color w:val="000000"/>
                <w:szCs w:val="20"/>
              </w:rPr>
              <w:t>0 / 0</w:t>
            </w:r>
            <w:r w:rsidR="007A017C" w:rsidRPr="00B818DC">
              <w:rPr>
                <w:rFonts w:cs="Arial"/>
                <w:color w:val="000000"/>
                <w:szCs w:val="20"/>
              </w:rPr>
              <w:t xml:space="preserve"> / 0</w:t>
            </w:r>
          </w:p>
        </w:tc>
        <w:tc>
          <w:tcPr>
            <w:tcW w:w="1351" w:type="dxa"/>
            <w:tcBorders>
              <w:top w:val="nil"/>
              <w:left w:val="nil"/>
              <w:bottom w:val="single" w:sz="8" w:space="0" w:color="FFFFFF"/>
              <w:right w:val="single" w:sz="8" w:space="0" w:color="FFFFFF"/>
            </w:tcBorders>
            <w:shd w:val="clear" w:color="000000" w:fill="E7E7E8"/>
            <w:noWrap/>
            <w:vAlign w:val="center"/>
            <w:hideMark/>
          </w:tcPr>
          <w:p w14:paraId="174060D5"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1 / </w:t>
            </w:r>
            <w:r w:rsidR="007B1549" w:rsidRPr="00B818DC">
              <w:rPr>
                <w:rFonts w:cs="Arial"/>
                <w:color w:val="000000"/>
                <w:szCs w:val="20"/>
              </w:rPr>
              <w:t xml:space="preserve">0 / </w:t>
            </w:r>
            <w:r w:rsidRPr="00B818DC">
              <w:rPr>
                <w:rFonts w:cs="Arial"/>
                <w:color w:val="000000"/>
                <w:szCs w:val="20"/>
              </w:rPr>
              <w:t>0</w:t>
            </w:r>
          </w:p>
        </w:tc>
      </w:tr>
      <w:tr w:rsidR="007B1549" w:rsidRPr="001E1EDA" w14:paraId="17819926" w14:textId="77777777" w:rsidTr="00E66F34">
        <w:trPr>
          <w:trHeight w:val="306"/>
        </w:trPr>
        <w:tc>
          <w:tcPr>
            <w:tcW w:w="1556" w:type="dxa"/>
            <w:tcBorders>
              <w:top w:val="nil"/>
              <w:left w:val="single" w:sz="8" w:space="0" w:color="FFFFFF"/>
              <w:bottom w:val="single" w:sz="8" w:space="0" w:color="FFFFFF"/>
              <w:right w:val="single" w:sz="8" w:space="0" w:color="FFFFFF"/>
            </w:tcBorders>
            <w:shd w:val="clear" w:color="000000" w:fill="E7E7E8"/>
            <w:noWrap/>
            <w:vAlign w:val="center"/>
            <w:hideMark/>
          </w:tcPr>
          <w:p w14:paraId="055BC58A" w14:textId="77777777" w:rsidR="007B1549" w:rsidRPr="00B818DC" w:rsidRDefault="007B1549" w:rsidP="007B1549">
            <w:pPr>
              <w:spacing w:after="0"/>
              <w:rPr>
                <w:rFonts w:cs="Arial"/>
                <w:color w:val="000000"/>
                <w:szCs w:val="20"/>
                <w:lang w:val="en-NZ" w:eastAsia="en-NZ"/>
              </w:rPr>
            </w:pPr>
            <w:r w:rsidRPr="00B818DC">
              <w:rPr>
                <w:rFonts w:cs="Arial"/>
                <w:color w:val="000000"/>
                <w:szCs w:val="20"/>
                <w:lang w:val="en-NZ" w:eastAsia="en-NZ"/>
              </w:rPr>
              <w:t>Northland</w:t>
            </w:r>
          </w:p>
        </w:tc>
        <w:tc>
          <w:tcPr>
            <w:tcW w:w="1348" w:type="dxa"/>
            <w:tcBorders>
              <w:top w:val="nil"/>
              <w:left w:val="nil"/>
              <w:bottom w:val="single" w:sz="8" w:space="0" w:color="FFFFFF"/>
              <w:right w:val="single" w:sz="8" w:space="0" w:color="FFFFFF"/>
            </w:tcBorders>
            <w:shd w:val="clear" w:color="000000" w:fill="E7E7E8"/>
            <w:noWrap/>
            <w:vAlign w:val="center"/>
            <w:hideMark/>
          </w:tcPr>
          <w:p w14:paraId="2CB5FFA6"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1 / </w:t>
            </w:r>
            <w:r w:rsidR="007B1549" w:rsidRPr="00B818DC">
              <w:rPr>
                <w:rFonts w:cs="Arial"/>
                <w:color w:val="000000"/>
                <w:szCs w:val="20"/>
              </w:rPr>
              <w:t xml:space="preserve">0 / </w:t>
            </w:r>
            <w:r w:rsidRPr="00B818DC">
              <w:rPr>
                <w:rFonts w:cs="Arial"/>
                <w:color w:val="000000"/>
                <w:szCs w:val="20"/>
              </w:rPr>
              <w:t>0</w:t>
            </w:r>
          </w:p>
        </w:tc>
        <w:tc>
          <w:tcPr>
            <w:tcW w:w="1349" w:type="dxa"/>
            <w:tcBorders>
              <w:top w:val="nil"/>
              <w:left w:val="nil"/>
              <w:bottom w:val="single" w:sz="8" w:space="0" w:color="FFFFFF"/>
              <w:right w:val="single" w:sz="8" w:space="0" w:color="FFFFFF"/>
            </w:tcBorders>
            <w:shd w:val="clear" w:color="000000" w:fill="E7E7E8"/>
            <w:noWrap/>
            <w:vAlign w:val="center"/>
            <w:hideMark/>
          </w:tcPr>
          <w:p w14:paraId="5D1D45D7" w14:textId="77777777" w:rsidR="007B1549" w:rsidRPr="00B818DC" w:rsidRDefault="007B1549" w:rsidP="00E66F34">
            <w:pPr>
              <w:spacing w:after="0"/>
              <w:jc w:val="center"/>
              <w:rPr>
                <w:rFonts w:cs="Arial"/>
                <w:color w:val="000000"/>
                <w:szCs w:val="20"/>
                <w:lang w:val="en-NZ" w:eastAsia="en-NZ"/>
              </w:rPr>
            </w:pPr>
            <w:r w:rsidRPr="00B818DC">
              <w:rPr>
                <w:rFonts w:cs="Arial"/>
                <w:color w:val="000000"/>
                <w:szCs w:val="20"/>
              </w:rPr>
              <w:t>1 / 1</w:t>
            </w:r>
            <w:r w:rsidR="007A017C" w:rsidRPr="00B818DC">
              <w:rPr>
                <w:rFonts w:cs="Arial"/>
                <w:color w:val="000000"/>
                <w:szCs w:val="20"/>
              </w:rPr>
              <w:t xml:space="preserve"> / 1</w:t>
            </w:r>
          </w:p>
        </w:tc>
        <w:tc>
          <w:tcPr>
            <w:tcW w:w="1348" w:type="dxa"/>
            <w:tcBorders>
              <w:top w:val="nil"/>
              <w:left w:val="nil"/>
              <w:bottom w:val="single" w:sz="8" w:space="0" w:color="FFFFFF"/>
              <w:right w:val="single" w:sz="8" w:space="0" w:color="FFFFFF"/>
            </w:tcBorders>
            <w:shd w:val="clear" w:color="000000" w:fill="E7E7E8"/>
            <w:noWrap/>
            <w:vAlign w:val="center"/>
            <w:hideMark/>
          </w:tcPr>
          <w:p w14:paraId="470D2E55"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18 / </w:t>
            </w:r>
            <w:r w:rsidR="007B1549" w:rsidRPr="00B818DC">
              <w:rPr>
                <w:rFonts w:cs="Arial"/>
                <w:color w:val="000000"/>
                <w:szCs w:val="20"/>
              </w:rPr>
              <w:t xml:space="preserve">8 / </w:t>
            </w:r>
            <w:r w:rsidRPr="00B818DC">
              <w:rPr>
                <w:rFonts w:cs="Arial"/>
                <w:color w:val="000000"/>
                <w:szCs w:val="20"/>
              </w:rPr>
              <w:t>8</w:t>
            </w:r>
          </w:p>
        </w:tc>
        <w:tc>
          <w:tcPr>
            <w:tcW w:w="1349" w:type="dxa"/>
            <w:tcBorders>
              <w:top w:val="nil"/>
              <w:left w:val="nil"/>
              <w:bottom w:val="single" w:sz="8" w:space="0" w:color="FFFFFF"/>
              <w:right w:val="single" w:sz="8" w:space="0" w:color="FFFFFF"/>
            </w:tcBorders>
            <w:shd w:val="clear" w:color="000000" w:fill="E7E7E8"/>
            <w:noWrap/>
            <w:vAlign w:val="center"/>
            <w:hideMark/>
          </w:tcPr>
          <w:p w14:paraId="5FB75BED"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10 / </w:t>
            </w:r>
            <w:r w:rsidR="007B1549" w:rsidRPr="00B818DC">
              <w:rPr>
                <w:rFonts w:cs="Arial"/>
                <w:color w:val="000000"/>
                <w:szCs w:val="20"/>
              </w:rPr>
              <w:t xml:space="preserve">2 / </w:t>
            </w:r>
            <w:r w:rsidRPr="00B818DC">
              <w:rPr>
                <w:rFonts w:cs="Arial"/>
                <w:color w:val="000000"/>
                <w:szCs w:val="20"/>
              </w:rPr>
              <w:t>2</w:t>
            </w:r>
          </w:p>
        </w:tc>
        <w:tc>
          <w:tcPr>
            <w:tcW w:w="1351" w:type="dxa"/>
            <w:tcBorders>
              <w:top w:val="nil"/>
              <w:left w:val="nil"/>
              <w:bottom w:val="single" w:sz="8" w:space="0" w:color="FFFFFF"/>
              <w:right w:val="single" w:sz="8" w:space="0" w:color="FFFFFF"/>
            </w:tcBorders>
            <w:shd w:val="clear" w:color="000000" w:fill="E7E7E8"/>
            <w:noWrap/>
            <w:vAlign w:val="center"/>
            <w:hideMark/>
          </w:tcPr>
          <w:p w14:paraId="184E8644"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30 / </w:t>
            </w:r>
            <w:r w:rsidR="007B1549" w:rsidRPr="00B818DC">
              <w:rPr>
                <w:rFonts w:cs="Arial"/>
                <w:color w:val="000000"/>
                <w:szCs w:val="20"/>
              </w:rPr>
              <w:t xml:space="preserve">11 / </w:t>
            </w:r>
            <w:r w:rsidRPr="00B818DC">
              <w:rPr>
                <w:rFonts w:cs="Arial"/>
                <w:color w:val="000000"/>
                <w:szCs w:val="20"/>
              </w:rPr>
              <w:t>11</w:t>
            </w:r>
          </w:p>
        </w:tc>
      </w:tr>
      <w:tr w:rsidR="007B1549" w:rsidRPr="001E1EDA" w14:paraId="00AB7F3C" w14:textId="77777777" w:rsidTr="00E66F34">
        <w:trPr>
          <w:trHeight w:val="306"/>
        </w:trPr>
        <w:tc>
          <w:tcPr>
            <w:tcW w:w="1556" w:type="dxa"/>
            <w:tcBorders>
              <w:top w:val="nil"/>
              <w:left w:val="single" w:sz="8" w:space="0" w:color="FFFFFF"/>
              <w:bottom w:val="single" w:sz="8" w:space="0" w:color="FFFFFF"/>
              <w:right w:val="single" w:sz="8" w:space="0" w:color="FFFFFF"/>
            </w:tcBorders>
            <w:shd w:val="clear" w:color="000000" w:fill="E7E7E8"/>
            <w:noWrap/>
            <w:vAlign w:val="center"/>
            <w:hideMark/>
          </w:tcPr>
          <w:p w14:paraId="61DD145B" w14:textId="77777777" w:rsidR="007B1549" w:rsidRPr="00B818DC" w:rsidRDefault="007B1549" w:rsidP="007B1549">
            <w:pPr>
              <w:spacing w:after="0"/>
              <w:rPr>
                <w:rFonts w:cs="Arial"/>
                <w:color w:val="000000"/>
                <w:szCs w:val="20"/>
                <w:lang w:val="en-NZ" w:eastAsia="en-NZ"/>
              </w:rPr>
            </w:pPr>
            <w:r w:rsidRPr="00B818DC">
              <w:rPr>
                <w:rFonts w:cs="Arial"/>
                <w:color w:val="000000"/>
                <w:szCs w:val="20"/>
                <w:lang w:val="en-NZ" w:eastAsia="en-NZ"/>
              </w:rPr>
              <w:t>Otago</w:t>
            </w:r>
          </w:p>
        </w:tc>
        <w:tc>
          <w:tcPr>
            <w:tcW w:w="1348" w:type="dxa"/>
            <w:tcBorders>
              <w:top w:val="nil"/>
              <w:left w:val="nil"/>
              <w:bottom w:val="single" w:sz="8" w:space="0" w:color="FFFFFF"/>
              <w:right w:val="single" w:sz="8" w:space="0" w:color="FFFFFF"/>
            </w:tcBorders>
            <w:shd w:val="clear" w:color="000000" w:fill="E7E7E8"/>
            <w:noWrap/>
            <w:vAlign w:val="center"/>
            <w:hideMark/>
          </w:tcPr>
          <w:p w14:paraId="7962C0D2"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5 / </w:t>
            </w:r>
            <w:r w:rsidR="007B1549" w:rsidRPr="00B818DC">
              <w:rPr>
                <w:rFonts w:cs="Arial"/>
                <w:color w:val="000000"/>
                <w:szCs w:val="20"/>
              </w:rPr>
              <w:t xml:space="preserve">0 / </w:t>
            </w:r>
            <w:r w:rsidRPr="00B818DC">
              <w:rPr>
                <w:rFonts w:cs="Arial"/>
                <w:color w:val="000000"/>
                <w:szCs w:val="20"/>
              </w:rPr>
              <w:t>0</w:t>
            </w:r>
          </w:p>
        </w:tc>
        <w:tc>
          <w:tcPr>
            <w:tcW w:w="1349" w:type="dxa"/>
            <w:tcBorders>
              <w:top w:val="nil"/>
              <w:left w:val="nil"/>
              <w:bottom w:val="single" w:sz="8" w:space="0" w:color="FFFFFF"/>
              <w:right w:val="single" w:sz="8" w:space="0" w:color="FFFFFF"/>
            </w:tcBorders>
            <w:shd w:val="clear" w:color="000000" w:fill="E7E7E8"/>
            <w:noWrap/>
            <w:vAlign w:val="center"/>
            <w:hideMark/>
          </w:tcPr>
          <w:p w14:paraId="5C8C295B" w14:textId="77777777" w:rsidR="007B1549" w:rsidRPr="00B818DC" w:rsidRDefault="007B1549" w:rsidP="00E66F34">
            <w:pPr>
              <w:spacing w:after="0"/>
              <w:jc w:val="center"/>
              <w:rPr>
                <w:rFonts w:cs="Arial"/>
                <w:color w:val="000000"/>
                <w:szCs w:val="20"/>
                <w:lang w:val="en-NZ" w:eastAsia="en-NZ"/>
              </w:rPr>
            </w:pPr>
            <w:r w:rsidRPr="00B818DC">
              <w:rPr>
                <w:rFonts w:cs="Arial"/>
                <w:color w:val="000000"/>
                <w:szCs w:val="20"/>
              </w:rPr>
              <w:t>1 / 1</w:t>
            </w:r>
            <w:r w:rsidR="007A017C" w:rsidRPr="00B818DC">
              <w:rPr>
                <w:rFonts w:cs="Arial"/>
                <w:color w:val="000000"/>
                <w:szCs w:val="20"/>
              </w:rPr>
              <w:t xml:space="preserve"> / 1</w:t>
            </w:r>
          </w:p>
        </w:tc>
        <w:tc>
          <w:tcPr>
            <w:tcW w:w="1348" w:type="dxa"/>
            <w:tcBorders>
              <w:top w:val="nil"/>
              <w:left w:val="nil"/>
              <w:bottom w:val="single" w:sz="8" w:space="0" w:color="FFFFFF"/>
              <w:right w:val="single" w:sz="8" w:space="0" w:color="FFFFFF"/>
            </w:tcBorders>
            <w:shd w:val="clear" w:color="000000" w:fill="E7E7E8"/>
            <w:noWrap/>
            <w:vAlign w:val="center"/>
            <w:hideMark/>
          </w:tcPr>
          <w:p w14:paraId="081B65A6"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13 / </w:t>
            </w:r>
            <w:r w:rsidR="007B1549" w:rsidRPr="00B818DC">
              <w:rPr>
                <w:rFonts w:cs="Arial"/>
                <w:color w:val="000000"/>
                <w:szCs w:val="20"/>
              </w:rPr>
              <w:t xml:space="preserve">9 / </w:t>
            </w:r>
            <w:r w:rsidRPr="00B818DC">
              <w:rPr>
                <w:rFonts w:cs="Arial"/>
                <w:color w:val="000000"/>
                <w:szCs w:val="20"/>
              </w:rPr>
              <w:t>9</w:t>
            </w:r>
          </w:p>
        </w:tc>
        <w:tc>
          <w:tcPr>
            <w:tcW w:w="1349" w:type="dxa"/>
            <w:tcBorders>
              <w:top w:val="nil"/>
              <w:left w:val="nil"/>
              <w:bottom w:val="single" w:sz="8" w:space="0" w:color="FFFFFF"/>
              <w:right w:val="single" w:sz="8" w:space="0" w:color="FFFFFF"/>
            </w:tcBorders>
            <w:shd w:val="clear" w:color="000000" w:fill="E7E7E8"/>
            <w:noWrap/>
            <w:vAlign w:val="center"/>
            <w:hideMark/>
          </w:tcPr>
          <w:p w14:paraId="1E173FC3"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16 / </w:t>
            </w:r>
            <w:r w:rsidR="007B1549" w:rsidRPr="00B818DC">
              <w:rPr>
                <w:rFonts w:cs="Arial"/>
                <w:color w:val="000000"/>
                <w:szCs w:val="20"/>
              </w:rPr>
              <w:t xml:space="preserve">10 / </w:t>
            </w:r>
            <w:r w:rsidRPr="00B818DC">
              <w:rPr>
                <w:rFonts w:cs="Arial"/>
                <w:color w:val="000000"/>
                <w:szCs w:val="20"/>
              </w:rPr>
              <w:t>10</w:t>
            </w:r>
          </w:p>
        </w:tc>
        <w:tc>
          <w:tcPr>
            <w:tcW w:w="1351" w:type="dxa"/>
            <w:tcBorders>
              <w:top w:val="nil"/>
              <w:left w:val="nil"/>
              <w:bottom w:val="single" w:sz="8" w:space="0" w:color="FFFFFF"/>
              <w:right w:val="single" w:sz="8" w:space="0" w:color="FFFFFF"/>
            </w:tcBorders>
            <w:shd w:val="clear" w:color="000000" w:fill="E7E7E8"/>
            <w:noWrap/>
            <w:vAlign w:val="center"/>
            <w:hideMark/>
          </w:tcPr>
          <w:p w14:paraId="7CF5E6FD"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35 / </w:t>
            </w:r>
            <w:r w:rsidR="007B1549" w:rsidRPr="00B818DC">
              <w:rPr>
                <w:rFonts w:cs="Arial"/>
                <w:color w:val="000000"/>
                <w:szCs w:val="20"/>
              </w:rPr>
              <w:t xml:space="preserve">20 / </w:t>
            </w:r>
            <w:r w:rsidRPr="00B818DC">
              <w:rPr>
                <w:rFonts w:cs="Arial"/>
                <w:color w:val="000000"/>
                <w:szCs w:val="20"/>
              </w:rPr>
              <w:t>20</w:t>
            </w:r>
          </w:p>
        </w:tc>
      </w:tr>
      <w:tr w:rsidR="007B1549" w:rsidRPr="001E1EDA" w14:paraId="5683DDEF" w14:textId="77777777" w:rsidTr="00E66F34">
        <w:trPr>
          <w:trHeight w:val="306"/>
        </w:trPr>
        <w:tc>
          <w:tcPr>
            <w:tcW w:w="1556" w:type="dxa"/>
            <w:tcBorders>
              <w:top w:val="nil"/>
              <w:left w:val="single" w:sz="8" w:space="0" w:color="FFFFFF"/>
              <w:bottom w:val="single" w:sz="8" w:space="0" w:color="FFFFFF"/>
              <w:right w:val="single" w:sz="8" w:space="0" w:color="FFFFFF"/>
            </w:tcBorders>
            <w:shd w:val="clear" w:color="000000" w:fill="E7E7E8"/>
            <w:noWrap/>
            <w:vAlign w:val="center"/>
            <w:hideMark/>
          </w:tcPr>
          <w:p w14:paraId="4E3CD5EC" w14:textId="77777777" w:rsidR="007B1549" w:rsidRPr="00B818DC" w:rsidRDefault="007B1549" w:rsidP="007B1549">
            <w:pPr>
              <w:spacing w:after="0"/>
              <w:rPr>
                <w:rFonts w:cs="Arial"/>
                <w:color w:val="000000"/>
                <w:szCs w:val="20"/>
                <w:lang w:val="en-NZ" w:eastAsia="en-NZ"/>
              </w:rPr>
            </w:pPr>
            <w:r w:rsidRPr="00B818DC">
              <w:rPr>
                <w:rFonts w:cs="Arial"/>
                <w:color w:val="000000"/>
                <w:szCs w:val="20"/>
                <w:lang w:val="en-NZ" w:eastAsia="en-NZ"/>
              </w:rPr>
              <w:t>Southland</w:t>
            </w:r>
          </w:p>
        </w:tc>
        <w:tc>
          <w:tcPr>
            <w:tcW w:w="1348" w:type="dxa"/>
            <w:tcBorders>
              <w:top w:val="nil"/>
              <w:left w:val="nil"/>
              <w:bottom w:val="single" w:sz="8" w:space="0" w:color="FFFFFF"/>
              <w:right w:val="single" w:sz="8" w:space="0" w:color="FFFFFF"/>
            </w:tcBorders>
            <w:shd w:val="clear" w:color="000000" w:fill="E7E7E8"/>
            <w:noWrap/>
            <w:vAlign w:val="center"/>
            <w:hideMark/>
          </w:tcPr>
          <w:p w14:paraId="0EE79043"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1 / </w:t>
            </w:r>
            <w:r w:rsidR="007B1549" w:rsidRPr="00B818DC">
              <w:rPr>
                <w:rFonts w:cs="Arial"/>
                <w:color w:val="000000"/>
                <w:szCs w:val="20"/>
              </w:rPr>
              <w:t xml:space="preserve">0 / </w:t>
            </w:r>
            <w:r w:rsidRPr="00B818DC">
              <w:rPr>
                <w:rFonts w:cs="Arial"/>
                <w:color w:val="000000"/>
                <w:szCs w:val="20"/>
              </w:rPr>
              <w:t>0</w:t>
            </w:r>
          </w:p>
        </w:tc>
        <w:tc>
          <w:tcPr>
            <w:tcW w:w="1349" w:type="dxa"/>
            <w:tcBorders>
              <w:top w:val="nil"/>
              <w:left w:val="nil"/>
              <w:bottom w:val="single" w:sz="8" w:space="0" w:color="FFFFFF"/>
              <w:right w:val="single" w:sz="8" w:space="0" w:color="FFFFFF"/>
            </w:tcBorders>
            <w:shd w:val="clear" w:color="000000" w:fill="E7E7E8"/>
            <w:noWrap/>
            <w:vAlign w:val="center"/>
            <w:hideMark/>
          </w:tcPr>
          <w:p w14:paraId="64960AE4" w14:textId="77777777" w:rsidR="007B1549" w:rsidRPr="00B818DC" w:rsidRDefault="007B1549" w:rsidP="00E66F34">
            <w:pPr>
              <w:spacing w:after="0"/>
              <w:jc w:val="center"/>
              <w:rPr>
                <w:rFonts w:cs="Arial"/>
                <w:color w:val="000000"/>
                <w:szCs w:val="20"/>
                <w:lang w:val="en-NZ" w:eastAsia="en-NZ"/>
              </w:rPr>
            </w:pPr>
            <w:r w:rsidRPr="00B818DC">
              <w:rPr>
                <w:rFonts w:cs="Arial"/>
                <w:color w:val="000000"/>
                <w:szCs w:val="20"/>
              </w:rPr>
              <w:t>1 / 1</w:t>
            </w:r>
            <w:r w:rsidR="007A017C" w:rsidRPr="00B818DC">
              <w:rPr>
                <w:rFonts w:cs="Arial"/>
                <w:color w:val="000000"/>
                <w:szCs w:val="20"/>
              </w:rPr>
              <w:t xml:space="preserve"> / 1</w:t>
            </w:r>
          </w:p>
        </w:tc>
        <w:tc>
          <w:tcPr>
            <w:tcW w:w="1348" w:type="dxa"/>
            <w:tcBorders>
              <w:top w:val="nil"/>
              <w:left w:val="nil"/>
              <w:bottom w:val="single" w:sz="8" w:space="0" w:color="FFFFFF"/>
              <w:right w:val="single" w:sz="8" w:space="0" w:color="FFFFFF"/>
            </w:tcBorders>
            <w:shd w:val="clear" w:color="000000" w:fill="E7E7E8"/>
            <w:noWrap/>
            <w:vAlign w:val="center"/>
            <w:hideMark/>
          </w:tcPr>
          <w:p w14:paraId="6B2CC1A4"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11 / </w:t>
            </w:r>
            <w:r w:rsidR="007B1549" w:rsidRPr="00B818DC">
              <w:rPr>
                <w:rFonts w:cs="Arial"/>
                <w:color w:val="000000"/>
                <w:szCs w:val="20"/>
              </w:rPr>
              <w:t xml:space="preserve">6 / </w:t>
            </w:r>
            <w:r w:rsidRPr="00B818DC">
              <w:rPr>
                <w:rFonts w:cs="Arial"/>
                <w:color w:val="000000"/>
                <w:szCs w:val="20"/>
              </w:rPr>
              <w:t>6</w:t>
            </w:r>
          </w:p>
        </w:tc>
        <w:tc>
          <w:tcPr>
            <w:tcW w:w="1349" w:type="dxa"/>
            <w:tcBorders>
              <w:top w:val="nil"/>
              <w:left w:val="nil"/>
              <w:bottom w:val="single" w:sz="8" w:space="0" w:color="FFFFFF"/>
              <w:right w:val="single" w:sz="8" w:space="0" w:color="FFFFFF"/>
            </w:tcBorders>
            <w:shd w:val="clear" w:color="000000" w:fill="E7E7E8"/>
            <w:noWrap/>
            <w:vAlign w:val="center"/>
            <w:hideMark/>
          </w:tcPr>
          <w:p w14:paraId="2F0D913D"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10 / </w:t>
            </w:r>
            <w:r w:rsidR="007B1549" w:rsidRPr="00B818DC">
              <w:rPr>
                <w:rFonts w:cs="Arial"/>
                <w:color w:val="000000"/>
                <w:szCs w:val="20"/>
              </w:rPr>
              <w:t xml:space="preserve">7 / </w:t>
            </w:r>
            <w:r w:rsidRPr="00B818DC">
              <w:rPr>
                <w:rFonts w:cs="Arial"/>
                <w:color w:val="000000"/>
                <w:szCs w:val="20"/>
              </w:rPr>
              <w:t>7</w:t>
            </w:r>
          </w:p>
        </w:tc>
        <w:tc>
          <w:tcPr>
            <w:tcW w:w="1351" w:type="dxa"/>
            <w:tcBorders>
              <w:top w:val="nil"/>
              <w:left w:val="nil"/>
              <w:bottom w:val="single" w:sz="8" w:space="0" w:color="FFFFFF"/>
              <w:right w:val="single" w:sz="8" w:space="0" w:color="FFFFFF"/>
            </w:tcBorders>
            <w:shd w:val="clear" w:color="000000" w:fill="E7E7E8"/>
            <w:noWrap/>
            <w:vAlign w:val="center"/>
            <w:hideMark/>
          </w:tcPr>
          <w:p w14:paraId="368990C6"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23 / </w:t>
            </w:r>
            <w:r w:rsidR="007B1549" w:rsidRPr="00B818DC">
              <w:rPr>
                <w:rFonts w:cs="Arial"/>
                <w:color w:val="000000"/>
                <w:szCs w:val="20"/>
              </w:rPr>
              <w:t xml:space="preserve">14 / </w:t>
            </w:r>
            <w:r w:rsidRPr="00B818DC">
              <w:rPr>
                <w:rFonts w:cs="Arial"/>
                <w:color w:val="000000"/>
                <w:szCs w:val="20"/>
              </w:rPr>
              <w:t>14</w:t>
            </w:r>
          </w:p>
        </w:tc>
      </w:tr>
      <w:tr w:rsidR="007B1549" w:rsidRPr="001E1EDA" w14:paraId="06E52230" w14:textId="77777777" w:rsidTr="00E66F34">
        <w:trPr>
          <w:trHeight w:val="306"/>
        </w:trPr>
        <w:tc>
          <w:tcPr>
            <w:tcW w:w="1556" w:type="dxa"/>
            <w:tcBorders>
              <w:top w:val="nil"/>
              <w:left w:val="single" w:sz="8" w:space="0" w:color="FFFFFF"/>
              <w:bottom w:val="single" w:sz="8" w:space="0" w:color="FFFFFF"/>
              <w:right w:val="single" w:sz="8" w:space="0" w:color="FFFFFF"/>
            </w:tcBorders>
            <w:shd w:val="clear" w:color="000000" w:fill="E7E7E8"/>
            <w:noWrap/>
            <w:vAlign w:val="center"/>
            <w:hideMark/>
          </w:tcPr>
          <w:p w14:paraId="1BE60A25" w14:textId="77777777" w:rsidR="007B1549" w:rsidRPr="00B818DC" w:rsidRDefault="007B1549" w:rsidP="007B1549">
            <w:pPr>
              <w:spacing w:after="0"/>
              <w:rPr>
                <w:rFonts w:cs="Arial"/>
                <w:color w:val="000000"/>
                <w:szCs w:val="20"/>
                <w:lang w:val="en-NZ" w:eastAsia="en-NZ"/>
              </w:rPr>
            </w:pPr>
            <w:r w:rsidRPr="00B818DC">
              <w:rPr>
                <w:rFonts w:cs="Arial"/>
                <w:color w:val="000000"/>
                <w:szCs w:val="20"/>
                <w:lang w:val="en-NZ" w:eastAsia="en-NZ"/>
              </w:rPr>
              <w:t>Taranaki</w:t>
            </w:r>
          </w:p>
        </w:tc>
        <w:tc>
          <w:tcPr>
            <w:tcW w:w="1348" w:type="dxa"/>
            <w:tcBorders>
              <w:top w:val="nil"/>
              <w:left w:val="nil"/>
              <w:bottom w:val="single" w:sz="8" w:space="0" w:color="FFFFFF"/>
              <w:right w:val="single" w:sz="8" w:space="0" w:color="FFFFFF"/>
            </w:tcBorders>
            <w:shd w:val="clear" w:color="000000" w:fill="E7E7E8"/>
            <w:noWrap/>
            <w:vAlign w:val="center"/>
            <w:hideMark/>
          </w:tcPr>
          <w:p w14:paraId="631FEBA1"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1 / </w:t>
            </w:r>
            <w:r w:rsidR="007B1549" w:rsidRPr="00B818DC">
              <w:rPr>
                <w:rFonts w:cs="Arial"/>
                <w:color w:val="000000"/>
                <w:szCs w:val="20"/>
              </w:rPr>
              <w:t xml:space="preserve">0 / </w:t>
            </w:r>
            <w:r w:rsidRPr="00B818DC">
              <w:rPr>
                <w:rFonts w:cs="Arial"/>
                <w:color w:val="000000"/>
                <w:szCs w:val="20"/>
              </w:rPr>
              <w:t>0</w:t>
            </w:r>
          </w:p>
        </w:tc>
        <w:tc>
          <w:tcPr>
            <w:tcW w:w="1349" w:type="dxa"/>
            <w:tcBorders>
              <w:top w:val="nil"/>
              <w:left w:val="nil"/>
              <w:bottom w:val="single" w:sz="8" w:space="0" w:color="FFFFFF"/>
              <w:right w:val="single" w:sz="8" w:space="0" w:color="FFFFFF"/>
            </w:tcBorders>
            <w:shd w:val="clear" w:color="000000" w:fill="E7E7E8"/>
            <w:noWrap/>
            <w:vAlign w:val="center"/>
            <w:hideMark/>
          </w:tcPr>
          <w:p w14:paraId="5A9F768C"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2 / </w:t>
            </w:r>
            <w:r w:rsidR="007B1549" w:rsidRPr="00B818DC">
              <w:rPr>
                <w:rFonts w:cs="Arial"/>
                <w:color w:val="000000"/>
                <w:szCs w:val="20"/>
              </w:rPr>
              <w:t xml:space="preserve">1 / </w:t>
            </w:r>
            <w:r w:rsidRPr="00B818DC">
              <w:rPr>
                <w:rFonts w:cs="Arial"/>
                <w:color w:val="000000"/>
                <w:szCs w:val="20"/>
              </w:rPr>
              <w:t>1</w:t>
            </w:r>
          </w:p>
        </w:tc>
        <w:tc>
          <w:tcPr>
            <w:tcW w:w="1348" w:type="dxa"/>
            <w:tcBorders>
              <w:top w:val="nil"/>
              <w:left w:val="nil"/>
              <w:bottom w:val="single" w:sz="8" w:space="0" w:color="FFFFFF"/>
              <w:right w:val="single" w:sz="8" w:space="0" w:color="FFFFFF"/>
            </w:tcBorders>
            <w:shd w:val="clear" w:color="000000" w:fill="E7E7E8"/>
            <w:noWrap/>
            <w:vAlign w:val="center"/>
            <w:hideMark/>
          </w:tcPr>
          <w:p w14:paraId="3293CAC0"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5 / </w:t>
            </w:r>
            <w:r w:rsidR="007B1549" w:rsidRPr="00B818DC">
              <w:rPr>
                <w:rFonts w:cs="Arial"/>
                <w:color w:val="000000"/>
                <w:szCs w:val="20"/>
              </w:rPr>
              <w:t xml:space="preserve">2 / </w:t>
            </w:r>
            <w:r w:rsidRPr="00B818DC">
              <w:rPr>
                <w:rFonts w:cs="Arial"/>
                <w:color w:val="000000"/>
                <w:szCs w:val="20"/>
              </w:rPr>
              <w:t>2</w:t>
            </w:r>
          </w:p>
        </w:tc>
        <w:tc>
          <w:tcPr>
            <w:tcW w:w="1349" w:type="dxa"/>
            <w:tcBorders>
              <w:top w:val="nil"/>
              <w:left w:val="nil"/>
              <w:bottom w:val="single" w:sz="8" w:space="0" w:color="FFFFFF"/>
              <w:right w:val="single" w:sz="8" w:space="0" w:color="FFFFFF"/>
            </w:tcBorders>
            <w:shd w:val="clear" w:color="000000" w:fill="E7E7E8"/>
            <w:noWrap/>
            <w:vAlign w:val="center"/>
            <w:hideMark/>
          </w:tcPr>
          <w:p w14:paraId="6AD6052F"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3 / </w:t>
            </w:r>
            <w:r w:rsidR="007B1549" w:rsidRPr="00B818DC">
              <w:rPr>
                <w:rFonts w:cs="Arial"/>
                <w:color w:val="000000"/>
                <w:szCs w:val="20"/>
              </w:rPr>
              <w:t xml:space="preserve">2 / </w:t>
            </w:r>
            <w:r w:rsidRPr="00B818DC">
              <w:rPr>
                <w:rFonts w:cs="Arial"/>
                <w:color w:val="000000"/>
                <w:szCs w:val="20"/>
              </w:rPr>
              <w:t>2</w:t>
            </w:r>
          </w:p>
        </w:tc>
        <w:tc>
          <w:tcPr>
            <w:tcW w:w="1351" w:type="dxa"/>
            <w:tcBorders>
              <w:top w:val="nil"/>
              <w:left w:val="nil"/>
              <w:bottom w:val="single" w:sz="8" w:space="0" w:color="FFFFFF"/>
              <w:right w:val="single" w:sz="8" w:space="0" w:color="FFFFFF"/>
            </w:tcBorders>
            <w:shd w:val="clear" w:color="000000" w:fill="E7E7E8"/>
            <w:noWrap/>
            <w:vAlign w:val="center"/>
            <w:hideMark/>
          </w:tcPr>
          <w:p w14:paraId="2F91C952"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11 / </w:t>
            </w:r>
            <w:r w:rsidR="007B1549" w:rsidRPr="00B818DC">
              <w:rPr>
                <w:rFonts w:cs="Arial"/>
                <w:color w:val="000000"/>
                <w:szCs w:val="20"/>
              </w:rPr>
              <w:t xml:space="preserve">5 / </w:t>
            </w:r>
            <w:r w:rsidRPr="00B818DC">
              <w:rPr>
                <w:rFonts w:cs="Arial"/>
                <w:color w:val="000000"/>
                <w:szCs w:val="20"/>
              </w:rPr>
              <w:t>5</w:t>
            </w:r>
          </w:p>
        </w:tc>
      </w:tr>
      <w:tr w:rsidR="007B1549" w:rsidRPr="001E1EDA" w14:paraId="72C8841D" w14:textId="77777777" w:rsidTr="00E66F34">
        <w:trPr>
          <w:trHeight w:val="306"/>
        </w:trPr>
        <w:tc>
          <w:tcPr>
            <w:tcW w:w="1556" w:type="dxa"/>
            <w:tcBorders>
              <w:top w:val="nil"/>
              <w:left w:val="single" w:sz="8" w:space="0" w:color="FFFFFF"/>
              <w:bottom w:val="single" w:sz="8" w:space="0" w:color="FFFFFF"/>
              <w:right w:val="single" w:sz="8" w:space="0" w:color="FFFFFF"/>
            </w:tcBorders>
            <w:shd w:val="clear" w:color="000000" w:fill="E7E7E8"/>
            <w:noWrap/>
            <w:vAlign w:val="center"/>
            <w:hideMark/>
          </w:tcPr>
          <w:p w14:paraId="1F5D4549" w14:textId="77777777" w:rsidR="007B1549" w:rsidRPr="00B818DC" w:rsidRDefault="007B1549" w:rsidP="007B1549">
            <w:pPr>
              <w:spacing w:after="0"/>
              <w:rPr>
                <w:rFonts w:cs="Arial"/>
                <w:color w:val="000000"/>
                <w:szCs w:val="20"/>
                <w:lang w:val="en-NZ" w:eastAsia="en-NZ"/>
              </w:rPr>
            </w:pPr>
            <w:r w:rsidRPr="00B818DC">
              <w:rPr>
                <w:rFonts w:cs="Arial"/>
                <w:color w:val="000000"/>
                <w:szCs w:val="20"/>
                <w:lang w:val="en-NZ" w:eastAsia="en-NZ"/>
              </w:rPr>
              <w:t>Tasman</w:t>
            </w:r>
          </w:p>
        </w:tc>
        <w:tc>
          <w:tcPr>
            <w:tcW w:w="1348" w:type="dxa"/>
            <w:tcBorders>
              <w:top w:val="nil"/>
              <w:left w:val="nil"/>
              <w:bottom w:val="single" w:sz="8" w:space="0" w:color="FFFFFF"/>
              <w:right w:val="single" w:sz="8" w:space="0" w:color="FFFFFF"/>
            </w:tcBorders>
            <w:shd w:val="clear" w:color="000000" w:fill="E7E7E8"/>
            <w:noWrap/>
            <w:vAlign w:val="center"/>
            <w:hideMark/>
          </w:tcPr>
          <w:p w14:paraId="5837BDB0"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1 / </w:t>
            </w:r>
            <w:r w:rsidR="007B1549" w:rsidRPr="00B818DC">
              <w:rPr>
                <w:rFonts w:cs="Arial"/>
                <w:color w:val="000000"/>
                <w:szCs w:val="20"/>
              </w:rPr>
              <w:t xml:space="preserve">0 / </w:t>
            </w:r>
            <w:r w:rsidRPr="00B818DC">
              <w:rPr>
                <w:rFonts w:cs="Arial"/>
                <w:color w:val="000000"/>
                <w:szCs w:val="20"/>
              </w:rPr>
              <w:t>0</w:t>
            </w:r>
          </w:p>
        </w:tc>
        <w:tc>
          <w:tcPr>
            <w:tcW w:w="1349" w:type="dxa"/>
            <w:tcBorders>
              <w:top w:val="nil"/>
              <w:left w:val="nil"/>
              <w:bottom w:val="single" w:sz="8" w:space="0" w:color="FFFFFF"/>
              <w:right w:val="single" w:sz="8" w:space="0" w:color="FFFFFF"/>
            </w:tcBorders>
            <w:shd w:val="clear" w:color="000000" w:fill="E7E7E8"/>
            <w:noWrap/>
            <w:vAlign w:val="center"/>
            <w:hideMark/>
          </w:tcPr>
          <w:p w14:paraId="6D74DD4E"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1 / </w:t>
            </w:r>
            <w:r w:rsidR="007B1549" w:rsidRPr="00B818DC">
              <w:rPr>
                <w:rFonts w:cs="Arial"/>
                <w:color w:val="000000"/>
                <w:szCs w:val="20"/>
              </w:rPr>
              <w:t xml:space="preserve">0 / </w:t>
            </w:r>
            <w:r w:rsidRPr="00B818DC">
              <w:rPr>
                <w:rFonts w:cs="Arial"/>
                <w:color w:val="000000"/>
                <w:szCs w:val="20"/>
              </w:rPr>
              <w:t>0</w:t>
            </w:r>
          </w:p>
        </w:tc>
        <w:tc>
          <w:tcPr>
            <w:tcW w:w="1348" w:type="dxa"/>
            <w:tcBorders>
              <w:top w:val="nil"/>
              <w:left w:val="nil"/>
              <w:bottom w:val="single" w:sz="8" w:space="0" w:color="FFFFFF"/>
              <w:right w:val="single" w:sz="8" w:space="0" w:color="FFFFFF"/>
            </w:tcBorders>
            <w:shd w:val="clear" w:color="000000" w:fill="E7E7E8"/>
            <w:noWrap/>
            <w:vAlign w:val="center"/>
            <w:hideMark/>
          </w:tcPr>
          <w:p w14:paraId="375AE768"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3 / </w:t>
            </w:r>
            <w:r w:rsidR="007B1549" w:rsidRPr="00B818DC">
              <w:rPr>
                <w:rFonts w:cs="Arial"/>
                <w:color w:val="000000"/>
                <w:szCs w:val="20"/>
              </w:rPr>
              <w:t xml:space="preserve">2 / </w:t>
            </w:r>
            <w:r w:rsidRPr="00B818DC">
              <w:rPr>
                <w:rFonts w:cs="Arial"/>
                <w:color w:val="000000"/>
                <w:szCs w:val="20"/>
              </w:rPr>
              <w:t>2</w:t>
            </w:r>
          </w:p>
        </w:tc>
        <w:tc>
          <w:tcPr>
            <w:tcW w:w="1349" w:type="dxa"/>
            <w:tcBorders>
              <w:top w:val="nil"/>
              <w:left w:val="nil"/>
              <w:bottom w:val="single" w:sz="8" w:space="0" w:color="FFFFFF"/>
              <w:right w:val="single" w:sz="8" w:space="0" w:color="FFFFFF"/>
            </w:tcBorders>
            <w:shd w:val="clear" w:color="000000" w:fill="E7E7E8"/>
            <w:noWrap/>
            <w:vAlign w:val="center"/>
            <w:hideMark/>
          </w:tcPr>
          <w:p w14:paraId="356C542D"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3 / </w:t>
            </w:r>
            <w:r w:rsidR="007B1549" w:rsidRPr="00B818DC">
              <w:rPr>
                <w:rFonts w:cs="Arial"/>
                <w:color w:val="000000"/>
                <w:szCs w:val="20"/>
              </w:rPr>
              <w:t xml:space="preserve">1 / </w:t>
            </w:r>
            <w:r w:rsidRPr="00B818DC">
              <w:rPr>
                <w:rFonts w:cs="Arial"/>
                <w:color w:val="000000"/>
                <w:szCs w:val="20"/>
              </w:rPr>
              <w:t>1</w:t>
            </w:r>
          </w:p>
        </w:tc>
        <w:tc>
          <w:tcPr>
            <w:tcW w:w="1351" w:type="dxa"/>
            <w:tcBorders>
              <w:top w:val="nil"/>
              <w:left w:val="nil"/>
              <w:bottom w:val="single" w:sz="8" w:space="0" w:color="FFFFFF"/>
              <w:right w:val="single" w:sz="8" w:space="0" w:color="FFFFFF"/>
            </w:tcBorders>
            <w:shd w:val="clear" w:color="000000" w:fill="E7E7E8"/>
            <w:noWrap/>
            <w:vAlign w:val="center"/>
            <w:hideMark/>
          </w:tcPr>
          <w:p w14:paraId="17E6228F"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8 / </w:t>
            </w:r>
            <w:r w:rsidR="007B1549" w:rsidRPr="00B818DC">
              <w:rPr>
                <w:rFonts w:cs="Arial"/>
                <w:color w:val="000000"/>
                <w:szCs w:val="20"/>
              </w:rPr>
              <w:t xml:space="preserve">3 / </w:t>
            </w:r>
            <w:r w:rsidRPr="00B818DC">
              <w:rPr>
                <w:rFonts w:cs="Arial"/>
                <w:color w:val="000000"/>
                <w:szCs w:val="20"/>
              </w:rPr>
              <w:t>3</w:t>
            </w:r>
          </w:p>
        </w:tc>
      </w:tr>
      <w:tr w:rsidR="007B1549" w:rsidRPr="001E1EDA" w14:paraId="51134B6D" w14:textId="77777777" w:rsidTr="00E66F34">
        <w:trPr>
          <w:trHeight w:val="306"/>
        </w:trPr>
        <w:tc>
          <w:tcPr>
            <w:tcW w:w="1556" w:type="dxa"/>
            <w:tcBorders>
              <w:top w:val="nil"/>
              <w:left w:val="single" w:sz="8" w:space="0" w:color="FFFFFF"/>
              <w:bottom w:val="single" w:sz="8" w:space="0" w:color="FFFFFF"/>
              <w:right w:val="single" w:sz="8" w:space="0" w:color="FFFFFF"/>
            </w:tcBorders>
            <w:shd w:val="clear" w:color="000000" w:fill="E7E7E8"/>
            <w:noWrap/>
            <w:vAlign w:val="center"/>
            <w:hideMark/>
          </w:tcPr>
          <w:p w14:paraId="11814745" w14:textId="77777777" w:rsidR="007B1549" w:rsidRPr="00B818DC" w:rsidRDefault="007B1549" w:rsidP="007B1549">
            <w:pPr>
              <w:spacing w:after="0"/>
              <w:rPr>
                <w:rFonts w:cs="Arial"/>
                <w:color w:val="000000"/>
                <w:szCs w:val="20"/>
                <w:lang w:val="en-NZ" w:eastAsia="en-NZ"/>
              </w:rPr>
            </w:pPr>
            <w:r w:rsidRPr="00B818DC">
              <w:rPr>
                <w:rFonts w:cs="Arial"/>
                <w:color w:val="000000"/>
                <w:szCs w:val="20"/>
                <w:lang w:val="en-NZ" w:eastAsia="en-NZ"/>
              </w:rPr>
              <w:t>Waikato</w:t>
            </w:r>
          </w:p>
        </w:tc>
        <w:tc>
          <w:tcPr>
            <w:tcW w:w="1348" w:type="dxa"/>
            <w:tcBorders>
              <w:top w:val="nil"/>
              <w:left w:val="nil"/>
              <w:bottom w:val="single" w:sz="8" w:space="0" w:color="FFFFFF"/>
              <w:right w:val="single" w:sz="8" w:space="0" w:color="FFFFFF"/>
            </w:tcBorders>
            <w:shd w:val="clear" w:color="000000" w:fill="E7E7E8"/>
            <w:noWrap/>
            <w:vAlign w:val="center"/>
            <w:hideMark/>
          </w:tcPr>
          <w:p w14:paraId="2797E9C6"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6 / </w:t>
            </w:r>
            <w:r w:rsidR="007B1549" w:rsidRPr="00B818DC">
              <w:rPr>
                <w:rFonts w:cs="Arial"/>
                <w:color w:val="000000"/>
                <w:szCs w:val="20"/>
              </w:rPr>
              <w:t xml:space="preserve">5 / </w:t>
            </w:r>
            <w:r w:rsidRPr="00B818DC">
              <w:rPr>
                <w:rFonts w:cs="Arial"/>
                <w:color w:val="000000"/>
                <w:szCs w:val="20"/>
              </w:rPr>
              <w:t>3</w:t>
            </w:r>
          </w:p>
        </w:tc>
        <w:tc>
          <w:tcPr>
            <w:tcW w:w="1349" w:type="dxa"/>
            <w:tcBorders>
              <w:top w:val="nil"/>
              <w:left w:val="nil"/>
              <w:bottom w:val="single" w:sz="8" w:space="0" w:color="FFFFFF"/>
              <w:right w:val="single" w:sz="8" w:space="0" w:color="FFFFFF"/>
            </w:tcBorders>
            <w:shd w:val="clear" w:color="000000" w:fill="E7E7E8"/>
            <w:noWrap/>
            <w:vAlign w:val="center"/>
            <w:hideMark/>
          </w:tcPr>
          <w:p w14:paraId="09F02441"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9 / </w:t>
            </w:r>
            <w:r w:rsidR="007B1549" w:rsidRPr="00B818DC">
              <w:rPr>
                <w:rFonts w:cs="Arial"/>
                <w:color w:val="000000"/>
                <w:szCs w:val="20"/>
              </w:rPr>
              <w:t xml:space="preserve">5 / </w:t>
            </w:r>
            <w:r w:rsidRPr="00B818DC">
              <w:rPr>
                <w:rFonts w:cs="Arial"/>
                <w:color w:val="000000"/>
                <w:szCs w:val="20"/>
              </w:rPr>
              <w:t>5</w:t>
            </w:r>
          </w:p>
        </w:tc>
        <w:tc>
          <w:tcPr>
            <w:tcW w:w="1348" w:type="dxa"/>
            <w:tcBorders>
              <w:top w:val="nil"/>
              <w:left w:val="nil"/>
              <w:bottom w:val="single" w:sz="8" w:space="0" w:color="FFFFFF"/>
              <w:right w:val="single" w:sz="8" w:space="0" w:color="FFFFFF"/>
            </w:tcBorders>
            <w:shd w:val="clear" w:color="000000" w:fill="E7E7E8"/>
            <w:noWrap/>
            <w:vAlign w:val="center"/>
            <w:hideMark/>
          </w:tcPr>
          <w:p w14:paraId="5CAB847D"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20 / </w:t>
            </w:r>
            <w:r w:rsidR="007B1549" w:rsidRPr="00B818DC">
              <w:rPr>
                <w:rFonts w:cs="Arial"/>
                <w:color w:val="000000"/>
                <w:szCs w:val="20"/>
              </w:rPr>
              <w:t xml:space="preserve">10 / </w:t>
            </w:r>
            <w:r w:rsidRPr="00B818DC">
              <w:rPr>
                <w:rFonts w:cs="Arial"/>
                <w:color w:val="000000"/>
                <w:szCs w:val="20"/>
              </w:rPr>
              <w:t>9</w:t>
            </w:r>
          </w:p>
        </w:tc>
        <w:tc>
          <w:tcPr>
            <w:tcW w:w="1349" w:type="dxa"/>
            <w:tcBorders>
              <w:top w:val="nil"/>
              <w:left w:val="nil"/>
              <w:bottom w:val="single" w:sz="8" w:space="0" w:color="FFFFFF"/>
              <w:right w:val="single" w:sz="8" w:space="0" w:color="FFFFFF"/>
            </w:tcBorders>
            <w:shd w:val="clear" w:color="000000" w:fill="E7E7E8"/>
            <w:noWrap/>
            <w:vAlign w:val="center"/>
            <w:hideMark/>
          </w:tcPr>
          <w:p w14:paraId="3B069610"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21 / </w:t>
            </w:r>
            <w:r w:rsidR="007B1549" w:rsidRPr="00B818DC">
              <w:rPr>
                <w:rFonts w:cs="Arial"/>
                <w:color w:val="000000"/>
                <w:szCs w:val="20"/>
              </w:rPr>
              <w:t xml:space="preserve">7 / </w:t>
            </w:r>
            <w:r w:rsidRPr="00B818DC">
              <w:rPr>
                <w:rFonts w:cs="Arial"/>
                <w:color w:val="000000"/>
                <w:szCs w:val="20"/>
              </w:rPr>
              <w:t>6</w:t>
            </w:r>
          </w:p>
        </w:tc>
        <w:tc>
          <w:tcPr>
            <w:tcW w:w="1351" w:type="dxa"/>
            <w:tcBorders>
              <w:top w:val="nil"/>
              <w:left w:val="nil"/>
              <w:bottom w:val="single" w:sz="8" w:space="0" w:color="FFFFFF"/>
              <w:right w:val="single" w:sz="8" w:space="0" w:color="FFFFFF"/>
            </w:tcBorders>
            <w:shd w:val="clear" w:color="000000" w:fill="E7E7E8"/>
            <w:noWrap/>
            <w:vAlign w:val="center"/>
            <w:hideMark/>
          </w:tcPr>
          <w:p w14:paraId="06B7B7D0"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56 / </w:t>
            </w:r>
            <w:r w:rsidR="007B1549" w:rsidRPr="00B818DC">
              <w:rPr>
                <w:rFonts w:cs="Arial"/>
                <w:color w:val="000000"/>
                <w:szCs w:val="20"/>
              </w:rPr>
              <w:t xml:space="preserve">27 / </w:t>
            </w:r>
            <w:r w:rsidRPr="00B818DC">
              <w:rPr>
                <w:rFonts w:cs="Arial"/>
                <w:color w:val="000000"/>
                <w:szCs w:val="20"/>
              </w:rPr>
              <w:t>23</w:t>
            </w:r>
          </w:p>
        </w:tc>
      </w:tr>
      <w:tr w:rsidR="007B1549" w:rsidRPr="001E1EDA" w14:paraId="6B5EEE38" w14:textId="77777777" w:rsidTr="00E66F34">
        <w:trPr>
          <w:trHeight w:val="306"/>
        </w:trPr>
        <w:tc>
          <w:tcPr>
            <w:tcW w:w="1556" w:type="dxa"/>
            <w:tcBorders>
              <w:top w:val="nil"/>
              <w:left w:val="single" w:sz="8" w:space="0" w:color="FFFFFF"/>
              <w:bottom w:val="single" w:sz="8" w:space="0" w:color="FFFFFF"/>
              <w:right w:val="single" w:sz="8" w:space="0" w:color="FFFFFF"/>
            </w:tcBorders>
            <w:shd w:val="clear" w:color="000000" w:fill="E7E7E8"/>
            <w:noWrap/>
            <w:vAlign w:val="center"/>
            <w:hideMark/>
          </w:tcPr>
          <w:p w14:paraId="6C417C85" w14:textId="77777777" w:rsidR="007B1549" w:rsidRPr="00B818DC" w:rsidRDefault="007B1549" w:rsidP="007B1549">
            <w:pPr>
              <w:spacing w:after="0"/>
              <w:rPr>
                <w:rFonts w:cs="Arial"/>
                <w:color w:val="000000"/>
                <w:szCs w:val="20"/>
                <w:lang w:val="en-NZ" w:eastAsia="en-NZ"/>
              </w:rPr>
            </w:pPr>
            <w:r w:rsidRPr="00B818DC">
              <w:rPr>
                <w:rFonts w:cs="Arial"/>
                <w:color w:val="000000"/>
                <w:szCs w:val="20"/>
                <w:lang w:val="en-NZ" w:eastAsia="en-NZ"/>
              </w:rPr>
              <w:t>Wellington</w:t>
            </w:r>
          </w:p>
        </w:tc>
        <w:tc>
          <w:tcPr>
            <w:tcW w:w="1348" w:type="dxa"/>
            <w:tcBorders>
              <w:top w:val="nil"/>
              <w:left w:val="nil"/>
              <w:bottom w:val="single" w:sz="8" w:space="0" w:color="FFFFFF"/>
              <w:right w:val="single" w:sz="8" w:space="0" w:color="FFFFFF"/>
            </w:tcBorders>
            <w:shd w:val="clear" w:color="000000" w:fill="E7E7E8"/>
            <w:noWrap/>
            <w:vAlign w:val="center"/>
            <w:hideMark/>
          </w:tcPr>
          <w:p w14:paraId="2752F80C"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6 / </w:t>
            </w:r>
            <w:r w:rsidR="007B1549" w:rsidRPr="00B818DC">
              <w:rPr>
                <w:rFonts w:cs="Arial"/>
                <w:color w:val="000000"/>
                <w:szCs w:val="20"/>
              </w:rPr>
              <w:t xml:space="preserve">2 / </w:t>
            </w:r>
            <w:r w:rsidRPr="00B818DC">
              <w:rPr>
                <w:rFonts w:cs="Arial"/>
                <w:color w:val="000000"/>
                <w:szCs w:val="20"/>
              </w:rPr>
              <w:t>1</w:t>
            </w:r>
          </w:p>
        </w:tc>
        <w:tc>
          <w:tcPr>
            <w:tcW w:w="1349" w:type="dxa"/>
            <w:tcBorders>
              <w:top w:val="nil"/>
              <w:left w:val="nil"/>
              <w:bottom w:val="single" w:sz="8" w:space="0" w:color="FFFFFF"/>
              <w:right w:val="single" w:sz="8" w:space="0" w:color="FFFFFF"/>
            </w:tcBorders>
            <w:shd w:val="clear" w:color="000000" w:fill="E7E7E8"/>
            <w:noWrap/>
            <w:vAlign w:val="center"/>
            <w:hideMark/>
          </w:tcPr>
          <w:p w14:paraId="3502B642" w14:textId="77777777" w:rsidR="007B1549" w:rsidRPr="00B818DC" w:rsidRDefault="007B1549" w:rsidP="00E66F34">
            <w:pPr>
              <w:spacing w:after="0"/>
              <w:jc w:val="center"/>
              <w:rPr>
                <w:rFonts w:cs="Arial"/>
                <w:color w:val="000000"/>
                <w:szCs w:val="20"/>
                <w:lang w:val="en-NZ" w:eastAsia="en-NZ"/>
              </w:rPr>
            </w:pPr>
            <w:r w:rsidRPr="00B818DC">
              <w:rPr>
                <w:rFonts w:cs="Arial"/>
                <w:color w:val="000000"/>
                <w:szCs w:val="20"/>
              </w:rPr>
              <w:t>2 / 2</w:t>
            </w:r>
            <w:r w:rsidR="007A017C" w:rsidRPr="00B818DC">
              <w:rPr>
                <w:rFonts w:cs="Arial"/>
                <w:color w:val="000000"/>
                <w:szCs w:val="20"/>
              </w:rPr>
              <w:t xml:space="preserve"> / 2</w:t>
            </w:r>
          </w:p>
        </w:tc>
        <w:tc>
          <w:tcPr>
            <w:tcW w:w="1348" w:type="dxa"/>
            <w:tcBorders>
              <w:top w:val="nil"/>
              <w:left w:val="nil"/>
              <w:bottom w:val="single" w:sz="8" w:space="0" w:color="FFFFFF"/>
              <w:right w:val="single" w:sz="8" w:space="0" w:color="FFFFFF"/>
            </w:tcBorders>
            <w:shd w:val="clear" w:color="000000" w:fill="E7E7E8"/>
            <w:noWrap/>
            <w:vAlign w:val="center"/>
            <w:hideMark/>
          </w:tcPr>
          <w:p w14:paraId="4416C9E8" w14:textId="77777777" w:rsidR="007B1549" w:rsidRPr="00B818DC" w:rsidRDefault="007B1549" w:rsidP="00E66F34">
            <w:pPr>
              <w:spacing w:after="0"/>
              <w:jc w:val="center"/>
              <w:rPr>
                <w:rFonts w:cs="Arial"/>
                <w:color w:val="000000"/>
                <w:szCs w:val="20"/>
                <w:lang w:val="en-NZ" w:eastAsia="en-NZ"/>
              </w:rPr>
            </w:pPr>
            <w:r w:rsidRPr="00B818DC">
              <w:rPr>
                <w:rFonts w:cs="Arial"/>
                <w:color w:val="000000"/>
                <w:szCs w:val="20"/>
              </w:rPr>
              <w:t>3 / 3</w:t>
            </w:r>
            <w:r w:rsidR="007A017C" w:rsidRPr="00B818DC">
              <w:rPr>
                <w:rFonts w:cs="Arial"/>
                <w:color w:val="000000"/>
                <w:szCs w:val="20"/>
              </w:rPr>
              <w:t xml:space="preserve"> / 3</w:t>
            </w:r>
          </w:p>
        </w:tc>
        <w:tc>
          <w:tcPr>
            <w:tcW w:w="1349" w:type="dxa"/>
            <w:tcBorders>
              <w:top w:val="nil"/>
              <w:left w:val="nil"/>
              <w:bottom w:val="single" w:sz="8" w:space="0" w:color="FFFFFF"/>
              <w:right w:val="single" w:sz="8" w:space="0" w:color="FFFFFF"/>
            </w:tcBorders>
            <w:shd w:val="clear" w:color="000000" w:fill="E7E7E8"/>
            <w:noWrap/>
            <w:vAlign w:val="center"/>
            <w:hideMark/>
          </w:tcPr>
          <w:p w14:paraId="394CB182"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2 / </w:t>
            </w:r>
            <w:r w:rsidR="007B1549" w:rsidRPr="00B818DC">
              <w:rPr>
                <w:rFonts w:cs="Arial"/>
                <w:color w:val="000000"/>
                <w:szCs w:val="20"/>
              </w:rPr>
              <w:t xml:space="preserve">0 / </w:t>
            </w:r>
            <w:r w:rsidRPr="00B818DC">
              <w:rPr>
                <w:rFonts w:cs="Arial"/>
                <w:color w:val="000000"/>
                <w:szCs w:val="20"/>
              </w:rPr>
              <w:t>0</w:t>
            </w:r>
          </w:p>
        </w:tc>
        <w:tc>
          <w:tcPr>
            <w:tcW w:w="1351" w:type="dxa"/>
            <w:tcBorders>
              <w:top w:val="nil"/>
              <w:left w:val="nil"/>
              <w:bottom w:val="single" w:sz="8" w:space="0" w:color="FFFFFF"/>
              <w:right w:val="single" w:sz="8" w:space="0" w:color="FFFFFF"/>
            </w:tcBorders>
            <w:shd w:val="clear" w:color="000000" w:fill="E7E7E8"/>
            <w:noWrap/>
            <w:vAlign w:val="center"/>
            <w:hideMark/>
          </w:tcPr>
          <w:p w14:paraId="4E42951A"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13 / </w:t>
            </w:r>
            <w:r w:rsidR="007B1549" w:rsidRPr="00B818DC">
              <w:rPr>
                <w:rFonts w:cs="Arial"/>
                <w:color w:val="000000"/>
                <w:szCs w:val="20"/>
              </w:rPr>
              <w:t xml:space="preserve">7 / </w:t>
            </w:r>
            <w:r w:rsidRPr="00B818DC">
              <w:rPr>
                <w:rFonts w:cs="Arial"/>
                <w:color w:val="000000"/>
                <w:szCs w:val="20"/>
              </w:rPr>
              <w:t>6</w:t>
            </w:r>
          </w:p>
        </w:tc>
      </w:tr>
      <w:tr w:rsidR="007B1549" w:rsidRPr="001E1EDA" w14:paraId="4ED2BE17" w14:textId="77777777" w:rsidTr="00E66F34">
        <w:trPr>
          <w:trHeight w:val="306"/>
        </w:trPr>
        <w:tc>
          <w:tcPr>
            <w:tcW w:w="1556" w:type="dxa"/>
            <w:tcBorders>
              <w:top w:val="nil"/>
              <w:left w:val="single" w:sz="8" w:space="0" w:color="FFFFFF"/>
              <w:bottom w:val="single" w:sz="8" w:space="0" w:color="FFFFFF"/>
              <w:right w:val="single" w:sz="8" w:space="0" w:color="FFFFFF"/>
            </w:tcBorders>
            <w:shd w:val="clear" w:color="000000" w:fill="E7E7E8"/>
            <w:noWrap/>
            <w:vAlign w:val="center"/>
            <w:hideMark/>
          </w:tcPr>
          <w:p w14:paraId="33E5CA23" w14:textId="77777777" w:rsidR="007B1549" w:rsidRPr="00B818DC" w:rsidRDefault="007B1549" w:rsidP="007B1549">
            <w:pPr>
              <w:spacing w:after="0"/>
              <w:rPr>
                <w:rFonts w:cs="Arial"/>
                <w:color w:val="000000"/>
                <w:szCs w:val="20"/>
                <w:lang w:val="en-NZ" w:eastAsia="en-NZ"/>
              </w:rPr>
            </w:pPr>
            <w:r w:rsidRPr="00B818DC">
              <w:rPr>
                <w:rFonts w:cs="Arial"/>
                <w:color w:val="000000"/>
                <w:szCs w:val="20"/>
                <w:lang w:val="en-NZ" w:eastAsia="en-NZ"/>
              </w:rPr>
              <w:t>West Coast</w:t>
            </w:r>
          </w:p>
        </w:tc>
        <w:tc>
          <w:tcPr>
            <w:tcW w:w="1348" w:type="dxa"/>
            <w:tcBorders>
              <w:top w:val="nil"/>
              <w:left w:val="nil"/>
              <w:bottom w:val="single" w:sz="8" w:space="0" w:color="FFFFFF"/>
              <w:right w:val="single" w:sz="8" w:space="0" w:color="FFFFFF"/>
            </w:tcBorders>
            <w:shd w:val="clear" w:color="000000" w:fill="E7E7E8"/>
            <w:noWrap/>
            <w:vAlign w:val="center"/>
            <w:hideMark/>
          </w:tcPr>
          <w:p w14:paraId="11887ADB" w14:textId="77777777" w:rsidR="007B1549" w:rsidRPr="00B818DC" w:rsidRDefault="007B1549" w:rsidP="00E66F34">
            <w:pPr>
              <w:spacing w:after="0"/>
              <w:jc w:val="center"/>
              <w:rPr>
                <w:rFonts w:cs="Arial"/>
                <w:color w:val="000000"/>
                <w:szCs w:val="20"/>
                <w:lang w:val="en-NZ" w:eastAsia="en-NZ"/>
              </w:rPr>
            </w:pPr>
            <w:r w:rsidRPr="00B818DC">
              <w:rPr>
                <w:rFonts w:cs="Arial"/>
                <w:color w:val="000000"/>
                <w:szCs w:val="20"/>
              </w:rPr>
              <w:t>0 / 0</w:t>
            </w:r>
            <w:r w:rsidR="007A017C" w:rsidRPr="00B818DC">
              <w:rPr>
                <w:rFonts w:cs="Arial"/>
                <w:color w:val="000000"/>
                <w:szCs w:val="20"/>
              </w:rPr>
              <w:t xml:space="preserve"> / 0</w:t>
            </w:r>
          </w:p>
        </w:tc>
        <w:tc>
          <w:tcPr>
            <w:tcW w:w="1349" w:type="dxa"/>
            <w:tcBorders>
              <w:top w:val="nil"/>
              <w:left w:val="nil"/>
              <w:bottom w:val="single" w:sz="8" w:space="0" w:color="FFFFFF"/>
              <w:right w:val="single" w:sz="8" w:space="0" w:color="FFFFFF"/>
            </w:tcBorders>
            <w:shd w:val="clear" w:color="000000" w:fill="E7E7E8"/>
            <w:noWrap/>
            <w:vAlign w:val="center"/>
            <w:hideMark/>
          </w:tcPr>
          <w:p w14:paraId="3BDDEABE" w14:textId="77777777" w:rsidR="007B1549" w:rsidRPr="00B818DC" w:rsidRDefault="007B1549" w:rsidP="00E66F34">
            <w:pPr>
              <w:spacing w:after="0"/>
              <w:jc w:val="center"/>
              <w:rPr>
                <w:rFonts w:cs="Arial"/>
                <w:color w:val="000000"/>
                <w:szCs w:val="20"/>
                <w:lang w:val="en-NZ" w:eastAsia="en-NZ"/>
              </w:rPr>
            </w:pPr>
            <w:r w:rsidRPr="00B818DC">
              <w:rPr>
                <w:rFonts w:cs="Arial"/>
                <w:color w:val="000000"/>
                <w:szCs w:val="20"/>
              </w:rPr>
              <w:t>1 / 1</w:t>
            </w:r>
            <w:r w:rsidR="007A017C" w:rsidRPr="00B818DC">
              <w:rPr>
                <w:rFonts w:cs="Arial"/>
                <w:color w:val="000000"/>
                <w:szCs w:val="20"/>
              </w:rPr>
              <w:t xml:space="preserve"> / 1</w:t>
            </w:r>
          </w:p>
        </w:tc>
        <w:tc>
          <w:tcPr>
            <w:tcW w:w="1348" w:type="dxa"/>
            <w:tcBorders>
              <w:top w:val="nil"/>
              <w:left w:val="nil"/>
              <w:bottom w:val="single" w:sz="8" w:space="0" w:color="FFFFFF"/>
              <w:right w:val="single" w:sz="8" w:space="0" w:color="FFFFFF"/>
            </w:tcBorders>
            <w:shd w:val="clear" w:color="000000" w:fill="E7E7E8"/>
            <w:noWrap/>
            <w:vAlign w:val="center"/>
            <w:hideMark/>
          </w:tcPr>
          <w:p w14:paraId="4B8343EE"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6 / </w:t>
            </w:r>
            <w:r w:rsidR="007B1549" w:rsidRPr="00B818DC">
              <w:rPr>
                <w:rFonts w:cs="Arial"/>
                <w:color w:val="000000"/>
                <w:szCs w:val="20"/>
              </w:rPr>
              <w:t xml:space="preserve">4 / </w:t>
            </w:r>
            <w:r w:rsidRPr="00B818DC">
              <w:rPr>
                <w:rFonts w:cs="Arial"/>
                <w:color w:val="000000"/>
                <w:szCs w:val="20"/>
              </w:rPr>
              <w:t>4</w:t>
            </w:r>
          </w:p>
        </w:tc>
        <w:tc>
          <w:tcPr>
            <w:tcW w:w="1349" w:type="dxa"/>
            <w:tcBorders>
              <w:top w:val="nil"/>
              <w:left w:val="nil"/>
              <w:bottom w:val="single" w:sz="8" w:space="0" w:color="FFFFFF"/>
              <w:right w:val="single" w:sz="8" w:space="0" w:color="FFFFFF"/>
            </w:tcBorders>
            <w:shd w:val="clear" w:color="000000" w:fill="E7E7E8"/>
            <w:noWrap/>
            <w:vAlign w:val="center"/>
            <w:hideMark/>
          </w:tcPr>
          <w:p w14:paraId="05D1D130"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6 / </w:t>
            </w:r>
            <w:r w:rsidR="007B1549" w:rsidRPr="00B818DC">
              <w:rPr>
                <w:rFonts w:cs="Arial"/>
                <w:color w:val="000000"/>
                <w:szCs w:val="20"/>
              </w:rPr>
              <w:t xml:space="preserve">5 / </w:t>
            </w:r>
            <w:r w:rsidRPr="00B818DC">
              <w:rPr>
                <w:rFonts w:cs="Arial"/>
                <w:color w:val="000000"/>
                <w:szCs w:val="20"/>
              </w:rPr>
              <w:t>5</w:t>
            </w:r>
          </w:p>
        </w:tc>
        <w:tc>
          <w:tcPr>
            <w:tcW w:w="1351" w:type="dxa"/>
            <w:tcBorders>
              <w:top w:val="nil"/>
              <w:left w:val="nil"/>
              <w:bottom w:val="single" w:sz="8" w:space="0" w:color="FFFFFF"/>
              <w:right w:val="single" w:sz="8" w:space="0" w:color="FFFFFF"/>
            </w:tcBorders>
            <w:shd w:val="clear" w:color="000000" w:fill="E7E7E8"/>
            <w:noWrap/>
            <w:vAlign w:val="center"/>
            <w:hideMark/>
          </w:tcPr>
          <w:p w14:paraId="5D52DC1A" w14:textId="77777777" w:rsidR="007B1549" w:rsidRPr="00B818DC" w:rsidRDefault="007A017C" w:rsidP="00E66F34">
            <w:pPr>
              <w:spacing w:after="0"/>
              <w:jc w:val="center"/>
              <w:rPr>
                <w:rFonts w:cs="Arial"/>
                <w:color w:val="000000"/>
                <w:szCs w:val="20"/>
                <w:lang w:val="en-NZ" w:eastAsia="en-NZ"/>
              </w:rPr>
            </w:pPr>
            <w:r w:rsidRPr="00B818DC">
              <w:rPr>
                <w:rFonts w:cs="Arial"/>
                <w:color w:val="000000"/>
                <w:szCs w:val="20"/>
              </w:rPr>
              <w:t xml:space="preserve">13 / </w:t>
            </w:r>
            <w:r w:rsidR="007B1549" w:rsidRPr="00B818DC">
              <w:rPr>
                <w:rFonts w:cs="Arial"/>
                <w:color w:val="000000"/>
                <w:szCs w:val="20"/>
              </w:rPr>
              <w:t xml:space="preserve">10 / </w:t>
            </w:r>
            <w:r w:rsidRPr="00B818DC">
              <w:rPr>
                <w:rFonts w:cs="Arial"/>
                <w:color w:val="000000"/>
                <w:szCs w:val="20"/>
              </w:rPr>
              <w:t>10</w:t>
            </w:r>
          </w:p>
        </w:tc>
      </w:tr>
      <w:tr w:rsidR="007B1549" w:rsidRPr="001E1EDA" w14:paraId="41F24D18" w14:textId="77777777" w:rsidTr="00E66F34">
        <w:trPr>
          <w:trHeight w:val="306"/>
        </w:trPr>
        <w:tc>
          <w:tcPr>
            <w:tcW w:w="1556" w:type="dxa"/>
            <w:tcBorders>
              <w:top w:val="nil"/>
              <w:left w:val="single" w:sz="8" w:space="0" w:color="FFFFFF"/>
              <w:bottom w:val="single" w:sz="8" w:space="0" w:color="FFFFFF"/>
              <w:right w:val="single" w:sz="8" w:space="0" w:color="FFFFFF"/>
            </w:tcBorders>
            <w:shd w:val="clear" w:color="000000" w:fill="E7E7E8"/>
            <w:noWrap/>
            <w:vAlign w:val="center"/>
            <w:hideMark/>
          </w:tcPr>
          <w:p w14:paraId="05D360BC" w14:textId="77777777" w:rsidR="007B1549" w:rsidRPr="00B818DC" w:rsidRDefault="007B1549" w:rsidP="007B1549">
            <w:pPr>
              <w:spacing w:after="0"/>
              <w:rPr>
                <w:rFonts w:cs="Arial"/>
                <w:b/>
                <w:bCs/>
                <w:color w:val="000000"/>
                <w:szCs w:val="20"/>
                <w:lang w:val="en-NZ" w:eastAsia="en-NZ"/>
              </w:rPr>
            </w:pPr>
            <w:r w:rsidRPr="00B818DC">
              <w:rPr>
                <w:rFonts w:cs="Arial"/>
                <w:b/>
                <w:bCs/>
                <w:color w:val="000000"/>
                <w:szCs w:val="20"/>
                <w:lang w:val="en-NZ" w:eastAsia="en-NZ"/>
              </w:rPr>
              <w:t>Total</w:t>
            </w:r>
          </w:p>
        </w:tc>
        <w:tc>
          <w:tcPr>
            <w:tcW w:w="1348" w:type="dxa"/>
            <w:tcBorders>
              <w:top w:val="nil"/>
              <w:left w:val="nil"/>
              <w:bottom w:val="single" w:sz="8" w:space="0" w:color="FFFFFF"/>
              <w:right w:val="single" w:sz="8" w:space="0" w:color="FFFFFF"/>
            </w:tcBorders>
            <w:shd w:val="clear" w:color="000000" w:fill="E7E7E8"/>
            <w:noWrap/>
            <w:vAlign w:val="center"/>
            <w:hideMark/>
          </w:tcPr>
          <w:p w14:paraId="1932C0C0" w14:textId="77777777" w:rsidR="007B1549" w:rsidRPr="00B818DC" w:rsidRDefault="007A017C" w:rsidP="00E66F34">
            <w:pPr>
              <w:spacing w:after="0"/>
              <w:jc w:val="center"/>
              <w:rPr>
                <w:rFonts w:cs="Arial"/>
                <w:b/>
                <w:color w:val="000000"/>
                <w:szCs w:val="20"/>
                <w:lang w:val="en-NZ" w:eastAsia="en-NZ"/>
              </w:rPr>
            </w:pPr>
            <w:r w:rsidRPr="00B818DC">
              <w:rPr>
                <w:rFonts w:cs="Arial"/>
                <w:b/>
                <w:color w:val="000000"/>
                <w:szCs w:val="20"/>
              </w:rPr>
              <w:t xml:space="preserve">43 / </w:t>
            </w:r>
            <w:r w:rsidR="007B1549" w:rsidRPr="00B818DC">
              <w:rPr>
                <w:rFonts w:cs="Arial"/>
                <w:b/>
                <w:color w:val="000000"/>
                <w:szCs w:val="20"/>
              </w:rPr>
              <w:t xml:space="preserve">9 / </w:t>
            </w:r>
            <w:r w:rsidRPr="00B818DC">
              <w:rPr>
                <w:rFonts w:cs="Arial"/>
                <w:b/>
                <w:color w:val="000000"/>
                <w:szCs w:val="20"/>
              </w:rPr>
              <w:t>6</w:t>
            </w:r>
          </w:p>
        </w:tc>
        <w:tc>
          <w:tcPr>
            <w:tcW w:w="1349" w:type="dxa"/>
            <w:tcBorders>
              <w:top w:val="nil"/>
              <w:left w:val="nil"/>
              <w:bottom w:val="single" w:sz="8" w:space="0" w:color="FFFFFF"/>
              <w:right w:val="single" w:sz="8" w:space="0" w:color="FFFFFF"/>
            </w:tcBorders>
            <w:shd w:val="clear" w:color="000000" w:fill="E7E7E8"/>
            <w:noWrap/>
            <w:vAlign w:val="center"/>
            <w:hideMark/>
          </w:tcPr>
          <w:p w14:paraId="4B193EEC" w14:textId="77777777" w:rsidR="007B1549" w:rsidRPr="00B818DC" w:rsidRDefault="007A017C" w:rsidP="00E66F34">
            <w:pPr>
              <w:spacing w:after="0"/>
              <w:jc w:val="center"/>
              <w:rPr>
                <w:rFonts w:cs="Arial"/>
                <w:b/>
                <w:color w:val="000000"/>
                <w:szCs w:val="20"/>
                <w:lang w:val="en-NZ" w:eastAsia="en-NZ"/>
              </w:rPr>
            </w:pPr>
            <w:r w:rsidRPr="00B818DC">
              <w:rPr>
                <w:rFonts w:cs="Arial"/>
                <w:b/>
                <w:color w:val="000000"/>
                <w:szCs w:val="20"/>
              </w:rPr>
              <w:t xml:space="preserve">25 / </w:t>
            </w:r>
            <w:r w:rsidR="007B1549" w:rsidRPr="00B818DC">
              <w:rPr>
                <w:rFonts w:cs="Arial"/>
                <w:b/>
                <w:color w:val="000000"/>
                <w:szCs w:val="20"/>
              </w:rPr>
              <w:t xml:space="preserve">18 / </w:t>
            </w:r>
            <w:r w:rsidRPr="00B818DC">
              <w:rPr>
                <w:rFonts w:cs="Arial"/>
                <w:b/>
                <w:color w:val="000000"/>
                <w:szCs w:val="20"/>
              </w:rPr>
              <w:t>17</w:t>
            </w:r>
          </w:p>
        </w:tc>
        <w:tc>
          <w:tcPr>
            <w:tcW w:w="1348" w:type="dxa"/>
            <w:tcBorders>
              <w:top w:val="nil"/>
              <w:left w:val="nil"/>
              <w:bottom w:val="single" w:sz="8" w:space="0" w:color="FFFFFF"/>
              <w:right w:val="single" w:sz="8" w:space="0" w:color="FFFFFF"/>
            </w:tcBorders>
            <w:shd w:val="clear" w:color="000000" w:fill="E7E7E8"/>
            <w:noWrap/>
            <w:vAlign w:val="center"/>
            <w:hideMark/>
          </w:tcPr>
          <w:p w14:paraId="228FADEA" w14:textId="77777777" w:rsidR="007B1549" w:rsidRPr="00B818DC" w:rsidRDefault="007A017C" w:rsidP="00E66F34">
            <w:pPr>
              <w:spacing w:after="0"/>
              <w:jc w:val="center"/>
              <w:rPr>
                <w:rFonts w:cs="Arial"/>
                <w:b/>
                <w:color w:val="000000"/>
                <w:szCs w:val="20"/>
                <w:lang w:val="en-NZ" w:eastAsia="en-NZ"/>
              </w:rPr>
            </w:pPr>
            <w:r w:rsidRPr="00B818DC">
              <w:rPr>
                <w:rFonts w:cs="Arial"/>
                <w:b/>
                <w:color w:val="000000"/>
                <w:szCs w:val="20"/>
              </w:rPr>
              <w:t xml:space="preserve">137 / </w:t>
            </w:r>
            <w:r w:rsidR="007B1549" w:rsidRPr="00B818DC">
              <w:rPr>
                <w:rFonts w:cs="Arial"/>
                <w:b/>
                <w:color w:val="000000"/>
                <w:szCs w:val="20"/>
              </w:rPr>
              <w:t xml:space="preserve">73 / </w:t>
            </w:r>
            <w:r w:rsidRPr="00B818DC">
              <w:rPr>
                <w:rFonts w:cs="Arial"/>
                <w:b/>
                <w:color w:val="000000"/>
                <w:szCs w:val="20"/>
              </w:rPr>
              <w:t>71</w:t>
            </w:r>
          </w:p>
        </w:tc>
        <w:tc>
          <w:tcPr>
            <w:tcW w:w="1349" w:type="dxa"/>
            <w:tcBorders>
              <w:top w:val="nil"/>
              <w:left w:val="nil"/>
              <w:bottom w:val="single" w:sz="8" w:space="0" w:color="FFFFFF"/>
              <w:right w:val="single" w:sz="8" w:space="0" w:color="FFFFFF"/>
            </w:tcBorders>
            <w:shd w:val="clear" w:color="000000" w:fill="E7E7E8"/>
            <w:noWrap/>
            <w:vAlign w:val="center"/>
            <w:hideMark/>
          </w:tcPr>
          <w:p w14:paraId="7D0FBD1A" w14:textId="77777777" w:rsidR="007B1549" w:rsidRPr="00B818DC" w:rsidRDefault="007A017C" w:rsidP="00E66F34">
            <w:pPr>
              <w:spacing w:after="0"/>
              <w:jc w:val="center"/>
              <w:rPr>
                <w:rFonts w:cs="Arial"/>
                <w:b/>
                <w:color w:val="000000"/>
                <w:szCs w:val="20"/>
                <w:lang w:val="en-NZ" w:eastAsia="en-NZ"/>
              </w:rPr>
            </w:pPr>
            <w:r w:rsidRPr="00B818DC">
              <w:rPr>
                <w:rFonts w:cs="Arial"/>
                <w:b/>
                <w:color w:val="000000"/>
                <w:szCs w:val="20"/>
              </w:rPr>
              <w:t xml:space="preserve">116 / </w:t>
            </w:r>
            <w:r w:rsidR="007B1549" w:rsidRPr="00B818DC">
              <w:rPr>
                <w:rFonts w:cs="Arial"/>
                <w:b/>
                <w:color w:val="000000"/>
                <w:szCs w:val="20"/>
              </w:rPr>
              <w:t xml:space="preserve">52 / </w:t>
            </w:r>
            <w:r w:rsidRPr="00B818DC">
              <w:rPr>
                <w:rFonts w:cs="Arial"/>
                <w:b/>
                <w:color w:val="000000"/>
                <w:szCs w:val="20"/>
              </w:rPr>
              <w:t>51</w:t>
            </w:r>
          </w:p>
        </w:tc>
        <w:tc>
          <w:tcPr>
            <w:tcW w:w="1351" w:type="dxa"/>
            <w:tcBorders>
              <w:top w:val="nil"/>
              <w:left w:val="nil"/>
              <w:bottom w:val="single" w:sz="8" w:space="0" w:color="FFFFFF"/>
              <w:right w:val="single" w:sz="8" w:space="0" w:color="FFFFFF"/>
            </w:tcBorders>
            <w:shd w:val="clear" w:color="000000" w:fill="E7E7E8"/>
            <w:noWrap/>
            <w:vAlign w:val="center"/>
            <w:hideMark/>
          </w:tcPr>
          <w:p w14:paraId="5FD67924" w14:textId="77777777" w:rsidR="007B1549" w:rsidRPr="00B818DC" w:rsidRDefault="007A017C" w:rsidP="00E66F34">
            <w:pPr>
              <w:spacing w:after="0"/>
              <w:jc w:val="center"/>
              <w:rPr>
                <w:rFonts w:cs="Arial"/>
                <w:b/>
                <w:color w:val="000000"/>
                <w:szCs w:val="20"/>
                <w:lang w:val="en-NZ" w:eastAsia="en-NZ"/>
              </w:rPr>
            </w:pPr>
            <w:r w:rsidRPr="00B818DC">
              <w:rPr>
                <w:rFonts w:cs="Arial"/>
                <w:b/>
                <w:color w:val="000000"/>
                <w:szCs w:val="20"/>
              </w:rPr>
              <w:t xml:space="preserve">321 / </w:t>
            </w:r>
            <w:r w:rsidR="007B1549" w:rsidRPr="00B818DC">
              <w:rPr>
                <w:rFonts w:cs="Arial"/>
                <w:b/>
                <w:color w:val="000000"/>
                <w:szCs w:val="20"/>
              </w:rPr>
              <w:t xml:space="preserve">152 / </w:t>
            </w:r>
            <w:r w:rsidRPr="00B818DC">
              <w:rPr>
                <w:rFonts w:cs="Arial"/>
                <w:b/>
                <w:color w:val="000000"/>
                <w:szCs w:val="20"/>
              </w:rPr>
              <w:t>145</w:t>
            </w:r>
          </w:p>
        </w:tc>
      </w:tr>
    </w:tbl>
    <w:p w14:paraId="07846498" w14:textId="77777777" w:rsidR="00976290" w:rsidRDefault="00345E1D" w:rsidP="00261B3A">
      <w:pPr>
        <w:pStyle w:val="Body"/>
        <w:rPr>
          <w:lang w:eastAsia="en-AU"/>
        </w:rPr>
      </w:pPr>
      <w:r>
        <w:rPr>
          <w:lang w:eastAsia="en-AU"/>
        </w:rPr>
        <w:t>The data analysis shows a predominance of WWTPs</w:t>
      </w:r>
      <w:r w:rsidR="00936F3F">
        <w:rPr>
          <w:lang w:eastAsia="en-AU"/>
        </w:rPr>
        <w:t xml:space="preserve"> </w:t>
      </w:r>
      <w:r w:rsidRPr="00345E1D">
        <w:rPr>
          <w:lang w:eastAsia="en-AU"/>
        </w:rPr>
        <w:t>discharging to freshwater</w:t>
      </w:r>
      <w:r w:rsidR="00936F3F">
        <w:rPr>
          <w:lang w:eastAsia="en-AU"/>
        </w:rPr>
        <w:t xml:space="preserve"> </w:t>
      </w:r>
      <w:r w:rsidR="00936F3F" w:rsidRPr="00936F3F">
        <w:rPr>
          <w:lang w:eastAsia="en-AU"/>
        </w:rPr>
        <w:t>(82%)</w:t>
      </w:r>
      <w:r>
        <w:rPr>
          <w:lang w:eastAsia="en-AU"/>
        </w:rPr>
        <w:t xml:space="preserve"> that service small or minor populations</w:t>
      </w:r>
      <w:r w:rsidR="00C6401D">
        <w:rPr>
          <w:lang w:eastAsia="en-AU"/>
        </w:rPr>
        <w:t>.</w:t>
      </w:r>
      <w:r w:rsidR="00C96914">
        <w:rPr>
          <w:lang w:eastAsia="en-AU"/>
        </w:rPr>
        <w:t xml:space="preserve"> </w:t>
      </w:r>
      <w:r>
        <w:rPr>
          <w:lang w:eastAsia="en-AU"/>
        </w:rPr>
        <w:t xml:space="preserve"> </w:t>
      </w:r>
      <w:r w:rsidR="00C77E49">
        <w:rPr>
          <w:lang w:eastAsia="en-AU"/>
        </w:rPr>
        <w:t xml:space="preserve">Only </w:t>
      </w:r>
      <w:r w:rsidR="00936F3F">
        <w:rPr>
          <w:lang w:eastAsia="en-AU"/>
        </w:rPr>
        <w:t>nine</w:t>
      </w:r>
      <w:r w:rsidR="00C77E49">
        <w:rPr>
          <w:lang w:eastAsia="en-AU"/>
        </w:rPr>
        <w:t xml:space="preserve"> WWTPs service populations greater than 10,000. </w:t>
      </w:r>
      <w:r>
        <w:rPr>
          <w:lang w:eastAsia="en-AU"/>
        </w:rPr>
        <w:t xml:space="preserve">Based on plant numbers Waikato, Otago and </w:t>
      </w:r>
      <w:r w:rsidR="007668C9">
        <w:rPr>
          <w:lang w:eastAsia="en-AU"/>
        </w:rPr>
        <w:t>Manawatu</w:t>
      </w:r>
      <w:r>
        <w:rPr>
          <w:lang w:eastAsia="en-AU"/>
        </w:rPr>
        <w:t xml:space="preserve">-Wanganui have the highest number of WWTPs discharging to freshwater. </w:t>
      </w:r>
    </w:p>
    <w:p w14:paraId="7D13CAA5" w14:textId="77777777" w:rsidR="001017CE" w:rsidRDefault="001017CE" w:rsidP="00261B3A">
      <w:pPr>
        <w:pStyle w:val="Body"/>
        <w:rPr>
          <w:lang w:eastAsia="en-AU"/>
        </w:rPr>
      </w:pPr>
      <w:r>
        <w:rPr>
          <w:lang w:eastAsia="en-AU"/>
        </w:rPr>
        <w:t>Only 7 out of 152 WWTPs do not need an upgrade if meeting the NPS Freshwater Attribute B at the discharge point is required.</w:t>
      </w:r>
    </w:p>
    <w:p w14:paraId="7B521B51" w14:textId="77777777" w:rsidR="00606961" w:rsidRDefault="00345E1D" w:rsidP="000A4BBA">
      <w:pPr>
        <w:pStyle w:val="Body"/>
        <w:rPr>
          <w:lang w:eastAsia="en-AU"/>
        </w:rPr>
      </w:pPr>
      <w:r>
        <w:rPr>
          <w:lang w:eastAsia="en-AU"/>
        </w:rPr>
        <w:fldChar w:fldCharType="begin"/>
      </w:r>
      <w:r>
        <w:rPr>
          <w:lang w:eastAsia="en-AU"/>
        </w:rPr>
        <w:instrText xml:space="preserve"> REF _Ref517680591 \h </w:instrText>
      </w:r>
      <w:r w:rsidR="001017CE">
        <w:rPr>
          <w:lang w:eastAsia="en-AU"/>
        </w:rPr>
        <w:instrText xml:space="preserve"> \* MERGEFORMAT </w:instrText>
      </w:r>
      <w:r>
        <w:rPr>
          <w:lang w:eastAsia="en-AU"/>
        </w:rPr>
      </w:r>
      <w:r>
        <w:rPr>
          <w:lang w:eastAsia="en-AU"/>
        </w:rPr>
        <w:fldChar w:fldCharType="separate"/>
      </w:r>
      <w:r w:rsidR="002777A8">
        <w:rPr>
          <w:lang w:eastAsia="en-AU"/>
        </w:rPr>
        <w:t>Table 4</w:t>
      </w:r>
      <w:r>
        <w:rPr>
          <w:lang w:eastAsia="en-AU"/>
        </w:rPr>
        <w:fldChar w:fldCharType="end"/>
      </w:r>
      <w:r>
        <w:rPr>
          <w:lang w:eastAsia="en-AU"/>
        </w:rPr>
        <w:t xml:space="preserve"> summarises the total populations serviced by WWTPs that discharge to freshwater.</w:t>
      </w:r>
    </w:p>
    <w:p w14:paraId="17EEEA8A" w14:textId="77777777" w:rsidR="000A4BBA" w:rsidRDefault="000A4BBA" w:rsidP="00606961">
      <w:pPr>
        <w:pStyle w:val="Body"/>
      </w:pPr>
    </w:p>
    <w:p w14:paraId="43A86A34" w14:textId="77777777" w:rsidR="00124F13" w:rsidRDefault="00124F13">
      <w:pPr>
        <w:spacing w:after="0"/>
        <w:rPr>
          <w:lang w:eastAsia="en-AU"/>
        </w:rPr>
      </w:pPr>
      <w:r>
        <w:rPr>
          <w:lang w:eastAsia="en-AU"/>
        </w:rPr>
        <w:br w:type="page"/>
      </w:r>
    </w:p>
    <w:p w14:paraId="2EFF1DF7" w14:textId="77777777" w:rsidR="00FA54ED" w:rsidRDefault="00E770E8" w:rsidP="00A27F3D">
      <w:pPr>
        <w:pStyle w:val="Caption"/>
        <w:rPr>
          <w:highlight w:val="yellow"/>
          <w:lang w:eastAsia="en-AU"/>
        </w:rPr>
      </w:pPr>
      <w:bookmarkStart w:id="161" w:name="_Ref517680591"/>
      <w:bookmarkStart w:id="162" w:name="_Toc517707643"/>
      <w:bookmarkStart w:id="163" w:name="_Toc517788314"/>
      <w:bookmarkStart w:id="164" w:name="_Toc517793883"/>
      <w:bookmarkStart w:id="165" w:name="_Toc518042082"/>
      <w:bookmarkStart w:id="166" w:name="_Toc518653120"/>
      <w:bookmarkStart w:id="167" w:name="_Toc521064787"/>
      <w:r>
        <w:lastRenderedPageBreak/>
        <w:t xml:space="preserve">Table </w:t>
      </w:r>
      <w:r w:rsidR="007B3D80">
        <w:rPr>
          <w:noProof/>
        </w:rPr>
        <w:fldChar w:fldCharType="begin"/>
      </w:r>
      <w:r w:rsidR="007B3D80">
        <w:rPr>
          <w:noProof/>
        </w:rPr>
        <w:instrText xml:space="preserve"> SEQ Table \* ARABIC </w:instrText>
      </w:r>
      <w:r w:rsidR="007B3D80">
        <w:rPr>
          <w:noProof/>
        </w:rPr>
        <w:fldChar w:fldCharType="separate"/>
      </w:r>
      <w:r w:rsidR="002777A8">
        <w:rPr>
          <w:noProof/>
        </w:rPr>
        <w:t>4</w:t>
      </w:r>
      <w:r w:rsidR="007B3D80">
        <w:rPr>
          <w:noProof/>
        </w:rPr>
        <w:fldChar w:fldCharType="end"/>
      </w:r>
      <w:bookmarkEnd w:id="161"/>
      <w:r>
        <w:t xml:space="preserve"> </w:t>
      </w:r>
      <w:r w:rsidR="00FF2E89">
        <w:t xml:space="preserve"> </w:t>
      </w:r>
      <w:r>
        <w:t xml:space="preserve">Summary of populations serviced by WWTPs discharging to </w:t>
      </w:r>
      <w:r w:rsidR="002A3D16">
        <w:t>f</w:t>
      </w:r>
      <w:r>
        <w:t>reshwater</w:t>
      </w:r>
      <w:bookmarkEnd w:id="162"/>
      <w:bookmarkEnd w:id="163"/>
      <w:bookmarkEnd w:id="164"/>
      <w:bookmarkEnd w:id="165"/>
      <w:bookmarkEnd w:id="166"/>
      <w:bookmarkEnd w:id="167"/>
    </w:p>
    <w:tbl>
      <w:tblPr>
        <w:tblStyle w:val="Table-Style3"/>
        <w:tblW w:w="0" w:type="auto"/>
        <w:jc w:val="center"/>
        <w:tblInd w:w="0" w:type="dxa"/>
        <w:tblLook w:val="04A0" w:firstRow="1" w:lastRow="0" w:firstColumn="1" w:lastColumn="0" w:noHBand="0" w:noVBand="1"/>
      </w:tblPr>
      <w:tblGrid>
        <w:gridCol w:w="3402"/>
        <w:gridCol w:w="2268"/>
        <w:gridCol w:w="2268"/>
      </w:tblGrid>
      <w:tr w:rsidR="0021047A" w14:paraId="5C95BC31" w14:textId="77777777" w:rsidTr="00784BA4">
        <w:trPr>
          <w:cnfStyle w:val="100000000000" w:firstRow="1" w:lastRow="0" w:firstColumn="0" w:lastColumn="0" w:oddVBand="0" w:evenVBand="0" w:oddHBand="0" w:evenHBand="0" w:firstRowFirstColumn="0" w:firstRowLastColumn="0" w:lastRowFirstColumn="0" w:lastRowLastColumn="0"/>
          <w:jc w:val="center"/>
        </w:trPr>
        <w:tc>
          <w:tcPr>
            <w:tcW w:w="3402" w:type="dxa"/>
            <w:shd w:val="clear" w:color="auto" w:fill="0065A4" w:themeFill="accent1"/>
            <w:vAlign w:val="center"/>
          </w:tcPr>
          <w:p w14:paraId="0C2D54BD" w14:textId="77777777" w:rsidR="00E770E8" w:rsidRPr="00B818DC" w:rsidRDefault="00E770E8" w:rsidP="00784BA4">
            <w:pPr>
              <w:pStyle w:val="Body"/>
              <w:ind w:left="0"/>
              <w:rPr>
                <w:rFonts w:cs="Arial"/>
              </w:rPr>
            </w:pPr>
            <w:r w:rsidRPr="00B818DC">
              <w:rPr>
                <w:rFonts w:cs="Arial"/>
              </w:rPr>
              <w:t>Region</w:t>
            </w:r>
          </w:p>
        </w:tc>
        <w:tc>
          <w:tcPr>
            <w:tcW w:w="2268" w:type="dxa"/>
            <w:shd w:val="clear" w:color="auto" w:fill="0065A4" w:themeFill="accent1"/>
          </w:tcPr>
          <w:p w14:paraId="42189F7E" w14:textId="77777777" w:rsidR="00E770E8" w:rsidRPr="00B818DC" w:rsidRDefault="00E770E8" w:rsidP="00784BA4">
            <w:pPr>
              <w:pStyle w:val="Body"/>
              <w:ind w:left="0"/>
              <w:jc w:val="center"/>
              <w:rPr>
                <w:rFonts w:cs="Arial"/>
              </w:rPr>
            </w:pPr>
            <w:r w:rsidRPr="00B818DC">
              <w:rPr>
                <w:rFonts w:cs="Arial"/>
              </w:rPr>
              <w:t>Total No</w:t>
            </w:r>
            <w:r w:rsidR="00031366" w:rsidRPr="00B818DC">
              <w:rPr>
                <w:rFonts w:cs="Arial"/>
              </w:rPr>
              <w:t>.</w:t>
            </w:r>
            <w:r w:rsidRPr="00B818DC">
              <w:rPr>
                <w:rFonts w:cs="Arial"/>
              </w:rPr>
              <w:t xml:space="preserve"> of WWTPs</w:t>
            </w:r>
          </w:p>
        </w:tc>
        <w:tc>
          <w:tcPr>
            <w:tcW w:w="2268" w:type="dxa"/>
            <w:shd w:val="clear" w:color="auto" w:fill="0065A4" w:themeFill="accent1"/>
          </w:tcPr>
          <w:p w14:paraId="45AB6D87" w14:textId="77777777" w:rsidR="00E770E8" w:rsidRPr="00B818DC" w:rsidRDefault="002A3D16" w:rsidP="00784BA4">
            <w:pPr>
              <w:pStyle w:val="Body"/>
              <w:ind w:left="0"/>
              <w:jc w:val="center"/>
              <w:rPr>
                <w:rFonts w:cs="Arial"/>
              </w:rPr>
            </w:pPr>
            <w:r w:rsidRPr="00B818DC">
              <w:rPr>
                <w:rFonts w:cs="Arial"/>
              </w:rPr>
              <w:t xml:space="preserve">Estimate of </w:t>
            </w:r>
            <w:r w:rsidR="009279A6" w:rsidRPr="00B818DC">
              <w:rPr>
                <w:rFonts w:cs="Arial"/>
              </w:rPr>
              <w:t>total population served</w:t>
            </w:r>
          </w:p>
        </w:tc>
      </w:tr>
      <w:tr w:rsidR="00E770E8" w14:paraId="3EBDE1C2" w14:textId="77777777" w:rsidTr="00E66F34">
        <w:trPr>
          <w:jc w:val="center"/>
        </w:trPr>
        <w:tc>
          <w:tcPr>
            <w:tcW w:w="3402" w:type="dxa"/>
            <w:vAlign w:val="bottom"/>
          </w:tcPr>
          <w:p w14:paraId="77619012" w14:textId="77777777" w:rsidR="00E770E8" w:rsidRPr="00D06C26" w:rsidRDefault="00E770E8" w:rsidP="00E770E8">
            <w:pPr>
              <w:pStyle w:val="Body"/>
              <w:ind w:left="0"/>
              <w:rPr>
                <w:rFonts w:cs="Arial"/>
                <w:szCs w:val="20"/>
              </w:rPr>
            </w:pPr>
            <w:r w:rsidRPr="00D06C26">
              <w:rPr>
                <w:rFonts w:cs="Arial"/>
                <w:color w:val="000000"/>
                <w:szCs w:val="20"/>
              </w:rPr>
              <w:t>Auckland</w:t>
            </w:r>
          </w:p>
        </w:tc>
        <w:tc>
          <w:tcPr>
            <w:tcW w:w="2268" w:type="dxa"/>
            <w:vAlign w:val="bottom"/>
          </w:tcPr>
          <w:p w14:paraId="74E0EE6F" w14:textId="77777777" w:rsidR="00E770E8" w:rsidRPr="00D06C26" w:rsidRDefault="00E770E8" w:rsidP="00A27F3D">
            <w:pPr>
              <w:pStyle w:val="Body"/>
              <w:ind w:left="0"/>
              <w:jc w:val="center"/>
              <w:rPr>
                <w:rFonts w:cs="Arial"/>
                <w:szCs w:val="20"/>
              </w:rPr>
            </w:pPr>
            <w:r w:rsidRPr="00D06C26">
              <w:rPr>
                <w:rFonts w:cs="Arial"/>
                <w:color w:val="000000"/>
                <w:szCs w:val="20"/>
              </w:rPr>
              <w:t>6</w:t>
            </w:r>
          </w:p>
        </w:tc>
        <w:tc>
          <w:tcPr>
            <w:tcW w:w="2268" w:type="dxa"/>
            <w:vAlign w:val="bottom"/>
          </w:tcPr>
          <w:p w14:paraId="742807BD" w14:textId="77777777" w:rsidR="00E770E8" w:rsidRPr="00D06C26" w:rsidRDefault="00E770E8" w:rsidP="00E770E8">
            <w:pPr>
              <w:pStyle w:val="Body"/>
              <w:ind w:left="0"/>
              <w:jc w:val="center"/>
              <w:rPr>
                <w:rFonts w:cs="Arial"/>
                <w:color w:val="000000"/>
                <w:szCs w:val="20"/>
              </w:rPr>
            </w:pPr>
            <w:r w:rsidRPr="00D06C26">
              <w:rPr>
                <w:rFonts w:cs="Arial"/>
                <w:color w:val="000000"/>
                <w:szCs w:val="20"/>
              </w:rPr>
              <w:t>16,280</w:t>
            </w:r>
          </w:p>
        </w:tc>
      </w:tr>
      <w:tr w:rsidR="00E770E8" w14:paraId="7BB26A83" w14:textId="77777777" w:rsidTr="00E66F34">
        <w:trPr>
          <w:jc w:val="center"/>
        </w:trPr>
        <w:tc>
          <w:tcPr>
            <w:tcW w:w="3402" w:type="dxa"/>
            <w:vAlign w:val="bottom"/>
          </w:tcPr>
          <w:p w14:paraId="158AB24F" w14:textId="77777777" w:rsidR="00E770E8" w:rsidRPr="00D06C26" w:rsidRDefault="00E770E8" w:rsidP="00E770E8">
            <w:pPr>
              <w:pStyle w:val="Body"/>
              <w:ind w:left="0"/>
              <w:rPr>
                <w:rFonts w:cs="Arial"/>
                <w:szCs w:val="20"/>
              </w:rPr>
            </w:pPr>
            <w:r w:rsidRPr="00D06C26">
              <w:rPr>
                <w:rFonts w:cs="Arial"/>
                <w:color w:val="000000"/>
                <w:szCs w:val="20"/>
              </w:rPr>
              <w:t>Bay of Plenty</w:t>
            </w:r>
          </w:p>
        </w:tc>
        <w:tc>
          <w:tcPr>
            <w:tcW w:w="2268" w:type="dxa"/>
            <w:vAlign w:val="bottom"/>
          </w:tcPr>
          <w:p w14:paraId="04E74A95" w14:textId="77777777" w:rsidR="00E770E8" w:rsidRPr="00D06C26" w:rsidRDefault="00E770E8" w:rsidP="00A27F3D">
            <w:pPr>
              <w:pStyle w:val="Body"/>
              <w:ind w:left="0"/>
              <w:jc w:val="center"/>
              <w:rPr>
                <w:rFonts w:cs="Arial"/>
                <w:szCs w:val="20"/>
              </w:rPr>
            </w:pPr>
            <w:r w:rsidRPr="00D06C26">
              <w:rPr>
                <w:rFonts w:cs="Arial"/>
                <w:color w:val="000000"/>
                <w:szCs w:val="20"/>
              </w:rPr>
              <w:t>6</w:t>
            </w:r>
          </w:p>
        </w:tc>
        <w:tc>
          <w:tcPr>
            <w:tcW w:w="2268" w:type="dxa"/>
            <w:vAlign w:val="bottom"/>
          </w:tcPr>
          <w:p w14:paraId="3824ED5A" w14:textId="77777777" w:rsidR="00E770E8" w:rsidRPr="00D06C26" w:rsidRDefault="00E770E8" w:rsidP="00E770E8">
            <w:pPr>
              <w:pStyle w:val="Body"/>
              <w:ind w:left="0"/>
              <w:jc w:val="center"/>
              <w:rPr>
                <w:rFonts w:cs="Arial"/>
                <w:color w:val="000000"/>
                <w:szCs w:val="20"/>
              </w:rPr>
            </w:pPr>
            <w:r w:rsidRPr="00D06C26">
              <w:rPr>
                <w:rFonts w:cs="Arial"/>
                <w:color w:val="000000"/>
                <w:szCs w:val="20"/>
              </w:rPr>
              <w:t>20,320</w:t>
            </w:r>
          </w:p>
        </w:tc>
      </w:tr>
      <w:tr w:rsidR="00E770E8" w14:paraId="27AF88B7" w14:textId="77777777" w:rsidTr="00E66F34">
        <w:trPr>
          <w:jc w:val="center"/>
        </w:trPr>
        <w:tc>
          <w:tcPr>
            <w:tcW w:w="3402" w:type="dxa"/>
            <w:vAlign w:val="bottom"/>
          </w:tcPr>
          <w:p w14:paraId="06AD151C" w14:textId="77777777" w:rsidR="00E770E8" w:rsidRPr="00D06C26" w:rsidRDefault="00E770E8" w:rsidP="00E770E8">
            <w:pPr>
              <w:pStyle w:val="Body"/>
              <w:ind w:left="0"/>
              <w:rPr>
                <w:rFonts w:cs="Arial"/>
                <w:szCs w:val="20"/>
              </w:rPr>
            </w:pPr>
            <w:r w:rsidRPr="00D06C26">
              <w:rPr>
                <w:rFonts w:cs="Arial"/>
                <w:color w:val="000000"/>
                <w:szCs w:val="20"/>
              </w:rPr>
              <w:t>Canterbury</w:t>
            </w:r>
          </w:p>
        </w:tc>
        <w:tc>
          <w:tcPr>
            <w:tcW w:w="2268" w:type="dxa"/>
            <w:vAlign w:val="bottom"/>
          </w:tcPr>
          <w:p w14:paraId="390F8DD7" w14:textId="77777777" w:rsidR="00E770E8" w:rsidRPr="00D06C26" w:rsidRDefault="00E770E8" w:rsidP="00A27F3D">
            <w:pPr>
              <w:pStyle w:val="Body"/>
              <w:ind w:left="0"/>
              <w:jc w:val="center"/>
              <w:rPr>
                <w:rFonts w:cs="Arial"/>
                <w:szCs w:val="20"/>
              </w:rPr>
            </w:pPr>
            <w:r w:rsidRPr="00D06C26">
              <w:rPr>
                <w:rFonts w:cs="Arial"/>
                <w:color w:val="000000"/>
                <w:szCs w:val="20"/>
              </w:rPr>
              <w:t>12</w:t>
            </w:r>
          </w:p>
        </w:tc>
        <w:tc>
          <w:tcPr>
            <w:tcW w:w="2268" w:type="dxa"/>
            <w:vAlign w:val="bottom"/>
          </w:tcPr>
          <w:p w14:paraId="24C15390" w14:textId="77777777" w:rsidR="00E770E8" w:rsidRPr="00D06C26" w:rsidRDefault="00E770E8" w:rsidP="00E770E8">
            <w:pPr>
              <w:pStyle w:val="Body"/>
              <w:ind w:left="0"/>
              <w:jc w:val="center"/>
              <w:rPr>
                <w:rFonts w:cs="Arial"/>
                <w:color w:val="000000"/>
                <w:szCs w:val="20"/>
              </w:rPr>
            </w:pPr>
            <w:r w:rsidRPr="00D06C26">
              <w:rPr>
                <w:rFonts w:cs="Arial"/>
                <w:color w:val="000000"/>
                <w:szCs w:val="20"/>
              </w:rPr>
              <w:t>5,270</w:t>
            </w:r>
          </w:p>
        </w:tc>
      </w:tr>
      <w:tr w:rsidR="00E770E8" w14:paraId="3FC41D49" w14:textId="77777777" w:rsidTr="00E66F34">
        <w:trPr>
          <w:jc w:val="center"/>
        </w:trPr>
        <w:tc>
          <w:tcPr>
            <w:tcW w:w="3402" w:type="dxa"/>
            <w:vAlign w:val="bottom"/>
          </w:tcPr>
          <w:p w14:paraId="141CA050" w14:textId="77777777" w:rsidR="00E770E8" w:rsidRPr="00D06C26" w:rsidRDefault="00E770E8" w:rsidP="00E770E8">
            <w:pPr>
              <w:pStyle w:val="Body"/>
              <w:ind w:left="0"/>
              <w:rPr>
                <w:rFonts w:cs="Arial"/>
                <w:szCs w:val="20"/>
              </w:rPr>
            </w:pPr>
            <w:r w:rsidRPr="00D06C26">
              <w:rPr>
                <w:rFonts w:cs="Arial"/>
                <w:color w:val="000000"/>
                <w:szCs w:val="20"/>
              </w:rPr>
              <w:t>Gisborne</w:t>
            </w:r>
          </w:p>
        </w:tc>
        <w:tc>
          <w:tcPr>
            <w:tcW w:w="2268" w:type="dxa"/>
            <w:vAlign w:val="bottom"/>
          </w:tcPr>
          <w:p w14:paraId="293EC9A6" w14:textId="77777777" w:rsidR="00E770E8" w:rsidRPr="00D06C26" w:rsidRDefault="00E770E8" w:rsidP="00A27F3D">
            <w:pPr>
              <w:pStyle w:val="Body"/>
              <w:ind w:left="0"/>
              <w:jc w:val="center"/>
              <w:rPr>
                <w:rFonts w:cs="Arial"/>
                <w:szCs w:val="20"/>
              </w:rPr>
            </w:pPr>
            <w:r w:rsidRPr="00D06C26">
              <w:rPr>
                <w:rFonts w:cs="Arial"/>
                <w:color w:val="000000"/>
                <w:szCs w:val="20"/>
              </w:rPr>
              <w:t>1</w:t>
            </w:r>
          </w:p>
        </w:tc>
        <w:tc>
          <w:tcPr>
            <w:tcW w:w="2268" w:type="dxa"/>
            <w:vAlign w:val="bottom"/>
          </w:tcPr>
          <w:p w14:paraId="68CA9BB3" w14:textId="77777777" w:rsidR="00E770E8" w:rsidRPr="00D06C26" w:rsidRDefault="00E770E8" w:rsidP="00E770E8">
            <w:pPr>
              <w:pStyle w:val="Body"/>
              <w:ind w:left="0"/>
              <w:jc w:val="center"/>
              <w:rPr>
                <w:rFonts w:cs="Arial"/>
                <w:color w:val="000000"/>
                <w:szCs w:val="20"/>
              </w:rPr>
            </w:pPr>
            <w:r w:rsidRPr="00D06C26">
              <w:rPr>
                <w:rFonts w:cs="Arial"/>
                <w:color w:val="000000"/>
                <w:szCs w:val="20"/>
              </w:rPr>
              <w:t>640</w:t>
            </w:r>
          </w:p>
        </w:tc>
      </w:tr>
      <w:tr w:rsidR="00E770E8" w14:paraId="50A27783" w14:textId="77777777" w:rsidTr="00E66F34">
        <w:trPr>
          <w:jc w:val="center"/>
        </w:trPr>
        <w:tc>
          <w:tcPr>
            <w:tcW w:w="3402" w:type="dxa"/>
            <w:vAlign w:val="bottom"/>
          </w:tcPr>
          <w:p w14:paraId="61A44BA4" w14:textId="77777777" w:rsidR="00E770E8" w:rsidRPr="00D06C26" w:rsidRDefault="00E770E8" w:rsidP="00E770E8">
            <w:pPr>
              <w:pStyle w:val="Body"/>
              <w:ind w:left="0"/>
              <w:rPr>
                <w:rFonts w:cs="Arial"/>
                <w:szCs w:val="20"/>
              </w:rPr>
            </w:pPr>
            <w:r w:rsidRPr="00D06C26">
              <w:rPr>
                <w:rFonts w:cs="Arial"/>
                <w:color w:val="000000"/>
                <w:szCs w:val="20"/>
              </w:rPr>
              <w:t>Hawke's Bay</w:t>
            </w:r>
          </w:p>
        </w:tc>
        <w:tc>
          <w:tcPr>
            <w:tcW w:w="2268" w:type="dxa"/>
            <w:vAlign w:val="bottom"/>
          </w:tcPr>
          <w:p w14:paraId="76F6AF69" w14:textId="77777777" w:rsidR="00E770E8" w:rsidRPr="00D06C26" w:rsidRDefault="00E770E8" w:rsidP="00A27F3D">
            <w:pPr>
              <w:pStyle w:val="Body"/>
              <w:ind w:left="0"/>
              <w:jc w:val="center"/>
              <w:rPr>
                <w:rFonts w:cs="Arial"/>
                <w:szCs w:val="20"/>
              </w:rPr>
            </w:pPr>
            <w:r w:rsidRPr="00D06C26">
              <w:rPr>
                <w:rFonts w:cs="Arial"/>
                <w:color w:val="000000"/>
                <w:szCs w:val="20"/>
              </w:rPr>
              <w:t>5</w:t>
            </w:r>
          </w:p>
        </w:tc>
        <w:tc>
          <w:tcPr>
            <w:tcW w:w="2268" w:type="dxa"/>
            <w:vAlign w:val="bottom"/>
          </w:tcPr>
          <w:p w14:paraId="70B4515E" w14:textId="77777777" w:rsidR="00E770E8" w:rsidRPr="00D06C26" w:rsidRDefault="00E770E8" w:rsidP="00E770E8">
            <w:pPr>
              <w:pStyle w:val="Body"/>
              <w:ind w:left="0"/>
              <w:jc w:val="center"/>
              <w:rPr>
                <w:rFonts w:cs="Arial"/>
                <w:color w:val="000000"/>
                <w:szCs w:val="20"/>
              </w:rPr>
            </w:pPr>
            <w:r w:rsidRPr="00D06C26">
              <w:rPr>
                <w:rFonts w:cs="Arial"/>
                <w:color w:val="000000"/>
                <w:szCs w:val="20"/>
              </w:rPr>
              <w:t>7,960</w:t>
            </w:r>
          </w:p>
        </w:tc>
      </w:tr>
      <w:tr w:rsidR="00E770E8" w14:paraId="4C222513" w14:textId="77777777" w:rsidTr="00E66F34">
        <w:trPr>
          <w:jc w:val="center"/>
        </w:trPr>
        <w:tc>
          <w:tcPr>
            <w:tcW w:w="3402" w:type="dxa"/>
            <w:vAlign w:val="bottom"/>
          </w:tcPr>
          <w:p w14:paraId="03CFB9E1" w14:textId="77777777" w:rsidR="00E770E8" w:rsidRPr="00D06C26" w:rsidRDefault="00E770E8" w:rsidP="00E770E8">
            <w:pPr>
              <w:pStyle w:val="Body"/>
              <w:ind w:left="0"/>
              <w:rPr>
                <w:rFonts w:cs="Arial"/>
                <w:szCs w:val="20"/>
              </w:rPr>
            </w:pPr>
            <w:r w:rsidRPr="00D06C26">
              <w:rPr>
                <w:rFonts w:cs="Arial"/>
                <w:color w:val="000000"/>
                <w:szCs w:val="20"/>
              </w:rPr>
              <w:t>Manawatu-Wanganui</w:t>
            </w:r>
          </w:p>
        </w:tc>
        <w:tc>
          <w:tcPr>
            <w:tcW w:w="2268" w:type="dxa"/>
            <w:vAlign w:val="bottom"/>
          </w:tcPr>
          <w:p w14:paraId="531AA5AF" w14:textId="77777777" w:rsidR="00E770E8" w:rsidRPr="00D06C26" w:rsidRDefault="00E770E8" w:rsidP="00A27F3D">
            <w:pPr>
              <w:pStyle w:val="Body"/>
              <w:ind w:left="0"/>
              <w:jc w:val="center"/>
              <w:rPr>
                <w:rFonts w:cs="Arial"/>
                <w:szCs w:val="20"/>
              </w:rPr>
            </w:pPr>
            <w:r w:rsidRPr="00D06C26">
              <w:rPr>
                <w:rFonts w:cs="Arial"/>
                <w:color w:val="000000"/>
                <w:szCs w:val="20"/>
              </w:rPr>
              <w:t>24</w:t>
            </w:r>
          </w:p>
        </w:tc>
        <w:tc>
          <w:tcPr>
            <w:tcW w:w="2268" w:type="dxa"/>
            <w:vAlign w:val="bottom"/>
          </w:tcPr>
          <w:p w14:paraId="40530636" w14:textId="77777777" w:rsidR="00E770E8" w:rsidRPr="00D06C26" w:rsidRDefault="00E770E8" w:rsidP="00E770E8">
            <w:pPr>
              <w:pStyle w:val="Body"/>
              <w:ind w:left="0"/>
              <w:jc w:val="center"/>
              <w:rPr>
                <w:rFonts w:cs="Arial"/>
                <w:color w:val="000000"/>
                <w:szCs w:val="20"/>
              </w:rPr>
            </w:pPr>
            <w:r w:rsidRPr="00D06C26">
              <w:rPr>
                <w:rFonts w:cs="Arial"/>
                <w:color w:val="000000"/>
                <w:szCs w:val="20"/>
              </w:rPr>
              <w:t>132,900</w:t>
            </w:r>
          </w:p>
        </w:tc>
      </w:tr>
      <w:tr w:rsidR="00E770E8" w14:paraId="151728E5" w14:textId="77777777" w:rsidTr="00E66F34">
        <w:trPr>
          <w:jc w:val="center"/>
        </w:trPr>
        <w:tc>
          <w:tcPr>
            <w:tcW w:w="3402" w:type="dxa"/>
            <w:vAlign w:val="bottom"/>
          </w:tcPr>
          <w:p w14:paraId="54F5337A" w14:textId="77777777" w:rsidR="00E770E8" w:rsidRPr="00D06C26" w:rsidRDefault="00E770E8" w:rsidP="00E770E8">
            <w:pPr>
              <w:pStyle w:val="Body"/>
              <w:ind w:left="0"/>
              <w:rPr>
                <w:rFonts w:cs="Arial"/>
                <w:szCs w:val="20"/>
              </w:rPr>
            </w:pPr>
            <w:r w:rsidRPr="00D06C26">
              <w:rPr>
                <w:rFonts w:cs="Arial"/>
                <w:color w:val="000000"/>
                <w:szCs w:val="20"/>
              </w:rPr>
              <w:t>Marlborough</w:t>
            </w:r>
          </w:p>
        </w:tc>
        <w:tc>
          <w:tcPr>
            <w:tcW w:w="2268" w:type="dxa"/>
            <w:vAlign w:val="bottom"/>
          </w:tcPr>
          <w:p w14:paraId="5DC4A689" w14:textId="77777777" w:rsidR="00E770E8" w:rsidRPr="00D06C26" w:rsidRDefault="00E770E8" w:rsidP="00A27F3D">
            <w:pPr>
              <w:pStyle w:val="Body"/>
              <w:ind w:left="0"/>
              <w:jc w:val="center"/>
              <w:rPr>
                <w:rFonts w:cs="Arial"/>
                <w:szCs w:val="20"/>
              </w:rPr>
            </w:pPr>
            <w:r w:rsidRPr="00D06C26">
              <w:rPr>
                <w:rFonts w:cs="Arial"/>
                <w:color w:val="000000"/>
                <w:szCs w:val="20"/>
              </w:rPr>
              <w:t>1</w:t>
            </w:r>
          </w:p>
        </w:tc>
        <w:tc>
          <w:tcPr>
            <w:tcW w:w="2268" w:type="dxa"/>
            <w:vAlign w:val="bottom"/>
          </w:tcPr>
          <w:p w14:paraId="5C35C017" w14:textId="77777777" w:rsidR="00E770E8" w:rsidRPr="00D06C26" w:rsidRDefault="00E770E8" w:rsidP="00E770E8">
            <w:pPr>
              <w:pStyle w:val="Body"/>
              <w:ind w:left="0"/>
              <w:jc w:val="center"/>
              <w:rPr>
                <w:rFonts w:cs="Arial"/>
                <w:color w:val="000000"/>
                <w:szCs w:val="20"/>
              </w:rPr>
            </w:pPr>
            <w:r w:rsidRPr="00D06C26">
              <w:rPr>
                <w:rFonts w:cs="Arial"/>
                <w:color w:val="000000"/>
                <w:szCs w:val="20"/>
              </w:rPr>
              <w:t>690</w:t>
            </w:r>
          </w:p>
        </w:tc>
      </w:tr>
      <w:tr w:rsidR="00E770E8" w14:paraId="57EF97EB" w14:textId="77777777" w:rsidTr="00E66F34">
        <w:trPr>
          <w:jc w:val="center"/>
        </w:trPr>
        <w:tc>
          <w:tcPr>
            <w:tcW w:w="3402" w:type="dxa"/>
            <w:vAlign w:val="bottom"/>
          </w:tcPr>
          <w:p w14:paraId="34889A4E" w14:textId="77777777" w:rsidR="00E770E8" w:rsidRPr="00D06C26" w:rsidRDefault="00E770E8" w:rsidP="00E770E8">
            <w:pPr>
              <w:pStyle w:val="Body"/>
              <w:ind w:left="0"/>
              <w:rPr>
                <w:rFonts w:cs="Arial"/>
                <w:szCs w:val="20"/>
              </w:rPr>
            </w:pPr>
            <w:r w:rsidRPr="00D06C26">
              <w:rPr>
                <w:rFonts w:cs="Arial"/>
                <w:color w:val="000000"/>
                <w:szCs w:val="20"/>
              </w:rPr>
              <w:t>Nelson</w:t>
            </w:r>
          </w:p>
        </w:tc>
        <w:tc>
          <w:tcPr>
            <w:tcW w:w="2268" w:type="dxa"/>
            <w:vAlign w:val="bottom"/>
          </w:tcPr>
          <w:p w14:paraId="77947641" w14:textId="77777777" w:rsidR="00E770E8" w:rsidRPr="00D06C26" w:rsidRDefault="00E770E8" w:rsidP="00A27F3D">
            <w:pPr>
              <w:pStyle w:val="Body"/>
              <w:ind w:left="0"/>
              <w:jc w:val="center"/>
              <w:rPr>
                <w:rFonts w:cs="Arial"/>
                <w:szCs w:val="20"/>
              </w:rPr>
            </w:pPr>
            <w:r w:rsidRPr="00D06C26">
              <w:rPr>
                <w:rFonts w:cs="Arial"/>
                <w:color w:val="000000"/>
                <w:szCs w:val="20"/>
              </w:rPr>
              <w:t>0</w:t>
            </w:r>
          </w:p>
        </w:tc>
        <w:tc>
          <w:tcPr>
            <w:tcW w:w="2268" w:type="dxa"/>
            <w:vAlign w:val="bottom"/>
          </w:tcPr>
          <w:p w14:paraId="1589863D" w14:textId="77777777" w:rsidR="00E770E8" w:rsidRPr="00D06C26" w:rsidRDefault="00E770E8" w:rsidP="00E770E8">
            <w:pPr>
              <w:pStyle w:val="Body"/>
              <w:ind w:left="0"/>
              <w:jc w:val="center"/>
              <w:rPr>
                <w:rFonts w:cs="Arial"/>
                <w:color w:val="000000"/>
                <w:szCs w:val="20"/>
              </w:rPr>
            </w:pPr>
            <w:r w:rsidRPr="00D06C26">
              <w:rPr>
                <w:rFonts w:cs="Arial"/>
                <w:color w:val="000000"/>
                <w:szCs w:val="20"/>
              </w:rPr>
              <w:t>0</w:t>
            </w:r>
          </w:p>
        </w:tc>
      </w:tr>
      <w:tr w:rsidR="00E770E8" w14:paraId="68D243CE" w14:textId="77777777" w:rsidTr="00E66F34">
        <w:trPr>
          <w:jc w:val="center"/>
        </w:trPr>
        <w:tc>
          <w:tcPr>
            <w:tcW w:w="3402" w:type="dxa"/>
            <w:vAlign w:val="bottom"/>
          </w:tcPr>
          <w:p w14:paraId="1DA3F055" w14:textId="77777777" w:rsidR="00E770E8" w:rsidRPr="00D06C26" w:rsidRDefault="00E770E8" w:rsidP="00E770E8">
            <w:pPr>
              <w:pStyle w:val="Body"/>
              <w:ind w:left="0"/>
              <w:rPr>
                <w:rFonts w:cs="Arial"/>
                <w:szCs w:val="20"/>
              </w:rPr>
            </w:pPr>
            <w:r w:rsidRPr="00D06C26">
              <w:rPr>
                <w:rFonts w:cs="Arial"/>
                <w:color w:val="000000"/>
                <w:szCs w:val="20"/>
              </w:rPr>
              <w:t>Northland</w:t>
            </w:r>
          </w:p>
        </w:tc>
        <w:tc>
          <w:tcPr>
            <w:tcW w:w="2268" w:type="dxa"/>
            <w:vAlign w:val="bottom"/>
          </w:tcPr>
          <w:p w14:paraId="3547BE2D" w14:textId="77777777" w:rsidR="00E770E8" w:rsidRPr="00D06C26" w:rsidRDefault="00E770E8" w:rsidP="00A27F3D">
            <w:pPr>
              <w:pStyle w:val="Body"/>
              <w:ind w:left="0"/>
              <w:jc w:val="center"/>
              <w:rPr>
                <w:rFonts w:cs="Arial"/>
                <w:szCs w:val="20"/>
              </w:rPr>
            </w:pPr>
            <w:r w:rsidRPr="00D06C26">
              <w:rPr>
                <w:rFonts w:cs="Arial"/>
                <w:color w:val="000000"/>
                <w:szCs w:val="20"/>
              </w:rPr>
              <w:t>11</w:t>
            </w:r>
          </w:p>
        </w:tc>
        <w:tc>
          <w:tcPr>
            <w:tcW w:w="2268" w:type="dxa"/>
            <w:vAlign w:val="bottom"/>
          </w:tcPr>
          <w:p w14:paraId="1C57A143" w14:textId="77777777" w:rsidR="00E770E8" w:rsidRPr="00D06C26" w:rsidRDefault="00E770E8" w:rsidP="00E770E8">
            <w:pPr>
              <w:pStyle w:val="Body"/>
              <w:ind w:left="0"/>
              <w:jc w:val="center"/>
              <w:rPr>
                <w:rFonts w:cs="Arial"/>
                <w:color w:val="000000"/>
                <w:szCs w:val="20"/>
              </w:rPr>
            </w:pPr>
            <w:r w:rsidRPr="00D06C26">
              <w:rPr>
                <w:rFonts w:cs="Arial"/>
                <w:color w:val="000000"/>
                <w:szCs w:val="20"/>
              </w:rPr>
              <w:t>26,560</w:t>
            </w:r>
          </w:p>
        </w:tc>
      </w:tr>
      <w:tr w:rsidR="00E770E8" w14:paraId="3FA55E9C" w14:textId="77777777" w:rsidTr="00E66F34">
        <w:trPr>
          <w:jc w:val="center"/>
        </w:trPr>
        <w:tc>
          <w:tcPr>
            <w:tcW w:w="3402" w:type="dxa"/>
            <w:vAlign w:val="bottom"/>
          </w:tcPr>
          <w:p w14:paraId="65802614" w14:textId="77777777" w:rsidR="00E770E8" w:rsidRPr="00D06C26" w:rsidRDefault="00E770E8" w:rsidP="00E770E8">
            <w:pPr>
              <w:pStyle w:val="Body"/>
              <w:ind w:left="0"/>
              <w:rPr>
                <w:rFonts w:cs="Arial"/>
                <w:szCs w:val="20"/>
              </w:rPr>
            </w:pPr>
            <w:r w:rsidRPr="00D06C26">
              <w:rPr>
                <w:rFonts w:cs="Arial"/>
                <w:color w:val="000000"/>
                <w:szCs w:val="20"/>
              </w:rPr>
              <w:t>Otago</w:t>
            </w:r>
          </w:p>
        </w:tc>
        <w:tc>
          <w:tcPr>
            <w:tcW w:w="2268" w:type="dxa"/>
            <w:vAlign w:val="bottom"/>
          </w:tcPr>
          <w:p w14:paraId="0041AADB" w14:textId="77777777" w:rsidR="00E770E8" w:rsidRPr="00D06C26" w:rsidRDefault="00E770E8" w:rsidP="00A27F3D">
            <w:pPr>
              <w:pStyle w:val="Body"/>
              <w:ind w:left="0"/>
              <w:jc w:val="center"/>
              <w:rPr>
                <w:rFonts w:cs="Arial"/>
                <w:szCs w:val="20"/>
              </w:rPr>
            </w:pPr>
            <w:r w:rsidRPr="00D06C26">
              <w:rPr>
                <w:rFonts w:cs="Arial"/>
                <w:color w:val="000000"/>
                <w:szCs w:val="20"/>
              </w:rPr>
              <w:t>20</w:t>
            </w:r>
          </w:p>
        </w:tc>
        <w:tc>
          <w:tcPr>
            <w:tcW w:w="2268" w:type="dxa"/>
            <w:vAlign w:val="bottom"/>
          </w:tcPr>
          <w:p w14:paraId="72444203" w14:textId="77777777" w:rsidR="00E770E8" w:rsidRPr="00D06C26" w:rsidRDefault="00E770E8" w:rsidP="00E770E8">
            <w:pPr>
              <w:pStyle w:val="Body"/>
              <w:ind w:left="0"/>
              <w:jc w:val="center"/>
              <w:rPr>
                <w:rFonts w:cs="Arial"/>
                <w:color w:val="000000"/>
                <w:szCs w:val="20"/>
              </w:rPr>
            </w:pPr>
            <w:r w:rsidRPr="00D06C26">
              <w:rPr>
                <w:rFonts w:cs="Arial"/>
                <w:color w:val="000000"/>
                <w:szCs w:val="20"/>
              </w:rPr>
              <w:t>23,590</w:t>
            </w:r>
          </w:p>
        </w:tc>
      </w:tr>
      <w:tr w:rsidR="00E770E8" w14:paraId="5F06A855" w14:textId="77777777" w:rsidTr="00E66F34">
        <w:trPr>
          <w:jc w:val="center"/>
        </w:trPr>
        <w:tc>
          <w:tcPr>
            <w:tcW w:w="3402" w:type="dxa"/>
            <w:vAlign w:val="bottom"/>
          </w:tcPr>
          <w:p w14:paraId="462B4F94" w14:textId="77777777" w:rsidR="00E770E8" w:rsidRPr="00D06C26" w:rsidRDefault="00E770E8" w:rsidP="00E770E8">
            <w:pPr>
              <w:pStyle w:val="Body"/>
              <w:ind w:left="0"/>
              <w:rPr>
                <w:rFonts w:cs="Arial"/>
                <w:szCs w:val="20"/>
              </w:rPr>
            </w:pPr>
            <w:r w:rsidRPr="00D06C26">
              <w:rPr>
                <w:rFonts w:cs="Arial"/>
                <w:color w:val="000000"/>
                <w:szCs w:val="20"/>
              </w:rPr>
              <w:t>Southland</w:t>
            </w:r>
          </w:p>
        </w:tc>
        <w:tc>
          <w:tcPr>
            <w:tcW w:w="2268" w:type="dxa"/>
            <w:vAlign w:val="bottom"/>
          </w:tcPr>
          <w:p w14:paraId="0698B07E" w14:textId="77777777" w:rsidR="00E770E8" w:rsidRPr="00D06C26" w:rsidRDefault="00E770E8" w:rsidP="00A27F3D">
            <w:pPr>
              <w:pStyle w:val="Body"/>
              <w:ind w:left="0"/>
              <w:jc w:val="center"/>
              <w:rPr>
                <w:rFonts w:cs="Arial"/>
                <w:szCs w:val="20"/>
              </w:rPr>
            </w:pPr>
            <w:r w:rsidRPr="00D06C26">
              <w:rPr>
                <w:rFonts w:cs="Arial"/>
                <w:color w:val="000000"/>
                <w:szCs w:val="20"/>
              </w:rPr>
              <w:t>14</w:t>
            </w:r>
          </w:p>
        </w:tc>
        <w:tc>
          <w:tcPr>
            <w:tcW w:w="2268" w:type="dxa"/>
            <w:vAlign w:val="bottom"/>
          </w:tcPr>
          <w:p w14:paraId="2AB78F71" w14:textId="77777777" w:rsidR="00E770E8" w:rsidRPr="00D06C26" w:rsidRDefault="00E770E8" w:rsidP="00E770E8">
            <w:pPr>
              <w:pStyle w:val="Body"/>
              <w:ind w:left="0"/>
              <w:jc w:val="center"/>
              <w:rPr>
                <w:rFonts w:cs="Arial"/>
                <w:color w:val="000000"/>
                <w:szCs w:val="20"/>
              </w:rPr>
            </w:pPr>
            <w:r w:rsidRPr="00D06C26">
              <w:rPr>
                <w:rFonts w:cs="Arial"/>
                <w:color w:val="000000"/>
                <w:szCs w:val="20"/>
              </w:rPr>
              <w:t>20,150</w:t>
            </w:r>
          </w:p>
        </w:tc>
      </w:tr>
      <w:tr w:rsidR="00E770E8" w14:paraId="76F0DC87" w14:textId="77777777" w:rsidTr="00E66F34">
        <w:trPr>
          <w:jc w:val="center"/>
        </w:trPr>
        <w:tc>
          <w:tcPr>
            <w:tcW w:w="3402" w:type="dxa"/>
            <w:vAlign w:val="bottom"/>
          </w:tcPr>
          <w:p w14:paraId="1D74AD42" w14:textId="77777777" w:rsidR="00E770E8" w:rsidRPr="00D06C26" w:rsidRDefault="00E770E8" w:rsidP="00E770E8">
            <w:pPr>
              <w:pStyle w:val="Body"/>
              <w:ind w:left="0"/>
              <w:rPr>
                <w:rFonts w:cs="Arial"/>
                <w:szCs w:val="20"/>
              </w:rPr>
            </w:pPr>
            <w:r w:rsidRPr="00D06C26">
              <w:rPr>
                <w:rFonts w:cs="Arial"/>
                <w:color w:val="000000"/>
                <w:szCs w:val="20"/>
              </w:rPr>
              <w:t>Taranaki</w:t>
            </w:r>
          </w:p>
        </w:tc>
        <w:tc>
          <w:tcPr>
            <w:tcW w:w="2268" w:type="dxa"/>
            <w:vAlign w:val="bottom"/>
          </w:tcPr>
          <w:p w14:paraId="2027716E" w14:textId="77777777" w:rsidR="00E770E8" w:rsidRPr="00D06C26" w:rsidRDefault="00E770E8" w:rsidP="00A27F3D">
            <w:pPr>
              <w:pStyle w:val="Body"/>
              <w:ind w:left="0"/>
              <w:jc w:val="center"/>
              <w:rPr>
                <w:rFonts w:cs="Arial"/>
                <w:szCs w:val="20"/>
              </w:rPr>
            </w:pPr>
            <w:r w:rsidRPr="00D06C26">
              <w:rPr>
                <w:rFonts w:cs="Arial"/>
                <w:color w:val="000000"/>
                <w:szCs w:val="20"/>
              </w:rPr>
              <w:t>5</w:t>
            </w:r>
          </w:p>
        </w:tc>
        <w:tc>
          <w:tcPr>
            <w:tcW w:w="2268" w:type="dxa"/>
            <w:vAlign w:val="bottom"/>
          </w:tcPr>
          <w:p w14:paraId="24374222" w14:textId="77777777" w:rsidR="00E770E8" w:rsidRPr="00D06C26" w:rsidRDefault="00E770E8" w:rsidP="00E770E8">
            <w:pPr>
              <w:pStyle w:val="Body"/>
              <w:ind w:left="0"/>
              <w:jc w:val="center"/>
              <w:rPr>
                <w:rFonts w:cs="Arial"/>
                <w:color w:val="000000"/>
                <w:szCs w:val="20"/>
              </w:rPr>
            </w:pPr>
            <w:r w:rsidRPr="00D06C26">
              <w:rPr>
                <w:rFonts w:cs="Arial"/>
                <w:color w:val="000000"/>
                <w:szCs w:val="20"/>
              </w:rPr>
              <w:t>9,620</w:t>
            </w:r>
          </w:p>
        </w:tc>
      </w:tr>
      <w:tr w:rsidR="00E770E8" w14:paraId="65A36F78" w14:textId="77777777" w:rsidTr="00E66F34">
        <w:trPr>
          <w:jc w:val="center"/>
        </w:trPr>
        <w:tc>
          <w:tcPr>
            <w:tcW w:w="3402" w:type="dxa"/>
            <w:vAlign w:val="bottom"/>
          </w:tcPr>
          <w:p w14:paraId="11492081" w14:textId="77777777" w:rsidR="00E770E8" w:rsidRPr="00D06C26" w:rsidRDefault="00E770E8" w:rsidP="00E770E8">
            <w:pPr>
              <w:pStyle w:val="Body"/>
              <w:ind w:left="0"/>
              <w:rPr>
                <w:rFonts w:cs="Arial"/>
                <w:szCs w:val="20"/>
              </w:rPr>
            </w:pPr>
            <w:r w:rsidRPr="00D06C26">
              <w:rPr>
                <w:rFonts w:cs="Arial"/>
                <w:color w:val="000000"/>
                <w:szCs w:val="20"/>
              </w:rPr>
              <w:t>Tasman</w:t>
            </w:r>
          </w:p>
        </w:tc>
        <w:tc>
          <w:tcPr>
            <w:tcW w:w="2268" w:type="dxa"/>
            <w:vAlign w:val="bottom"/>
          </w:tcPr>
          <w:p w14:paraId="3D70B946" w14:textId="77777777" w:rsidR="00E770E8" w:rsidRPr="00D06C26" w:rsidRDefault="00E770E8" w:rsidP="00A27F3D">
            <w:pPr>
              <w:pStyle w:val="Body"/>
              <w:ind w:left="0"/>
              <w:jc w:val="center"/>
              <w:rPr>
                <w:rFonts w:cs="Arial"/>
                <w:szCs w:val="20"/>
              </w:rPr>
            </w:pPr>
            <w:r w:rsidRPr="00D06C26">
              <w:rPr>
                <w:rFonts w:cs="Arial"/>
                <w:color w:val="000000"/>
                <w:szCs w:val="20"/>
              </w:rPr>
              <w:t>3</w:t>
            </w:r>
          </w:p>
        </w:tc>
        <w:tc>
          <w:tcPr>
            <w:tcW w:w="2268" w:type="dxa"/>
            <w:vAlign w:val="bottom"/>
          </w:tcPr>
          <w:p w14:paraId="2880860D" w14:textId="77777777" w:rsidR="00E770E8" w:rsidRPr="00D06C26" w:rsidRDefault="00E770E8" w:rsidP="00E770E8">
            <w:pPr>
              <w:pStyle w:val="Body"/>
              <w:ind w:left="0"/>
              <w:jc w:val="center"/>
              <w:rPr>
                <w:rFonts w:cs="Arial"/>
                <w:color w:val="000000"/>
                <w:szCs w:val="20"/>
              </w:rPr>
            </w:pPr>
            <w:r w:rsidRPr="00D06C26">
              <w:rPr>
                <w:rFonts w:cs="Arial"/>
                <w:color w:val="000000"/>
                <w:szCs w:val="20"/>
              </w:rPr>
              <w:t>2,580</w:t>
            </w:r>
          </w:p>
        </w:tc>
      </w:tr>
      <w:tr w:rsidR="00E770E8" w14:paraId="261ECBA7" w14:textId="77777777" w:rsidTr="00E66F34">
        <w:trPr>
          <w:jc w:val="center"/>
        </w:trPr>
        <w:tc>
          <w:tcPr>
            <w:tcW w:w="3402" w:type="dxa"/>
            <w:vAlign w:val="bottom"/>
          </w:tcPr>
          <w:p w14:paraId="49F84B20" w14:textId="77777777" w:rsidR="00E770E8" w:rsidRPr="00D06C26" w:rsidRDefault="00E770E8" w:rsidP="00E770E8">
            <w:pPr>
              <w:pStyle w:val="Body"/>
              <w:ind w:left="0"/>
              <w:rPr>
                <w:rFonts w:cs="Arial"/>
                <w:szCs w:val="20"/>
              </w:rPr>
            </w:pPr>
            <w:r w:rsidRPr="00D06C26">
              <w:rPr>
                <w:rFonts w:cs="Arial"/>
                <w:color w:val="000000"/>
                <w:szCs w:val="20"/>
              </w:rPr>
              <w:t>Waikato</w:t>
            </w:r>
          </w:p>
        </w:tc>
        <w:tc>
          <w:tcPr>
            <w:tcW w:w="2268" w:type="dxa"/>
            <w:vAlign w:val="bottom"/>
          </w:tcPr>
          <w:p w14:paraId="5566E01E" w14:textId="77777777" w:rsidR="00E770E8" w:rsidRPr="00D06C26" w:rsidRDefault="0075277D" w:rsidP="00A27F3D">
            <w:pPr>
              <w:pStyle w:val="Body"/>
              <w:ind w:left="0"/>
              <w:jc w:val="center"/>
              <w:rPr>
                <w:rFonts w:cs="Arial"/>
                <w:szCs w:val="20"/>
              </w:rPr>
            </w:pPr>
            <w:r w:rsidRPr="00D06C26">
              <w:rPr>
                <w:rFonts w:cs="Arial"/>
                <w:color w:val="000000"/>
                <w:szCs w:val="20"/>
              </w:rPr>
              <w:t>27</w:t>
            </w:r>
          </w:p>
        </w:tc>
        <w:tc>
          <w:tcPr>
            <w:tcW w:w="2268" w:type="dxa"/>
            <w:vAlign w:val="bottom"/>
          </w:tcPr>
          <w:p w14:paraId="66B0C267" w14:textId="77777777" w:rsidR="00E770E8" w:rsidRPr="00D06C26" w:rsidRDefault="00031366" w:rsidP="00E770E8">
            <w:pPr>
              <w:pStyle w:val="Body"/>
              <w:ind w:left="0"/>
              <w:jc w:val="center"/>
              <w:rPr>
                <w:rFonts w:cs="Arial"/>
                <w:color w:val="000000"/>
                <w:szCs w:val="20"/>
              </w:rPr>
            </w:pPr>
            <w:r w:rsidRPr="00D06C26">
              <w:rPr>
                <w:rFonts w:cs="Arial"/>
                <w:color w:val="000000"/>
                <w:szCs w:val="20"/>
              </w:rPr>
              <w:t>281,120</w:t>
            </w:r>
          </w:p>
        </w:tc>
      </w:tr>
      <w:tr w:rsidR="00E770E8" w14:paraId="3F9F7EE9" w14:textId="77777777" w:rsidTr="00E66F34">
        <w:trPr>
          <w:jc w:val="center"/>
        </w:trPr>
        <w:tc>
          <w:tcPr>
            <w:tcW w:w="3402" w:type="dxa"/>
            <w:vAlign w:val="bottom"/>
          </w:tcPr>
          <w:p w14:paraId="06777E2B" w14:textId="77777777" w:rsidR="00E770E8" w:rsidRPr="00D06C26" w:rsidRDefault="00E770E8" w:rsidP="00E770E8">
            <w:pPr>
              <w:pStyle w:val="Body"/>
              <w:ind w:left="0"/>
              <w:rPr>
                <w:rFonts w:cs="Arial"/>
                <w:szCs w:val="20"/>
              </w:rPr>
            </w:pPr>
            <w:r w:rsidRPr="00D06C26">
              <w:rPr>
                <w:rFonts w:cs="Arial"/>
                <w:color w:val="000000"/>
                <w:szCs w:val="20"/>
              </w:rPr>
              <w:t>Wellington</w:t>
            </w:r>
          </w:p>
        </w:tc>
        <w:tc>
          <w:tcPr>
            <w:tcW w:w="2268" w:type="dxa"/>
            <w:vAlign w:val="bottom"/>
          </w:tcPr>
          <w:p w14:paraId="312FE973" w14:textId="77777777" w:rsidR="00E770E8" w:rsidRPr="00D06C26" w:rsidRDefault="00E770E8" w:rsidP="00A27F3D">
            <w:pPr>
              <w:pStyle w:val="Body"/>
              <w:ind w:left="0"/>
              <w:jc w:val="center"/>
              <w:rPr>
                <w:rFonts w:cs="Arial"/>
                <w:szCs w:val="20"/>
              </w:rPr>
            </w:pPr>
            <w:r w:rsidRPr="00D06C26">
              <w:rPr>
                <w:rFonts w:cs="Arial"/>
                <w:color w:val="000000"/>
                <w:szCs w:val="20"/>
              </w:rPr>
              <w:t>7</w:t>
            </w:r>
          </w:p>
        </w:tc>
        <w:tc>
          <w:tcPr>
            <w:tcW w:w="2268" w:type="dxa"/>
            <w:vAlign w:val="bottom"/>
          </w:tcPr>
          <w:p w14:paraId="161BB29A" w14:textId="77777777" w:rsidR="00E770E8" w:rsidRPr="00D06C26" w:rsidRDefault="00E770E8" w:rsidP="00E770E8">
            <w:pPr>
              <w:pStyle w:val="Body"/>
              <w:ind w:left="0"/>
              <w:jc w:val="center"/>
              <w:rPr>
                <w:rFonts w:cs="Arial"/>
                <w:color w:val="000000"/>
                <w:szCs w:val="20"/>
              </w:rPr>
            </w:pPr>
            <w:r w:rsidRPr="00D06C26">
              <w:rPr>
                <w:rFonts w:cs="Arial"/>
                <w:color w:val="000000"/>
                <w:szCs w:val="20"/>
              </w:rPr>
              <w:t>79,130</w:t>
            </w:r>
          </w:p>
        </w:tc>
      </w:tr>
      <w:tr w:rsidR="00E770E8" w14:paraId="64B9CA49" w14:textId="77777777" w:rsidTr="00E66F34">
        <w:trPr>
          <w:jc w:val="center"/>
        </w:trPr>
        <w:tc>
          <w:tcPr>
            <w:tcW w:w="3402" w:type="dxa"/>
            <w:vAlign w:val="bottom"/>
          </w:tcPr>
          <w:p w14:paraId="64D476A0" w14:textId="77777777" w:rsidR="00E770E8" w:rsidRPr="00D06C26" w:rsidRDefault="00E770E8" w:rsidP="00E770E8">
            <w:pPr>
              <w:pStyle w:val="Body"/>
              <w:ind w:left="0"/>
              <w:rPr>
                <w:rFonts w:cs="Arial"/>
                <w:szCs w:val="20"/>
              </w:rPr>
            </w:pPr>
            <w:r w:rsidRPr="00D06C26">
              <w:rPr>
                <w:rFonts w:cs="Arial"/>
                <w:color w:val="000000"/>
                <w:szCs w:val="20"/>
              </w:rPr>
              <w:t>West Coast</w:t>
            </w:r>
          </w:p>
        </w:tc>
        <w:tc>
          <w:tcPr>
            <w:tcW w:w="2268" w:type="dxa"/>
            <w:vAlign w:val="bottom"/>
          </w:tcPr>
          <w:p w14:paraId="45D7CAFD" w14:textId="77777777" w:rsidR="00E770E8" w:rsidRPr="00D06C26" w:rsidRDefault="00E770E8" w:rsidP="00A27F3D">
            <w:pPr>
              <w:pStyle w:val="Body"/>
              <w:ind w:left="0"/>
              <w:jc w:val="center"/>
              <w:rPr>
                <w:rFonts w:cs="Arial"/>
                <w:szCs w:val="20"/>
              </w:rPr>
            </w:pPr>
            <w:r w:rsidRPr="00D06C26">
              <w:rPr>
                <w:rFonts w:cs="Arial"/>
                <w:color w:val="000000"/>
                <w:szCs w:val="20"/>
              </w:rPr>
              <w:t>10</w:t>
            </w:r>
          </w:p>
        </w:tc>
        <w:tc>
          <w:tcPr>
            <w:tcW w:w="2268" w:type="dxa"/>
            <w:vAlign w:val="bottom"/>
          </w:tcPr>
          <w:p w14:paraId="02933736" w14:textId="77777777" w:rsidR="00E770E8" w:rsidRPr="00D06C26" w:rsidRDefault="00E770E8" w:rsidP="00E770E8">
            <w:pPr>
              <w:pStyle w:val="Body"/>
              <w:ind w:left="0"/>
              <w:jc w:val="center"/>
              <w:rPr>
                <w:rFonts w:cs="Arial"/>
                <w:color w:val="000000"/>
                <w:szCs w:val="20"/>
              </w:rPr>
            </w:pPr>
            <w:r w:rsidRPr="00D06C26">
              <w:rPr>
                <w:rFonts w:cs="Arial"/>
                <w:color w:val="000000"/>
                <w:szCs w:val="20"/>
              </w:rPr>
              <w:t>18,060</w:t>
            </w:r>
          </w:p>
        </w:tc>
      </w:tr>
      <w:tr w:rsidR="00E770E8" w14:paraId="5B52C976" w14:textId="77777777" w:rsidTr="00E66F34">
        <w:trPr>
          <w:jc w:val="center"/>
        </w:trPr>
        <w:tc>
          <w:tcPr>
            <w:tcW w:w="3402" w:type="dxa"/>
            <w:vAlign w:val="bottom"/>
          </w:tcPr>
          <w:p w14:paraId="46925127" w14:textId="77777777" w:rsidR="00E770E8" w:rsidRPr="00D06C26" w:rsidRDefault="00E770E8" w:rsidP="00E770E8">
            <w:pPr>
              <w:pStyle w:val="Body"/>
              <w:ind w:left="0"/>
              <w:rPr>
                <w:rFonts w:cs="Arial"/>
                <w:szCs w:val="20"/>
              </w:rPr>
            </w:pPr>
            <w:r w:rsidRPr="00D06C26">
              <w:rPr>
                <w:rFonts w:cs="Arial"/>
                <w:color w:val="000000"/>
                <w:szCs w:val="20"/>
              </w:rPr>
              <w:t>Total</w:t>
            </w:r>
          </w:p>
        </w:tc>
        <w:tc>
          <w:tcPr>
            <w:tcW w:w="2268" w:type="dxa"/>
            <w:vAlign w:val="bottom"/>
          </w:tcPr>
          <w:p w14:paraId="76400E98" w14:textId="77777777" w:rsidR="00E770E8" w:rsidRPr="00D06C26" w:rsidRDefault="00822609" w:rsidP="00D46AF3">
            <w:pPr>
              <w:pStyle w:val="Body"/>
              <w:ind w:left="0"/>
              <w:jc w:val="center"/>
              <w:rPr>
                <w:rFonts w:cs="Arial"/>
                <w:szCs w:val="20"/>
              </w:rPr>
            </w:pPr>
            <w:r w:rsidRPr="00D06C26">
              <w:rPr>
                <w:rFonts w:cs="Arial"/>
                <w:color w:val="000000"/>
                <w:szCs w:val="20"/>
              </w:rPr>
              <w:t>152</w:t>
            </w:r>
          </w:p>
        </w:tc>
        <w:tc>
          <w:tcPr>
            <w:tcW w:w="2268" w:type="dxa"/>
            <w:vAlign w:val="bottom"/>
          </w:tcPr>
          <w:p w14:paraId="127CDDB9" w14:textId="77777777" w:rsidR="00E770E8" w:rsidRPr="00D06C26" w:rsidRDefault="007B1549" w:rsidP="00E770E8">
            <w:pPr>
              <w:pStyle w:val="Body"/>
              <w:ind w:left="0"/>
              <w:jc w:val="center"/>
              <w:rPr>
                <w:rFonts w:cs="Arial"/>
                <w:color w:val="000000"/>
                <w:szCs w:val="20"/>
              </w:rPr>
            </w:pPr>
            <w:r w:rsidRPr="00D06C26">
              <w:rPr>
                <w:rFonts w:cs="Arial"/>
                <w:color w:val="000000"/>
                <w:szCs w:val="20"/>
              </w:rPr>
              <w:t>644,</w:t>
            </w:r>
            <w:r w:rsidR="00B33571" w:rsidRPr="00D06C26">
              <w:rPr>
                <w:rFonts w:cs="Arial"/>
                <w:color w:val="000000"/>
                <w:szCs w:val="20"/>
              </w:rPr>
              <w:t>90</w:t>
            </w:r>
            <w:r w:rsidRPr="00D06C26">
              <w:rPr>
                <w:rFonts w:cs="Arial"/>
                <w:color w:val="000000"/>
                <w:szCs w:val="20"/>
              </w:rPr>
              <w:t>0</w:t>
            </w:r>
          </w:p>
        </w:tc>
      </w:tr>
    </w:tbl>
    <w:p w14:paraId="1207AA1B" w14:textId="77777777" w:rsidR="00421CA6" w:rsidRDefault="00421CA6" w:rsidP="00D06C26">
      <w:pPr>
        <w:pStyle w:val="Body"/>
        <w:ind w:left="0"/>
        <w:rPr>
          <w:highlight w:val="yellow"/>
          <w:lang w:eastAsia="en-AU"/>
        </w:rPr>
      </w:pPr>
    </w:p>
    <w:p w14:paraId="4B159969" w14:textId="77777777" w:rsidR="003568D3" w:rsidRDefault="003568D3" w:rsidP="003568D3">
      <w:pPr>
        <w:pStyle w:val="Heading3"/>
        <w:rPr>
          <w:lang w:eastAsia="en-AU"/>
        </w:rPr>
      </w:pPr>
      <w:bookmarkStart w:id="168" w:name="_Ref517784292"/>
      <w:r>
        <w:t xml:space="preserve">Data on </w:t>
      </w:r>
      <w:r w:rsidR="00AB4CCF">
        <w:t>WWTP</w:t>
      </w:r>
      <w:r>
        <w:rPr>
          <w:lang w:eastAsia="en-AU"/>
        </w:rPr>
        <w:t xml:space="preserve"> </w:t>
      </w:r>
      <w:r w:rsidR="00AB4CCF">
        <w:rPr>
          <w:lang w:eastAsia="en-AU"/>
        </w:rPr>
        <w:t>consent compliance</w:t>
      </w:r>
      <w:bookmarkEnd w:id="168"/>
      <w:r w:rsidR="00AB4CCF">
        <w:rPr>
          <w:lang w:eastAsia="en-AU"/>
        </w:rPr>
        <w:t xml:space="preserve"> </w:t>
      </w:r>
    </w:p>
    <w:p w14:paraId="16AB358D" w14:textId="77777777" w:rsidR="003568D3" w:rsidRDefault="003568D3" w:rsidP="003568D3">
      <w:pPr>
        <w:pStyle w:val="Body"/>
        <w:rPr>
          <w:lang w:eastAsia="en-AU"/>
        </w:rPr>
      </w:pPr>
      <w:r>
        <w:rPr>
          <w:lang w:eastAsia="en-AU"/>
        </w:rPr>
        <w:t>Data from the Water</w:t>
      </w:r>
      <w:r w:rsidR="00976290">
        <w:rPr>
          <w:lang w:eastAsia="en-AU"/>
        </w:rPr>
        <w:t xml:space="preserve"> NZ</w:t>
      </w:r>
      <w:r>
        <w:rPr>
          <w:lang w:eastAsia="en-AU"/>
        </w:rPr>
        <w:t xml:space="preserve"> 2016/17 Benchmarking database indicates a low level of consent non</w:t>
      </w:r>
      <w:r w:rsidR="0074726A">
        <w:rPr>
          <w:lang w:eastAsia="en-AU"/>
        </w:rPr>
        <w:t>-</w:t>
      </w:r>
      <w:r>
        <w:rPr>
          <w:lang w:eastAsia="en-AU"/>
        </w:rPr>
        <w:t>compliance and the following statement was provided within the document, based on the data received:</w:t>
      </w:r>
    </w:p>
    <w:p w14:paraId="413224FC" w14:textId="77777777" w:rsidR="003568D3" w:rsidRPr="008324F9" w:rsidRDefault="003568D3" w:rsidP="003568D3">
      <w:pPr>
        <w:autoSpaceDE w:val="0"/>
        <w:autoSpaceDN w:val="0"/>
        <w:adjustRightInd w:val="0"/>
        <w:ind w:left="567"/>
        <w:rPr>
          <w:rFonts w:ascii="Calibri" w:hAnsi="Calibri" w:cs="Calibri"/>
          <w:b/>
          <w:i/>
          <w:sz w:val="22"/>
          <w:szCs w:val="22"/>
          <w:lang w:val="en-NZ" w:eastAsia="en-AU"/>
        </w:rPr>
      </w:pPr>
      <w:r>
        <w:rPr>
          <w:rFonts w:ascii="Calibri" w:hAnsi="Calibri" w:cs="Calibri"/>
          <w:b/>
          <w:i/>
          <w:sz w:val="22"/>
          <w:szCs w:val="22"/>
          <w:lang w:val="en-NZ" w:eastAsia="en-AU"/>
        </w:rPr>
        <w:t>“</w:t>
      </w:r>
      <w:r w:rsidRPr="008324F9">
        <w:rPr>
          <w:rFonts w:ascii="Calibri" w:hAnsi="Calibri" w:cs="Calibri"/>
          <w:b/>
          <w:i/>
          <w:sz w:val="22"/>
          <w:szCs w:val="22"/>
          <w:lang w:val="en-NZ" w:eastAsia="en-AU"/>
        </w:rPr>
        <w:t>Participants recorded very few consent non-compliances. In 2016-17 only one abatement notice was received by Wairoa, and four participants received a tota</w:t>
      </w:r>
      <w:r w:rsidRPr="00BF173A">
        <w:rPr>
          <w:rFonts w:ascii="Calibri" w:hAnsi="Calibri" w:cs="Calibri"/>
          <w:b/>
          <w:i/>
          <w:sz w:val="22"/>
          <w:szCs w:val="22"/>
          <w:lang w:val="en-NZ" w:eastAsia="en-AU"/>
        </w:rPr>
        <w:t>l of seven infringement notices</w:t>
      </w:r>
      <w:r>
        <w:rPr>
          <w:rFonts w:ascii="Calibri" w:hAnsi="Calibri" w:cs="Calibri"/>
          <w:b/>
          <w:i/>
          <w:sz w:val="22"/>
          <w:szCs w:val="22"/>
          <w:lang w:val="en-NZ" w:eastAsia="en-AU"/>
        </w:rPr>
        <w:t>”</w:t>
      </w:r>
      <w:r w:rsidR="0068305F">
        <w:rPr>
          <w:rFonts w:ascii="Calibri" w:hAnsi="Calibri" w:cs="Calibri"/>
          <w:b/>
          <w:i/>
          <w:sz w:val="22"/>
          <w:szCs w:val="22"/>
          <w:lang w:val="en-NZ" w:eastAsia="en-AU"/>
        </w:rPr>
        <w:t>.</w:t>
      </w:r>
      <w:r w:rsidR="0068305F" w:rsidRPr="0068305F">
        <w:t xml:space="preserve"> </w:t>
      </w:r>
    </w:p>
    <w:p w14:paraId="3BC1AB51" w14:textId="77777777" w:rsidR="003568D3" w:rsidRDefault="003568D3" w:rsidP="003568D3">
      <w:pPr>
        <w:pStyle w:val="Body"/>
        <w:rPr>
          <w:lang w:eastAsia="en-AU"/>
        </w:rPr>
      </w:pPr>
      <w:r>
        <w:rPr>
          <w:lang w:eastAsia="en-AU"/>
        </w:rPr>
        <w:t>To</w:t>
      </w:r>
      <w:r w:rsidRPr="008324F9">
        <w:rPr>
          <w:lang w:eastAsia="en-AU"/>
        </w:rPr>
        <w:t xml:space="preserve"> test this outcome </w:t>
      </w:r>
      <w:r>
        <w:rPr>
          <w:lang w:eastAsia="en-AU"/>
        </w:rPr>
        <w:t>GHD undertook</w:t>
      </w:r>
      <w:r w:rsidRPr="008324F9">
        <w:rPr>
          <w:lang w:eastAsia="en-AU"/>
        </w:rPr>
        <w:t xml:space="preserve"> a review of the compliance of </w:t>
      </w:r>
      <w:r>
        <w:rPr>
          <w:lang w:eastAsia="en-AU"/>
        </w:rPr>
        <w:t>WWTPs</w:t>
      </w:r>
      <w:r w:rsidRPr="008324F9">
        <w:rPr>
          <w:lang w:eastAsia="en-AU"/>
        </w:rPr>
        <w:t xml:space="preserve"> within the Waikato region that discharged into freshwater bodies. This review was facilitated through Waikato Regional Council </w:t>
      </w:r>
      <w:r>
        <w:rPr>
          <w:lang w:eastAsia="en-AU"/>
        </w:rPr>
        <w:t xml:space="preserve">(WRC) </w:t>
      </w:r>
      <w:r w:rsidRPr="008324F9">
        <w:rPr>
          <w:lang w:eastAsia="en-AU"/>
        </w:rPr>
        <w:t>staff and looked specifically at compliance with the 3 parameters linked to the NPS</w:t>
      </w:r>
      <w:r w:rsidR="00A60A28">
        <w:rPr>
          <w:lang w:eastAsia="en-AU"/>
        </w:rPr>
        <w:t xml:space="preserve"> </w:t>
      </w:r>
      <w:r w:rsidRPr="008324F9">
        <w:rPr>
          <w:lang w:eastAsia="en-AU"/>
        </w:rPr>
        <w:t>F</w:t>
      </w:r>
      <w:r>
        <w:rPr>
          <w:lang w:eastAsia="en-AU"/>
        </w:rPr>
        <w:t>reshwater</w:t>
      </w:r>
      <w:r w:rsidRPr="008324F9">
        <w:rPr>
          <w:lang w:eastAsia="en-AU"/>
        </w:rPr>
        <w:t>.</w:t>
      </w:r>
      <w:r>
        <w:rPr>
          <w:lang w:eastAsia="en-AU"/>
        </w:rPr>
        <w:t xml:space="preserve"> </w:t>
      </w:r>
      <w:r w:rsidRPr="008324F9">
        <w:rPr>
          <w:lang w:eastAsia="en-AU"/>
        </w:rPr>
        <w:t>The outcome of the review indicated that the Water</w:t>
      </w:r>
      <w:r>
        <w:rPr>
          <w:lang w:eastAsia="en-AU"/>
        </w:rPr>
        <w:t xml:space="preserve"> </w:t>
      </w:r>
      <w:r w:rsidRPr="008324F9">
        <w:rPr>
          <w:lang w:eastAsia="en-AU"/>
        </w:rPr>
        <w:t>NZ</w:t>
      </w:r>
      <w:r w:rsidRPr="008324F9">
        <w:rPr>
          <w:rFonts w:eastAsiaTheme="minorEastAsia"/>
          <w:lang w:eastAsia="en-AU"/>
        </w:rPr>
        <w:t xml:space="preserve"> summary </w:t>
      </w:r>
      <w:r>
        <w:rPr>
          <w:lang w:eastAsia="en-AU"/>
        </w:rPr>
        <w:t xml:space="preserve">is </w:t>
      </w:r>
      <w:r w:rsidRPr="008324F9">
        <w:rPr>
          <w:rFonts w:eastAsiaTheme="minorEastAsia"/>
          <w:lang w:eastAsia="en-AU"/>
        </w:rPr>
        <w:t>not</w:t>
      </w:r>
      <w:r w:rsidRPr="008324F9">
        <w:rPr>
          <w:lang w:eastAsia="en-AU"/>
        </w:rPr>
        <w:t xml:space="preserve"> </w:t>
      </w:r>
      <w:r>
        <w:rPr>
          <w:lang w:eastAsia="en-AU"/>
        </w:rPr>
        <w:t>an</w:t>
      </w:r>
      <w:r>
        <w:rPr>
          <w:rFonts w:eastAsiaTheme="minorEastAsia"/>
          <w:lang w:eastAsia="en-AU"/>
        </w:rPr>
        <w:t xml:space="preserve"> </w:t>
      </w:r>
      <w:r w:rsidRPr="008324F9">
        <w:rPr>
          <w:rFonts w:eastAsiaTheme="minorEastAsia"/>
          <w:lang w:eastAsia="en-AU"/>
        </w:rPr>
        <w:t xml:space="preserve">accurate reflection of compliance in at least the Waikato region. </w:t>
      </w:r>
    </w:p>
    <w:p w14:paraId="0FD61F1E" w14:textId="77777777" w:rsidR="00D06C26" w:rsidRDefault="00D06C26" w:rsidP="003568D3">
      <w:pPr>
        <w:pStyle w:val="Body"/>
        <w:rPr>
          <w:rFonts w:eastAsiaTheme="minorEastAsia"/>
          <w:lang w:eastAsia="en-AU"/>
        </w:rPr>
      </w:pPr>
    </w:p>
    <w:p w14:paraId="24746976" w14:textId="77777777" w:rsidR="003568D3" w:rsidRPr="008324F9" w:rsidRDefault="003568D3" w:rsidP="003568D3">
      <w:pPr>
        <w:pStyle w:val="Body"/>
        <w:rPr>
          <w:lang w:eastAsia="en-AU"/>
        </w:rPr>
      </w:pPr>
      <w:r w:rsidRPr="008324F9">
        <w:rPr>
          <w:rFonts w:eastAsiaTheme="minorEastAsia"/>
          <w:lang w:eastAsia="en-AU"/>
        </w:rPr>
        <w:lastRenderedPageBreak/>
        <w:t>A summary of the compliance data</w:t>
      </w:r>
      <w:r w:rsidRPr="00F03477">
        <w:rPr>
          <w:rFonts w:eastAsiaTheme="minorEastAsia"/>
        </w:rPr>
        <w:t xml:space="preserve"> </w:t>
      </w:r>
      <w:r w:rsidRPr="00F03477">
        <w:rPr>
          <w:lang w:eastAsia="en-AU"/>
        </w:rPr>
        <w:t>WRC provided</w:t>
      </w:r>
      <w:r w:rsidRPr="008324F9">
        <w:rPr>
          <w:lang w:eastAsia="en-AU"/>
        </w:rPr>
        <w:t xml:space="preserve"> </w:t>
      </w:r>
      <w:r w:rsidRPr="008324F9">
        <w:rPr>
          <w:rFonts w:eastAsiaTheme="minorEastAsia"/>
          <w:lang w:eastAsia="en-AU"/>
        </w:rPr>
        <w:t>for WWTPs discharging to freshwater indicated the following level of non</w:t>
      </w:r>
      <w:r w:rsidR="0074726A">
        <w:rPr>
          <w:rFonts w:eastAsiaTheme="minorEastAsia"/>
          <w:lang w:eastAsia="en-AU"/>
        </w:rPr>
        <w:t>-</w:t>
      </w:r>
      <w:r w:rsidRPr="008324F9">
        <w:rPr>
          <w:rFonts w:eastAsiaTheme="minorEastAsia"/>
          <w:lang w:eastAsia="en-AU"/>
        </w:rPr>
        <w:t>compli</w:t>
      </w:r>
      <w:r w:rsidRPr="00435893">
        <w:rPr>
          <w:rFonts w:eastAsiaTheme="minorEastAsia"/>
          <w:lang w:eastAsia="en-AU"/>
        </w:rPr>
        <w:t xml:space="preserve">ance across the </w:t>
      </w:r>
      <w:r w:rsidR="0075277D" w:rsidRPr="00435893">
        <w:rPr>
          <w:rFonts w:eastAsiaTheme="minorEastAsia"/>
          <w:lang w:eastAsia="en-AU"/>
        </w:rPr>
        <w:t xml:space="preserve">27 </w:t>
      </w:r>
      <w:r w:rsidRPr="00435893">
        <w:rPr>
          <w:rFonts w:eastAsiaTheme="minorEastAsia"/>
          <w:lang w:eastAsia="en-AU"/>
        </w:rPr>
        <w:t>plants:</w:t>
      </w:r>
    </w:p>
    <w:p w14:paraId="20FEAA1D" w14:textId="77777777" w:rsidR="003568D3" w:rsidRPr="00807B6D" w:rsidRDefault="00AA2321" w:rsidP="00E66F34">
      <w:pPr>
        <w:pStyle w:val="Body"/>
        <w:numPr>
          <w:ilvl w:val="0"/>
          <w:numId w:val="74"/>
        </w:numPr>
        <w:rPr>
          <w:lang w:eastAsia="en-AU"/>
        </w:rPr>
      </w:pPr>
      <w:r>
        <w:rPr>
          <w:lang w:eastAsia="en-AU"/>
        </w:rPr>
        <w:t>30</w:t>
      </w:r>
      <w:r w:rsidR="003568D3" w:rsidRPr="00807B6D">
        <w:rPr>
          <w:lang w:eastAsia="en-AU"/>
        </w:rPr>
        <w:t xml:space="preserve">% </w:t>
      </w:r>
      <w:r w:rsidR="003568D3" w:rsidRPr="00E66F34">
        <w:rPr>
          <w:i/>
        </w:rPr>
        <w:t xml:space="preserve">E. coli </w:t>
      </w:r>
      <w:r w:rsidR="003568D3" w:rsidRPr="00807B6D">
        <w:rPr>
          <w:lang w:eastAsia="en-AU"/>
        </w:rPr>
        <w:t>non</w:t>
      </w:r>
      <w:r w:rsidR="00784BA4">
        <w:rPr>
          <w:lang w:eastAsia="en-AU"/>
        </w:rPr>
        <w:t>-</w:t>
      </w:r>
      <w:r w:rsidR="003568D3" w:rsidRPr="00807B6D">
        <w:rPr>
          <w:lang w:eastAsia="en-AU"/>
        </w:rPr>
        <w:t>compliance</w:t>
      </w:r>
    </w:p>
    <w:p w14:paraId="64D0D0A2" w14:textId="77777777" w:rsidR="003568D3" w:rsidRPr="00807B6D" w:rsidRDefault="00AA2321" w:rsidP="00E66F34">
      <w:pPr>
        <w:pStyle w:val="Body"/>
        <w:numPr>
          <w:ilvl w:val="0"/>
          <w:numId w:val="74"/>
        </w:numPr>
        <w:rPr>
          <w:lang w:eastAsia="en-AU"/>
        </w:rPr>
      </w:pPr>
      <w:r>
        <w:rPr>
          <w:lang w:eastAsia="en-AU"/>
        </w:rPr>
        <w:t>30</w:t>
      </w:r>
      <w:r w:rsidR="003568D3" w:rsidRPr="00807B6D">
        <w:rPr>
          <w:lang w:eastAsia="en-AU"/>
        </w:rPr>
        <w:t>% ammonia non</w:t>
      </w:r>
      <w:r w:rsidR="00784BA4">
        <w:rPr>
          <w:lang w:eastAsia="en-AU"/>
        </w:rPr>
        <w:t>-</w:t>
      </w:r>
      <w:r w:rsidR="003568D3" w:rsidRPr="00807B6D">
        <w:rPr>
          <w:lang w:eastAsia="en-AU"/>
        </w:rPr>
        <w:t>compliance</w:t>
      </w:r>
    </w:p>
    <w:p w14:paraId="39E0B63C" w14:textId="77777777" w:rsidR="00FA54ED" w:rsidRPr="00E66F34" w:rsidRDefault="00AA2321" w:rsidP="00E66F34">
      <w:pPr>
        <w:pStyle w:val="Body"/>
        <w:numPr>
          <w:ilvl w:val="0"/>
          <w:numId w:val="74"/>
        </w:numPr>
        <w:rPr>
          <w:lang w:eastAsia="en-AU"/>
        </w:rPr>
      </w:pPr>
      <w:r>
        <w:rPr>
          <w:lang w:eastAsia="en-AU"/>
        </w:rPr>
        <w:t>18</w:t>
      </w:r>
      <w:r w:rsidR="00784BA4">
        <w:rPr>
          <w:lang w:eastAsia="en-AU"/>
        </w:rPr>
        <w:t>% total nitrogen</w:t>
      </w:r>
      <w:r w:rsidR="003568D3" w:rsidRPr="00807B6D">
        <w:rPr>
          <w:lang w:eastAsia="en-AU"/>
        </w:rPr>
        <w:t xml:space="preserve"> non</w:t>
      </w:r>
      <w:r w:rsidR="00784BA4">
        <w:rPr>
          <w:lang w:eastAsia="en-AU"/>
        </w:rPr>
        <w:t>-</w:t>
      </w:r>
      <w:r w:rsidR="003568D3" w:rsidRPr="00807B6D">
        <w:rPr>
          <w:lang w:eastAsia="en-AU"/>
        </w:rPr>
        <w:t>compliance</w:t>
      </w:r>
    </w:p>
    <w:p w14:paraId="7CBBFE66" w14:textId="77777777" w:rsidR="00CF6230" w:rsidRPr="00E66F34" w:rsidRDefault="00AA2321" w:rsidP="00E66F34">
      <w:pPr>
        <w:pStyle w:val="Body"/>
        <w:numPr>
          <w:ilvl w:val="0"/>
          <w:numId w:val="74"/>
        </w:numPr>
        <w:rPr>
          <w:lang w:eastAsia="en-AU"/>
        </w:rPr>
      </w:pPr>
      <w:r>
        <w:rPr>
          <w:lang w:eastAsia="en-AU"/>
        </w:rPr>
        <w:t>48</w:t>
      </w:r>
      <w:r w:rsidR="00CF6230">
        <w:rPr>
          <w:lang w:eastAsia="en-AU"/>
        </w:rPr>
        <w:t>% combined non</w:t>
      </w:r>
      <w:r w:rsidR="00784BA4">
        <w:rPr>
          <w:lang w:eastAsia="en-AU"/>
        </w:rPr>
        <w:t>-</w:t>
      </w:r>
      <w:r w:rsidR="00CF6230">
        <w:rPr>
          <w:lang w:eastAsia="en-AU"/>
        </w:rPr>
        <w:t>compliance</w:t>
      </w:r>
    </w:p>
    <w:p w14:paraId="531B90C1" w14:textId="77777777" w:rsidR="0068305F" w:rsidRDefault="0068305F" w:rsidP="0068305F">
      <w:pPr>
        <w:pStyle w:val="Body"/>
        <w:rPr>
          <w:lang w:eastAsia="en-AU"/>
        </w:rPr>
      </w:pPr>
      <w:r>
        <w:rPr>
          <w:lang w:eastAsia="en-AU"/>
        </w:rPr>
        <w:t>WRC has provided the following commentary in relation to this data:</w:t>
      </w:r>
    </w:p>
    <w:p w14:paraId="638D2623" w14:textId="77777777" w:rsidR="0068305F" w:rsidRPr="00A352AD" w:rsidRDefault="0068305F" w:rsidP="0068305F">
      <w:pPr>
        <w:pStyle w:val="Body"/>
        <w:rPr>
          <w:i/>
          <w:lang w:eastAsia="en-AU"/>
        </w:rPr>
      </w:pPr>
      <w:r>
        <w:rPr>
          <w:lang w:eastAsia="en-AU"/>
        </w:rPr>
        <w:t>“</w:t>
      </w:r>
      <w:r w:rsidRPr="00A352AD">
        <w:rPr>
          <w:i/>
          <w:lang w:eastAsia="en-AU"/>
        </w:rPr>
        <w:t>This data should not be read out of context of the overall performance of the consent holder.  It notes that many consent holders in recent times have upgraded their WWTPs with technology that significan</w:t>
      </w:r>
      <w:r w:rsidR="00784BA4">
        <w:rPr>
          <w:i/>
          <w:lang w:eastAsia="en-AU"/>
        </w:rPr>
        <w:t>tly improves discharge quality.</w:t>
      </w:r>
      <w:r w:rsidRPr="00A352AD">
        <w:rPr>
          <w:i/>
          <w:lang w:eastAsia="en-AU"/>
        </w:rPr>
        <w:t xml:space="preserve"> When being replaced upon expiry, the consents that authorise these discharges have consequently included conditions that set significantly lower discharge limits that reflect these improvements.  So whilst there are at times minor exceedances of these tighter limits, these in themselves do not  necessarily result in adverse effects of any significance, i.e. a minimal non-compliance (which may be just one solitary outlier sample) will likely result in a minimal environmental effect.</w:t>
      </w:r>
    </w:p>
    <w:p w14:paraId="38FCE761" w14:textId="77777777" w:rsidR="0068305F" w:rsidRDefault="0068305F" w:rsidP="00A352AD">
      <w:pPr>
        <w:pStyle w:val="Body"/>
        <w:rPr>
          <w:i/>
          <w:lang w:eastAsia="en-AU"/>
        </w:rPr>
      </w:pPr>
      <w:r w:rsidRPr="00A352AD">
        <w:rPr>
          <w:i/>
          <w:lang w:eastAsia="en-AU"/>
        </w:rPr>
        <w:t>Consents that authorise discharges from WWTPs contain many dozens of conditions.  When monitoring these consents, WRC assigns compliance status to a consent based on a range of factors, in particular the likelihood of adverse effects associated with any non- compliance.  A non-compliance that has the potential to result in an effect significantly greater than that authorised is consider a “high priority non-compliance” and the site is consequently considered to be</w:t>
      </w:r>
      <w:r w:rsidR="00784BA4">
        <w:rPr>
          <w:i/>
          <w:lang w:eastAsia="en-AU"/>
        </w:rPr>
        <w:t xml:space="preserve"> in significant non-compliance.</w:t>
      </w:r>
      <w:r w:rsidRPr="00A352AD">
        <w:rPr>
          <w:i/>
          <w:lang w:eastAsia="en-AU"/>
        </w:rPr>
        <w:t xml:space="preserve"> From the data presented, only one WWTP was considered to be significantly non-compliant in the 2017/18 year.  </w:t>
      </w:r>
    </w:p>
    <w:p w14:paraId="594545D5" w14:textId="77777777" w:rsidR="0068305F" w:rsidRDefault="0068305F" w:rsidP="00A352AD">
      <w:pPr>
        <w:pStyle w:val="Body"/>
        <w:rPr>
          <w:lang w:eastAsia="en-AU"/>
        </w:rPr>
      </w:pPr>
      <w:r w:rsidRPr="00A352AD">
        <w:rPr>
          <w:i/>
          <w:lang w:eastAsia="en-AU"/>
        </w:rPr>
        <w:t>That said, WRC notes that there are still some older consents where compliance is achieved, but with less stringent consent limits.  As these consents expire and are replaced, WRC comments that tighter condition limits can be expected in order to give effect to the Vision and Strategy for the Waikato and Waipa River catchments and the NPS Freshwater</w:t>
      </w:r>
      <w:r>
        <w:rPr>
          <w:lang w:eastAsia="en-AU"/>
        </w:rPr>
        <w:t xml:space="preserve">.” </w:t>
      </w:r>
    </w:p>
    <w:p w14:paraId="5194F52A" w14:textId="77777777" w:rsidR="00807B6D" w:rsidRPr="00554D29" w:rsidRDefault="003568D3" w:rsidP="0068305F">
      <w:pPr>
        <w:pStyle w:val="Body"/>
        <w:rPr>
          <w:lang w:eastAsia="en-AU"/>
        </w:rPr>
      </w:pPr>
      <w:r>
        <w:rPr>
          <w:lang w:eastAsia="en-AU"/>
        </w:rPr>
        <w:t xml:space="preserve">It was not possible within the timeframe of this study to obtain a similar level of detail for all regions of New Zealand. </w:t>
      </w:r>
      <w:r w:rsidR="0074726A">
        <w:rPr>
          <w:lang w:eastAsia="en-AU"/>
        </w:rPr>
        <w:t>W</w:t>
      </w:r>
      <w:r w:rsidR="0068305F">
        <w:rPr>
          <w:lang w:eastAsia="en-AU"/>
        </w:rPr>
        <w:t>RC</w:t>
      </w:r>
      <w:r w:rsidR="0074726A">
        <w:rPr>
          <w:lang w:eastAsia="en-AU"/>
        </w:rPr>
        <w:t xml:space="preserve"> </w:t>
      </w:r>
      <w:r>
        <w:rPr>
          <w:lang w:eastAsia="en-AU"/>
        </w:rPr>
        <w:t>support was critical in enabling this analysis to be undertaken and it would be of value to test other regions to understand if the level of non</w:t>
      </w:r>
      <w:r w:rsidR="0074726A">
        <w:rPr>
          <w:lang w:eastAsia="en-AU"/>
        </w:rPr>
        <w:t>-</w:t>
      </w:r>
      <w:r>
        <w:rPr>
          <w:lang w:eastAsia="en-AU"/>
        </w:rPr>
        <w:t xml:space="preserve">compliance sits at the same level as the Waikato </w:t>
      </w:r>
      <w:r w:rsidR="0074726A">
        <w:rPr>
          <w:lang w:eastAsia="en-AU"/>
        </w:rPr>
        <w:t>region</w:t>
      </w:r>
      <w:r>
        <w:rPr>
          <w:lang w:eastAsia="en-AU"/>
        </w:rPr>
        <w:t xml:space="preserve">. </w:t>
      </w:r>
    </w:p>
    <w:p w14:paraId="5A8E1E9A" w14:textId="77777777" w:rsidR="007A7882" w:rsidRDefault="007A7882" w:rsidP="007A7882">
      <w:pPr>
        <w:pStyle w:val="Heading2"/>
        <w:rPr>
          <w:lang w:eastAsia="en-AU"/>
        </w:rPr>
      </w:pPr>
      <w:bookmarkStart w:id="169" w:name="_Ref515011441"/>
      <w:bookmarkStart w:id="170" w:name="_Ref516731889"/>
      <w:bookmarkStart w:id="171" w:name="_Toc516741333"/>
      <w:bookmarkStart w:id="172" w:name="_Toc516840528"/>
      <w:bookmarkStart w:id="173" w:name="_Toc517267838"/>
      <w:bookmarkStart w:id="174" w:name="_Toc517707397"/>
      <w:bookmarkStart w:id="175" w:name="_Toc517787152"/>
      <w:bookmarkStart w:id="176" w:name="_Toc517793851"/>
      <w:bookmarkStart w:id="177" w:name="_Toc518646187"/>
      <w:bookmarkStart w:id="178" w:name="_Toc518653087"/>
      <w:bookmarkStart w:id="179" w:name="_Toc527638641"/>
      <w:r>
        <w:rPr>
          <w:lang w:eastAsia="en-AU"/>
        </w:rPr>
        <w:t xml:space="preserve">Data on </w:t>
      </w:r>
      <w:r w:rsidR="00AB4CCF">
        <w:rPr>
          <w:lang w:eastAsia="en-AU"/>
        </w:rPr>
        <w:t xml:space="preserve">wastewater </w:t>
      </w:r>
      <w:bookmarkEnd w:id="169"/>
      <w:bookmarkEnd w:id="170"/>
      <w:bookmarkEnd w:id="171"/>
      <w:bookmarkEnd w:id="172"/>
      <w:bookmarkEnd w:id="173"/>
      <w:bookmarkEnd w:id="174"/>
      <w:r w:rsidR="00AB4CCF">
        <w:rPr>
          <w:lang w:eastAsia="en-AU"/>
        </w:rPr>
        <w:t>networks</w:t>
      </w:r>
      <w:bookmarkEnd w:id="175"/>
      <w:bookmarkEnd w:id="176"/>
      <w:bookmarkEnd w:id="177"/>
      <w:bookmarkEnd w:id="178"/>
      <w:bookmarkEnd w:id="179"/>
    </w:p>
    <w:p w14:paraId="1938EBB0" w14:textId="77777777" w:rsidR="005328A2" w:rsidRDefault="004C0EA8" w:rsidP="00645B8F">
      <w:pPr>
        <w:pStyle w:val="Heading3"/>
        <w:rPr>
          <w:lang w:eastAsia="en-AU"/>
        </w:rPr>
      </w:pPr>
      <w:bookmarkStart w:id="180" w:name="_Ref516558682"/>
      <w:r>
        <w:rPr>
          <w:lang w:eastAsia="en-AU"/>
        </w:rPr>
        <w:t xml:space="preserve">Data </w:t>
      </w:r>
      <w:bookmarkEnd w:id="180"/>
      <w:r w:rsidR="00AB4CCF">
        <w:rPr>
          <w:lang w:eastAsia="en-AU"/>
        </w:rPr>
        <w:t>sources</w:t>
      </w:r>
    </w:p>
    <w:p w14:paraId="37B68E70" w14:textId="77777777" w:rsidR="004C0EA8" w:rsidRDefault="00CE3F7F" w:rsidP="00CE3F7F">
      <w:pPr>
        <w:pStyle w:val="Body"/>
        <w:rPr>
          <w:lang w:eastAsia="en-AU"/>
        </w:rPr>
      </w:pPr>
      <w:r>
        <w:rPr>
          <w:lang w:eastAsia="en-AU"/>
        </w:rPr>
        <w:t xml:space="preserve">For this study it was not practicable to locate, map and interrogate the impact of all wastewater network overflows occurring across New Zealand. The approach taken was to gather the </w:t>
      </w:r>
      <w:r w:rsidR="00704766">
        <w:rPr>
          <w:lang w:eastAsia="en-AU"/>
        </w:rPr>
        <w:t>data</w:t>
      </w:r>
      <w:r>
        <w:rPr>
          <w:lang w:eastAsia="en-AU"/>
        </w:rPr>
        <w:t xml:space="preserve"> available from the major centres</w:t>
      </w:r>
      <w:r w:rsidR="00704766">
        <w:rPr>
          <w:lang w:eastAsia="en-AU"/>
        </w:rPr>
        <w:t xml:space="preserve"> and representative mid and smaller centres on the extent of overflows occurring</w:t>
      </w:r>
      <w:r w:rsidR="0074726A">
        <w:rPr>
          <w:lang w:eastAsia="en-AU"/>
        </w:rPr>
        <w:t>,</w:t>
      </w:r>
      <w:r w:rsidR="00704766">
        <w:rPr>
          <w:lang w:eastAsia="en-AU"/>
        </w:rPr>
        <w:t xml:space="preserve"> and to provide a summary of </w:t>
      </w:r>
      <w:r w:rsidR="00F03477">
        <w:rPr>
          <w:lang w:eastAsia="en-AU"/>
        </w:rPr>
        <w:t xml:space="preserve">management and consenting </w:t>
      </w:r>
      <w:r w:rsidR="00704766">
        <w:rPr>
          <w:lang w:eastAsia="en-AU"/>
        </w:rPr>
        <w:t>approaches being applied.</w:t>
      </w:r>
      <w:r w:rsidR="004C0EA8">
        <w:rPr>
          <w:lang w:eastAsia="en-AU"/>
        </w:rPr>
        <w:t xml:space="preserve"> </w:t>
      </w:r>
    </w:p>
    <w:p w14:paraId="71832DCF" w14:textId="77777777" w:rsidR="00CE3F7F" w:rsidRDefault="004C0EA8" w:rsidP="00CE3F7F">
      <w:pPr>
        <w:pStyle w:val="Body"/>
        <w:rPr>
          <w:lang w:eastAsia="en-AU"/>
        </w:rPr>
      </w:pPr>
      <w:r>
        <w:rPr>
          <w:lang w:eastAsia="en-AU"/>
        </w:rPr>
        <w:t>As outlined in section</w:t>
      </w:r>
      <w:r w:rsidR="006C3635">
        <w:rPr>
          <w:lang w:eastAsia="en-AU"/>
        </w:rPr>
        <w:t xml:space="preserve"> 5.1</w:t>
      </w:r>
      <w:r>
        <w:rPr>
          <w:lang w:eastAsia="en-AU"/>
        </w:rPr>
        <w:t xml:space="preserve"> the impact of wastewater overflows on receiving water quality is in most cases very short term due to the infrequent nature of overflows</w:t>
      </w:r>
      <w:r w:rsidR="00E57313">
        <w:rPr>
          <w:lang w:eastAsia="en-AU"/>
        </w:rPr>
        <w:t>;</w:t>
      </w:r>
      <w:r>
        <w:rPr>
          <w:lang w:eastAsia="en-AU"/>
        </w:rPr>
        <w:t xml:space="preserve"> and in wet weather conditions wastewater overflows may be only a small contributor to the contaminant load when compared to other diffuse sources. </w:t>
      </w:r>
      <w:r w:rsidR="00704766">
        <w:rPr>
          <w:lang w:eastAsia="en-AU"/>
        </w:rPr>
        <w:t>R</w:t>
      </w:r>
      <w:r w:rsidR="00E57313">
        <w:rPr>
          <w:lang w:eastAsia="en-AU"/>
        </w:rPr>
        <w:t xml:space="preserve">emoval or reduction in wastewater network overflows will often not contribute significantly to achieving NPS </w:t>
      </w:r>
      <w:r w:rsidR="00C77E49">
        <w:rPr>
          <w:lang w:eastAsia="en-AU"/>
        </w:rPr>
        <w:t>F</w:t>
      </w:r>
      <w:r w:rsidR="00E57313">
        <w:rPr>
          <w:lang w:eastAsia="en-AU"/>
        </w:rPr>
        <w:t>reshwater quality targets in a water body</w:t>
      </w:r>
      <w:r w:rsidR="00704766">
        <w:rPr>
          <w:lang w:eastAsia="en-AU"/>
        </w:rPr>
        <w:t xml:space="preserve"> and</w:t>
      </w:r>
      <w:r w:rsidR="00FF4739">
        <w:rPr>
          <w:lang w:eastAsia="en-AU"/>
        </w:rPr>
        <w:t xml:space="preserve"> investment </w:t>
      </w:r>
      <w:r w:rsidR="00A7056D">
        <w:rPr>
          <w:lang w:eastAsia="en-AU"/>
        </w:rPr>
        <w:t xml:space="preserve">may be </w:t>
      </w:r>
      <w:r w:rsidR="00FF4739">
        <w:rPr>
          <w:lang w:eastAsia="en-AU"/>
        </w:rPr>
        <w:t xml:space="preserve">better targeted at </w:t>
      </w:r>
      <w:r w:rsidR="00704766">
        <w:rPr>
          <w:lang w:eastAsia="en-AU"/>
        </w:rPr>
        <w:t>reducing contaminants in stormwater runoff.</w:t>
      </w:r>
    </w:p>
    <w:p w14:paraId="50815735" w14:textId="77777777" w:rsidR="00372D4F" w:rsidRDefault="00372D4F" w:rsidP="00CE3F7F">
      <w:pPr>
        <w:pStyle w:val="Body"/>
        <w:rPr>
          <w:lang w:eastAsia="en-AU"/>
        </w:rPr>
      </w:pPr>
      <w:r>
        <w:rPr>
          <w:lang w:eastAsia="en-AU"/>
        </w:rPr>
        <w:lastRenderedPageBreak/>
        <w:t xml:space="preserve">It is acknowledged </w:t>
      </w:r>
      <w:r w:rsidR="00704766">
        <w:rPr>
          <w:lang w:eastAsia="en-AU"/>
        </w:rPr>
        <w:t xml:space="preserve">however </w:t>
      </w:r>
      <w:r>
        <w:rPr>
          <w:lang w:eastAsia="en-AU"/>
        </w:rPr>
        <w:t>that there are other important drivers for removing and reducing wastewater network overflows</w:t>
      </w:r>
      <w:r w:rsidR="0074726A">
        <w:rPr>
          <w:lang w:eastAsia="en-AU"/>
        </w:rPr>
        <w:t>,</w:t>
      </w:r>
      <w:r>
        <w:rPr>
          <w:lang w:eastAsia="en-AU"/>
        </w:rPr>
        <w:t xml:space="preserve"> these </w:t>
      </w:r>
      <w:r w:rsidR="00FF4739">
        <w:rPr>
          <w:lang w:eastAsia="en-AU"/>
        </w:rPr>
        <w:t xml:space="preserve">being from the perspective of </w:t>
      </w:r>
      <w:r>
        <w:rPr>
          <w:lang w:eastAsia="en-AU"/>
        </w:rPr>
        <w:t xml:space="preserve">both cultural </w:t>
      </w:r>
      <w:r w:rsidR="00FF4739">
        <w:rPr>
          <w:lang w:eastAsia="en-AU"/>
        </w:rPr>
        <w:t xml:space="preserve">values </w:t>
      </w:r>
      <w:r>
        <w:rPr>
          <w:lang w:eastAsia="en-AU"/>
        </w:rPr>
        <w:t xml:space="preserve">and community </w:t>
      </w:r>
      <w:r w:rsidR="00C77E49">
        <w:rPr>
          <w:lang w:eastAsia="en-AU"/>
        </w:rPr>
        <w:t>concern</w:t>
      </w:r>
      <w:r w:rsidR="00FF4739">
        <w:rPr>
          <w:lang w:eastAsia="en-AU"/>
        </w:rPr>
        <w:t xml:space="preserve">. </w:t>
      </w:r>
    </w:p>
    <w:p w14:paraId="0CFB7395" w14:textId="77777777" w:rsidR="000560F7" w:rsidRDefault="000560F7" w:rsidP="00CE3F7F">
      <w:pPr>
        <w:pStyle w:val="Body"/>
        <w:rPr>
          <w:lang w:eastAsia="en-AU"/>
        </w:rPr>
      </w:pPr>
      <w:r>
        <w:rPr>
          <w:lang w:eastAsia="en-AU"/>
        </w:rPr>
        <w:t xml:space="preserve">A number of </w:t>
      </w:r>
      <w:r w:rsidR="00174F8C">
        <w:rPr>
          <w:lang w:eastAsia="en-AU"/>
        </w:rPr>
        <w:t>regional</w:t>
      </w:r>
      <w:r>
        <w:rPr>
          <w:lang w:eastAsia="en-AU"/>
        </w:rPr>
        <w:t xml:space="preserve"> </w:t>
      </w:r>
      <w:r w:rsidR="00174F8C">
        <w:rPr>
          <w:lang w:eastAsia="en-AU"/>
        </w:rPr>
        <w:t xml:space="preserve">policies </w:t>
      </w:r>
      <w:r>
        <w:rPr>
          <w:lang w:eastAsia="en-AU"/>
        </w:rPr>
        <w:t xml:space="preserve">provide specific </w:t>
      </w:r>
      <w:r w:rsidR="00A50111">
        <w:rPr>
          <w:lang w:eastAsia="en-AU"/>
        </w:rPr>
        <w:t>direction</w:t>
      </w:r>
      <w:r>
        <w:rPr>
          <w:lang w:eastAsia="en-AU"/>
        </w:rPr>
        <w:t xml:space="preserve"> </w:t>
      </w:r>
      <w:r w:rsidR="009F13F1">
        <w:rPr>
          <w:lang w:eastAsia="en-AU"/>
        </w:rPr>
        <w:t xml:space="preserve">that wastewater overflows to freshwater are not acceptable. As an </w:t>
      </w:r>
      <w:r w:rsidR="009776A1">
        <w:rPr>
          <w:lang w:eastAsia="en-AU"/>
        </w:rPr>
        <w:t>example,</w:t>
      </w:r>
      <w:r w:rsidR="009F13F1">
        <w:rPr>
          <w:lang w:eastAsia="en-AU"/>
        </w:rPr>
        <w:t xml:space="preserve"> the Regional Freshwater Plan for Greater Wellington Regional Council (2014) identifies (clause 5.2.12) that discharge containing sewage should pass through land or an artificial wetland with the explanation being</w:t>
      </w:r>
      <w:r w:rsidR="00A7056D">
        <w:rPr>
          <w:lang w:eastAsia="en-AU"/>
        </w:rPr>
        <w:t>:</w:t>
      </w:r>
      <w:r w:rsidR="009F13F1">
        <w:rPr>
          <w:lang w:eastAsia="en-AU"/>
        </w:rPr>
        <w:t xml:space="preserve"> </w:t>
      </w:r>
      <w:r>
        <w:rPr>
          <w:lang w:eastAsia="en-AU"/>
        </w:rPr>
        <w:t xml:space="preserve"> </w:t>
      </w:r>
    </w:p>
    <w:p w14:paraId="258DE11D" w14:textId="77777777" w:rsidR="00372D4F" w:rsidRDefault="000560F7" w:rsidP="000560F7">
      <w:pPr>
        <w:pStyle w:val="Body"/>
        <w:rPr>
          <w:lang w:eastAsia="en-AU"/>
        </w:rPr>
      </w:pPr>
      <w:r>
        <w:rPr>
          <w:lang w:eastAsia="en-AU"/>
        </w:rPr>
        <w:t>“</w:t>
      </w:r>
      <w:r w:rsidRPr="000560F7">
        <w:rPr>
          <w:i/>
          <w:lang w:eastAsia="en-AU"/>
        </w:rPr>
        <w:t xml:space="preserve">This policy is designed to take into account the view of tangata whenua in the Wellington </w:t>
      </w:r>
      <w:r w:rsidR="0074726A">
        <w:rPr>
          <w:i/>
          <w:lang w:eastAsia="en-AU"/>
        </w:rPr>
        <w:t>r</w:t>
      </w:r>
      <w:r w:rsidR="0074726A" w:rsidRPr="000560F7">
        <w:rPr>
          <w:i/>
          <w:lang w:eastAsia="en-AU"/>
        </w:rPr>
        <w:t xml:space="preserve">egion </w:t>
      </w:r>
      <w:r w:rsidRPr="000560F7">
        <w:rPr>
          <w:i/>
          <w:lang w:eastAsia="en-AU"/>
        </w:rPr>
        <w:t>that human waste should not be discharged into fresh water, even if it is treated to a high degree</w:t>
      </w:r>
      <w:r w:rsidR="0074726A">
        <w:rPr>
          <w:i/>
          <w:lang w:eastAsia="en-AU"/>
        </w:rPr>
        <w:t>.</w:t>
      </w:r>
      <w:r>
        <w:rPr>
          <w:lang w:eastAsia="en-AU"/>
        </w:rPr>
        <w:t>”</w:t>
      </w:r>
    </w:p>
    <w:p w14:paraId="4F01E209" w14:textId="77777777" w:rsidR="00356D34" w:rsidRDefault="00356D34" w:rsidP="00BC3EEF">
      <w:pPr>
        <w:pStyle w:val="Body"/>
        <w:rPr>
          <w:lang w:eastAsia="en-AU"/>
        </w:rPr>
      </w:pPr>
      <w:r>
        <w:rPr>
          <w:lang w:eastAsia="en-AU"/>
        </w:rPr>
        <w:t xml:space="preserve">The </w:t>
      </w:r>
      <w:r w:rsidRPr="00356D34">
        <w:rPr>
          <w:lang w:eastAsia="en-AU"/>
        </w:rPr>
        <w:t>A</w:t>
      </w:r>
      <w:r>
        <w:rPr>
          <w:lang w:eastAsia="en-AU"/>
        </w:rPr>
        <w:t>uckland Council Regional Plan (</w:t>
      </w:r>
      <w:r w:rsidRPr="00356D34">
        <w:rPr>
          <w:lang w:eastAsia="en-AU"/>
        </w:rPr>
        <w:t>Air, land and Water)</w:t>
      </w:r>
      <w:r>
        <w:rPr>
          <w:lang w:eastAsia="en-AU"/>
        </w:rPr>
        <w:t xml:space="preserve"> states that</w:t>
      </w:r>
      <w:r w:rsidR="00A7056D">
        <w:rPr>
          <w:lang w:eastAsia="en-AU"/>
        </w:rPr>
        <w:t>:</w:t>
      </w:r>
      <w:r>
        <w:rPr>
          <w:lang w:eastAsia="en-AU"/>
        </w:rPr>
        <w:t xml:space="preserve"> </w:t>
      </w:r>
    </w:p>
    <w:p w14:paraId="16495E92" w14:textId="77777777" w:rsidR="00356D34" w:rsidRDefault="00356D34" w:rsidP="00356D34">
      <w:pPr>
        <w:pStyle w:val="Body"/>
        <w:rPr>
          <w:lang w:eastAsia="en-AU"/>
        </w:rPr>
      </w:pPr>
      <w:r w:rsidRPr="00356D34">
        <w:rPr>
          <w:i/>
          <w:lang w:eastAsia="en-AU"/>
        </w:rPr>
        <w:t>“In areas of new urban development, wastewater networks should be designed,</w:t>
      </w:r>
      <w:r w:rsidR="002A3D16">
        <w:rPr>
          <w:i/>
          <w:lang w:eastAsia="en-AU"/>
        </w:rPr>
        <w:t xml:space="preserve"> </w:t>
      </w:r>
      <w:r w:rsidRPr="00356D34">
        <w:rPr>
          <w:i/>
          <w:lang w:eastAsia="en-AU"/>
        </w:rPr>
        <w:t>constructed, operated and maintained so that wastewater overflows only occur in extreme circumstances. In existing Urban Areas, wastewater overflows may be occurring more frequently. An appropriate frequency of discharge or other appropriate performance measures will need to be defined through the consent processes for wastewater networks, noting that the Regional Plan: Coastal requires a BPO analysis to justify having more than two wet weather wastewater overflows per annum leading to public health advisory notices being issued for a water recreation area</w:t>
      </w:r>
      <w:r>
        <w:rPr>
          <w:lang w:eastAsia="en-AU"/>
        </w:rPr>
        <w:t>”</w:t>
      </w:r>
      <w:r w:rsidRPr="00356D34">
        <w:rPr>
          <w:lang w:eastAsia="en-AU"/>
        </w:rPr>
        <w:t>.</w:t>
      </w:r>
    </w:p>
    <w:p w14:paraId="17BDBEB7" w14:textId="77777777" w:rsidR="005F573F" w:rsidRDefault="00A50111" w:rsidP="00704766">
      <w:pPr>
        <w:pStyle w:val="Body"/>
        <w:rPr>
          <w:lang w:eastAsia="en-AU"/>
        </w:rPr>
      </w:pPr>
      <w:r>
        <w:rPr>
          <w:lang w:eastAsia="en-AU"/>
        </w:rPr>
        <w:t>The public reaction to wastewater network overflow events is understandably negative. There has been much publicity over the last year about the impact of wastewater network overflows on beach closures in Auckland</w:t>
      </w:r>
      <w:r w:rsidR="00BC3EEF">
        <w:rPr>
          <w:lang w:eastAsia="en-AU"/>
        </w:rPr>
        <w:t>,</w:t>
      </w:r>
      <w:r>
        <w:rPr>
          <w:lang w:eastAsia="en-AU"/>
        </w:rPr>
        <w:t xml:space="preserve"> and wastewater network overflows through </w:t>
      </w:r>
      <w:r w:rsidR="00A80AA6">
        <w:rPr>
          <w:lang w:eastAsia="en-AU"/>
        </w:rPr>
        <w:t>residences</w:t>
      </w:r>
      <w:r>
        <w:rPr>
          <w:lang w:eastAsia="en-AU"/>
        </w:rPr>
        <w:t xml:space="preserve"> due to extreme heavy rainfall. </w:t>
      </w:r>
    </w:p>
    <w:p w14:paraId="654A2461" w14:textId="77777777" w:rsidR="00BC3EEF" w:rsidRDefault="00356D34" w:rsidP="00704766">
      <w:pPr>
        <w:pStyle w:val="Body"/>
        <w:rPr>
          <w:lang w:eastAsia="en-AU"/>
        </w:rPr>
      </w:pPr>
      <w:r>
        <w:rPr>
          <w:lang w:eastAsia="en-AU"/>
        </w:rPr>
        <w:t>T</w:t>
      </w:r>
      <w:r w:rsidR="00C77E49">
        <w:rPr>
          <w:lang w:eastAsia="en-AU"/>
        </w:rPr>
        <w:t>he</w:t>
      </w:r>
      <w:r w:rsidR="00946B5E">
        <w:rPr>
          <w:lang w:eastAsia="en-AU"/>
        </w:rPr>
        <w:t xml:space="preserve"> public perception that wastewater network overflows are unacceptable in any situation can be a strong influence</w:t>
      </w:r>
      <w:r w:rsidR="00BC3EEF">
        <w:rPr>
          <w:lang w:eastAsia="en-AU"/>
        </w:rPr>
        <w:t xml:space="preserve"> on </w:t>
      </w:r>
      <w:r w:rsidR="0074726A">
        <w:rPr>
          <w:lang w:eastAsia="en-AU"/>
        </w:rPr>
        <w:t xml:space="preserve">council </w:t>
      </w:r>
      <w:r w:rsidR="00C77E49">
        <w:rPr>
          <w:lang w:eastAsia="en-AU"/>
        </w:rPr>
        <w:t xml:space="preserve">strategy </w:t>
      </w:r>
      <w:r w:rsidR="00946B5E">
        <w:rPr>
          <w:lang w:eastAsia="en-AU"/>
        </w:rPr>
        <w:t xml:space="preserve">to reduce/remove </w:t>
      </w:r>
      <w:r w:rsidR="00A7056D">
        <w:rPr>
          <w:lang w:eastAsia="en-AU"/>
        </w:rPr>
        <w:t xml:space="preserve">overflows </w:t>
      </w:r>
      <w:r w:rsidR="00946B5E">
        <w:rPr>
          <w:lang w:eastAsia="en-AU"/>
        </w:rPr>
        <w:t xml:space="preserve">even if the environmental impact of </w:t>
      </w:r>
      <w:r w:rsidR="00A7056D">
        <w:rPr>
          <w:lang w:eastAsia="en-AU"/>
        </w:rPr>
        <w:t>the</w:t>
      </w:r>
      <w:r w:rsidR="00946B5E">
        <w:rPr>
          <w:lang w:eastAsia="en-AU"/>
        </w:rPr>
        <w:t xml:space="preserve"> overflow is minimal.</w:t>
      </w:r>
    </w:p>
    <w:p w14:paraId="68629C64" w14:textId="77777777" w:rsidR="0023741A" w:rsidRDefault="0023741A" w:rsidP="00704766">
      <w:pPr>
        <w:pStyle w:val="Body"/>
        <w:rPr>
          <w:lang w:eastAsia="en-AU"/>
        </w:rPr>
      </w:pPr>
      <w:r>
        <w:rPr>
          <w:lang w:eastAsia="en-AU"/>
        </w:rPr>
        <w:t xml:space="preserve">As examples, </w:t>
      </w:r>
      <w:r w:rsidR="00457EF1">
        <w:rPr>
          <w:lang w:eastAsia="en-AU"/>
        </w:rPr>
        <w:fldChar w:fldCharType="begin"/>
      </w:r>
      <w:r w:rsidR="00457EF1">
        <w:rPr>
          <w:lang w:eastAsia="en-AU"/>
        </w:rPr>
        <w:instrText xml:space="preserve"> REF _Ref517682086 \r \h </w:instrText>
      </w:r>
      <w:r w:rsidR="00457EF1">
        <w:rPr>
          <w:lang w:eastAsia="en-AU"/>
        </w:rPr>
      </w:r>
      <w:r w:rsidR="00457EF1">
        <w:rPr>
          <w:lang w:eastAsia="en-AU"/>
        </w:rPr>
        <w:fldChar w:fldCharType="separate"/>
      </w:r>
      <w:r w:rsidR="002777A8">
        <w:rPr>
          <w:lang w:eastAsia="en-AU"/>
        </w:rPr>
        <w:t>Appendix C</w:t>
      </w:r>
      <w:r w:rsidR="00457EF1">
        <w:rPr>
          <w:lang w:eastAsia="en-AU"/>
        </w:rPr>
        <w:fldChar w:fldCharType="end"/>
      </w:r>
      <w:r w:rsidR="00457EF1">
        <w:rPr>
          <w:lang w:eastAsia="en-AU"/>
        </w:rPr>
        <w:t xml:space="preserve"> </w:t>
      </w:r>
      <w:r>
        <w:rPr>
          <w:lang w:eastAsia="en-AU"/>
        </w:rPr>
        <w:t xml:space="preserve">provides a summary of the approaches </w:t>
      </w:r>
      <w:r w:rsidR="00457EF1">
        <w:rPr>
          <w:lang w:eastAsia="en-AU"/>
        </w:rPr>
        <w:t>being taken</w:t>
      </w:r>
      <w:r w:rsidR="00457EF1" w:rsidRPr="00457EF1">
        <w:t xml:space="preserve"> </w:t>
      </w:r>
      <w:r w:rsidR="00457EF1" w:rsidRPr="00457EF1">
        <w:rPr>
          <w:lang w:eastAsia="en-AU"/>
        </w:rPr>
        <w:t>to manage and reduce wastewater network overflows</w:t>
      </w:r>
      <w:r w:rsidR="00457EF1">
        <w:rPr>
          <w:lang w:eastAsia="en-AU"/>
        </w:rPr>
        <w:t>,</w:t>
      </w:r>
      <w:r>
        <w:rPr>
          <w:lang w:eastAsia="en-AU"/>
        </w:rPr>
        <w:t xml:space="preserve"> and the drivers behind these </w:t>
      </w:r>
      <w:r w:rsidR="00457EF1">
        <w:rPr>
          <w:lang w:eastAsia="en-AU"/>
        </w:rPr>
        <w:t xml:space="preserve">approaches </w:t>
      </w:r>
      <w:r>
        <w:rPr>
          <w:lang w:eastAsia="en-AU"/>
        </w:rPr>
        <w:t>in the following centres:</w:t>
      </w:r>
    </w:p>
    <w:p w14:paraId="2A168B89" w14:textId="77777777" w:rsidR="0023741A" w:rsidRDefault="0023741A" w:rsidP="0023741A">
      <w:pPr>
        <w:pStyle w:val="Body"/>
        <w:numPr>
          <w:ilvl w:val="0"/>
          <w:numId w:val="74"/>
        </w:numPr>
        <w:rPr>
          <w:lang w:eastAsia="en-AU"/>
        </w:rPr>
      </w:pPr>
      <w:r>
        <w:rPr>
          <w:lang w:eastAsia="en-AU"/>
        </w:rPr>
        <w:t>Auckland (Watercare)</w:t>
      </w:r>
    </w:p>
    <w:p w14:paraId="3DF3CD21" w14:textId="77777777" w:rsidR="0023741A" w:rsidRDefault="0023741A" w:rsidP="0023741A">
      <w:pPr>
        <w:pStyle w:val="Body"/>
        <w:numPr>
          <w:ilvl w:val="0"/>
          <w:numId w:val="74"/>
        </w:numPr>
        <w:rPr>
          <w:lang w:eastAsia="en-AU"/>
        </w:rPr>
      </w:pPr>
      <w:r>
        <w:rPr>
          <w:lang w:eastAsia="en-AU"/>
        </w:rPr>
        <w:t>Christchurch</w:t>
      </w:r>
    </w:p>
    <w:p w14:paraId="4D1133F8" w14:textId="77777777" w:rsidR="0023741A" w:rsidRDefault="0023741A" w:rsidP="0023741A">
      <w:pPr>
        <w:pStyle w:val="Body"/>
        <w:numPr>
          <w:ilvl w:val="0"/>
          <w:numId w:val="74"/>
        </w:numPr>
        <w:rPr>
          <w:lang w:eastAsia="en-AU"/>
        </w:rPr>
      </w:pPr>
      <w:r>
        <w:rPr>
          <w:lang w:eastAsia="en-AU"/>
        </w:rPr>
        <w:t>Dunedin</w:t>
      </w:r>
    </w:p>
    <w:p w14:paraId="280387CA" w14:textId="77777777" w:rsidR="0023741A" w:rsidRDefault="0023741A" w:rsidP="0023741A">
      <w:pPr>
        <w:pStyle w:val="Body"/>
        <w:numPr>
          <w:ilvl w:val="0"/>
          <w:numId w:val="74"/>
        </w:numPr>
        <w:rPr>
          <w:lang w:eastAsia="en-AU"/>
        </w:rPr>
      </w:pPr>
      <w:r>
        <w:rPr>
          <w:lang w:eastAsia="en-AU"/>
        </w:rPr>
        <w:t>Queenstown Lakes</w:t>
      </w:r>
    </w:p>
    <w:p w14:paraId="2A7D09EE" w14:textId="77777777" w:rsidR="0023741A" w:rsidRDefault="0023741A" w:rsidP="0023741A">
      <w:pPr>
        <w:pStyle w:val="Body"/>
        <w:numPr>
          <w:ilvl w:val="0"/>
          <w:numId w:val="74"/>
        </w:numPr>
        <w:rPr>
          <w:lang w:eastAsia="en-AU"/>
        </w:rPr>
      </w:pPr>
      <w:r>
        <w:rPr>
          <w:lang w:eastAsia="en-AU"/>
        </w:rPr>
        <w:t>Wellington</w:t>
      </w:r>
    </w:p>
    <w:p w14:paraId="19F2B61F" w14:textId="77777777" w:rsidR="007A7882" w:rsidRDefault="007A7882" w:rsidP="007A7882">
      <w:pPr>
        <w:pStyle w:val="Heading2"/>
        <w:rPr>
          <w:lang w:eastAsia="en-AU"/>
        </w:rPr>
      </w:pPr>
      <w:bookmarkStart w:id="181" w:name="_Ref516732065"/>
      <w:bookmarkStart w:id="182" w:name="_Toc516741334"/>
      <w:bookmarkStart w:id="183" w:name="_Toc516840529"/>
      <w:bookmarkStart w:id="184" w:name="_Toc517267839"/>
      <w:bookmarkStart w:id="185" w:name="_Toc517707398"/>
      <w:bookmarkStart w:id="186" w:name="_Toc517787153"/>
      <w:bookmarkStart w:id="187" w:name="_Toc517793852"/>
      <w:bookmarkStart w:id="188" w:name="_Toc518646188"/>
      <w:bookmarkStart w:id="189" w:name="_Toc518653088"/>
      <w:bookmarkStart w:id="190" w:name="_Toc527638642"/>
      <w:r>
        <w:rPr>
          <w:lang w:eastAsia="en-AU"/>
        </w:rPr>
        <w:t xml:space="preserve">Data on </w:t>
      </w:r>
      <w:r w:rsidR="00174F8C">
        <w:rPr>
          <w:lang w:eastAsia="en-AU"/>
        </w:rPr>
        <w:t xml:space="preserve">receiving </w:t>
      </w:r>
      <w:bookmarkEnd w:id="181"/>
      <w:bookmarkEnd w:id="182"/>
      <w:bookmarkEnd w:id="183"/>
      <w:bookmarkEnd w:id="184"/>
      <w:bookmarkEnd w:id="185"/>
      <w:r w:rsidR="00174F8C">
        <w:rPr>
          <w:lang w:eastAsia="en-AU"/>
        </w:rPr>
        <w:t>waters</w:t>
      </w:r>
      <w:bookmarkEnd w:id="186"/>
      <w:bookmarkEnd w:id="187"/>
      <w:bookmarkEnd w:id="188"/>
      <w:bookmarkEnd w:id="189"/>
      <w:bookmarkEnd w:id="190"/>
    </w:p>
    <w:p w14:paraId="0F4181C1" w14:textId="77777777" w:rsidR="00D4077A" w:rsidRDefault="00D4077A" w:rsidP="007A7882">
      <w:pPr>
        <w:pStyle w:val="Heading3"/>
        <w:rPr>
          <w:lang w:eastAsia="en-AU"/>
        </w:rPr>
      </w:pPr>
      <w:r>
        <w:rPr>
          <w:lang w:eastAsia="en-AU"/>
        </w:rPr>
        <w:t xml:space="preserve">Approach to </w:t>
      </w:r>
      <w:r w:rsidR="00174F8C">
        <w:rPr>
          <w:lang w:eastAsia="en-AU"/>
        </w:rPr>
        <w:t>receiving environment definition</w:t>
      </w:r>
    </w:p>
    <w:p w14:paraId="5F1B8F52" w14:textId="77777777" w:rsidR="00C00E95" w:rsidRDefault="006B1284" w:rsidP="00441B5A">
      <w:pPr>
        <w:pStyle w:val="Body"/>
        <w:rPr>
          <w:lang w:eastAsia="en-AU"/>
        </w:rPr>
      </w:pPr>
      <w:r>
        <w:rPr>
          <w:lang w:eastAsia="en-AU"/>
        </w:rPr>
        <w:t xml:space="preserve">For </w:t>
      </w:r>
      <w:r w:rsidR="008441D5">
        <w:rPr>
          <w:lang w:eastAsia="en-AU"/>
        </w:rPr>
        <w:t xml:space="preserve">the </w:t>
      </w:r>
      <w:r>
        <w:rPr>
          <w:lang w:eastAsia="en-AU"/>
        </w:rPr>
        <w:t xml:space="preserve">purpose of this project, the </w:t>
      </w:r>
      <w:r w:rsidR="006B5273">
        <w:rPr>
          <w:lang w:eastAsia="en-AU"/>
        </w:rPr>
        <w:t>freshwater</w:t>
      </w:r>
      <w:r>
        <w:rPr>
          <w:lang w:eastAsia="en-AU"/>
        </w:rPr>
        <w:t xml:space="preserve"> receiving environment is considered to be the waterway or land area where the wastewater from </w:t>
      </w:r>
      <w:r w:rsidR="008441D5">
        <w:rPr>
          <w:lang w:eastAsia="en-AU"/>
        </w:rPr>
        <w:t xml:space="preserve">a </w:t>
      </w:r>
      <w:r>
        <w:rPr>
          <w:lang w:eastAsia="en-AU"/>
        </w:rPr>
        <w:t xml:space="preserve">treatment plant discharges to after being treated through primary, secondary and/or tertiary means. </w:t>
      </w:r>
    </w:p>
    <w:p w14:paraId="3F561E32" w14:textId="77777777" w:rsidR="008B4264" w:rsidRDefault="008B4264" w:rsidP="000A4BBA">
      <w:pPr>
        <w:pStyle w:val="Body"/>
        <w:rPr>
          <w:lang w:eastAsia="en-AU"/>
        </w:rPr>
      </w:pPr>
      <w:r>
        <w:rPr>
          <w:lang w:eastAsia="en-AU"/>
        </w:rPr>
        <w:t xml:space="preserve">Freshwater receiving environments for this project </w:t>
      </w:r>
      <w:r w:rsidR="008441D5">
        <w:rPr>
          <w:lang w:eastAsia="en-AU"/>
        </w:rPr>
        <w:t>consist</w:t>
      </w:r>
      <w:r>
        <w:rPr>
          <w:lang w:eastAsia="en-AU"/>
        </w:rPr>
        <w:t xml:space="preserve"> of </w:t>
      </w:r>
      <w:r w:rsidR="00620026">
        <w:rPr>
          <w:lang w:eastAsia="en-AU"/>
        </w:rPr>
        <w:t>streams, rivers and lakes</w:t>
      </w:r>
      <w:r>
        <w:rPr>
          <w:lang w:eastAsia="en-AU"/>
        </w:rPr>
        <w:t xml:space="preserve"> varying in size and quality. Discretion has also been applied to including some estuarine receiving environments as well as land based discharges where there is likely to be limited (or no) treatment before entering a freshwater body (i.e. rapid infiltration).</w:t>
      </w:r>
    </w:p>
    <w:p w14:paraId="65D14319" w14:textId="77777777" w:rsidR="006B1284" w:rsidRDefault="000B7E1D" w:rsidP="006B1284">
      <w:pPr>
        <w:pStyle w:val="Heading3"/>
        <w:rPr>
          <w:lang w:eastAsia="en-AU"/>
        </w:rPr>
      </w:pPr>
      <w:bookmarkStart w:id="191" w:name="_Ref518563119"/>
      <w:r>
        <w:rPr>
          <w:lang w:eastAsia="en-AU"/>
        </w:rPr>
        <w:lastRenderedPageBreak/>
        <w:t xml:space="preserve">Relevant </w:t>
      </w:r>
      <w:r w:rsidR="00174F8C">
        <w:rPr>
          <w:lang w:eastAsia="en-AU"/>
        </w:rPr>
        <w:t>water quality parameters</w:t>
      </w:r>
      <w:bookmarkEnd w:id="191"/>
    </w:p>
    <w:p w14:paraId="2807F53E" w14:textId="77777777" w:rsidR="00C00E95" w:rsidRPr="00441B5A" w:rsidRDefault="006B1284" w:rsidP="00441B5A">
      <w:pPr>
        <w:pStyle w:val="Body"/>
      </w:pPr>
      <w:r w:rsidRPr="00441B5A">
        <w:t xml:space="preserve">River and stream water quality varies across New Zealand within different regions and catchments. The existing water quality conditions of receiving river and stream environments has been determined from water quality data from the </w:t>
      </w:r>
      <w:r w:rsidR="000B7E1D" w:rsidRPr="00441B5A">
        <w:t>LAWA website.</w:t>
      </w:r>
      <w:r w:rsidRPr="00441B5A">
        <w:t xml:space="preserve"> </w:t>
      </w:r>
    </w:p>
    <w:p w14:paraId="54581939" w14:textId="77777777" w:rsidR="00174F8C" w:rsidRDefault="006B1284" w:rsidP="00441B5A">
      <w:pPr>
        <w:pStyle w:val="Body"/>
      </w:pPr>
      <w:r w:rsidRPr="00441B5A">
        <w:t xml:space="preserve">The website provides a database which includes water quality monitoring conducted by regional councils across New Zealand. </w:t>
      </w:r>
    </w:p>
    <w:p w14:paraId="52CC8768" w14:textId="77777777" w:rsidR="00526670" w:rsidRPr="00441B5A" w:rsidRDefault="00BF03CE" w:rsidP="00A352AD">
      <w:pPr>
        <w:pStyle w:val="Body"/>
      </w:pPr>
      <w:r>
        <w:t>Nitrate</w:t>
      </w:r>
      <w:r w:rsidR="0074726A">
        <w:rPr>
          <w:rStyle w:val="FootnoteReference"/>
        </w:rPr>
        <w:footnoteReference w:id="5"/>
      </w:r>
      <w:r w:rsidRPr="002954B2">
        <w:t xml:space="preserve">, </w:t>
      </w:r>
      <w:r w:rsidR="002954B2" w:rsidRPr="002954B2">
        <w:t xml:space="preserve">ammonia and </w:t>
      </w:r>
      <w:r w:rsidR="002954B2" w:rsidRPr="00612D30">
        <w:rPr>
          <w:i/>
        </w:rPr>
        <w:t>E.coli</w:t>
      </w:r>
      <w:r w:rsidR="002954B2" w:rsidRPr="002954B2">
        <w:t xml:space="preserve"> are the parameters selected for analysis within this project. These are contaminants of concern for wastewater discharges and are also identified within the NPS Freshwater with corresponding numeric water quality and narrative standards (NPS Freshwater excerpts included in Appendix </w:t>
      </w:r>
      <w:r w:rsidR="0068305F">
        <w:t>B</w:t>
      </w:r>
      <w:r w:rsidR="002954B2" w:rsidRPr="002954B2">
        <w:t xml:space="preserve">). </w:t>
      </w:r>
      <w:r w:rsidR="0074726A">
        <w:t>T</w:t>
      </w:r>
      <w:r w:rsidR="002954B2" w:rsidRPr="002954B2">
        <w:t xml:space="preserve">he attributes for </w:t>
      </w:r>
      <w:r>
        <w:t>nitrate</w:t>
      </w:r>
      <w:r w:rsidR="002954B2" w:rsidRPr="002954B2">
        <w:t xml:space="preserve"> and ammonia are</w:t>
      </w:r>
      <w:r w:rsidR="0074726A">
        <w:t xml:space="preserve"> part of the</w:t>
      </w:r>
      <w:r w:rsidR="002954B2" w:rsidRPr="002954B2">
        <w:t xml:space="preserve"> ‘ecosystem health’ (toxicity) </w:t>
      </w:r>
      <w:r w:rsidR="00890E09">
        <w:t xml:space="preserve">value </w:t>
      </w:r>
      <w:r w:rsidR="002954B2" w:rsidRPr="002954B2">
        <w:t xml:space="preserve">and </w:t>
      </w:r>
      <w:r w:rsidR="002954B2" w:rsidRPr="00612D30">
        <w:rPr>
          <w:i/>
        </w:rPr>
        <w:t>E.coli</w:t>
      </w:r>
      <w:r w:rsidR="002954B2" w:rsidRPr="002954B2">
        <w:t xml:space="preserve"> is for ‘human health for contact recreation’</w:t>
      </w:r>
      <w:r w:rsidR="00890E09">
        <w:t xml:space="preserve"> value under the NPS Freshwater</w:t>
      </w:r>
      <w:r w:rsidR="002954B2" w:rsidRPr="002954B2">
        <w:t xml:space="preserve">. </w:t>
      </w:r>
    </w:p>
    <w:p w14:paraId="6A72DD91" w14:textId="77777777" w:rsidR="006B1284" w:rsidRPr="00441B5A" w:rsidRDefault="006B1284" w:rsidP="00441B5A">
      <w:pPr>
        <w:pStyle w:val="Heading3"/>
      </w:pPr>
      <w:bookmarkStart w:id="192" w:name="_Ref516840164"/>
      <w:bookmarkStart w:id="193" w:name="_Ref518560410"/>
      <w:r w:rsidRPr="00441B5A">
        <w:t xml:space="preserve">NPS </w:t>
      </w:r>
      <w:r w:rsidR="00FE15AF">
        <w:t>Freshwater a</w:t>
      </w:r>
      <w:r w:rsidR="000B7E1D" w:rsidRPr="00441B5A">
        <w:t xml:space="preserve">ttribute </w:t>
      </w:r>
      <w:bookmarkEnd w:id="192"/>
      <w:r w:rsidR="00FE15AF">
        <w:t>a</w:t>
      </w:r>
      <w:r w:rsidR="00FE15AF" w:rsidRPr="00441B5A">
        <w:t>nalysis</w:t>
      </w:r>
      <w:bookmarkEnd w:id="193"/>
    </w:p>
    <w:p w14:paraId="53AAF0D8" w14:textId="77777777" w:rsidR="00B01FA5" w:rsidRDefault="00890E09" w:rsidP="00441B5A">
      <w:pPr>
        <w:pStyle w:val="Body"/>
      </w:pPr>
      <w:r>
        <w:t>D</w:t>
      </w:r>
      <w:r w:rsidR="006B1284" w:rsidRPr="00441B5A">
        <w:t xml:space="preserve">ata from LAWA </w:t>
      </w:r>
      <w:r>
        <w:t>were</w:t>
      </w:r>
      <w:r w:rsidRPr="00441B5A">
        <w:t xml:space="preserve"> </w:t>
      </w:r>
      <w:r w:rsidR="000B7E1D" w:rsidRPr="00441B5A">
        <w:t xml:space="preserve">used </w:t>
      </w:r>
      <w:r w:rsidR="006B1284" w:rsidRPr="00441B5A">
        <w:t xml:space="preserve">to provide a background assessment of receiving water quality for rivers </w:t>
      </w:r>
      <w:r w:rsidR="000A4BBA">
        <w:t>that have</w:t>
      </w:r>
      <w:r w:rsidR="000A4BBA" w:rsidRPr="00441B5A">
        <w:t xml:space="preserve"> </w:t>
      </w:r>
      <w:r w:rsidR="006B1284" w:rsidRPr="00441B5A">
        <w:t>WWTP discharges.</w:t>
      </w:r>
      <w:r w:rsidR="005E6C2D">
        <w:t xml:space="preserve"> Up to three LAWA water quality monitoring points were associated to each WWTP by matching through the lowest order common catchments.</w:t>
      </w:r>
      <w:r w:rsidR="006B1284" w:rsidRPr="00441B5A">
        <w:t xml:space="preserve"> </w:t>
      </w:r>
    </w:p>
    <w:p w14:paraId="5FE68142" w14:textId="77777777" w:rsidR="00C71256" w:rsidRDefault="006B1284" w:rsidP="00441B5A">
      <w:pPr>
        <w:pStyle w:val="Body"/>
      </w:pPr>
      <w:r w:rsidRPr="00441B5A">
        <w:t>Where data was unavailable</w:t>
      </w:r>
      <w:r w:rsidR="00C84654">
        <w:t>,</w:t>
      </w:r>
      <w:r w:rsidRPr="00441B5A">
        <w:t xml:space="preserve"> data from a neighbouring similar catchment</w:t>
      </w:r>
      <w:r w:rsidR="000B7E1D" w:rsidRPr="00441B5A">
        <w:t xml:space="preserve"> was applied</w:t>
      </w:r>
      <w:r w:rsidR="005E6C2D">
        <w:t xml:space="preserve"> to best describe the expected state of the receiving environment</w:t>
      </w:r>
      <w:r w:rsidRPr="00441B5A">
        <w:t xml:space="preserve">. </w:t>
      </w:r>
      <w:r w:rsidR="005C43AD">
        <w:t>It is important to note that this analysis is not directly relating the effect of WWTP discharges on compliance of the receiving environment, as other sources of contaminants exist. The purpose of the analysis is to consider how WWTPs are distributed with respect to receiving environment quality on regional and national levels.</w:t>
      </w:r>
    </w:p>
    <w:p w14:paraId="28F9A54F" w14:textId="77777777" w:rsidR="006B1284" w:rsidRPr="00441B5A" w:rsidRDefault="009D4220" w:rsidP="00441B5A">
      <w:pPr>
        <w:pStyle w:val="Body"/>
      </w:pPr>
      <w:r>
        <w:fldChar w:fldCharType="begin"/>
      </w:r>
      <w:r>
        <w:instrText xml:space="preserve"> REF _Ref517683941 \h </w:instrText>
      </w:r>
      <w:r>
        <w:fldChar w:fldCharType="separate"/>
      </w:r>
      <w:r w:rsidR="002777A8">
        <w:t xml:space="preserve">Figure </w:t>
      </w:r>
      <w:r w:rsidR="002777A8">
        <w:rPr>
          <w:noProof/>
        </w:rPr>
        <w:t>5</w:t>
      </w:r>
      <w:r>
        <w:fldChar w:fldCharType="end"/>
      </w:r>
      <w:r>
        <w:t xml:space="preserve"> </w:t>
      </w:r>
      <w:r w:rsidR="008324F9" w:rsidRPr="00441B5A">
        <w:t>shows an example of LAWA and WWTP discharge location matching.</w:t>
      </w:r>
    </w:p>
    <w:p w14:paraId="0C47837F" w14:textId="77777777" w:rsidR="000B7E1D" w:rsidRPr="00441B5A" w:rsidRDefault="000B7E1D" w:rsidP="006B1284">
      <w:pPr>
        <w:pStyle w:val="Body"/>
      </w:pPr>
      <w:r w:rsidRPr="00441B5A">
        <w:t>This</w:t>
      </w:r>
      <w:r w:rsidR="006B1284" w:rsidRPr="00441B5A">
        <w:t xml:space="preserve"> background assessment was then used to inform the relevant attribute state to consider for application of the NPS </w:t>
      </w:r>
      <w:r w:rsidR="00C71256">
        <w:t xml:space="preserve">Freshwater </w:t>
      </w:r>
      <w:r w:rsidR="006B1284" w:rsidRPr="00441B5A">
        <w:t xml:space="preserve">standard. </w:t>
      </w:r>
      <w:r w:rsidR="002954B2" w:rsidRPr="002954B2">
        <w:t xml:space="preserve">The water quality data of the receiving environment has been used with regards to the analysis and results on </w:t>
      </w:r>
      <w:r w:rsidR="002954B2" w:rsidRPr="002954B2">
        <w:rPr>
          <w:i/>
        </w:rPr>
        <w:t>E.coli</w:t>
      </w:r>
      <w:r w:rsidR="002954B2" w:rsidRPr="002954B2">
        <w:t xml:space="preserve">, nitrate and ammonia compliance with NPS Freshwater standards. </w:t>
      </w:r>
    </w:p>
    <w:p w14:paraId="2E8C50AA" w14:textId="77777777" w:rsidR="00C46028" w:rsidRDefault="00C46028" w:rsidP="006B1284">
      <w:pPr>
        <w:pStyle w:val="Body"/>
        <w:sectPr w:rsidR="00C46028" w:rsidSect="00663959">
          <w:pgSz w:w="11907" w:h="16839" w:code="9"/>
          <w:pgMar w:top="1134" w:right="1134" w:bottom="1134" w:left="1701" w:header="181" w:footer="227" w:gutter="0"/>
          <w:cols w:space="340"/>
          <w:docGrid w:linePitch="360"/>
        </w:sectPr>
      </w:pPr>
    </w:p>
    <w:p w14:paraId="57FF6611" w14:textId="77777777" w:rsidR="00C46028" w:rsidRDefault="00C46028" w:rsidP="006B1284">
      <w:pPr>
        <w:pStyle w:val="Body"/>
      </w:pPr>
      <w:r>
        <w:rPr>
          <w:noProof/>
          <w:lang w:val="en-NZ" w:eastAsia="en-NZ"/>
        </w:rPr>
        <w:lastRenderedPageBreak/>
        <w:drawing>
          <wp:inline distT="0" distB="0" distL="0" distR="0" wp14:anchorId="03692003" wp14:editId="72FDB4CE">
            <wp:extent cx="7602220" cy="45726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02220" cy="4572635"/>
                    </a:xfrm>
                    <a:prstGeom prst="rect">
                      <a:avLst/>
                    </a:prstGeom>
                    <a:noFill/>
                  </pic:spPr>
                </pic:pic>
              </a:graphicData>
            </a:graphic>
          </wp:inline>
        </w:drawing>
      </w:r>
    </w:p>
    <w:p w14:paraId="7BFB91FC" w14:textId="77777777" w:rsidR="00C46028" w:rsidRDefault="00C46028" w:rsidP="006B1284">
      <w:pPr>
        <w:pStyle w:val="Body"/>
      </w:pPr>
    </w:p>
    <w:p w14:paraId="7D1C5B64" w14:textId="77777777" w:rsidR="00C46028" w:rsidRDefault="00976290" w:rsidP="00261B3A">
      <w:pPr>
        <w:pStyle w:val="Caption"/>
      </w:pPr>
      <w:bookmarkStart w:id="194" w:name="_Ref517683941"/>
      <w:bookmarkStart w:id="195" w:name="_Toc517707447"/>
      <w:bookmarkStart w:id="196" w:name="_Toc517788302"/>
      <w:bookmarkStart w:id="197" w:name="_Toc517793901"/>
      <w:bookmarkStart w:id="198" w:name="_Toc518653142"/>
      <w:bookmarkStart w:id="199" w:name="_Toc521064810"/>
      <w:r>
        <w:t xml:space="preserve">Figure </w:t>
      </w:r>
      <w:r w:rsidR="007B3D80">
        <w:rPr>
          <w:noProof/>
        </w:rPr>
        <w:fldChar w:fldCharType="begin"/>
      </w:r>
      <w:r w:rsidR="007B3D80">
        <w:rPr>
          <w:noProof/>
        </w:rPr>
        <w:instrText xml:space="preserve"> SEQ Figure \* ARABIC </w:instrText>
      </w:r>
      <w:r w:rsidR="007B3D80">
        <w:rPr>
          <w:noProof/>
        </w:rPr>
        <w:fldChar w:fldCharType="separate"/>
      </w:r>
      <w:r w:rsidR="002777A8">
        <w:rPr>
          <w:noProof/>
        </w:rPr>
        <w:t>5</w:t>
      </w:r>
      <w:r w:rsidR="007B3D80">
        <w:rPr>
          <w:noProof/>
        </w:rPr>
        <w:fldChar w:fldCharType="end"/>
      </w:r>
      <w:bookmarkEnd w:id="194"/>
      <w:r w:rsidR="00C46028">
        <w:t xml:space="preserve"> </w:t>
      </w:r>
      <w:r w:rsidR="00784BA4">
        <w:t xml:space="preserve"> </w:t>
      </w:r>
      <w:r w:rsidR="00C46028">
        <w:t xml:space="preserve">WWTP and LAWA </w:t>
      </w:r>
      <w:r w:rsidR="00B01FA5">
        <w:t xml:space="preserve">site </w:t>
      </w:r>
      <w:bookmarkEnd w:id="195"/>
      <w:r w:rsidR="00B01FA5">
        <w:t>matching</w:t>
      </w:r>
      <w:bookmarkEnd w:id="196"/>
      <w:bookmarkEnd w:id="197"/>
      <w:bookmarkEnd w:id="198"/>
      <w:bookmarkEnd w:id="199"/>
    </w:p>
    <w:p w14:paraId="43EB0C48" w14:textId="77777777" w:rsidR="00C46028" w:rsidRDefault="00C46028" w:rsidP="006B1284">
      <w:pPr>
        <w:pStyle w:val="Body"/>
      </w:pPr>
    </w:p>
    <w:p w14:paraId="2B42F0DD" w14:textId="77777777" w:rsidR="00C46028" w:rsidRDefault="00C46028" w:rsidP="006B1284">
      <w:pPr>
        <w:pStyle w:val="Body"/>
        <w:sectPr w:rsidR="00C46028" w:rsidSect="00A27F3D">
          <w:pgSz w:w="16839" w:h="11907" w:orient="landscape" w:code="9"/>
          <w:pgMar w:top="1701" w:right="1134" w:bottom="1134" w:left="1134" w:header="181" w:footer="227" w:gutter="0"/>
          <w:cols w:space="340"/>
          <w:docGrid w:linePitch="360"/>
        </w:sectPr>
      </w:pPr>
    </w:p>
    <w:p w14:paraId="421F056F" w14:textId="77777777" w:rsidR="00A737E5" w:rsidRDefault="006B5273" w:rsidP="006B5273">
      <w:pPr>
        <w:pStyle w:val="Body"/>
      </w:pPr>
      <w:r w:rsidRPr="00441B5A">
        <w:lastRenderedPageBreak/>
        <w:t xml:space="preserve">The numeric and the narrative state for each of the three selected attributes (nitrate, ammonia and </w:t>
      </w:r>
      <w:r w:rsidR="008F06EE">
        <w:rPr>
          <w:i/>
        </w:rPr>
        <w:t>E.coli</w:t>
      </w:r>
      <w:r w:rsidRPr="00441B5A">
        <w:t xml:space="preserve">) were considered. </w:t>
      </w:r>
    </w:p>
    <w:p w14:paraId="3B20412D" w14:textId="77777777" w:rsidR="006B5273" w:rsidRDefault="006B5273" w:rsidP="006B5273">
      <w:pPr>
        <w:pStyle w:val="Body"/>
      </w:pPr>
      <w:r>
        <w:fldChar w:fldCharType="begin"/>
      </w:r>
      <w:r>
        <w:instrText xml:space="preserve"> REF _Ref516839036 \h </w:instrText>
      </w:r>
      <w:r>
        <w:fldChar w:fldCharType="separate"/>
      </w:r>
      <w:r w:rsidR="002777A8">
        <w:t xml:space="preserve">Figure </w:t>
      </w:r>
      <w:r w:rsidR="002777A8">
        <w:rPr>
          <w:bCs/>
          <w:noProof/>
        </w:rPr>
        <w:t>6</w:t>
      </w:r>
      <w:r>
        <w:fldChar w:fldCharType="end"/>
      </w:r>
      <w:r>
        <w:t xml:space="preserve"> shows the distribution of receiving water quality as assessed to the NPS Freshwater standards for all sites matched to a WWTP.</w:t>
      </w:r>
    </w:p>
    <w:p w14:paraId="5F712A9F" w14:textId="77777777" w:rsidR="00C46028" w:rsidRDefault="00C46028" w:rsidP="006B1284">
      <w:pPr>
        <w:pStyle w:val="Body"/>
      </w:pPr>
    </w:p>
    <w:p w14:paraId="137CF659" w14:textId="77777777" w:rsidR="00FE3B1C" w:rsidRDefault="00F07C07" w:rsidP="00FE3B1C">
      <w:pPr>
        <w:pStyle w:val="Body"/>
        <w:keepNext/>
        <w:jc w:val="center"/>
      </w:pPr>
      <w:r w:rsidRPr="00F07C07">
        <w:rPr>
          <w:noProof/>
          <w:lang w:val="en-NZ" w:eastAsia="en-NZ"/>
        </w:rPr>
        <w:drawing>
          <wp:inline distT="0" distB="0" distL="0" distR="0" wp14:anchorId="0A0E3900" wp14:editId="5EAD79B5">
            <wp:extent cx="5409524" cy="2895238"/>
            <wp:effectExtent l="0" t="0" r="127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9524" cy="2895238"/>
                    </a:xfrm>
                    <a:prstGeom prst="rect">
                      <a:avLst/>
                    </a:prstGeom>
                  </pic:spPr>
                </pic:pic>
              </a:graphicData>
            </a:graphic>
          </wp:inline>
        </w:drawing>
      </w:r>
      <w:r w:rsidRPr="00F07C07">
        <w:t xml:space="preserve"> </w:t>
      </w:r>
    </w:p>
    <w:p w14:paraId="3C036CFA" w14:textId="77777777" w:rsidR="00064629" w:rsidRPr="002C75CD" w:rsidRDefault="00064629" w:rsidP="00A27F3D">
      <w:pPr>
        <w:pStyle w:val="Body"/>
        <w:keepNext/>
        <w:rPr>
          <w:i/>
          <w:sz w:val="16"/>
          <w:szCs w:val="16"/>
        </w:rPr>
      </w:pPr>
      <w:r w:rsidRPr="00A27F3D">
        <w:rPr>
          <w:i/>
          <w:sz w:val="16"/>
          <w:szCs w:val="16"/>
        </w:rPr>
        <w:t>Note</w:t>
      </w:r>
      <w:r>
        <w:rPr>
          <w:i/>
          <w:sz w:val="16"/>
          <w:szCs w:val="16"/>
        </w:rPr>
        <w:t xml:space="preserve"> </w:t>
      </w:r>
      <w:r w:rsidRPr="00A27F3D">
        <w:rPr>
          <w:i/>
          <w:sz w:val="16"/>
          <w:szCs w:val="16"/>
        </w:rPr>
        <w:t>- Pie charts developed on a per WWTP basis and some receiving waters may be doub</w:t>
      </w:r>
      <w:r w:rsidRPr="002C75CD">
        <w:rPr>
          <w:i/>
          <w:sz w:val="16"/>
          <w:szCs w:val="16"/>
        </w:rPr>
        <w:t>le counted where multiple WWTP’s discharge to it.</w:t>
      </w:r>
      <w:r w:rsidR="009133F6">
        <w:rPr>
          <w:i/>
          <w:sz w:val="16"/>
          <w:szCs w:val="16"/>
        </w:rPr>
        <w:t xml:space="preserve"> </w:t>
      </w:r>
    </w:p>
    <w:p w14:paraId="6A7898F2" w14:textId="77777777" w:rsidR="007D591E" w:rsidRDefault="00FE3B1C" w:rsidP="002C75CD">
      <w:pPr>
        <w:pStyle w:val="Caption"/>
      </w:pPr>
      <w:bookmarkStart w:id="200" w:name="_Ref516839036"/>
      <w:bookmarkStart w:id="201" w:name="_Toc516840496"/>
      <w:bookmarkStart w:id="202" w:name="_Toc517707448"/>
      <w:bookmarkStart w:id="203" w:name="_Toc517788303"/>
      <w:bookmarkStart w:id="204" w:name="_Toc517793902"/>
      <w:bookmarkStart w:id="205" w:name="_Toc518653143"/>
      <w:bookmarkStart w:id="206" w:name="_Toc521064811"/>
      <w:r>
        <w:t xml:space="preserve">Figure </w:t>
      </w:r>
      <w:r w:rsidR="00D71C09">
        <w:rPr>
          <w:bCs w:val="0"/>
        </w:rPr>
        <w:fldChar w:fldCharType="begin"/>
      </w:r>
      <w:r w:rsidR="00D71C09">
        <w:rPr>
          <w:bCs w:val="0"/>
        </w:rPr>
        <w:instrText xml:space="preserve"> SEQ Figure \* ARABIC </w:instrText>
      </w:r>
      <w:r w:rsidR="00D71C09">
        <w:rPr>
          <w:bCs w:val="0"/>
        </w:rPr>
        <w:fldChar w:fldCharType="separate"/>
      </w:r>
      <w:r w:rsidR="002777A8">
        <w:rPr>
          <w:bCs w:val="0"/>
          <w:noProof/>
        </w:rPr>
        <w:t>6</w:t>
      </w:r>
      <w:r w:rsidR="00D71C09">
        <w:fldChar w:fldCharType="end"/>
      </w:r>
      <w:bookmarkEnd w:id="200"/>
      <w:r>
        <w:t xml:space="preserve"> </w:t>
      </w:r>
      <w:r w:rsidR="00784BA4">
        <w:t xml:space="preserve"> </w:t>
      </w:r>
      <w:r>
        <w:t xml:space="preserve">Receiving </w:t>
      </w:r>
      <w:r w:rsidR="00B01FA5">
        <w:t xml:space="preserve">water quality </w:t>
      </w:r>
      <w:r>
        <w:t>as NPS</w:t>
      </w:r>
      <w:r w:rsidR="00C84654">
        <w:t xml:space="preserve"> </w:t>
      </w:r>
      <w:r w:rsidR="00B01FA5">
        <w:t xml:space="preserve">freshwater attribute </w:t>
      </w:r>
      <w:bookmarkEnd w:id="201"/>
      <w:r w:rsidR="00B01FA5">
        <w:t>states</w:t>
      </w:r>
      <w:bookmarkEnd w:id="202"/>
      <w:bookmarkEnd w:id="203"/>
      <w:bookmarkEnd w:id="204"/>
      <w:bookmarkEnd w:id="205"/>
      <w:bookmarkEnd w:id="206"/>
    </w:p>
    <w:p w14:paraId="2F906BDC" w14:textId="77777777" w:rsidR="00581922" w:rsidRPr="00581922" w:rsidRDefault="00581922" w:rsidP="00581922">
      <w:pPr>
        <w:pStyle w:val="Body"/>
      </w:pPr>
    </w:p>
    <w:p w14:paraId="528698A2" w14:textId="77777777" w:rsidR="00B07BA3" w:rsidRDefault="003F28F0" w:rsidP="001C135B">
      <w:pPr>
        <w:pStyle w:val="Body"/>
      </w:pPr>
      <w:r>
        <w:fldChar w:fldCharType="begin"/>
      </w:r>
      <w:r>
        <w:instrText xml:space="preserve"> REF _Ref516839036 \h </w:instrText>
      </w:r>
      <w:r>
        <w:fldChar w:fldCharType="separate"/>
      </w:r>
      <w:r w:rsidR="002777A8">
        <w:t xml:space="preserve">Figure </w:t>
      </w:r>
      <w:r w:rsidR="002777A8">
        <w:rPr>
          <w:bCs/>
          <w:noProof/>
        </w:rPr>
        <w:t>6</w:t>
      </w:r>
      <w:r>
        <w:fldChar w:fldCharType="end"/>
      </w:r>
      <w:r>
        <w:t xml:space="preserve"> </w:t>
      </w:r>
      <w:r w:rsidR="00B07BA3" w:rsidRPr="00B07BA3">
        <w:t xml:space="preserve">shows that </w:t>
      </w:r>
      <w:r w:rsidR="00890E09">
        <w:t>more</w:t>
      </w:r>
      <w:r w:rsidR="00890E09" w:rsidRPr="00B07BA3">
        <w:t xml:space="preserve"> than 50% of </w:t>
      </w:r>
      <w:r w:rsidR="00890E09">
        <w:t>receiving environments</w:t>
      </w:r>
      <w:r w:rsidR="00890E09" w:rsidRPr="00B07BA3">
        <w:t xml:space="preserve"> </w:t>
      </w:r>
      <w:r w:rsidR="00890E09">
        <w:t>have</w:t>
      </w:r>
      <w:r w:rsidR="00890E09" w:rsidRPr="00B07BA3">
        <w:t xml:space="preserve"> </w:t>
      </w:r>
      <w:r w:rsidR="00890E09">
        <w:t xml:space="preserve">levels of </w:t>
      </w:r>
      <w:r w:rsidR="00890E09" w:rsidRPr="00E66F34">
        <w:rPr>
          <w:i/>
        </w:rPr>
        <w:t xml:space="preserve">E.coli </w:t>
      </w:r>
      <w:r w:rsidR="00890E09">
        <w:t>that do not meet</w:t>
      </w:r>
      <w:r w:rsidR="00890E09" w:rsidRPr="00B07BA3">
        <w:t xml:space="preserve"> Attribute C targets. The majority of receiving environments exceed Attribute A and B standards for nitrates.  </w:t>
      </w:r>
      <w:r w:rsidR="00890E09">
        <w:t>T</w:t>
      </w:r>
      <w:r w:rsidR="00B07BA3" w:rsidRPr="00B07BA3">
        <w:t>here are significant gaps in the data available for ammonia</w:t>
      </w:r>
      <w:r w:rsidR="00890E09">
        <w:t xml:space="preserve">.  Where </w:t>
      </w:r>
      <w:r w:rsidR="00B07BA3" w:rsidRPr="00B07BA3">
        <w:t>data is available</w:t>
      </w:r>
      <w:r w:rsidR="00890E09">
        <w:t>,</w:t>
      </w:r>
      <w:r w:rsidR="00B07BA3" w:rsidRPr="00B07BA3">
        <w:t xml:space="preserve"> most receiving environments met either ‘A’ or ‘B’ attributes. </w:t>
      </w:r>
    </w:p>
    <w:p w14:paraId="109A6428" w14:textId="77777777" w:rsidR="00735E87" w:rsidRDefault="00352212">
      <w:pPr>
        <w:pStyle w:val="Body"/>
      </w:pPr>
      <w:r>
        <w:t>Regional C</w:t>
      </w:r>
      <w:r w:rsidRPr="00F501CB">
        <w:t xml:space="preserve">ouncils </w:t>
      </w:r>
      <w:r>
        <w:t>across the country are</w:t>
      </w:r>
      <w:r w:rsidRPr="00F501CB">
        <w:t xml:space="preserve"> in varying stages of implementing the NPS Freshwater.</w:t>
      </w:r>
      <w:r>
        <w:t xml:space="preserve"> </w:t>
      </w:r>
      <w:r w:rsidRPr="00CB2E9A">
        <w:t xml:space="preserve">To provide a consistent </w:t>
      </w:r>
      <w:r>
        <w:t xml:space="preserve">approach </w:t>
      </w:r>
      <w:r w:rsidRPr="00CB2E9A">
        <w:t xml:space="preserve">and </w:t>
      </w:r>
      <w:r>
        <w:t xml:space="preserve">an </w:t>
      </w:r>
      <w:r w:rsidRPr="00CB2E9A">
        <w:t xml:space="preserve">aspirational </w:t>
      </w:r>
      <w:r>
        <w:t>target,</w:t>
      </w:r>
      <w:r w:rsidRPr="00CB2E9A">
        <w:t xml:space="preserve"> </w:t>
      </w:r>
      <w:r>
        <w:t>the</w:t>
      </w:r>
      <w:r w:rsidRPr="00CB2E9A" w:rsidDel="00CB2E9A">
        <w:t xml:space="preserve"> </w:t>
      </w:r>
      <w:r>
        <w:t xml:space="preserve">study assumes that </w:t>
      </w:r>
      <w:r w:rsidRPr="0016267C">
        <w:t>NPS Freshwater B Attribute</w:t>
      </w:r>
      <w:r>
        <w:t xml:space="preserve"> states</w:t>
      </w:r>
      <w:r w:rsidRPr="0016267C">
        <w:t xml:space="preserve"> </w:t>
      </w:r>
      <w:r w:rsidRPr="00CB2E9A">
        <w:t xml:space="preserve">for </w:t>
      </w:r>
      <w:r w:rsidRPr="00A93FED">
        <w:rPr>
          <w:i/>
        </w:rPr>
        <w:t>E</w:t>
      </w:r>
      <w:r w:rsidR="00B07BA3" w:rsidRPr="00A93FED">
        <w:rPr>
          <w:i/>
        </w:rPr>
        <w:t>.</w:t>
      </w:r>
      <w:r w:rsidR="00B07BA3" w:rsidRPr="00E66F34">
        <w:rPr>
          <w:i/>
        </w:rPr>
        <w:t>coli</w:t>
      </w:r>
      <w:r w:rsidRPr="00E66F34">
        <w:rPr>
          <w:i/>
        </w:rPr>
        <w:t>,</w:t>
      </w:r>
      <w:r w:rsidRPr="00CB2E9A">
        <w:t xml:space="preserve"> </w:t>
      </w:r>
      <w:r>
        <w:t>t</w:t>
      </w:r>
      <w:r w:rsidRPr="00CB2E9A">
        <w:t xml:space="preserve">otal </w:t>
      </w:r>
      <w:r>
        <w:t>n</w:t>
      </w:r>
      <w:r w:rsidRPr="00CB2E9A">
        <w:t xml:space="preserve">itrates and </w:t>
      </w:r>
      <w:r>
        <w:t>a</w:t>
      </w:r>
      <w:r w:rsidRPr="00CB2E9A">
        <w:t xml:space="preserve">mmonia </w:t>
      </w:r>
      <w:r>
        <w:t>are the target to be met in receiving waters.</w:t>
      </w:r>
      <w:r w:rsidRPr="00CB2E9A">
        <w:t xml:space="preserve"> </w:t>
      </w:r>
    </w:p>
    <w:p w14:paraId="0E011C30" w14:textId="77777777" w:rsidR="00064629" w:rsidRDefault="00352212">
      <w:pPr>
        <w:pStyle w:val="Body"/>
      </w:pPr>
      <w:r w:rsidRPr="00A93FED">
        <w:t>This is consistent with the NPS Freshwater requirement that regional councils are expected to improve water quality over time</w:t>
      </w:r>
      <w:r w:rsidR="00921A17" w:rsidRPr="00A93FED">
        <w:t xml:space="preserve"> in relation to human health</w:t>
      </w:r>
      <w:r w:rsidRPr="00A93FED">
        <w:t xml:space="preserve">.  It is also </w:t>
      </w:r>
      <w:r w:rsidR="00890E09">
        <w:t xml:space="preserve">more broadly </w:t>
      </w:r>
      <w:r w:rsidRPr="00A93FED">
        <w:t xml:space="preserve">consistent with community expectations for high </w:t>
      </w:r>
      <w:r w:rsidR="00890E09">
        <w:t>treatment and water</w:t>
      </w:r>
      <w:r w:rsidR="00890E09" w:rsidRPr="00A93FED">
        <w:t xml:space="preserve"> </w:t>
      </w:r>
      <w:r w:rsidR="0080604E" w:rsidRPr="00A93FED">
        <w:t xml:space="preserve">quality </w:t>
      </w:r>
      <w:r w:rsidRPr="00A93FED">
        <w:t>requirements to be</w:t>
      </w:r>
      <w:r w:rsidR="000A4BBA" w:rsidRPr="007433D4">
        <w:t xml:space="preserve"> </w:t>
      </w:r>
      <w:r w:rsidRPr="00A93FED">
        <w:t>applied to discharges of sewage effluent.</w:t>
      </w:r>
    </w:p>
    <w:p w14:paraId="5BA3261E" w14:textId="77777777" w:rsidR="00230B1D" w:rsidRDefault="00FC11D7" w:rsidP="00230B1D">
      <w:pPr>
        <w:pStyle w:val="Heading1"/>
        <w:rPr>
          <w:lang w:eastAsia="en-AU"/>
        </w:rPr>
      </w:pPr>
      <w:bookmarkStart w:id="207" w:name="_Ref521062331"/>
      <w:bookmarkStart w:id="208" w:name="_Toc527638643"/>
      <w:r>
        <w:rPr>
          <w:lang w:eastAsia="en-AU"/>
        </w:rPr>
        <w:lastRenderedPageBreak/>
        <w:t xml:space="preserve">Sensitivity analysis of the impact of </w:t>
      </w:r>
      <w:r w:rsidR="0044235E">
        <w:rPr>
          <w:lang w:eastAsia="en-AU"/>
        </w:rPr>
        <w:t>w</w:t>
      </w:r>
      <w:r w:rsidR="00D41EFE">
        <w:rPr>
          <w:lang w:eastAsia="en-AU"/>
        </w:rPr>
        <w:t>astewater</w:t>
      </w:r>
      <w:r>
        <w:rPr>
          <w:lang w:eastAsia="en-AU"/>
        </w:rPr>
        <w:t xml:space="preserve"> discharges on receiving water quality</w:t>
      </w:r>
      <w:bookmarkEnd w:id="207"/>
      <w:bookmarkEnd w:id="208"/>
    </w:p>
    <w:p w14:paraId="1CFA2E15" w14:textId="77777777" w:rsidR="00FC11D7" w:rsidRDefault="00D41EFE" w:rsidP="00FC11D7">
      <w:pPr>
        <w:pStyle w:val="Heading2"/>
        <w:rPr>
          <w:lang w:eastAsia="en-AU"/>
        </w:rPr>
      </w:pPr>
      <w:bookmarkStart w:id="209" w:name="_Toc527638644"/>
      <w:r>
        <w:rPr>
          <w:lang w:eastAsia="en-AU"/>
        </w:rPr>
        <w:t>Impact of WWTP discharges on the receiving environment</w:t>
      </w:r>
      <w:bookmarkEnd w:id="209"/>
    </w:p>
    <w:p w14:paraId="44C6A5A8" w14:textId="77777777" w:rsidR="0044235E" w:rsidRDefault="006B1284" w:rsidP="00441B5A">
      <w:pPr>
        <w:pStyle w:val="Body"/>
        <w:rPr>
          <w:lang w:eastAsia="en-AU"/>
        </w:rPr>
      </w:pPr>
      <w:r>
        <w:rPr>
          <w:lang w:eastAsia="en-AU"/>
        </w:rPr>
        <w:t>The size and character of the respective catchments and their river flows, the nature of the catchment land</w:t>
      </w:r>
      <w:r w:rsidR="00890E09">
        <w:rPr>
          <w:lang w:eastAsia="en-AU"/>
        </w:rPr>
        <w:t xml:space="preserve"> </w:t>
      </w:r>
      <w:r>
        <w:rPr>
          <w:lang w:eastAsia="en-AU"/>
        </w:rPr>
        <w:t>use and associated non-point source runoff, and other point-source industrial and municipal discharges all contribute to the quality of</w:t>
      </w:r>
      <w:r w:rsidR="00CE7B2E">
        <w:rPr>
          <w:lang w:eastAsia="en-AU"/>
        </w:rPr>
        <w:t xml:space="preserve"> the</w:t>
      </w:r>
      <w:r>
        <w:rPr>
          <w:lang w:eastAsia="en-AU"/>
        </w:rPr>
        <w:t xml:space="preserve"> receiving</w:t>
      </w:r>
      <w:r w:rsidR="00CE7B2E">
        <w:rPr>
          <w:lang w:eastAsia="en-AU"/>
        </w:rPr>
        <w:t xml:space="preserve"> environments</w:t>
      </w:r>
      <w:r>
        <w:rPr>
          <w:lang w:eastAsia="en-AU"/>
        </w:rPr>
        <w:t xml:space="preserve">. </w:t>
      </w:r>
    </w:p>
    <w:p w14:paraId="13CE098E" w14:textId="77777777" w:rsidR="000B7E1D" w:rsidRDefault="00CE7B2E" w:rsidP="00441B5A">
      <w:pPr>
        <w:pStyle w:val="Body"/>
        <w:rPr>
          <w:lang w:eastAsia="en-AU"/>
        </w:rPr>
      </w:pPr>
      <w:r>
        <w:rPr>
          <w:lang w:eastAsia="en-AU"/>
        </w:rPr>
        <w:t xml:space="preserve">For the purpose of this </w:t>
      </w:r>
      <w:r w:rsidR="00FA2DE7">
        <w:rPr>
          <w:lang w:eastAsia="en-AU"/>
        </w:rPr>
        <w:t>analysis,</w:t>
      </w:r>
      <w:r>
        <w:rPr>
          <w:lang w:eastAsia="en-AU"/>
        </w:rPr>
        <w:t xml:space="preserve"> the receiving environment is all of the freshwater bodies aff</w:t>
      </w:r>
      <w:r w:rsidR="00EA40A2">
        <w:rPr>
          <w:lang w:eastAsia="en-AU"/>
        </w:rPr>
        <w:t>ected by a contaminant source or</w:t>
      </w:r>
      <w:r>
        <w:rPr>
          <w:lang w:eastAsia="en-AU"/>
        </w:rPr>
        <w:t xml:space="preserve"> discharge</w:t>
      </w:r>
      <w:r w:rsidR="00EA40A2">
        <w:rPr>
          <w:lang w:eastAsia="en-AU"/>
        </w:rPr>
        <w:t xml:space="preserve"> and the focus is on the quality of the surface waterways.</w:t>
      </w:r>
    </w:p>
    <w:p w14:paraId="62515929" w14:textId="77777777" w:rsidR="006B1284" w:rsidRDefault="006B1284" w:rsidP="00441B5A">
      <w:pPr>
        <w:pStyle w:val="Body"/>
        <w:rPr>
          <w:lang w:eastAsia="en-AU"/>
        </w:rPr>
      </w:pPr>
      <w:r>
        <w:rPr>
          <w:lang w:eastAsia="en-AU"/>
        </w:rPr>
        <w:t xml:space="preserve">In some circumstances, improvements to WWTP discharges may have negligible or little influence on improving the receiving environments to a NPS </w:t>
      </w:r>
      <w:r w:rsidR="000B7E1D">
        <w:rPr>
          <w:lang w:eastAsia="en-AU"/>
        </w:rPr>
        <w:t xml:space="preserve">Freshwater </w:t>
      </w:r>
      <w:r>
        <w:rPr>
          <w:lang w:eastAsia="en-AU"/>
        </w:rPr>
        <w:t>standard, and may be outweighed by other contributors</w:t>
      </w:r>
      <w:r w:rsidR="0044235E">
        <w:rPr>
          <w:lang w:eastAsia="en-AU"/>
        </w:rPr>
        <w:t xml:space="preserve"> in the catchment</w:t>
      </w:r>
      <w:r>
        <w:rPr>
          <w:lang w:eastAsia="en-AU"/>
        </w:rPr>
        <w:t xml:space="preserve">.  Thus, despite best endeavours, WWTP improvements </w:t>
      </w:r>
      <w:r w:rsidR="009A7C2D">
        <w:rPr>
          <w:lang w:eastAsia="en-AU"/>
        </w:rPr>
        <w:t>without reducing contaminant load from land</w:t>
      </w:r>
      <w:r w:rsidR="00FC11D7">
        <w:rPr>
          <w:lang w:eastAsia="en-AU"/>
        </w:rPr>
        <w:t xml:space="preserve"> </w:t>
      </w:r>
      <w:r w:rsidR="009A7C2D">
        <w:rPr>
          <w:lang w:eastAsia="en-AU"/>
        </w:rPr>
        <w:t xml:space="preserve">use within a catchment </w:t>
      </w:r>
      <w:r>
        <w:rPr>
          <w:lang w:eastAsia="en-AU"/>
        </w:rPr>
        <w:t>may not achieve the desired outcome in the receiving environment</w:t>
      </w:r>
      <w:r w:rsidR="009A7C2D">
        <w:rPr>
          <w:lang w:eastAsia="en-AU"/>
        </w:rPr>
        <w:t xml:space="preserve">. </w:t>
      </w:r>
    </w:p>
    <w:p w14:paraId="65D66C28" w14:textId="77777777" w:rsidR="00FC11D7" w:rsidRDefault="00FC11D7" w:rsidP="00FC11D7">
      <w:pPr>
        <w:pStyle w:val="Heading3"/>
        <w:rPr>
          <w:lang w:eastAsia="en-AU"/>
        </w:rPr>
      </w:pPr>
      <w:r>
        <w:rPr>
          <w:lang w:eastAsia="en-AU"/>
        </w:rPr>
        <w:t>Approach</w:t>
      </w:r>
    </w:p>
    <w:p w14:paraId="6E003ACE" w14:textId="77777777" w:rsidR="0044235E" w:rsidRDefault="00C71256" w:rsidP="009A7C2D">
      <w:pPr>
        <w:pStyle w:val="Body"/>
        <w:rPr>
          <w:lang w:eastAsia="en-AU"/>
        </w:rPr>
      </w:pPr>
      <w:r>
        <w:rPr>
          <w:lang w:eastAsia="en-AU"/>
        </w:rPr>
        <w:t>A</w:t>
      </w:r>
      <w:r w:rsidR="006B1284">
        <w:rPr>
          <w:lang w:eastAsia="en-AU"/>
        </w:rPr>
        <w:t xml:space="preserve"> high</w:t>
      </w:r>
      <w:r w:rsidR="009A7C2D">
        <w:rPr>
          <w:lang w:eastAsia="en-AU"/>
        </w:rPr>
        <w:t xml:space="preserve"> </w:t>
      </w:r>
      <w:r w:rsidR="006B1284">
        <w:rPr>
          <w:lang w:eastAsia="en-AU"/>
        </w:rPr>
        <w:t>level sensitivity analysis</w:t>
      </w:r>
      <w:r>
        <w:rPr>
          <w:lang w:eastAsia="en-AU"/>
        </w:rPr>
        <w:t xml:space="preserve"> was completed</w:t>
      </w:r>
      <w:r w:rsidR="006B1284">
        <w:rPr>
          <w:lang w:eastAsia="en-AU"/>
        </w:rPr>
        <w:t xml:space="preserve"> in order to provide an indication of </w:t>
      </w:r>
      <w:r w:rsidR="009A7C2D">
        <w:rPr>
          <w:lang w:eastAsia="en-AU"/>
        </w:rPr>
        <w:t>WWTP contribution to</w:t>
      </w:r>
      <w:r w:rsidR="006B1284">
        <w:rPr>
          <w:lang w:eastAsia="en-AU"/>
        </w:rPr>
        <w:t xml:space="preserve"> achieving desired NPS </w:t>
      </w:r>
      <w:r>
        <w:rPr>
          <w:lang w:eastAsia="en-AU"/>
        </w:rPr>
        <w:t xml:space="preserve">Freshwater </w:t>
      </w:r>
      <w:r w:rsidR="006B1284">
        <w:rPr>
          <w:lang w:eastAsia="en-AU"/>
        </w:rPr>
        <w:t xml:space="preserve">outcomes in receiving environments. </w:t>
      </w:r>
    </w:p>
    <w:p w14:paraId="19DCEFD8" w14:textId="77777777" w:rsidR="00092C8C" w:rsidRDefault="00092C8C" w:rsidP="009A7C2D">
      <w:pPr>
        <w:pStyle w:val="Body"/>
        <w:rPr>
          <w:lang w:eastAsia="en-AU"/>
        </w:rPr>
      </w:pPr>
      <w:r w:rsidRPr="00092C8C">
        <w:rPr>
          <w:lang w:eastAsia="en-AU"/>
        </w:rPr>
        <w:t>The impacts of a WWTP discharge on the receiving environment is variable, and dependent on the existing state of the receiving environment and the quality of the wastewater being discharged. The environmental analysis aimed to identify the relative benefit of upgrades to WWTPs on the respective freshwater receiving environments.</w:t>
      </w:r>
    </w:p>
    <w:p w14:paraId="4BE9E073" w14:textId="77777777" w:rsidR="006B1284" w:rsidRDefault="000B7E1D" w:rsidP="009A7C2D">
      <w:pPr>
        <w:pStyle w:val="Body"/>
        <w:rPr>
          <w:lang w:eastAsia="en-AU"/>
        </w:rPr>
      </w:pPr>
      <w:r>
        <w:rPr>
          <w:lang w:eastAsia="en-AU"/>
        </w:rPr>
        <w:t>T</w:t>
      </w:r>
      <w:r w:rsidR="006B1284">
        <w:rPr>
          <w:lang w:eastAsia="en-AU"/>
        </w:rPr>
        <w:t xml:space="preserve">wo key metrics </w:t>
      </w:r>
      <w:r>
        <w:rPr>
          <w:lang w:eastAsia="en-AU"/>
        </w:rPr>
        <w:t>were selected</w:t>
      </w:r>
      <w:r w:rsidR="006B1284">
        <w:rPr>
          <w:lang w:eastAsia="en-AU"/>
        </w:rPr>
        <w:t xml:space="preserve"> for this purpose:</w:t>
      </w:r>
    </w:p>
    <w:p w14:paraId="66547158" w14:textId="77777777" w:rsidR="006B1284" w:rsidRDefault="006B1284" w:rsidP="00441B5A">
      <w:pPr>
        <w:pStyle w:val="Body"/>
        <w:numPr>
          <w:ilvl w:val="0"/>
          <w:numId w:val="66"/>
        </w:numPr>
        <w:rPr>
          <w:lang w:eastAsia="en-AU"/>
        </w:rPr>
      </w:pPr>
      <w:r>
        <w:rPr>
          <w:lang w:eastAsia="en-AU"/>
        </w:rPr>
        <w:t>Land</w:t>
      </w:r>
      <w:r w:rsidR="006B5273">
        <w:rPr>
          <w:lang w:eastAsia="en-AU"/>
        </w:rPr>
        <w:t xml:space="preserve"> </w:t>
      </w:r>
      <w:r>
        <w:rPr>
          <w:lang w:eastAsia="en-AU"/>
        </w:rPr>
        <w:t>cover</w:t>
      </w:r>
      <w:r w:rsidR="002A3D16">
        <w:rPr>
          <w:lang w:eastAsia="en-AU"/>
        </w:rPr>
        <w:t>; and</w:t>
      </w:r>
    </w:p>
    <w:p w14:paraId="508D2771" w14:textId="77777777" w:rsidR="006B1284" w:rsidRDefault="006B1284" w:rsidP="00441B5A">
      <w:pPr>
        <w:pStyle w:val="Body"/>
        <w:numPr>
          <w:ilvl w:val="0"/>
          <w:numId w:val="66"/>
        </w:numPr>
        <w:rPr>
          <w:lang w:eastAsia="en-AU"/>
        </w:rPr>
      </w:pPr>
      <w:r>
        <w:rPr>
          <w:lang w:eastAsia="en-AU"/>
        </w:rPr>
        <w:t>Water quantity</w:t>
      </w:r>
      <w:r w:rsidR="002D3AAE">
        <w:rPr>
          <w:lang w:eastAsia="en-AU"/>
        </w:rPr>
        <w:t xml:space="preserve"> / relative flow contribution</w:t>
      </w:r>
      <w:r>
        <w:rPr>
          <w:lang w:eastAsia="en-AU"/>
        </w:rPr>
        <w:t>.</w:t>
      </w:r>
    </w:p>
    <w:p w14:paraId="522EF829" w14:textId="77777777" w:rsidR="00C46028" w:rsidRDefault="006B1284" w:rsidP="00441B5A">
      <w:pPr>
        <w:pStyle w:val="Body"/>
        <w:rPr>
          <w:lang w:eastAsia="en-AU"/>
        </w:rPr>
      </w:pPr>
      <w:r>
        <w:rPr>
          <w:lang w:eastAsia="en-AU"/>
        </w:rPr>
        <w:t xml:space="preserve">These metrics are described </w:t>
      </w:r>
      <w:r w:rsidR="00092C8C">
        <w:rPr>
          <w:lang w:eastAsia="en-AU"/>
        </w:rPr>
        <w:t>following</w:t>
      </w:r>
      <w:r>
        <w:rPr>
          <w:lang w:eastAsia="en-AU"/>
        </w:rPr>
        <w:t xml:space="preserve">, along with a benefit risk assessment.  </w:t>
      </w:r>
    </w:p>
    <w:p w14:paraId="6EF31C20" w14:textId="77777777" w:rsidR="008324F9" w:rsidRDefault="006B23A5" w:rsidP="00620026">
      <w:pPr>
        <w:pStyle w:val="Body"/>
        <w:rPr>
          <w:lang w:eastAsia="en-AU"/>
        </w:rPr>
      </w:pPr>
      <w:r>
        <w:rPr>
          <w:lang w:eastAsia="en-AU"/>
        </w:rPr>
        <w:t xml:space="preserve">It is stressed </w:t>
      </w:r>
      <w:r w:rsidR="006B1284">
        <w:rPr>
          <w:lang w:eastAsia="en-AU"/>
        </w:rPr>
        <w:t>that this analysis is at a very coarse and high level in order to provide some level of environmental sensitivity to cost estimates for WWTP upgrades.</w:t>
      </w:r>
      <w:r w:rsidR="0080604E" w:rsidRPr="0080604E">
        <w:rPr>
          <w:lang w:eastAsia="en-AU"/>
        </w:rPr>
        <w:t xml:space="preserve"> It must also be noted that this analysis only considers land cover and water quantity and not other factors </w:t>
      </w:r>
      <w:r w:rsidR="009A7C2D">
        <w:rPr>
          <w:lang w:eastAsia="en-AU"/>
        </w:rPr>
        <w:t xml:space="preserve">relevant to treated wastewater discharges including </w:t>
      </w:r>
      <w:r w:rsidR="0080604E" w:rsidRPr="0080604E">
        <w:rPr>
          <w:lang w:eastAsia="en-AU"/>
        </w:rPr>
        <w:t xml:space="preserve">cultural and/or social </w:t>
      </w:r>
      <w:r w:rsidR="009A7C2D">
        <w:rPr>
          <w:lang w:eastAsia="en-AU"/>
        </w:rPr>
        <w:t>sensitivities</w:t>
      </w:r>
      <w:r w:rsidR="0080604E" w:rsidRPr="0080604E">
        <w:rPr>
          <w:lang w:eastAsia="en-AU"/>
        </w:rPr>
        <w:t>.</w:t>
      </w:r>
    </w:p>
    <w:p w14:paraId="7F8AF2A7" w14:textId="77777777" w:rsidR="007A7882" w:rsidRDefault="00620026" w:rsidP="00A27F3D">
      <w:pPr>
        <w:pStyle w:val="Heading3"/>
        <w:rPr>
          <w:lang w:eastAsia="en-AU"/>
        </w:rPr>
      </w:pPr>
      <w:r>
        <w:rPr>
          <w:lang w:eastAsia="en-AU"/>
        </w:rPr>
        <w:t xml:space="preserve">Land </w:t>
      </w:r>
      <w:r w:rsidR="00FE15AF">
        <w:rPr>
          <w:lang w:eastAsia="en-AU"/>
        </w:rPr>
        <w:t>cover</w:t>
      </w:r>
    </w:p>
    <w:p w14:paraId="108BFA9D" w14:textId="77777777" w:rsidR="008324F9" w:rsidRDefault="005A1451" w:rsidP="00441B5A">
      <w:pPr>
        <w:pStyle w:val="Body"/>
        <w:rPr>
          <w:lang w:eastAsia="en-AU"/>
        </w:rPr>
      </w:pPr>
      <w:r>
        <w:rPr>
          <w:lang w:eastAsia="en-AU"/>
        </w:rPr>
        <w:t xml:space="preserve">The </w:t>
      </w:r>
      <w:r w:rsidR="00A737E5">
        <w:rPr>
          <w:lang w:eastAsia="en-AU"/>
        </w:rPr>
        <w:t>Land Cover</w:t>
      </w:r>
      <w:r w:rsidR="00620026">
        <w:rPr>
          <w:lang w:eastAsia="en-AU"/>
        </w:rPr>
        <w:t xml:space="preserve"> database (sourced from Landcare Research New Zealand Ltd) was used to provide an analysis of the predominant land cover within the catchments of the receiving freshwater environments. The land</w:t>
      </w:r>
      <w:r w:rsidR="00073523">
        <w:rPr>
          <w:lang w:eastAsia="en-AU"/>
        </w:rPr>
        <w:t xml:space="preserve"> </w:t>
      </w:r>
      <w:r w:rsidR="00620026">
        <w:rPr>
          <w:lang w:eastAsia="en-AU"/>
        </w:rPr>
        <w:t xml:space="preserve">cover categories were divided into ‘nutrient contributing land uses’ and ‘non-nutrient contributing land uses’ and used to provide a coarse level measure of the likely </w:t>
      </w:r>
      <w:r w:rsidR="006B1284">
        <w:rPr>
          <w:lang w:eastAsia="en-AU"/>
        </w:rPr>
        <w:t xml:space="preserve">nutrient-based </w:t>
      </w:r>
      <w:r w:rsidR="00620026">
        <w:rPr>
          <w:lang w:eastAsia="en-AU"/>
        </w:rPr>
        <w:t xml:space="preserve">water quality within the receiving environments. </w:t>
      </w:r>
      <w:r w:rsidR="00801985">
        <w:rPr>
          <w:lang w:eastAsia="en-AU"/>
        </w:rPr>
        <w:fldChar w:fldCharType="begin"/>
      </w:r>
      <w:r w:rsidR="00801985">
        <w:rPr>
          <w:lang w:eastAsia="en-AU"/>
        </w:rPr>
        <w:fldChar w:fldCharType="separate"/>
      </w:r>
      <w:r w:rsidR="00FA00BB">
        <w:t xml:space="preserve">Figure </w:t>
      </w:r>
      <w:r w:rsidR="00FA00BB">
        <w:rPr>
          <w:noProof/>
        </w:rPr>
        <w:t>10</w:t>
      </w:r>
      <w:r w:rsidR="00801985">
        <w:rPr>
          <w:lang w:eastAsia="en-AU"/>
        </w:rPr>
        <w:fldChar w:fldCharType="end"/>
      </w:r>
      <w:r w:rsidR="008324F9">
        <w:rPr>
          <w:lang w:eastAsia="en-AU"/>
        </w:rPr>
        <w:t xml:space="preserve"> </w:t>
      </w:r>
      <w:r w:rsidR="00C71256">
        <w:rPr>
          <w:lang w:eastAsia="en-AU"/>
        </w:rPr>
        <w:fldChar w:fldCharType="begin"/>
      </w:r>
      <w:r w:rsidR="00C71256">
        <w:rPr>
          <w:lang w:eastAsia="en-AU"/>
        </w:rPr>
        <w:instrText xml:space="preserve"> REF _Ref516840207 \h </w:instrText>
      </w:r>
      <w:r w:rsidR="00C71256">
        <w:rPr>
          <w:lang w:eastAsia="en-AU"/>
        </w:rPr>
      </w:r>
      <w:r w:rsidR="00C71256">
        <w:rPr>
          <w:lang w:eastAsia="en-AU"/>
        </w:rPr>
        <w:fldChar w:fldCharType="separate"/>
      </w:r>
      <w:r w:rsidR="002777A8">
        <w:t xml:space="preserve">Figure </w:t>
      </w:r>
      <w:r w:rsidR="002777A8">
        <w:rPr>
          <w:noProof/>
        </w:rPr>
        <w:t>7</w:t>
      </w:r>
      <w:r w:rsidR="00C71256">
        <w:rPr>
          <w:lang w:eastAsia="en-AU"/>
        </w:rPr>
        <w:fldChar w:fldCharType="end"/>
      </w:r>
      <w:r w:rsidR="00C71256">
        <w:rPr>
          <w:lang w:eastAsia="en-AU"/>
        </w:rPr>
        <w:t xml:space="preserve"> </w:t>
      </w:r>
      <w:r w:rsidR="008324F9">
        <w:rPr>
          <w:lang w:eastAsia="en-AU"/>
        </w:rPr>
        <w:t>provides an example of the land cover an</w:t>
      </w:r>
      <w:r w:rsidR="005819E5">
        <w:rPr>
          <w:lang w:eastAsia="en-AU"/>
        </w:rPr>
        <w:t>aly</w:t>
      </w:r>
      <w:r w:rsidR="008324F9">
        <w:rPr>
          <w:lang w:eastAsia="en-AU"/>
        </w:rPr>
        <w:t>sis undertaken.</w:t>
      </w:r>
    </w:p>
    <w:p w14:paraId="651A1BF2" w14:textId="77777777" w:rsidR="007A431A" w:rsidRPr="009322B3" w:rsidRDefault="007A431A" w:rsidP="009322B3">
      <w:pPr>
        <w:pStyle w:val="Body"/>
        <w:shd w:val="clear" w:color="auto" w:fill="FFFFFF" w:themeFill="background1"/>
        <w:rPr>
          <w:lang w:eastAsia="en-AU"/>
        </w:rPr>
      </w:pPr>
      <w:r w:rsidRPr="009322B3">
        <w:rPr>
          <w:noProof/>
          <w:lang w:val="en-NZ" w:eastAsia="en-NZ"/>
        </w:rPr>
        <w:lastRenderedPageBreak/>
        <w:drawing>
          <wp:inline distT="0" distB="0" distL="0" distR="0" wp14:anchorId="4023043F" wp14:editId="1A66C985">
            <wp:extent cx="5318760" cy="4226363"/>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22026" cy="4228958"/>
                    </a:xfrm>
                    <a:prstGeom prst="rect">
                      <a:avLst/>
                    </a:prstGeom>
                    <a:noFill/>
                    <a:ln>
                      <a:noFill/>
                    </a:ln>
                  </pic:spPr>
                </pic:pic>
              </a:graphicData>
            </a:graphic>
          </wp:inline>
        </w:drawing>
      </w:r>
    </w:p>
    <w:p w14:paraId="35AEF49F" w14:textId="77777777" w:rsidR="007A431A" w:rsidRDefault="007A431A" w:rsidP="007A431A">
      <w:pPr>
        <w:pStyle w:val="Caption"/>
      </w:pPr>
      <w:bookmarkStart w:id="210" w:name="_Ref516840207"/>
      <w:bookmarkStart w:id="211" w:name="_Toc516840498"/>
      <w:bookmarkStart w:id="212" w:name="_Toc517707449"/>
      <w:bookmarkStart w:id="213" w:name="_Toc517788304"/>
      <w:bookmarkStart w:id="214" w:name="_Toc517793903"/>
      <w:bookmarkStart w:id="215" w:name="_Toc518653144"/>
      <w:bookmarkStart w:id="216" w:name="_Toc521064812"/>
      <w:r>
        <w:t xml:space="preserve">Figure </w:t>
      </w:r>
      <w:r w:rsidR="007B3D80">
        <w:rPr>
          <w:noProof/>
        </w:rPr>
        <w:fldChar w:fldCharType="begin"/>
      </w:r>
      <w:r w:rsidR="007B3D80">
        <w:rPr>
          <w:noProof/>
        </w:rPr>
        <w:instrText xml:space="preserve"> SEQ Figure \* ARABIC </w:instrText>
      </w:r>
      <w:r w:rsidR="007B3D80">
        <w:rPr>
          <w:noProof/>
        </w:rPr>
        <w:fldChar w:fldCharType="separate"/>
      </w:r>
      <w:r w:rsidR="002777A8">
        <w:rPr>
          <w:noProof/>
        </w:rPr>
        <w:t>7</w:t>
      </w:r>
      <w:r w:rsidR="007B3D80">
        <w:rPr>
          <w:noProof/>
        </w:rPr>
        <w:fldChar w:fldCharType="end"/>
      </w:r>
      <w:bookmarkEnd w:id="210"/>
      <w:r>
        <w:t xml:space="preserve">  Land</w:t>
      </w:r>
      <w:r w:rsidR="00352212">
        <w:t xml:space="preserve"> </w:t>
      </w:r>
      <w:r>
        <w:t xml:space="preserve">use </w:t>
      </w:r>
      <w:r w:rsidR="00FE15AF">
        <w:t xml:space="preserve">nutrient source assessment </w:t>
      </w:r>
      <w:bookmarkEnd w:id="211"/>
      <w:bookmarkEnd w:id="212"/>
      <w:r w:rsidR="00FE15AF">
        <w:t>example</w:t>
      </w:r>
      <w:bookmarkEnd w:id="213"/>
      <w:bookmarkEnd w:id="214"/>
      <w:bookmarkEnd w:id="215"/>
      <w:bookmarkEnd w:id="216"/>
    </w:p>
    <w:p w14:paraId="13EB4C35" w14:textId="77777777" w:rsidR="00620026" w:rsidRDefault="00620026" w:rsidP="00441B5A">
      <w:pPr>
        <w:pStyle w:val="Body"/>
        <w:rPr>
          <w:lang w:eastAsia="en-AU"/>
        </w:rPr>
      </w:pPr>
    </w:p>
    <w:p w14:paraId="44D75BEE" w14:textId="77777777" w:rsidR="00AC3E5A" w:rsidRDefault="00130F14" w:rsidP="00441B5A">
      <w:pPr>
        <w:pStyle w:val="Body"/>
      </w:pPr>
      <w:r>
        <w:rPr>
          <w:lang w:eastAsia="en-AU"/>
        </w:rPr>
        <w:t xml:space="preserve">The </w:t>
      </w:r>
      <w:r w:rsidR="00073523">
        <w:rPr>
          <w:lang w:eastAsia="en-AU"/>
        </w:rPr>
        <w:t xml:space="preserve">land cover categories are defined by assessing </w:t>
      </w:r>
      <w:r w:rsidR="002A3D16">
        <w:rPr>
          <w:lang w:eastAsia="en-AU"/>
        </w:rPr>
        <w:t>land</w:t>
      </w:r>
      <w:r w:rsidR="009A7C2D">
        <w:rPr>
          <w:lang w:eastAsia="en-AU"/>
        </w:rPr>
        <w:t xml:space="preserve"> </w:t>
      </w:r>
      <w:r w:rsidR="00073523">
        <w:rPr>
          <w:lang w:eastAsia="en-AU"/>
        </w:rPr>
        <w:t xml:space="preserve">use within the lowest order catchment </w:t>
      </w:r>
      <w:r w:rsidR="002E2E1E">
        <w:rPr>
          <w:lang w:eastAsia="en-AU"/>
        </w:rPr>
        <w:t>related to</w:t>
      </w:r>
      <w:r w:rsidR="00073523">
        <w:rPr>
          <w:lang w:eastAsia="en-AU"/>
        </w:rPr>
        <w:t xml:space="preserve"> the WWTP discharge</w:t>
      </w:r>
      <w:r w:rsidR="002E2E1E">
        <w:rPr>
          <w:lang w:eastAsia="en-AU"/>
        </w:rPr>
        <w:t xml:space="preserve"> location</w:t>
      </w:r>
      <w:r w:rsidR="00C71256">
        <w:rPr>
          <w:lang w:eastAsia="en-AU"/>
        </w:rPr>
        <w:t>;</w:t>
      </w:r>
      <w:r w:rsidR="00073523" w:rsidDel="00C71256">
        <w:rPr>
          <w:lang w:eastAsia="en-AU"/>
        </w:rPr>
        <w:t xml:space="preserve"> </w:t>
      </w:r>
      <w:r w:rsidR="00C71256">
        <w:rPr>
          <w:lang w:eastAsia="en-AU"/>
        </w:rPr>
        <w:t xml:space="preserve">with </w:t>
      </w:r>
      <w:r w:rsidR="00073523">
        <w:rPr>
          <w:lang w:eastAsia="en-AU"/>
        </w:rPr>
        <w:t xml:space="preserve">the catchment </w:t>
      </w:r>
      <w:r w:rsidR="00DD78B0">
        <w:rPr>
          <w:lang w:eastAsia="en-AU"/>
        </w:rPr>
        <w:t>spatial</w:t>
      </w:r>
      <w:r w:rsidR="00073523">
        <w:rPr>
          <w:lang w:eastAsia="en-AU"/>
        </w:rPr>
        <w:t xml:space="preserve"> definitions determined from the </w:t>
      </w:r>
      <w:r w:rsidR="00230B1D">
        <w:rPr>
          <w:lang w:eastAsia="en-AU"/>
        </w:rPr>
        <w:t xml:space="preserve">Ministry for the Environment </w:t>
      </w:r>
      <w:r w:rsidR="00073523">
        <w:rPr>
          <w:lang w:eastAsia="en-AU"/>
        </w:rPr>
        <w:t>database</w:t>
      </w:r>
      <w:r w:rsidR="00FF6059">
        <w:rPr>
          <w:lang w:eastAsia="en-AU"/>
        </w:rPr>
        <w:t xml:space="preserve"> for river environment classification (2010)</w:t>
      </w:r>
      <w:r w:rsidR="00073523">
        <w:rPr>
          <w:lang w:eastAsia="en-AU"/>
        </w:rPr>
        <w:t>.</w:t>
      </w:r>
      <w:r w:rsidR="007A431A">
        <w:rPr>
          <w:lang w:eastAsia="en-AU"/>
        </w:rPr>
        <w:t xml:space="preserve"> An example of </w:t>
      </w:r>
      <w:r w:rsidR="00C71256">
        <w:rPr>
          <w:lang w:eastAsia="en-AU"/>
        </w:rPr>
        <w:t xml:space="preserve">a </w:t>
      </w:r>
      <w:r w:rsidR="007A431A">
        <w:rPr>
          <w:lang w:eastAsia="en-AU"/>
        </w:rPr>
        <w:t xml:space="preserve">catchment overlay is shown in </w:t>
      </w:r>
      <w:r w:rsidR="007A431A" w:rsidRPr="00441B5A">
        <w:fldChar w:fldCharType="begin"/>
      </w:r>
      <w:r w:rsidR="007A431A" w:rsidRPr="00441B5A">
        <w:instrText xml:space="preserve"> REF _Ref516756870 \h </w:instrText>
      </w:r>
      <w:r w:rsidR="00441B5A">
        <w:instrText xml:space="preserve"> \* MERGEFORMAT </w:instrText>
      </w:r>
      <w:r w:rsidR="007A431A" w:rsidRPr="00441B5A">
        <w:fldChar w:fldCharType="separate"/>
      </w:r>
      <w:r w:rsidR="002777A8">
        <w:t>Figure 8</w:t>
      </w:r>
      <w:r w:rsidR="007A431A" w:rsidRPr="00441B5A">
        <w:fldChar w:fldCharType="end"/>
      </w:r>
      <w:r w:rsidR="007A431A" w:rsidRPr="00441B5A">
        <w:t>.</w:t>
      </w:r>
    </w:p>
    <w:p w14:paraId="14EE88AA" w14:textId="77777777" w:rsidR="00C943AE" w:rsidRDefault="00C943AE" w:rsidP="00A45247">
      <w:pPr>
        <w:pStyle w:val="Body"/>
      </w:pPr>
      <w:r>
        <w:t xml:space="preserve">The </w:t>
      </w:r>
      <w:r w:rsidR="005326C7">
        <w:t xml:space="preserve">contaminant </w:t>
      </w:r>
      <w:r>
        <w:t xml:space="preserve">contribution of catchments to WWTP receiving environments </w:t>
      </w:r>
      <w:r w:rsidR="009776A1">
        <w:t>was classified</w:t>
      </w:r>
      <w:r>
        <w:t xml:space="preserve"> into one of three categories</w:t>
      </w:r>
      <w:r w:rsidR="00092C8C">
        <w:t xml:space="preserve"> </w:t>
      </w:r>
      <w:r w:rsidR="009776A1">
        <w:t>based on</w:t>
      </w:r>
      <w:r w:rsidR="00092C8C">
        <w:t xml:space="preserve"> land cover</w:t>
      </w:r>
      <w:r>
        <w:t>:</w:t>
      </w:r>
    </w:p>
    <w:p w14:paraId="1DFD9503" w14:textId="77777777" w:rsidR="00C943AE" w:rsidRPr="00A45247" w:rsidRDefault="00C943AE" w:rsidP="00A45247">
      <w:pPr>
        <w:pStyle w:val="Body"/>
        <w:numPr>
          <w:ilvl w:val="0"/>
          <w:numId w:val="112"/>
        </w:numPr>
        <w:rPr>
          <w:lang w:eastAsia="en-AU"/>
        </w:rPr>
      </w:pPr>
      <w:r w:rsidRPr="00A45247">
        <w:rPr>
          <w:lang w:eastAsia="en-AU"/>
        </w:rPr>
        <w:t xml:space="preserve"> “</w:t>
      </w:r>
      <w:r w:rsidR="00DC3C15">
        <w:rPr>
          <w:lang w:eastAsia="en-AU"/>
        </w:rPr>
        <w:t>small</w:t>
      </w:r>
      <w:r w:rsidRPr="00A45247">
        <w:rPr>
          <w:lang w:eastAsia="en-AU"/>
        </w:rPr>
        <w:t>” if the overall nutrient contributing land within the catchment is greater than 70% (i.e. the WWTP is likely to have a “low” contribution to water quality parameters relative to the wider catchment),</w:t>
      </w:r>
    </w:p>
    <w:p w14:paraId="244A50DC" w14:textId="77777777" w:rsidR="00C943AE" w:rsidRPr="00A45247" w:rsidRDefault="00C943AE" w:rsidP="00A45247">
      <w:pPr>
        <w:pStyle w:val="Body"/>
        <w:numPr>
          <w:ilvl w:val="0"/>
          <w:numId w:val="112"/>
        </w:numPr>
        <w:rPr>
          <w:lang w:eastAsia="en-AU"/>
        </w:rPr>
      </w:pPr>
      <w:r w:rsidRPr="00A45247">
        <w:rPr>
          <w:lang w:eastAsia="en-AU"/>
        </w:rPr>
        <w:t>“moderate” if the overall nutrient contributing land within the catchment is between 30-70% (i.e. the WWTP is likely to have a “moderate” contribution to water quality parameters relative to the wider catchment),</w:t>
      </w:r>
    </w:p>
    <w:p w14:paraId="520CC74F" w14:textId="77777777" w:rsidR="00C943AE" w:rsidRPr="00A45247" w:rsidRDefault="00C943AE" w:rsidP="00A45247">
      <w:pPr>
        <w:pStyle w:val="Body"/>
        <w:numPr>
          <w:ilvl w:val="0"/>
          <w:numId w:val="112"/>
        </w:numPr>
        <w:rPr>
          <w:lang w:eastAsia="en-AU"/>
        </w:rPr>
      </w:pPr>
      <w:r w:rsidRPr="00A45247">
        <w:rPr>
          <w:lang w:eastAsia="en-AU"/>
        </w:rPr>
        <w:t xml:space="preserve">“large” if the overall nutrient contributing land within the catchment is </w:t>
      </w:r>
      <w:r w:rsidR="00333FB0">
        <w:rPr>
          <w:lang w:eastAsia="en-AU"/>
        </w:rPr>
        <w:t xml:space="preserve">less </w:t>
      </w:r>
      <w:r w:rsidRPr="00A45247">
        <w:rPr>
          <w:lang w:eastAsia="en-AU"/>
        </w:rPr>
        <w:t>than 70% (i.e. the WWTP is likely to have a “large” contribution to water quality parameters relative to the wider catchment).</w:t>
      </w:r>
    </w:p>
    <w:p w14:paraId="4F47152A" w14:textId="77777777" w:rsidR="00C943AE" w:rsidRDefault="00C943AE" w:rsidP="00A45247">
      <w:pPr>
        <w:pStyle w:val="Body"/>
        <w:ind w:left="1287"/>
        <w:rPr>
          <w:lang w:eastAsia="en-AU"/>
        </w:rPr>
      </w:pPr>
    </w:p>
    <w:p w14:paraId="7503C293" w14:textId="77777777" w:rsidR="007A431A" w:rsidRDefault="00AC3E5A" w:rsidP="00FE4F59">
      <w:pPr>
        <w:pStyle w:val="Body"/>
        <w:keepNext/>
      </w:pPr>
      <w:r>
        <w:rPr>
          <w:noProof/>
          <w:lang w:val="en-NZ" w:eastAsia="en-NZ"/>
        </w:rPr>
        <w:lastRenderedPageBreak/>
        <w:drawing>
          <wp:inline distT="0" distB="0" distL="0" distR="0" wp14:anchorId="744DA49E" wp14:editId="61B12F2B">
            <wp:extent cx="5753735" cy="456311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735" cy="4563110"/>
                    </a:xfrm>
                    <a:prstGeom prst="rect">
                      <a:avLst/>
                    </a:prstGeom>
                    <a:noFill/>
                    <a:ln>
                      <a:noFill/>
                    </a:ln>
                  </pic:spPr>
                </pic:pic>
              </a:graphicData>
            </a:graphic>
          </wp:inline>
        </w:drawing>
      </w:r>
    </w:p>
    <w:p w14:paraId="2C4C64D5" w14:textId="77777777" w:rsidR="007A431A" w:rsidRDefault="007A431A" w:rsidP="007A431A">
      <w:pPr>
        <w:pStyle w:val="Caption"/>
      </w:pPr>
      <w:bookmarkStart w:id="217" w:name="_Ref516756870"/>
      <w:bookmarkStart w:id="218" w:name="_Toc516840499"/>
      <w:bookmarkStart w:id="219" w:name="_Toc517707450"/>
      <w:bookmarkStart w:id="220" w:name="_Toc517788305"/>
      <w:bookmarkStart w:id="221" w:name="_Toc517793904"/>
      <w:bookmarkStart w:id="222" w:name="_Toc518653145"/>
      <w:bookmarkStart w:id="223" w:name="_Toc521064813"/>
      <w:r>
        <w:t xml:space="preserve">Figure </w:t>
      </w:r>
      <w:r w:rsidR="007B3D80">
        <w:rPr>
          <w:noProof/>
        </w:rPr>
        <w:fldChar w:fldCharType="begin"/>
      </w:r>
      <w:r w:rsidR="007B3D80">
        <w:rPr>
          <w:noProof/>
        </w:rPr>
        <w:instrText xml:space="preserve"> SEQ Figure \* ARABIC </w:instrText>
      </w:r>
      <w:r w:rsidR="007B3D80">
        <w:rPr>
          <w:noProof/>
        </w:rPr>
        <w:fldChar w:fldCharType="separate"/>
      </w:r>
      <w:r w:rsidR="002777A8">
        <w:rPr>
          <w:noProof/>
        </w:rPr>
        <w:t>8</w:t>
      </w:r>
      <w:r w:rsidR="007B3D80">
        <w:rPr>
          <w:noProof/>
        </w:rPr>
        <w:fldChar w:fldCharType="end"/>
      </w:r>
      <w:bookmarkEnd w:id="217"/>
      <w:r w:rsidR="000001B1">
        <w:t xml:space="preserve"> </w:t>
      </w:r>
      <w:r>
        <w:t xml:space="preserve"> Catchment </w:t>
      </w:r>
      <w:r w:rsidR="00FE15AF">
        <w:t xml:space="preserve">definitions example </w:t>
      </w:r>
      <w:r>
        <w:t>(catchments of order &lt;</w:t>
      </w:r>
      <w:r w:rsidR="000001B1">
        <w:t xml:space="preserve"> </w:t>
      </w:r>
      <w:r>
        <w:t>3 not shown)</w:t>
      </w:r>
      <w:bookmarkEnd w:id="218"/>
      <w:bookmarkEnd w:id="219"/>
      <w:bookmarkEnd w:id="220"/>
      <w:bookmarkEnd w:id="221"/>
      <w:bookmarkEnd w:id="222"/>
      <w:bookmarkEnd w:id="223"/>
    </w:p>
    <w:p w14:paraId="09C51AB8" w14:textId="77777777" w:rsidR="006B1284" w:rsidRDefault="006B1284" w:rsidP="00A27F3D">
      <w:pPr>
        <w:pStyle w:val="Heading3"/>
        <w:rPr>
          <w:lang w:eastAsia="en-AU"/>
        </w:rPr>
      </w:pPr>
      <w:r>
        <w:rPr>
          <w:lang w:eastAsia="en-AU"/>
        </w:rPr>
        <w:t>Water quantity</w:t>
      </w:r>
      <w:r w:rsidR="002D3AAE">
        <w:rPr>
          <w:lang w:eastAsia="en-AU"/>
        </w:rPr>
        <w:t xml:space="preserve"> / relative flow contribution</w:t>
      </w:r>
    </w:p>
    <w:p w14:paraId="699EC86D" w14:textId="77777777" w:rsidR="0044235E" w:rsidRDefault="008C546C" w:rsidP="00441B5A">
      <w:pPr>
        <w:pStyle w:val="Body"/>
        <w:rPr>
          <w:lang w:eastAsia="en-AU"/>
        </w:rPr>
      </w:pPr>
      <w:r>
        <w:rPr>
          <w:lang w:eastAsia="en-AU"/>
        </w:rPr>
        <w:t xml:space="preserve">The relative flow contribution of each WWTP to the receiving environment </w:t>
      </w:r>
      <w:r w:rsidR="005A1451">
        <w:rPr>
          <w:lang w:eastAsia="en-AU"/>
        </w:rPr>
        <w:t>was</w:t>
      </w:r>
      <w:r>
        <w:rPr>
          <w:lang w:eastAsia="en-AU"/>
        </w:rPr>
        <w:t xml:space="preserve"> determined by considering mean discharge rates and mean river flow rates.</w:t>
      </w:r>
      <w:r w:rsidR="00103FE8">
        <w:rPr>
          <w:lang w:eastAsia="en-AU"/>
        </w:rPr>
        <w:t xml:space="preserve"> </w:t>
      </w:r>
    </w:p>
    <w:p w14:paraId="0B7BF7A9" w14:textId="77777777" w:rsidR="002D3AAE" w:rsidRDefault="002D3AAE" w:rsidP="00441B5A">
      <w:pPr>
        <w:pStyle w:val="Body"/>
        <w:rPr>
          <w:lang w:eastAsia="en-AU"/>
        </w:rPr>
      </w:pPr>
      <w:r>
        <w:rPr>
          <w:lang w:eastAsia="en-AU"/>
        </w:rPr>
        <w:t xml:space="preserve">WWTPs were </w:t>
      </w:r>
      <w:r w:rsidR="0044235E">
        <w:rPr>
          <w:lang w:eastAsia="en-AU"/>
        </w:rPr>
        <w:t xml:space="preserve">then </w:t>
      </w:r>
      <w:r>
        <w:rPr>
          <w:lang w:eastAsia="en-AU"/>
        </w:rPr>
        <w:t>classified into one of three categories:</w:t>
      </w:r>
    </w:p>
    <w:p w14:paraId="2DD8BDC0" w14:textId="77777777" w:rsidR="002D3AAE" w:rsidRDefault="002D3AAE" w:rsidP="00A352AD">
      <w:pPr>
        <w:pStyle w:val="Body"/>
        <w:numPr>
          <w:ilvl w:val="0"/>
          <w:numId w:val="112"/>
        </w:numPr>
        <w:rPr>
          <w:lang w:eastAsia="en-AU"/>
        </w:rPr>
      </w:pPr>
      <w:r>
        <w:rPr>
          <w:lang w:eastAsia="en-AU"/>
        </w:rPr>
        <w:t>“</w:t>
      </w:r>
      <w:r w:rsidR="00DC3C15">
        <w:rPr>
          <w:lang w:eastAsia="en-AU"/>
        </w:rPr>
        <w:t>small</w:t>
      </w:r>
      <w:r>
        <w:rPr>
          <w:lang w:eastAsia="en-AU"/>
        </w:rPr>
        <w:t>” if the overall water quantity being discharged is less than 0.1% of the receiving environment flow rate;</w:t>
      </w:r>
    </w:p>
    <w:p w14:paraId="6EF440CB" w14:textId="77777777" w:rsidR="005A1451" w:rsidRDefault="002D3AAE" w:rsidP="00A352AD">
      <w:pPr>
        <w:pStyle w:val="Body"/>
        <w:numPr>
          <w:ilvl w:val="0"/>
          <w:numId w:val="112"/>
        </w:numPr>
        <w:rPr>
          <w:lang w:eastAsia="en-AU"/>
        </w:rPr>
      </w:pPr>
      <w:r>
        <w:rPr>
          <w:lang w:eastAsia="en-AU"/>
        </w:rPr>
        <w:t>“moderate” if the overall water quantity being discharged is between 0.1% - 1% of the receiving environment flow rate; and</w:t>
      </w:r>
    </w:p>
    <w:p w14:paraId="2B66A7FB" w14:textId="77777777" w:rsidR="007214E3" w:rsidRDefault="002D3AAE" w:rsidP="00A352AD">
      <w:pPr>
        <w:pStyle w:val="Body"/>
        <w:numPr>
          <w:ilvl w:val="0"/>
          <w:numId w:val="112"/>
        </w:numPr>
        <w:rPr>
          <w:lang w:eastAsia="en-AU"/>
        </w:rPr>
      </w:pPr>
      <w:r>
        <w:rPr>
          <w:lang w:eastAsia="en-AU"/>
        </w:rPr>
        <w:t>“large” if the overall water quantity being discharged is greater than 1% of the receiving environment flow rate.</w:t>
      </w:r>
    </w:p>
    <w:p w14:paraId="1C4701CE" w14:textId="77777777" w:rsidR="007D3D65" w:rsidRDefault="007D3D65" w:rsidP="00E66F34">
      <w:pPr>
        <w:pStyle w:val="Heading3"/>
        <w:rPr>
          <w:lang w:eastAsia="en-AU"/>
        </w:rPr>
      </w:pPr>
      <w:bookmarkStart w:id="224" w:name="_Ref518559137"/>
      <w:r>
        <w:rPr>
          <w:lang w:eastAsia="en-AU"/>
        </w:rPr>
        <w:t>Contribution</w:t>
      </w:r>
      <w:bookmarkEnd w:id="224"/>
      <w:r>
        <w:rPr>
          <w:lang w:eastAsia="en-AU"/>
        </w:rPr>
        <w:t xml:space="preserve"> </w:t>
      </w:r>
    </w:p>
    <w:p w14:paraId="6B1D0976" w14:textId="77777777" w:rsidR="009A7C2D" w:rsidRDefault="00FC11D7" w:rsidP="00441B5A">
      <w:pPr>
        <w:pStyle w:val="Body"/>
        <w:rPr>
          <w:lang w:eastAsia="en-AU"/>
        </w:rPr>
      </w:pPr>
      <w:r>
        <w:rPr>
          <w:lang w:eastAsia="en-AU"/>
        </w:rPr>
        <w:t>The “land use” and “</w:t>
      </w:r>
      <w:r w:rsidR="0044235E">
        <w:rPr>
          <w:lang w:eastAsia="en-AU"/>
        </w:rPr>
        <w:t>w</w:t>
      </w:r>
      <w:r>
        <w:rPr>
          <w:lang w:eastAsia="en-AU"/>
        </w:rPr>
        <w:t>ater quantity / relative flow contribution</w:t>
      </w:r>
      <w:r w:rsidR="00991857">
        <w:rPr>
          <w:lang w:eastAsia="en-AU"/>
        </w:rPr>
        <w:t>”</w:t>
      </w:r>
      <w:r>
        <w:rPr>
          <w:lang w:eastAsia="en-AU"/>
        </w:rPr>
        <w:t xml:space="preserve"> </w:t>
      </w:r>
      <w:r w:rsidR="00C00E95">
        <w:rPr>
          <w:lang w:eastAsia="en-AU"/>
        </w:rPr>
        <w:t>parameter</w:t>
      </w:r>
      <w:r>
        <w:rPr>
          <w:lang w:eastAsia="en-AU"/>
        </w:rPr>
        <w:t>s</w:t>
      </w:r>
      <w:r w:rsidR="00C00E95">
        <w:rPr>
          <w:lang w:eastAsia="en-AU"/>
        </w:rPr>
        <w:t xml:space="preserve"> </w:t>
      </w:r>
      <w:r>
        <w:rPr>
          <w:lang w:eastAsia="en-AU"/>
        </w:rPr>
        <w:t xml:space="preserve">were then </w:t>
      </w:r>
      <w:r w:rsidR="003510E1">
        <w:rPr>
          <w:lang w:eastAsia="en-AU"/>
        </w:rPr>
        <w:t>combined</w:t>
      </w:r>
      <w:r>
        <w:rPr>
          <w:lang w:eastAsia="en-AU"/>
        </w:rPr>
        <w:t xml:space="preserve"> to divide WWTPs into three overarching categories - </w:t>
      </w:r>
      <w:r w:rsidR="00C00E95">
        <w:rPr>
          <w:lang w:eastAsia="en-AU"/>
        </w:rPr>
        <w:t xml:space="preserve"> </w:t>
      </w:r>
      <w:r w:rsidR="0080604E">
        <w:rPr>
          <w:lang w:eastAsia="en-AU"/>
        </w:rPr>
        <w:t>small</w:t>
      </w:r>
      <w:r w:rsidR="00C00E95">
        <w:rPr>
          <w:lang w:eastAsia="en-AU"/>
        </w:rPr>
        <w:t xml:space="preserve">, moderate and </w:t>
      </w:r>
      <w:r w:rsidR="0080604E">
        <w:rPr>
          <w:lang w:eastAsia="en-AU"/>
        </w:rPr>
        <w:t>large</w:t>
      </w:r>
      <w:r w:rsidR="00C00E95">
        <w:rPr>
          <w:lang w:eastAsia="en-AU"/>
        </w:rPr>
        <w:t xml:space="preserve"> </w:t>
      </w:r>
      <w:r w:rsidR="0080604E">
        <w:rPr>
          <w:lang w:eastAsia="en-AU"/>
        </w:rPr>
        <w:t xml:space="preserve">contribution </w:t>
      </w:r>
      <w:r w:rsidR="00C00E95">
        <w:rPr>
          <w:lang w:eastAsia="en-AU"/>
        </w:rPr>
        <w:t>categories</w:t>
      </w:r>
      <w:r>
        <w:rPr>
          <w:lang w:eastAsia="en-AU"/>
        </w:rPr>
        <w:t>,</w:t>
      </w:r>
      <w:r w:rsidR="00C00E95">
        <w:rPr>
          <w:lang w:eastAsia="en-AU"/>
        </w:rPr>
        <w:t>as outlined in</w:t>
      </w:r>
      <w:r w:rsidR="0044235E">
        <w:rPr>
          <w:lang w:eastAsia="en-AU"/>
        </w:rPr>
        <w:t xml:space="preserve"> </w:t>
      </w:r>
      <w:r w:rsidR="00784BA4">
        <w:rPr>
          <w:lang w:eastAsia="en-AU"/>
        </w:rPr>
        <w:fldChar w:fldCharType="begin"/>
      </w:r>
      <w:r w:rsidR="00784BA4">
        <w:rPr>
          <w:lang w:eastAsia="en-AU"/>
        </w:rPr>
        <w:instrText xml:space="preserve"> REF _Ref520970648 \h </w:instrText>
      </w:r>
      <w:r w:rsidR="00784BA4">
        <w:rPr>
          <w:lang w:eastAsia="en-AU"/>
        </w:rPr>
      </w:r>
      <w:r w:rsidR="00784BA4">
        <w:rPr>
          <w:lang w:eastAsia="en-AU"/>
        </w:rPr>
        <w:fldChar w:fldCharType="separate"/>
      </w:r>
      <w:r w:rsidR="002777A8">
        <w:t xml:space="preserve">Table </w:t>
      </w:r>
      <w:r w:rsidR="002777A8">
        <w:rPr>
          <w:noProof/>
        </w:rPr>
        <w:t>5</w:t>
      </w:r>
      <w:r w:rsidR="00784BA4">
        <w:rPr>
          <w:lang w:eastAsia="en-AU"/>
        </w:rPr>
        <w:fldChar w:fldCharType="end"/>
      </w:r>
      <w:r w:rsidR="00C00E95">
        <w:rPr>
          <w:lang w:eastAsia="en-AU"/>
        </w:rPr>
        <w:t xml:space="preserve"> below. The two metrics are then combined into </w:t>
      </w:r>
      <w:r w:rsidR="0080604E">
        <w:rPr>
          <w:lang w:eastAsia="en-AU"/>
        </w:rPr>
        <w:t>a benefit</w:t>
      </w:r>
      <w:r w:rsidR="00C00E95">
        <w:rPr>
          <w:lang w:eastAsia="en-AU"/>
        </w:rPr>
        <w:t xml:space="preserve"> matrix (</w:t>
      </w:r>
      <w:r w:rsidR="00784BA4">
        <w:rPr>
          <w:lang w:eastAsia="en-AU"/>
        </w:rPr>
        <w:fldChar w:fldCharType="begin"/>
      </w:r>
      <w:r w:rsidR="00784BA4">
        <w:rPr>
          <w:lang w:eastAsia="en-AU"/>
        </w:rPr>
        <w:instrText xml:space="preserve"> REF _Ref520970664 \h </w:instrText>
      </w:r>
      <w:r w:rsidR="00784BA4">
        <w:rPr>
          <w:lang w:eastAsia="en-AU"/>
        </w:rPr>
      </w:r>
      <w:r w:rsidR="00784BA4">
        <w:rPr>
          <w:lang w:eastAsia="en-AU"/>
        </w:rPr>
        <w:fldChar w:fldCharType="separate"/>
      </w:r>
      <w:r w:rsidR="002777A8">
        <w:t xml:space="preserve">Table </w:t>
      </w:r>
      <w:r w:rsidR="002777A8">
        <w:rPr>
          <w:noProof/>
        </w:rPr>
        <w:t>6</w:t>
      </w:r>
      <w:r w:rsidR="00784BA4">
        <w:rPr>
          <w:lang w:eastAsia="en-AU"/>
        </w:rPr>
        <w:fldChar w:fldCharType="end"/>
      </w:r>
      <w:r w:rsidR="00C00E95">
        <w:rPr>
          <w:lang w:eastAsia="en-AU"/>
        </w:rPr>
        <w:t xml:space="preserve">).The </w:t>
      </w:r>
      <w:r w:rsidR="003510E1">
        <w:rPr>
          <w:lang w:eastAsia="en-AU"/>
        </w:rPr>
        <w:t xml:space="preserve">benefit matrix </w:t>
      </w:r>
      <w:r w:rsidR="00C00E95">
        <w:rPr>
          <w:lang w:eastAsia="en-AU"/>
        </w:rPr>
        <w:t>aim</w:t>
      </w:r>
      <w:r w:rsidR="003510E1">
        <w:rPr>
          <w:lang w:eastAsia="en-AU"/>
        </w:rPr>
        <w:t>s</w:t>
      </w:r>
      <w:r w:rsidR="00C00E95">
        <w:rPr>
          <w:lang w:eastAsia="en-AU"/>
        </w:rPr>
        <w:t xml:space="preserve"> to identify the </w:t>
      </w:r>
      <w:r w:rsidR="003510E1">
        <w:rPr>
          <w:lang w:eastAsia="en-AU"/>
        </w:rPr>
        <w:t>relative impact that each</w:t>
      </w:r>
      <w:r w:rsidR="00C00E95">
        <w:rPr>
          <w:lang w:eastAsia="en-AU"/>
        </w:rPr>
        <w:t xml:space="preserve"> </w:t>
      </w:r>
      <w:r w:rsidR="00332515">
        <w:rPr>
          <w:lang w:eastAsia="en-AU"/>
        </w:rPr>
        <w:t>WWTP</w:t>
      </w:r>
      <w:r w:rsidR="0044235E">
        <w:rPr>
          <w:lang w:eastAsia="en-AU"/>
        </w:rPr>
        <w:t xml:space="preserve"> is likely </w:t>
      </w:r>
      <w:r w:rsidR="00C00E95">
        <w:rPr>
          <w:lang w:eastAsia="en-AU"/>
        </w:rPr>
        <w:t xml:space="preserve">having on the receiving environment. </w:t>
      </w:r>
    </w:p>
    <w:p w14:paraId="5400D499" w14:textId="77777777" w:rsidR="00092C8C" w:rsidRDefault="00092C8C" w:rsidP="00441B5A">
      <w:pPr>
        <w:pStyle w:val="Body"/>
        <w:rPr>
          <w:lang w:eastAsia="en-AU"/>
        </w:rPr>
      </w:pPr>
    </w:p>
    <w:p w14:paraId="3EE8DE9A" w14:textId="77777777" w:rsidR="003510E1" w:rsidRPr="00332515" w:rsidRDefault="003510E1" w:rsidP="003510E1">
      <w:pPr>
        <w:pStyle w:val="Caption"/>
      </w:pPr>
      <w:bookmarkStart w:id="225" w:name="_Ref520970648"/>
      <w:bookmarkStart w:id="226" w:name="_Toc521064788"/>
      <w:r>
        <w:lastRenderedPageBreak/>
        <w:t xml:space="preserve">Table </w:t>
      </w:r>
      <w:r w:rsidR="007B3D80">
        <w:rPr>
          <w:noProof/>
        </w:rPr>
        <w:fldChar w:fldCharType="begin"/>
      </w:r>
      <w:r w:rsidR="007B3D80">
        <w:rPr>
          <w:noProof/>
        </w:rPr>
        <w:instrText xml:space="preserve"> SEQ Table \* ARABIC </w:instrText>
      </w:r>
      <w:r w:rsidR="007B3D80">
        <w:rPr>
          <w:noProof/>
        </w:rPr>
        <w:fldChar w:fldCharType="separate"/>
      </w:r>
      <w:r w:rsidR="002777A8">
        <w:rPr>
          <w:noProof/>
        </w:rPr>
        <w:t>5</w:t>
      </w:r>
      <w:r w:rsidR="007B3D80">
        <w:rPr>
          <w:noProof/>
        </w:rPr>
        <w:fldChar w:fldCharType="end"/>
      </w:r>
      <w:bookmarkEnd w:id="225"/>
      <w:r>
        <w:t xml:space="preserve">  Contribution parameters and thresholds</w:t>
      </w:r>
      <w:bookmarkEnd w:id="226"/>
    </w:p>
    <w:tbl>
      <w:tblPr>
        <w:tblStyle w:val="TableGrid"/>
        <w:tblW w:w="0" w:type="auto"/>
        <w:tblInd w:w="567" w:type="dxa"/>
        <w:tblLayout w:type="fixed"/>
        <w:tblLook w:val="04A0" w:firstRow="1" w:lastRow="0" w:firstColumn="1" w:lastColumn="0" w:noHBand="0" w:noVBand="1"/>
      </w:tblPr>
      <w:tblGrid>
        <w:gridCol w:w="2985"/>
        <w:gridCol w:w="1418"/>
        <w:gridCol w:w="1418"/>
        <w:gridCol w:w="1418"/>
      </w:tblGrid>
      <w:tr w:rsidR="003510E1" w14:paraId="75F9C89D" w14:textId="77777777" w:rsidTr="00784BA4">
        <w:trPr>
          <w:cnfStyle w:val="100000000000" w:firstRow="1" w:lastRow="0" w:firstColumn="0" w:lastColumn="0" w:oddVBand="0" w:evenVBand="0" w:oddHBand="0" w:evenHBand="0" w:firstRowFirstColumn="0" w:firstRowLastColumn="0" w:lastRowFirstColumn="0" w:lastRowLastColumn="0"/>
          <w:trHeight w:val="460"/>
        </w:trPr>
        <w:tc>
          <w:tcPr>
            <w:tcW w:w="2985" w:type="dxa"/>
            <w:tcBorders>
              <w:bottom w:val="single" w:sz="4" w:space="0" w:color="FFFFFF" w:themeColor="background1"/>
            </w:tcBorders>
            <w:shd w:val="clear" w:color="auto" w:fill="00599C"/>
            <w:vAlign w:val="center"/>
          </w:tcPr>
          <w:p w14:paraId="06B09ECD" w14:textId="77777777" w:rsidR="003510E1" w:rsidRDefault="003510E1" w:rsidP="00784BA4">
            <w:pPr>
              <w:pStyle w:val="Body"/>
              <w:spacing w:before="45" w:after="91"/>
              <w:ind w:left="0"/>
              <w:rPr>
                <w:lang w:eastAsia="en-AU"/>
              </w:rPr>
            </w:pPr>
            <w:r>
              <w:rPr>
                <w:lang w:eastAsia="en-AU"/>
              </w:rPr>
              <w:t>Parameter</w:t>
            </w:r>
          </w:p>
        </w:tc>
        <w:tc>
          <w:tcPr>
            <w:tcW w:w="4254" w:type="dxa"/>
            <w:gridSpan w:val="3"/>
            <w:tcBorders>
              <w:bottom w:val="single" w:sz="4" w:space="0" w:color="FFFFFF" w:themeColor="background1"/>
            </w:tcBorders>
            <w:shd w:val="clear" w:color="auto" w:fill="00599C"/>
          </w:tcPr>
          <w:p w14:paraId="40C8E4AE" w14:textId="77777777" w:rsidR="003510E1" w:rsidRDefault="003510E1" w:rsidP="00784BA4">
            <w:pPr>
              <w:pStyle w:val="Body"/>
              <w:spacing w:before="45" w:after="91"/>
              <w:ind w:left="0"/>
              <w:jc w:val="center"/>
              <w:rPr>
                <w:lang w:eastAsia="en-AU"/>
              </w:rPr>
            </w:pPr>
            <w:r>
              <w:rPr>
                <w:lang w:eastAsia="en-AU"/>
              </w:rPr>
              <w:t>Percent divide</w:t>
            </w:r>
          </w:p>
        </w:tc>
      </w:tr>
      <w:tr w:rsidR="003510E1" w14:paraId="16D3EFCC" w14:textId="77777777" w:rsidTr="009C20F1">
        <w:trPr>
          <w:trHeight w:val="460"/>
        </w:trPr>
        <w:tc>
          <w:tcPr>
            <w:tcW w:w="2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923456" w14:textId="77777777" w:rsidR="003510E1" w:rsidRDefault="003510E1" w:rsidP="009C20F1">
            <w:pPr>
              <w:pStyle w:val="Body"/>
              <w:spacing w:before="45" w:after="91"/>
              <w:ind w:left="0"/>
              <w:rPr>
                <w:lang w:eastAsia="en-AU"/>
              </w:rPr>
            </w:pPr>
            <w:r>
              <w:rPr>
                <w:lang w:eastAsia="en-AU"/>
              </w:rPr>
              <w:t>Nutrient contributing land cover</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EE801D" w14:textId="77777777" w:rsidR="003510E1" w:rsidRDefault="003510E1" w:rsidP="009C20F1">
            <w:pPr>
              <w:pStyle w:val="Body"/>
              <w:spacing w:before="45" w:after="91"/>
              <w:ind w:left="0"/>
              <w:jc w:val="center"/>
              <w:rPr>
                <w:lang w:eastAsia="en-AU"/>
              </w:rPr>
            </w:pPr>
            <w:r>
              <w:rPr>
                <w:lang w:eastAsia="en-AU"/>
              </w:rPr>
              <w:t>&gt;70%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B5AD34" w14:textId="77777777" w:rsidR="003510E1" w:rsidRDefault="003510E1" w:rsidP="009C20F1">
            <w:pPr>
              <w:pStyle w:val="Body"/>
              <w:spacing w:before="45" w:after="91"/>
              <w:ind w:left="0"/>
              <w:jc w:val="center"/>
              <w:rPr>
                <w:lang w:eastAsia="en-AU"/>
              </w:rPr>
            </w:pPr>
            <w:r>
              <w:rPr>
                <w:lang w:eastAsia="en-AU"/>
              </w:rPr>
              <w:t>30 – 70%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C28778" w14:textId="77777777" w:rsidR="003510E1" w:rsidRDefault="003510E1" w:rsidP="009C20F1">
            <w:pPr>
              <w:pStyle w:val="Body"/>
              <w:spacing w:before="45" w:after="91"/>
              <w:ind w:left="0"/>
              <w:jc w:val="center"/>
              <w:rPr>
                <w:lang w:eastAsia="en-AU"/>
              </w:rPr>
            </w:pPr>
            <w:r>
              <w:rPr>
                <w:lang w:eastAsia="en-AU"/>
              </w:rPr>
              <w:t>&lt;30%</w:t>
            </w:r>
          </w:p>
        </w:tc>
      </w:tr>
      <w:tr w:rsidR="003510E1" w14:paraId="4CA9D396" w14:textId="77777777" w:rsidTr="009C20F1">
        <w:trPr>
          <w:trHeight w:val="460"/>
        </w:trPr>
        <w:tc>
          <w:tcPr>
            <w:tcW w:w="2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A3197C" w14:textId="77777777" w:rsidR="003510E1" w:rsidRDefault="003510E1" w:rsidP="009C20F1">
            <w:pPr>
              <w:pStyle w:val="Body"/>
              <w:spacing w:before="45" w:after="91"/>
              <w:ind w:left="0"/>
              <w:rPr>
                <w:lang w:eastAsia="en-AU"/>
              </w:rPr>
            </w:pPr>
            <w:r>
              <w:rPr>
                <w:lang w:eastAsia="en-AU"/>
              </w:rPr>
              <w:t>WWTP discharge contribution</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15829D" w14:textId="77777777" w:rsidR="003510E1" w:rsidRDefault="003510E1" w:rsidP="009C20F1">
            <w:pPr>
              <w:pStyle w:val="Body"/>
              <w:spacing w:before="45" w:after="91"/>
              <w:ind w:left="0"/>
              <w:jc w:val="center"/>
              <w:rPr>
                <w:lang w:eastAsia="en-AU"/>
              </w:rPr>
            </w:pPr>
            <w:r>
              <w:rPr>
                <w:lang w:eastAsia="en-AU"/>
              </w:rPr>
              <w:t>&lt;0.1%</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408F56" w14:textId="77777777" w:rsidR="003510E1" w:rsidRDefault="003510E1" w:rsidP="009C20F1">
            <w:pPr>
              <w:pStyle w:val="Body"/>
              <w:spacing w:before="45" w:after="91"/>
              <w:ind w:left="0"/>
              <w:jc w:val="center"/>
              <w:rPr>
                <w:lang w:eastAsia="en-AU"/>
              </w:rPr>
            </w:pPr>
            <w:r>
              <w:rPr>
                <w:lang w:eastAsia="en-AU"/>
              </w:rPr>
              <w:t>0.1 – 1%</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C7A8F6" w14:textId="77777777" w:rsidR="003510E1" w:rsidRDefault="003510E1" w:rsidP="009C20F1">
            <w:pPr>
              <w:pStyle w:val="Body"/>
              <w:spacing w:before="45" w:after="91"/>
              <w:ind w:left="0"/>
              <w:jc w:val="center"/>
              <w:rPr>
                <w:lang w:eastAsia="en-AU"/>
              </w:rPr>
            </w:pPr>
            <w:r>
              <w:rPr>
                <w:lang w:eastAsia="en-AU"/>
              </w:rPr>
              <w:t>&gt;1%</w:t>
            </w:r>
          </w:p>
        </w:tc>
      </w:tr>
      <w:tr w:rsidR="003510E1" w14:paraId="5D3AD2FE" w14:textId="77777777" w:rsidTr="009C20F1">
        <w:trPr>
          <w:trHeight w:val="460"/>
        </w:trPr>
        <w:tc>
          <w:tcPr>
            <w:tcW w:w="2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2702D3" w14:textId="77777777" w:rsidR="003510E1" w:rsidRPr="00F9715D" w:rsidRDefault="003510E1" w:rsidP="009C20F1">
            <w:pPr>
              <w:pStyle w:val="Body"/>
              <w:spacing w:before="45" w:after="91"/>
              <w:ind w:left="0"/>
              <w:rPr>
                <w:b/>
                <w:lang w:eastAsia="en-AU"/>
              </w:rPr>
            </w:pPr>
            <w:r w:rsidRPr="0080604E">
              <w:rPr>
                <w:b/>
                <w:lang w:eastAsia="en-AU"/>
              </w:rPr>
              <w:t>Contribution to receiving environment water quality</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A4309E" w14:textId="77777777" w:rsidR="003510E1" w:rsidRPr="00F9715D" w:rsidRDefault="003510E1" w:rsidP="009C20F1">
            <w:pPr>
              <w:pStyle w:val="Body"/>
              <w:spacing w:before="45" w:after="91"/>
              <w:ind w:left="0"/>
              <w:jc w:val="center"/>
              <w:rPr>
                <w:b/>
                <w:lang w:eastAsia="en-AU"/>
              </w:rPr>
            </w:pPr>
            <w:r>
              <w:rPr>
                <w:b/>
                <w:lang w:eastAsia="en-AU"/>
              </w:rPr>
              <w:t>Small</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EA00AD" w14:textId="77777777" w:rsidR="003510E1" w:rsidRPr="00F9715D" w:rsidRDefault="003510E1" w:rsidP="009C20F1">
            <w:pPr>
              <w:pStyle w:val="Body"/>
              <w:spacing w:before="45" w:after="91"/>
              <w:ind w:left="0"/>
              <w:jc w:val="center"/>
              <w:rPr>
                <w:b/>
                <w:lang w:eastAsia="en-AU"/>
              </w:rPr>
            </w:pPr>
            <w:r w:rsidRPr="00F9715D">
              <w:rPr>
                <w:b/>
                <w:lang w:eastAsia="en-AU"/>
              </w:rPr>
              <w:t>Moderate</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28E08A" w14:textId="77777777" w:rsidR="003510E1" w:rsidRPr="00F9715D" w:rsidRDefault="003510E1" w:rsidP="009C20F1">
            <w:pPr>
              <w:pStyle w:val="Body"/>
              <w:spacing w:before="45" w:after="91"/>
              <w:ind w:left="0"/>
              <w:jc w:val="center"/>
              <w:rPr>
                <w:b/>
                <w:lang w:eastAsia="en-AU"/>
              </w:rPr>
            </w:pPr>
            <w:r>
              <w:rPr>
                <w:b/>
                <w:lang w:eastAsia="en-AU"/>
              </w:rPr>
              <w:t>Large</w:t>
            </w:r>
          </w:p>
        </w:tc>
      </w:tr>
    </w:tbl>
    <w:p w14:paraId="34BD3157" w14:textId="77777777" w:rsidR="003510E1" w:rsidRDefault="003510E1" w:rsidP="00A352AD">
      <w:pPr>
        <w:pStyle w:val="Body"/>
        <w:ind w:left="0"/>
      </w:pPr>
    </w:p>
    <w:p w14:paraId="591AB2FE" w14:textId="77777777" w:rsidR="003510E1" w:rsidRDefault="003510E1" w:rsidP="003510E1">
      <w:pPr>
        <w:pStyle w:val="Caption"/>
      </w:pPr>
      <w:bookmarkStart w:id="227" w:name="_Ref520970664"/>
      <w:bookmarkStart w:id="228" w:name="_Toc521064789"/>
      <w:r>
        <w:t xml:space="preserve">Table </w:t>
      </w:r>
      <w:r w:rsidR="007B3D80">
        <w:rPr>
          <w:noProof/>
        </w:rPr>
        <w:fldChar w:fldCharType="begin"/>
      </w:r>
      <w:r w:rsidR="007B3D80">
        <w:rPr>
          <w:noProof/>
        </w:rPr>
        <w:instrText xml:space="preserve"> SEQ Table \* ARABIC </w:instrText>
      </w:r>
      <w:r w:rsidR="007B3D80">
        <w:rPr>
          <w:noProof/>
        </w:rPr>
        <w:fldChar w:fldCharType="separate"/>
      </w:r>
      <w:r w:rsidR="002777A8">
        <w:rPr>
          <w:noProof/>
        </w:rPr>
        <w:t>6</w:t>
      </w:r>
      <w:r w:rsidR="007B3D80">
        <w:rPr>
          <w:noProof/>
        </w:rPr>
        <w:fldChar w:fldCharType="end"/>
      </w:r>
      <w:bookmarkEnd w:id="227"/>
      <w:r>
        <w:t xml:space="preserve">  Benefit matrix</w:t>
      </w:r>
      <w:bookmarkEnd w:id="228"/>
    </w:p>
    <w:tbl>
      <w:tblPr>
        <w:tblStyle w:val="TableGrid"/>
        <w:tblW w:w="8505" w:type="dxa"/>
        <w:tblInd w:w="557" w:type="dxa"/>
        <w:tblLook w:val="04A0" w:firstRow="1" w:lastRow="0" w:firstColumn="1" w:lastColumn="0" w:noHBand="0" w:noVBand="1"/>
      </w:tblPr>
      <w:tblGrid>
        <w:gridCol w:w="1700"/>
        <w:gridCol w:w="1700"/>
        <w:gridCol w:w="1701"/>
        <w:gridCol w:w="1702"/>
        <w:gridCol w:w="1702"/>
      </w:tblGrid>
      <w:tr w:rsidR="003510E1" w14:paraId="23A464CC" w14:textId="77777777" w:rsidTr="00784BA4">
        <w:trPr>
          <w:cnfStyle w:val="100000000000" w:firstRow="1" w:lastRow="0" w:firstColumn="0" w:lastColumn="0" w:oddVBand="0" w:evenVBand="0" w:oddHBand="0" w:evenHBand="0" w:firstRowFirstColumn="0" w:firstRowLastColumn="0" w:lastRowFirstColumn="0" w:lastRowLastColumn="0"/>
        </w:trPr>
        <w:tc>
          <w:tcPr>
            <w:tcW w:w="3400" w:type="dxa"/>
            <w:gridSpan w:val="2"/>
            <w:vMerge w:val="restart"/>
            <w:tcBorders>
              <w:left w:val="single" w:sz="4" w:space="0" w:color="FFFFFF" w:themeColor="background1"/>
              <w:right w:val="single" w:sz="4" w:space="0" w:color="FFFFFF" w:themeColor="background1"/>
            </w:tcBorders>
            <w:shd w:val="clear" w:color="auto" w:fill="00599C"/>
            <w:vAlign w:val="center"/>
          </w:tcPr>
          <w:p w14:paraId="705192B0" w14:textId="77777777" w:rsidR="003510E1" w:rsidRDefault="003510E1" w:rsidP="00784BA4">
            <w:pPr>
              <w:pStyle w:val="Body"/>
              <w:spacing w:before="45" w:after="91"/>
              <w:ind w:left="0"/>
            </w:pPr>
            <w:r>
              <w:rPr>
                <w:lang w:eastAsia="en-AU"/>
              </w:rPr>
              <w:t>Impact matrix</w:t>
            </w:r>
          </w:p>
        </w:tc>
        <w:tc>
          <w:tcPr>
            <w:tcW w:w="5105" w:type="dxa"/>
            <w:gridSpan w:val="3"/>
            <w:tcBorders>
              <w:left w:val="single" w:sz="4" w:space="0" w:color="FFFFFF" w:themeColor="background1"/>
              <w:bottom w:val="single" w:sz="4" w:space="0" w:color="FFFFFF" w:themeColor="background1"/>
            </w:tcBorders>
            <w:shd w:val="clear" w:color="auto" w:fill="00599C"/>
          </w:tcPr>
          <w:p w14:paraId="047550AB" w14:textId="77777777" w:rsidR="003510E1" w:rsidRDefault="003510E1" w:rsidP="00784BA4">
            <w:pPr>
              <w:pStyle w:val="Body"/>
              <w:spacing w:before="45" w:after="91"/>
              <w:ind w:left="0"/>
              <w:jc w:val="center"/>
              <w:rPr>
                <w:lang w:eastAsia="en-AU"/>
              </w:rPr>
            </w:pPr>
            <w:r>
              <w:rPr>
                <w:lang w:eastAsia="en-AU"/>
              </w:rPr>
              <w:t>WWTP discharge contribution</w:t>
            </w:r>
          </w:p>
        </w:tc>
      </w:tr>
      <w:tr w:rsidR="003510E1" w14:paraId="15591E0C" w14:textId="77777777" w:rsidTr="00784BA4">
        <w:tc>
          <w:tcPr>
            <w:tcW w:w="3400"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00599C"/>
          </w:tcPr>
          <w:p w14:paraId="74BBB42F" w14:textId="77777777" w:rsidR="003510E1" w:rsidRDefault="003510E1" w:rsidP="009C20F1">
            <w:pPr>
              <w:pStyle w:val="Body"/>
              <w:spacing w:before="45" w:after="91"/>
              <w:ind w:left="0"/>
              <w:rPr>
                <w:lang w:eastAsia="en-AU"/>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99C"/>
          </w:tcPr>
          <w:p w14:paraId="5FFC5340" w14:textId="77777777" w:rsidR="003510E1" w:rsidRPr="00F9715D" w:rsidRDefault="003510E1" w:rsidP="00784BA4">
            <w:pPr>
              <w:pStyle w:val="Body"/>
              <w:spacing w:before="45" w:after="91"/>
              <w:ind w:left="0"/>
              <w:jc w:val="center"/>
              <w:rPr>
                <w:color w:val="FFFFFF" w:themeColor="background1"/>
                <w:lang w:eastAsia="en-AU"/>
              </w:rPr>
            </w:pPr>
            <w:r>
              <w:rPr>
                <w:color w:val="FFFFFF" w:themeColor="background1"/>
                <w:lang w:eastAsia="en-AU"/>
              </w:rPr>
              <w:t>Small</w:t>
            </w: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99C"/>
          </w:tcPr>
          <w:p w14:paraId="6E12B8E8" w14:textId="77777777" w:rsidR="003510E1" w:rsidRPr="00F9715D" w:rsidRDefault="003510E1" w:rsidP="00784BA4">
            <w:pPr>
              <w:pStyle w:val="Body"/>
              <w:spacing w:before="45" w:after="91"/>
              <w:ind w:left="0"/>
              <w:jc w:val="center"/>
              <w:rPr>
                <w:color w:val="FFFFFF" w:themeColor="background1"/>
                <w:lang w:eastAsia="en-AU"/>
              </w:rPr>
            </w:pPr>
            <w:r w:rsidRPr="00F9715D">
              <w:rPr>
                <w:color w:val="FFFFFF" w:themeColor="background1"/>
                <w:lang w:eastAsia="en-AU"/>
              </w:rPr>
              <w:t>Moderate</w:t>
            </w: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99C"/>
          </w:tcPr>
          <w:p w14:paraId="5F4C8362" w14:textId="77777777" w:rsidR="003510E1" w:rsidRPr="00F9715D" w:rsidRDefault="003510E1" w:rsidP="00784BA4">
            <w:pPr>
              <w:pStyle w:val="Body"/>
              <w:spacing w:before="45" w:after="91"/>
              <w:ind w:left="0"/>
              <w:jc w:val="center"/>
              <w:rPr>
                <w:color w:val="FFFFFF" w:themeColor="background1"/>
                <w:lang w:eastAsia="en-AU"/>
              </w:rPr>
            </w:pPr>
            <w:r>
              <w:rPr>
                <w:color w:val="FFFFFF" w:themeColor="background1"/>
                <w:lang w:eastAsia="en-AU"/>
              </w:rPr>
              <w:t>Large</w:t>
            </w:r>
          </w:p>
        </w:tc>
      </w:tr>
      <w:tr w:rsidR="003510E1" w14:paraId="30001544" w14:textId="77777777" w:rsidTr="009C20F1">
        <w:tc>
          <w:tcPr>
            <w:tcW w:w="1700"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00599C"/>
            <w:vAlign w:val="center"/>
          </w:tcPr>
          <w:p w14:paraId="16E264DD" w14:textId="77777777" w:rsidR="003510E1" w:rsidRDefault="003510E1" w:rsidP="009C20F1">
            <w:pPr>
              <w:pStyle w:val="Body"/>
              <w:spacing w:before="45" w:after="91"/>
              <w:ind w:left="0"/>
              <w:rPr>
                <w:lang w:eastAsia="en-AU"/>
              </w:rPr>
            </w:pPr>
            <w:r w:rsidRPr="00F9715D">
              <w:rPr>
                <w:color w:val="FFFFFF" w:themeColor="background1"/>
                <w:lang w:eastAsia="en-AU"/>
              </w:rPr>
              <w:t>Nutrient contributing land cover</w:t>
            </w: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99C"/>
          </w:tcPr>
          <w:p w14:paraId="06443619" w14:textId="77777777" w:rsidR="003510E1" w:rsidRPr="00F9715D" w:rsidRDefault="003510E1" w:rsidP="009C20F1">
            <w:pPr>
              <w:pStyle w:val="Body"/>
              <w:spacing w:before="45" w:after="91"/>
              <w:ind w:left="0"/>
              <w:rPr>
                <w:color w:val="FFFFFF" w:themeColor="background1"/>
                <w:lang w:eastAsia="en-AU"/>
              </w:rPr>
            </w:pPr>
            <w:r>
              <w:rPr>
                <w:color w:val="FFFFFF" w:themeColor="background1"/>
                <w:lang w:eastAsia="en-AU"/>
              </w:rPr>
              <w:t>Small</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DC1F53" w14:textId="77777777" w:rsidR="003510E1" w:rsidRDefault="003510E1" w:rsidP="009C20F1">
            <w:pPr>
              <w:pStyle w:val="Body"/>
              <w:spacing w:before="45" w:after="91"/>
              <w:ind w:left="0"/>
              <w:jc w:val="center"/>
              <w:rPr>
                <w:lang w:eastAsia="en-AU"/>
              </w:rPr>
            </w:pPr>
            <w:r>
              <w:rPr>
                <w:lang w:eastAsia="en-AU"/>
              </w:rPr>
              <w:t>Small</w:t>
            </w: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AA5624" w14:textId="77777777" w:rsidR="003510E1" w:rsidRDefault="003510E1" w:rsidP="009C20F1">
            <w:pPr>
              <w:pStyle w:val="Body"/>
              <w:spacing w:before="45" w:after="91"/>
              <w:ind w:left="0"/>
              <w:jc w:val="center"/>
              <w:rPr>
                <w:lang w:eastAsia="en-AU"/>
              </w:rPr>
            </w:pPr>
            <w:r>
              <w:rPr>
                <w:lang w:eastAsia="en-AU"/>
              </w:rPr>
              <w:t>Small</w:t>
            </w: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B79C9D" w14:textId="77777777" w:rsidR="003510E1" w:rsidRDefault="003510E1" w:rsidP="009C20F1">
            <w:pPr>
              <w:pStyle w:val="Body"/>
              <w:spacing w:before="45" w:after="91"/>
              <w:ind w:left="0"/>
              <w:jc w:val="center"/>
              <w:rPr>
                <w:lang w:eastAsia="en-AU"/>
              </w:rPr>
            </w:pPr>
            <w:r>
              <w:rPr>
                <w:lang w:eastAsia="en-AU"/>
              </w:rPr>
              <w:t>Moderate</w:t>
            </w:r>
          </w:p>
        </w:tc>
      </w:tr>
      <w:tr w:rsidR="003510E1" w14:paraId="6FBE5B6B" w14:textId="77777777" w:rsidTr="009C20F1">
        <w:tc>
          <w:tcPr>
            <w:tcW w:w="1700" w:type="dxa"/>
            <w:vMerge/>
            <w:tcBorders>
              <w:left w:val="single" w:sz="4" w:space="0" w:color="FFFFFF" w:themeColor="background1"/>
              <w:right w:val="single" w:sz="4" w:space="0" w:color="FFFFFF" w:themeColor="background1"/>
            </w:tcBorders>
            <w:shd w:val="clear" w:color="auto" w:fill="00599C"/>
          </w:tcPr>
          <w:p w14:paraId="0E3CB091" w14:textId="77777777" w:rsidR="003510E1" w:rsidRDefault="003510E1" w:rsidP="009C20F1">
            <w:pPr>
              <w:pStyle w:val="Body"/>
              <w:spacing w:before="45" w:after="91"/>
              <w:ind w:left="0"/>
              <w:rPr>
                <w:lang w:eastAsia="en-AU"/>
              </w:rPr>
            </w:pP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99C"/>
          </w:tcPr>
          <w:p w14:paraId="494E5C81" w14:textId="77777777" w:rsidR="003510E1" w:rsidRPr="00F9715D" w:rsidRDefault="003510E1" w:rsidP="009C20F1">
            <w:pPr>
              <w:pStyle w:val="Body"/>
              <w:spacing w:before="45" w:after="91"/>
              <w:ind w:left="0"/>
              <w:rPr>
                <w:color w:val="FFFFFF" w:themeColor="background1"/>
                <w:lang w:eastAsia="en-AU"/>
              </w:rPr>
            </w:pPr>
            <w:r w:rsidRPr="00F9715D">
              <w:rPr>
                <w:color w:val="FFFFFF" w:themeColor="background1"/>
                <w:lang w:eastAsia="en-AU"/>
              </w:rPr>
              <w:t>Moderate</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3F92AF" w14:textId="77777777" w:rsidR="003510E1" w:rsidRDefault="003510E1" w:rsidP="009C20F1">
            <w:pPr>
              <w:pStyle w:val="Body"/>
              <w:spacing w:before="45" w:after="91"/>
              <w:ind w:left="0"/>
              <w:jc w:val="center"/>
              <w:rPr>
                <w:lang w:eastAsia="en-AU"/>
              </w:rPr>
            </w:pPr>
            <w:r>
              <w:rPr>
                <w:lang w:eastAsia="en-AU"/>
              </w:rPr>
              <w:t>Small</w:t>
            </w: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EB2AE6" w14:textId="77777777" w:rsidR="003510E1" w:rsidRDefault="003510E1" w:rsidP="009C20F1">
            <w:pPr>
              <w:pStyle w:val="Body"/>
              <w:spacing w:before="45" w:after="91"/>
              <w:ind w:left="0"/>
              <w:jc w:val="center"/>
              <w:rPr>
                <w:lang w:eastAsia="en-AU"/>
              </w:rPr>
            </w:pPr>
            <w:r>
              <w:rPr>
                <w:lang w:eastAsia="en-AU"/>
              </w:rPr>
              <w:t>Moderate</w:t>
            </w: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D9A5E7" w14:textId="77777777" w:rsidR="003510E1" w:rsidRDefault="003510E1" w:rsidP="009C20F1">
            <w:pPr>
              <w:pStyle w:val="Body"/>
              <w:spacing w:before="45" w:after="91"/>
              <w:ind w:left="0"/>
              <w:jc w:val="center"/>
              <w:rPr>
                <w:lang w:eastAsia="en-AU"/>
              </w:rPr>
            </w:pPr>
            <w:r>
              <w:rPr>
                <w:lang w:eastAsia="en-AU"/>
              </w:rPr>
              <w:t>Large</w:t>
            </w:r>
          </w:p>
        </w:tc>
      </w:tr>
      <w:tr w:rsidR="003510E1" w14:paraId="2C7AE1AA" w14:textId="77777777" w:rsidTr="009C20F1">
        <w:tc>
          <w:tcPr>
            <w:tcW w:w="1700" w:type="dxa"/>
            <w:vMerge/>
            <w:tcBorders>
              <w:left w:val="single" w:sz="4" w:space="0" w:color="FFFFFF" w:themeColor="background1"/>
              <w:bottom w:val="single" w:sz="4" w:space="0" w:color="FFFFFF" w:themeColor="background1"/>
              <w:right w:val="single" w:sz="4" w:space="0" w:color="FFFFFF" w:themeColor="background1"/>
            </w:tcBorders>
            <w:shd w:val="clear" w:color="auto" w:fill="00599C"/>
          </w:tcPr>
          <w:p w14:paraId="74C6032A" w14:textId="77777777" w:rsidR="003510E1" w:rsidRDefault="003510E1" w:rsidP="009C20F1">
            <w:pPr>
              <w:pStyle w:val="Body"/>
              <w:spacing w:before="45" w:after="91"/>
              <w:ind w:left="0"/>
              <w:rPr>
                <w:lang w:eastAsia="en-AU"/>
              </w:rPr>
            </w:pP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99C"/>
          </w:tcPr>
          <w:p w14:paraId="6B7466A7" w14:textId="77777777" w:rsidR="003510E1" w:rsidRPr="00F9715D" w:rsidRDefault="003510E1" w:rsidP="009C20F1">
            <w:pPr>
              <w:pStyle w:val="Body"/>
              <w:spacing w:before="45" w:after="91"/>
              <w:ind w:left="0"/>
              <w:rPr>
                <w:color w:val="FFFFFF" w:themeColor="background1"/>
                <w:lang w:eastAsia="en-AU"/>
              </w:rPr>
            </w:pPr>
            <w:r>
              <w:rPr>
                <w:color w:val="FFFFFF" w:themeColor="background1"/>
                <w:lang w:eastAsia="en-AU"/>
              </w:rPr>
              <w:t>Large</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93135F" w14:textId="77777777" w:rsidR="003510E1" w:rsidRDefault="003510E1" w:rsidP="009C20F1">
            <w:pPr>
              <w:pStyle w:val="Body"/>
              <w:spacing w:before="45" w:after="91"/>
              <w:ind w:left="0"/>
              <w:jc w:val="center"/>
              <w:rPr>
                <w:lang w:eastAsia="en-AU"/>
              </w:rPr>
            </w:pPr>
            <w:r>
              <w:rPr>
                <w:lang w:eastAsia="en-AU"/>
              </w:rPr>
              <w:t>Moderate</w:t>
            </w: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5B0359" w14:textId="77777777" w:rsidR="003510E1" w:rsidRDefault="003510E1" w:rsidP="009C20F1">
            <w:pPr>
              <w:pStyle w:val="Body"/>
              <w:spacing w:before="45" w:after="91"/>
              <w:ind w:left="0"/>
              <w:jc w:val="center"/>
              <w:rPr>
                <w:lang w:eastAsia="en-AU"/>
              </w:rPr>
            </w:pPr>
            <w:r>
              <w:rPr>
                <w:lang w:eastAsia="en-AU"/>
              </w:rPr>
              <w:t>Large</w:t>
            </w: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9C2D19" w14:textId="77777777" w:rsidR="003510E1" w:rsidRDefault="003510E1" w:rsidP="009C20F1">
            <w:pPr>
              <w:pStyle w:val="Body"/>
              <w:spacing w:before="45" w:after="91"/>
              <w:ind w:left="0"/>
              <w:jc w:val="center"/>
              <w:rPr>
                <w:lang w:eastAsia="en-AU"/>
              </w:rPr>
            </w:pPr>
            <w:r>
              <w:rPr>
                <w:lang w:eastAsia="en-AU"/>
              </w:rPr>
              <w:t>Large</w:t>
            </w:r>
          </w:p>
        </w:tc>
      </w:tr>
    </w:tbl>
    <w:p w14:paraId="012FF879" w14:textId="77777777" w:rsidR="003510E1" w:rsidRDefault="003510E1" w:rsidP="00441B5A">
      <w:pPr>
        <w:pStyle w:val="Body"/>
        <w:rPr>
          <w:lang w:eastAsia="en-AU"/>
        </w:rPr>
      </w:pPr>
    </w:p>
    <w:p w14:paraId="285BF8E6" w14:textId="77777777" w:rsidR="00C00E95" w:rsidRDefault="00C00E95" w:rsidP="00441B5A">
      <w:pPr>
        <w:pStyle w:val="Body"/>
        <w:rPr>
          <w:lang w:eastAsia="en-AU"/>
        </w:rPr>
      </w:pPr>
      <w:r>
        <w:rPr>
          <w:lang w:eastAsia="en-AU"/>
        </w:rPr>
        <w:t xml:space="preserve">For example, </w:t>
      </w:r>
      <w:r w:rsidR="00332515">
        <w:rPr>
          <w:lang w:eastAsia="en-AU"/>
        </w:rPr>
        <w:t xml:space="preserve">a WWTP </w:t>
      </w:r>
      <w:r>
        <w:rPr>
          <w:lang w:eastAsia="en-AU"/>
        </w:rPr>
        <w:t xml:space="preserve">discharge is </w:t>
      </w:r>
      <w:r w:rsidR="003510E1">
        <w:rPr>
          <w:lang w:eastAsia="en-AU"/>
        </w:rPr>
        <w:t xml:space="preserve">categorised as </w:t>
      </w:r>
      <w:r>
        <w:rPr>
          <w:lang w:eastAsia="en-AU"/>
        </w:rPr>
        <w:t xml:space="preserve">having a </w:t>
      </w:r>
      <w:r w:rsidR="003510E1">
        <w:rPr>
          <w:lang w:eastAsia="en-AU"/>
        </w:rPr>
        <w:t xml:space="preserve">“small” </w:t>
      </w:r>
      <w:r w:rsidR="0080604E">
        <w:rPr>
          <w:lang w:eastAsia="en-AU"/>
        </w:rPr>
        <w:t xml:space="preserve">contribution to </w:t>
      </w:r>
      <w:r>
        <w:rPr>
          <w:lang w:eastAsia="en-AU"/>
        </w:rPr>
        <w:t>water quality within the receiving environment if the catchment contains more than 70% nutrient contributing land cover</w:t>
      </w:r>
      <w:r w:rsidR="003510E1">
        <w:rPr>
          <w:lang w:eastAsia="en-AU"/>
        </w:rPr>
        <w:t xml:space="preserve">, and the overall discharge quantity is less than 0.1% of the receiving environment flow rate.  Similarly, a WWTP is categorised as having a “large” contribution to water quality if the catchment contains less than 30% nutrient contributing land cover and the overall discharge quantity is greater than 1% of the receiving environment flow rate.  </w:t>
      </w:r>
    </w:p>
    <w:p w14:paraId="6B685935" w14:textId="77777777" w:rsidR="00C00E95" w:rsidRDefault="00C00E95" w:rsidP="00441B5A">
      <w:pPr>
        <w:pStyle w:val="Body"/>
        <w:rPr>
          <w:lang w:eastAsia="en-AU"/>
        </w:rPr>
      </w:pPr>
    </w:p>
    <w:p w14:paraId="1D3340CD" w14:textId="77777777" w:rsidR="00883B7B" w:rsidRDefault="00883B7B" w:rsidP="00883B7B">
      <w:pPr>
        <w:pStyle w:val="Heading1"/>
        <w:rPr>
          <w:lang w:eastAsia="en-AU"/>
        </w:rPr>
      </w:pPr>
      <w:bookmarkStart w:id="229" w:name="_Ref523914951"/>
      <w:bookmarkStart w:id="230" w:name="_Toc527638645"/>
      <w:r>
        <w:rPr>
          <w:lang w:eastAsia="en-AU"/>
        </w:rPr>
        <w:t>Impact of wastewater network overflows and case studies</w:t>
      </w:r>
      <w:bookmarkEnd w:id="229"/>
      <w:bookmarkEnd w:id="230"/>
    </w:p>
    <w:p w14:paraId="5249C1FA" w14:textId="77777777" w:rsidR="00332515" w:rsidRDefault="002737C0" w:rsidP="003D4DD8">
      <w:pPr>
        <w:pStyle w:val="Heading2"/>
        <w:rPr>
          <w:lang w:eastAsia="en-AU"/>
        </w:rPr>
      </w:pPr>
      <w:bookmarkStart w:id="231" w:name="_Toc523226701"/>
      <w:bookmarkStart w:id="232" w:name="_Toc527638646"/>
      <w:bookmarkStart w:id="233" w:name="_Ref516058352"/>
      <w:bookmarkEnd w:id="231"/>
      <w:r>
        <w:rPr>
          <w:lang w:eastAsia="en-AU"/>
        </w:rPr>
        <w:t>Wastewater network overflows</w:t>
      </w:r>
      <w:bookmarkEnd w:id="232"/>
    </w:p>
    <w:p w14:paraId="72A374ED" w14:textId="77777777" w:rsidR="00205EEB" w:rsidRDefault="00215172" w:rsidP="00A352AD">
      <w:pPr>
        <w:pStyle w:val="Body"/>
        <w:rPr>
          <w:lang w:eastAsia="en-AU"/>
        </w:rPr>
      </w:pPr>
      <w:r>
        <w:rPr>
          <w:lang w:eastAsia="en-AU"/>
        </w:rPr>
        <w:t xml:space="preserve">As outlined in section </w:t>
      </w:r>
      <w:r>
        <w:rPr>
          <w:lang w:eastAsia="en-AU"/>
        </w:rPr>
        <w:fldChar w:fldCharType="begin"/>
      </w:r>
      <w:r>
        <w:rPr>
          <w:lang w:eastAsia="en-AU"/>
        </w:rPr>
        <w:instrText xml:space="preserve"> REF _Ref515011441 \r \h </w:instrText>
      </w:r>
      <w:r>
        <w:rPr>
          <w:lang w:eastAsia="en-AU"/>
        </w:rPr>
      </w:r>
      <w:r>
        <w:rPr>
          <w:lang w:eastAsia="en-AU"/>
        </w:rPr>
        <w:fldChar w:fldCharType="separate"/>
      </w:r>
      <w:r w:rsidR="002777A8">
        <w:rPr>
          <w:lang w:eastAsia="en-AU"/>
        </w:rPr>
        <w:t>3.3</w:t>
      </w:r>
      <w:r>
        <w:rPr>
          <w:lang w:eastAsia="en-AU"/>
        </w:rPr>
        <w:fldChar w:fldCharType="end"/>
      </w:r>
      <w:r>
        <w:rPr>
          <w:lang w:eastAsia="en-AU"/>
        </w:rPr>
        <w:t xml:space="preserve"> discharges from wastewater networks tend to be infrequent and in the case of </w:t>
      </w:r>
      <w:r w:rsidR="00617DC3">
        <w:rPr>
          <w:lang w:eastAsia="en-AU"/>
        </w:rPr>
        <w:t xml:space="preserve">wet weather overflows </w:t>
      </w:r>
      <w:r>
        <w:rPr>
          <w:lang w:eastAsia="en-AU"/>
        </w:rPr>
        <w:t>occur in periods when receiving environments are in high flow conditions.</w:t>
      </w:r>
      <w:r w:rsidR="00983200">
        <w:rPr>
          <w:lang w:eastAsia="en-AU"/>
        </w:rPr>
        <w:t xml:space="preserve"> Where overflows are occurring within an urban environment contaminants from many other sources are also being washed into streams and rivers at the same time</w:t>
      </w:r>
      <w:r w:rsidR="002219D3">
        <w:rPr>
          <w:lang w:eastAsia="en-AU"/>
        </w:rPr>
        <w:t>. Some common sources of pollutants similar to those carried in wastewater</w:t>
      </w:r>
      <w:r w:rsidR="00113B8F">
        <w:rPr>
          <w:lang w:eastAsia="en-AU"/>
        </w:rPr>
        <w:t xml:space="preserve"> </w:t>
      </w:r>
      <w:r w:rsidR="00113B8F" w:rsidRPr="00113B8F">
        <w:rPr>
          <w:lang w:eastAsia="en-AU"/>
        </w:rPr>
        <w:t>(</w:t>
      </w:r>
      <w:r w:rsidR="00113B8F">
        <w:rPr>
          <w:lang w:eastAsia="en-AU"/>
        </w:rPr>
        <w:t xml:space="preserve">e.g. </w:t>
      </w:r>
      <w:r w:rsidR="00113B8F" w:rsidRPr="00A27F3D">
        <w:rPr>
          <w:i/>
          <w:lang w:eastAsia="en-AU"/>
        </w:rPr>
        <w:t xml:space="preserve">E. </w:t>
      </w:r>
      <w:r w:rsidR="001F14F8" w:rsidRPr="00A27F3D">
        <w:rPr>
          <w:i/>
          <w:lang w:eastAsia="en-AU"/>
        </w:rPr>
        <w:t>coli</w:t>
      </w:r>
      <w:r w:rsidR="00113B8F">
        <w:rPr>
          <w:lang w:eastAsia="en-AU"/>
        </w:rPr>
        <w:t>)</w:t>
      </w:r>
      <w:r w:rsidR="002219D3" w:rsidDel="00113B8F">
        <w:rPr>
          <w:lang w:eastAsia="en-AU"/>
        </w:rPr>
        <w:t xml:space="preserve"> </w:t>
      </w:r>
      <w:r w:rsidR="002219D3">
        <w:rPr>
          <w:lang w:eastAsia="en-AU"/>
        </w:rPr>
        <w:t>include dog and bird faeces</w:t>
      </w:r>
      <w:r w:rsidR="002219D3" w:rsidDel="00113B8F">
        <w:rPr>
          <w:lang w:eastAsia="en-AU"/>
        </w:rPr>
        <w:t xml:space="preserve"> </w:t>
      </w:r>
      <w:r w:rsidR="002219D3">
        <w:rPr>
          <w:lang w:eastAsia="en-AU"/>
        </w:rPr>
        <w:t xml:space="preserve">and fertilizers. While </w:t>
      </w:r>
      <w:r w:rsidR="00617DC3">
        <w:rPr>
          <w:lang w:eastAsia="en-AU"/>
        </w:rPr>
        <w:t xml:space="preserve">wet weather overflows </w:t>
      </w:r>
      <w:r w:rsidR="002219D3">
        <w:rPr>
          <w:lang w:eastAsia="en-AU"/>
        </w:rPr>
        <w:t>do contribute in part to contamination</w:t>
      </w:r>
      <w:r w:rsidR="00205EEB">
        <w:rPr>
          <w:lang w:eastAsia="en-AU"/>
        </w:rPr>
        <w:t xml:space="preserve"> during th</w:t>
      </w:r>
      <w:r w:rsidR="002219D3">
        <w:rPr>
          <w:lang w:eastAsia="en-AU"/>
        </w:rPr>
        <w:t xml:space="preserve">ese high flow events, the effect on fresh water quality is </w:t>
      </w:r>
      <w:r w:rsidR="00113B8F">
        <w:rPr>
          <w:lang w:eastAsia="en-AU"/>
        </w:rPr>
        <w:t xml:space="preserve">often </w:t>
      </w:r>
      <w:r w:rsidR="002219D3">
        <w:rPr>
          <w:lang w:eastAsia="en-AU"/>
        </w:rPr>
        <w:t>short term with contaminants being washed through the system rapidly. For the remainder of time</w:t>
      </w:r>
      <w:r w:rsidR="006031B3">
        <w:rPr>
          <w:lang w:eastAsia="en-AU"/>
        </w:rPr>
        <w:t>,</w:t>
      </w:r>
      <w:r w:rsidR="002219D3">
        <w:rPr>
          <w:lang w:eastAsia="en-AU"/>
        </w:rPr>
        <w:t xml:space="preserve"> contamination of urban waterways is associated with stormwater and </w:t>
      </w:r>
      <w:r w:rsidR="00C46181">
        <w:rPr>
          <w:lang w:eastAsia="en-AU"/>
        </w:rPr>
        <w:t>direct inputs in dry conditions e.g</w:t>
      </w:r>
      <w:r w:rsidR="00113B8F">
        <w:rPr>
          <w:lang w:eastAsia="en-AU"/>
        </w:rPr>
        <w:t>.</w:t>
      </w:r>
      <w:r w:rsidR="00C46181">
        <w:rPr>
          <w:lang w:eastAsia="en-AU"/>
        </w:rPr>
        <w:t xml:space="preserve"> from ducks. </w:t>
      </w:r>
    </w:p>
    <w:p w14:paraId="03C99187" w14:textId="77777777" w:rsidR="00022DC9" w:rsidRPr="00332515" w:rsidRDefault="00C46181" w:rsidP="008324F9">
      <w:pPr>
        <w:pStyle w:val="Body"/>
        <w:rPr>
          <w:lang w:eastAsia="en-AU"/>
        </w:rPr>
      </w:pPr>
      <w:r>
        <w:rPr>
          <w:lang w:eastAsia="en-AU"/>
        </w:rPr>
        <w:t xml:space="preserve">A study completed in 2015 by </w:t>
      </w:r>
      <w:r w:rsidR="00921A17">
        <w:rPr>
          <w:lang w:eastAsia="en-AU"/>
        </w:rPr>
        <w:t xml:space="preserve">Christchurch City Council </w:t>
      </w:r>
      <w:r>
        <w:rPr>
          <w:lang w:eastAsia="en-AU"/>
        </w:rPr>
        <w:t xml:space="preserve">has been included as a </w:t>
      </w:r>
      <w:r w:rsidR="003F6436">
        <w:rPr>
          <w:lang w:eastAsia="en-AU"/>
        </w:rPr>
        <w:t xml:space="preserve">brief </w:t>
      </w:r>
      <w:r>
        <w:rPr>
          <w:lang w:eastAsia="en-AU"/>
        </w:rPr>
        <w:t xml:space="preserve">summary in section </w:t>
      </w:r>
      <w:r>
        <w:rPr>
          <w:lang w:eastAsia="en-AU"/>
        </w:rPr>
        <w:fldChar w:fldCharType="begin"/>
      </w:r>
      <w:r>
        <w:rPr>
          <w:lang w:eastAsia="en-AU"/>
        </w:rPr>
        <w:instrText xml:space="preserve"> REF _Ref516828658 \r \h </w:instrText>
      </w:r>
      <w:r>
        <w:rPr>
          <w:lang w:eastAsia="en-AU"/>
        </w:rPr>
      </w:r>
      <w:r>
        <w:rPr>
          <w:lang w:eastAsia="en-AU"/>
        </w:rPr>
        <w:fldChar w:fldCharType="separate"/>
      </w:r>
      <w:r w:rsidR="002777A8">
        <w:rPr>
          <w:lang w:eastAsia="en-AU"/>
        </w:rPr>
        <w:t>5.1.1</w:t>
      </w:r>
      <w:r>
        <w:rPr>
          <w:lang w:eastAsia="en-AU"/>
        </w:rPr>
        <w:fldChar w:fldCharType="end"/>
      </w:r>
      <w:r>
        <w:rPr>
          <w:lang w:eastAsia="en-AU"/>
        </w:rPr>
        <w:t xml:space="preserve"> to provide context on the relative </w:t>
      </w:r>
      <w:r w:rsidR="00D01D39">
        <w:rPr>
          <w:lang w:eastAsia="en-AU"/>
        </w:rPr>
        <w:t xml:space="preserve">inputs </w:t>
      </w:r>
      <w:r>
        <w:rPr>
          <w:lang w:eastAsia="en-AU"/>
        </w:rPr>
        <w:t xml:space="preserve">from wastewater overflows as compared to other faecal sources. The study supports the premise that inputs from </w:t>
      </w:r>
      <w:r w:rsidR="003774ED">
        <w:rPr>
          <w:lang w:eastAsia="en-AU"/>
        </w:rPr>
        <w:t xml:space="preserve">wet weather overflows </w:t>
      </w:r>
      <w:r w:rsidR="006031B3">
        <w:rPr>
          <w:lang w:eastAsia="en-AU"/>
        </w:rPr>
        <w:t xml:space="preserve">can be </w:t>
      </w:r>
      <w:r>
        <w:rPr>
          <w:lang w:eastAsia="en-AU"/>
        </w:rPr>
        <w:t>relatively minor contributors to receiving water quality.</w:t>
      </w:r>
    </w:p>
    <w:p w14:paraId="66E08B08" w14:textId="77777777" w:rsidR="00195670" w:rsidRDefault="00195670" w:rsidP="00545D03">
      <w:pPr>
        <w:pStyle w:val="Heading3"/>
        <w:rPr>
          <w:lang w:eastAsia="en-AU"/>
        </w:rPr>
      </w:pPr>
      <w:bookmarkStart w:id="234" w:name="_Ref516828658"/>
      <w:r>
        <w:rPr>
          <w:lang w:eastAsia="en-AU"/>
        </w:rPr>
        <w:lastRenderedPageBreak/>
        <w:t xml:space="preserve">CCC </w:t>
      </w:r>
      <w:r w:rsidR="00B52A53">
        <w:rPr>
          <w:lang w:eastAsia="en-AU"/>
        </w:rPr>
        <w:t xml:space="preserve">study </w:t>
      </w:r>
      <w:r w:rsidR="00545D03">
        <w:rPr>
          <w:lang w:eastAsia="en-AU"/>
        </w:rPr>
        <w:t xml:space="preserve">on </w:t>
      </w:r>
      <w:r w:rsidR="002C3FCF">
        <w:rPr>
          <w:lang w:eastAsia="en-AU"/>
        </w:rPr>
        <w:t>faecal mapping</w:t>
      </w:r>
      <w:bookmarkEnd w:id="233"/>
      <w:bookmarkEnd w:id="234"/>
    </w:p>
    <w:p w14:paraId="4F42AB70" w14:textId="77777777" w:rsidR="00761B90" w:rsidRDefault="00FD25B5" w:rsidP="00FE41BC">
      <w:pPr>
        <w:pStyle w:val="Body"/>
        <w:rPr>
          <w:lang w:eastAsia="en-AU"/>
        </w:rPr>
      </w:pPr>
      <w:r>
        <w:rPr>
          <w:lang w:eastAsia="en-AU"/>
        </w:rPr>
        <w:t>The Institute of Env</w:t>
      </w:r>
      <w:r w:rsidR="00E821E0">
        <w:rPr>
          <w:lang w:eastAsia="en-AU"/>
        </w:rPr>
        <w:t>iron</w:t>
      </w:r>
      <w:r>
        <w:rPr>
          <w:lang w:eastAsia="en-AU"/>
        </w:rPr>
        <w:t xml:space="preserve">mental Science and Research Limited (ESR) completed a study for </w:t>
      </w:r>
      <w:r w:rsidR="003774ED">
        <w:rPr>
          <w:lang w:eastAsia="en-AU"/>
        </w:rPr>
        <w:t xml:space="preserve">Christchurch City Council </w:t>
      </w:r>
      <w:r>
        <w:rPr>
          <w:lang w:eastAsia="en-AU"/>
        </w:rPr>
        <w:t>in 2015 that investigated the sources of faec</w:t>
      </w:r>
      <w:r w:rsidR="00C46181">
        <w:rPr>
          <w:lang w:eastAsia="en-AU"/>
        </w:rPr>
        <w:t>al indicator bacteria</w:t>
      </w:r>
      <w:r>
        <w:rPr>
          <w:lang w:eastAsia="en-AU"/>
        </w:rPr>
        <w:t xml:space="preserve"> found in samples taken from Christchurch Rivers.</w:t>
      </w:r>
      <w:r w:rsidR="00E821E0">
        <w:rPr>
          <w:lang w:eastAsia="en-AU"/>
        </w:rPr>
        <w:t xml:space="preserve"> </w:t>
      </w:r>
      <w:r w:rsidR="00E821E0" w:rsidRPr="00E821E0">
        <w:rPr>
          <w:lang w:eastAsia="en-AU"/>
        </w:rPr>
        <w:t>In this study, six water samples were collected from nine sites between 16th April 2015 and 11th September 2015.</w:t>
      </w:r>
      <w:r w:rsidR="00E821E0">
        <w:rPr>
          <w:lang w:eastAsia="en-AU"/>
        </w:rPr>
        <w:t xml:space="preserve"> The samples were taken</w:t>
      </w:r>
      <w:r w:rsidR="00761B90">
        <w:rPr>
          <w:lang w:eastAsia="en-AU"/>
        </w:rPr>
        <w:t xml:space="preserve"> during base flow conditions and</w:t>
      </w:r>
      <w:r w:rsidR="00E821E0">
        <w:rPr>
          <w:lang w:eastAsia="en-AU"/>
        </w:rPr>
        <w:t xml:space="preserve"> after rainfall</w:t>
      </w:r>
      <w:r w:rsidR="00761B90">
        <w:rPr>
          <w:lang w:eastAsia="en-AU"/>
        </w:rPr>
        <w:t>. This allowed for</w:t>
      </w:r>
      <w:r w:rsidR="00E821E0">
        <w:rPr>
          <w:lang w:eastAsia="en-AU"/>
        </w:rPr>
        <w:t xml:space="preserve"> analysis of the relative contribution of </w:t>
      </w:r>
      <w:r w:rsidR="00E124A0">
        <w:rPr>
          <w:lang w:eastAsia="en-AU"/>
        </w:rPr>
        <w:t xml:space="preserve">direct contamination (e.g. from ducks), </w:t>
      </w:r>
      <w:r w:rsidR="00E821E0">
        <w:rPr>
          <w:lang w:eastAsia="en-AU"/>
        </w:rPr>
        <w:t xml:space="preserve">stormwater related inputs </w:t>
      </w:r>
      <w:r w:rsidR="00E124A0">
        <w:rPr>
          <w:lang w:eastAsia="en-AU"/>
        </w:rPr>
        <w:t>such as dog faeces being washed in,</w:t>
      </w:r>
      <w:r w:rsidR="00761B90">
        <w:rPr>
          <w:lang w:eastAsia="en-AU"/>
        </w:rPr>
        <w:t xml:space="preserve"> and </w:t>
      </w:r>
      <w:r w:rsidR="003F6436">
        <w:rPr>
          <w:lang w:eastAsia="en-AU"/>
        </w:rPr>
        <w:t xml:space="preserve">human sources from </w:t>
      </w:r>
      <w:r w:rsidR="00761B90">
        <w:rPr>
          <w:lang w:eastAsia="en-AU"/>
        </w:rPr>
        <w:t xml:space="preserve">wastewater network overflows. </w:t>
      </w:r>
    </w:p>
    <w:p w14:paraId="4BB7D95A" w14:textId="77777777" w:rsidR="00FE41BC" w:rsidRDefault="00D13864" w:rsidP="00704766">
      <w:pPr>
        <w:pStyle w:val="Body"/>
        <w:rPr>
          <w:lang w:eastAsia="en-AU"/>
        </w:rPr>
      </w:pPr>
      <w:r>
        <w:rPr>
          <w:lang w:eastAsia="en-AU"/>
        </w:rPr>
        <w:t xml:space="preserve">The 2015 study followed earlier studies completed prior to and post the Canterbury earthquake. </w:t>
      </w:r>
      <w:r w:rsidR="00E124A0">
        <w:rPr>
          <w:lang w:eastAsia="en-AU"/>
        </w:rPr>
        <w:t xml:space="preserve">The </w:t>
      </w:r>
      <w:r>
        <w:rPr>
          <w:lang w:eastAsia="en-AU"/>
        </w:rPr>
        <w:t xml:space="preserve">2015 </w:t>
      </w:r>
      <w:r w:rsidR="00E124A0">
        <w:rPr>
          <w:lang w:eastAsia="en-AU"/>
        </w:rPr>
        <w:t xml:space="preserve">study found that </w:t>
      </w:r>
      <w:r w:rsidR="00761B90" w:rsidRPr="00154893">
        <w:rPr>
          <w:i/>
          <w:lang w:eastAsia="en-AU"/>
        </w:rPr>
        <w:t xml:space="preserve">E. </w:t>
      </w:r>
      <w:r w:rsidR="001F14F8">
        <w:rPr>
          <w:i/>
          <w:lang w:eastAsia="en-AU"/>
        </w:rPr>
        <w:t>coli</w:t>
      </w:r>
      <w:r w:rsidR="00761B90" w:rsidRPr="00761B90">
        <w:rPr>
          <w:lang w:eastAsia="en-AU"/>
        </w:rPr>
        <w:t xml:space="preserve"> levels in the water samples </w:t>
      </w:r>
      <w:r w:rsidR="00E124A0">
        <w:rPr>
          <w:lang w:eastAsia="en-AU"/>
        </w:rPr>
        <w:t>exceeded</w:t>
      </w:r>
      <w:r w:rsidR="00761B90" w:rsidRPr="00761B90">
        <w:rPr>
          <w:lang w:eastAsia="en-AU"/>
        </w:rPr>
        <w:t xml:space="preserve"> recreational water guideline values on a number of occasions during base flow, and after rainfall almost all samples exceeded recreational water guideline values.</w:t>
      </w:r>
    </w:p>
    <w:p w14:paraId="671A4096" w14:textId="77777777" w:rsidR="0006154E" w:rsidRDefault="0006154E" w:rsidP="00704766">
      <w:pPr>
        <w:pStyle w:val="Body"/>
        <w:rPr>
          <w:lang w:eastAsia="en-AU"/>
        </w:rPr>
      </w:pPr>
      <w:r w:rsidRPr="0006154E">
        <w:rPr>
          <w:lang w:eastAsia="en-AU"/>
        </w:rPr>
        <w:t xml:space="preserve">The microbial indicators and pathogens studied were </w:t>
      </w:r>
      <w:r w:rsidRPr="00154893">
        <w:rPr>
          <w:i/>
          <w:lang w:eastAsia="en-AU"/>
        </w:rPr>
        <w:t xml:space="preserve">E. </w:t>
      </w:r>
      <w:r w:rsidR="001F14F8">
        <w:rPr>
          <w:i/>
          <w:lang w:eastAsia="en-AU"/>
        </w:rPr>
        <w:t>coli</w:t>
      </w:r>
      <w:r w:rsidRPr="0006154E">
        <w:rPr>
          <w:lang w:eastAsia="en-AU"/>
        </w:rPr>
        <w:t xml:space="preserve">, enterococci, Campylobacter spp. </w:t>
      </w:r>
      <w:r w:rsidR="0044235E">
        <w:rPr>
          <w:lang w:eastAsia="en-AU"/>
        </w:rPr>
        <w:t>and</w:t>
      </w:r>
      <w:r w:rsidRPr="0006154E">
        <w:rPr>
          <w:lang w:eastAsia="en-AU"/>
        </w:rPr>
        <w:t xml:space="preserve"> as </w:t>
      </w:r>
      <w:r>
        <w:rPr>
          <w:lang w:eastAsia="en-AU"/>
        </w:rPr>
        <w:t>faecal source tracking</w:t>
      </w:r>
      <w:r w:rsidR="0044235E">
        <w:rPr>
          <w:lang w:eastAsia="en-AU"/>
        </w:rPr>
        <w:t xml:space="preserve"> was undertaken</w:t>
      </w:r>
      <w:r>
        <w:rPr>
          <w:lang w:eastAsia="en-AU"/>
        </w:rPr>
        <w:t xml:space="preserve"> </w:t>
      </w:r>
      <w:r w:rsidRPr="0006154E">
        <w:rPr>
          <w:lang w:eastAsia="en-AU"/>
        </w:rPr>
        <w:t xml:space="preserve">to determine the source of the faecal pollution. </w:t>
      </w:r>
    </w:p>
    <w:p w14:paraId="752CB419" w14:textId="77777777" w:rsidR="001425E2" w:rsidRDefault="003774ED" w:rsidP="00611988">
      <w:pPr>
        <w:pStyle w:val="Body"/>
        <w:rPr>
          <w:lang w:eastAsia="en-AU"/>
        </w:rPr>
      </w:pPr>
      <w:r>
        <w:rPr>
          <w:lang w:eastAsia="en-AU"/>
        </w:rPr>
        <w:t>The study outcomes are useful because they</w:t>
      </w:r>
      <w:r w:rsidR="003F6436">
        <w:rPr>
          <w:lang w:eastAsia="en-AU"/>
        </w:rPr>
        <w:t xml:space="preserve"> show</w:t>
      </w:r>
      <w:r>
        <w:rPr>
          <w:lang w:eastAsia="en-AU"/>
        </w:rPr>
        <w:t xml:space="preserve"> the contribution of human faecal </w:t>
      </w:r>
      <w:r w:rsidR="003F6436">
        <w:rPr>
          <w:lang w:eastAsia="en-AU"/>
        </w:rPr>
        <w:t>matter in Christchurch Rivers</w:t>
      </w:r>
      <w:r>
        <w:rPr>
          <w:lang w:eastAsia="en-AU"/>
        </w:rPr>
        <w:t xml:space="preserve"> to be relatively low when compared to other sources. The study showed a predominance of wildfowl sources during base flow conditions.  Following rainfall </w:t>
      </w:r>
      <w:r w:rsidR="00611988">
        <w:rPr>
          <w:lang w:eastAsia="en-AU"/>
        </w:rPr>
        <w:t xml:space="preserve">wildfowl </w:t>
      </w:r>
      <w:r>
        <w:rPr>
          <w:lang w:eastAsia="en-AU"/>
        </w:rPr>
        <w:t xml:space="preserve">and canine sources </w:t>
      </w:r>
      <w:r w:rsidR="003F6436">
        <w:rPr>
          <w:lang w:eastAsia="en-AU"/>
        </w:rPr>
        <w:t xml:space="preserve">generally </w:t>
      </w:r>
      <w:r>
        <w:rPr>
          <w:lang w:eastAsia="en-AU"/>
        </w:rPr>
        <w:t>dominate</w:t>
      </w:r>
      <w:r w:rsidR="0044235E">
        <w:rPr>
          <w:lang w:eastAsia="en-AU"/>
        </w:rPr>
        <w:t>d</w:t>
      </w:r>
      <w:r>
        <w:rPr>
          <w:lang w:eastAsia="en-AU"/>
        </w:rPr>
        <w:t xml:space="preserve"> and </w:t>
      </w:r>
      <w:r w:rsidR="003F6436">
        <w:rPr>
          <w:lang w:eastAsia="en-AU"/>
        </w:rPr>
        <w:t xml:space="preserve">these </w:t>
      </w:r>
      <w:r w:rsidR="0044235E">
        <w:rPr>
          <w:lang w:eastAsia="en-AU"/>
        </w:rPr>
        <w:t xml:space="preserve">were </w:t>
      </w:r>
      <w:r>
        <w:rPr>
          <w:lang w:eastAsia="en-AU"/>
        </w:rPr>
        <w:t xml:space="preserve">supplemented with </w:t>
      </w:r>
      <w:r w:rsidR="003F6436">
        <w:rPr>
          <w:lang w:eastAsia="en-AU"/>
        </w:rPr>
        <w:t xml:space="preserve">human, </w:t>
      </w:r>
      <w:r w:rsidR="00611988">
        <w:rPr>
          <w:lang w:eastAsia="en-AU"/>
        </w:rPr>
        <w:t>ruminant and poultry sources</w:t>
      </w:r>
      <w:r>
        <w:rPr>
          <w:lang w:eastAsia="en-AU"/>
        </w:rPr>
        <w:t>.</w:t>
      </w:r>
      <w:r w:rsidR="001425E2">
        <w:rPr>
          <w:lang w:eastAsia="en-AU"/>
        </w:rPr>
        <w:t xml:space="preserve"> </w:t>
      </w:r>
      <w:r w:rsidR="0044235E">
        <w:rPr>
          <w:lang w:eastAsia="en-AU"/>
        </w:rPr>
        <w:t>The study indicated that r</w:t>
      </w:r>
      <w:r w:rsidR="001425E2">
        <w:rPr>
          <w:lang w:eastAsia="en-AU"/>
        </w:rPr>
        <w:t xml:space="preserve">emoval of wastewater overflows will not remove faecal contamination in Christchurch rivers. </w:t>
      </w:r>
    </w:p>
    <w:p w14:paraId="4F061BB7" w14:textId="77777777" w:rsidR="00611988" w:rsidRDefault="001425E2" w:rsidP="00611988">
      <w:pPr>
        <w:pStyle w:val="Body"/>
        <w:rPr>
          <w:lang w:eastAsia="en-AU"/>
        </w:rPr>
      </w:pPr>
      <w:r>
        <w:rPr>
          <w:lang w:eastAsia="en-AU"/>
        </w:rPr>
        <w:t>As for many other centres</w:t>
      </w:r>
      <w:r w:rsidR="00DE0AF9">
        <w:rPr>
          <w:lang w:eastAsia="en-AU"/>
        </w:rPr>
        <w:t xml:space="preserve"> (refer </w:t>
      </w:r>
      <w:r w:rsidR="00DE0AF9">
        <w:rPr>
          <w:lang w:eastAsia="en-AU"/>
        </w:rPr>
        <w:fldChar w:fldCharType="begin"/>
      </w:r>
      <w:r w:rsidR="00DE0AF9">
        <w:rPr>
          <w:lang w:eastAsia="en-AU"/>
        </w:rPr>
        <w:instrText xml:space="preserve"> REF _Ref518650521 \n \h </w:instrText>
      </w:r>
      <w:r w:rsidR="00DE0AF9">
        <w:rPr>
          <w:lang w:eastAsia="en-AU"/>
        </w:rPr>
      </w:r>
      <w:r w:rsidR="00DE0AF9">
        <w:rPr>
          <w:lang w:eastAsia="en-AU"/>
        </w:rPr>
        <w:fldChar w:fldCharType="separate"/>
      </w:r>
      <w:r w:rsidR="002777A8">
        <w:rPr>
          <w:lang w:eastAsia="en-AU"/>
        </w:rPr>
        <w:t>Appendix C</w:t>
      </w:r>
      <w:r w:rsidR="00DE0AF9">
        <w:rPr>
          <w:lang w:eastAsia="en-AU"/>
        </w:rPr>
        <w:fldChar w:fldCharType="end"/>
      </w:r>
      <w:r w:rsidR="00DE0AF9">
        <w:rPr>
          <w:lang w:eastAsia="en-AU"/>
        </w:rPr>
        <w:t xml:space="preserve">) </w:t>
      </w:r>
      <w:r>
        <w:rPr>
          <w:lang w:eastAsia="en-AU"/>
        </w:rPr>
        <w:t>it is acknowledged that cultural and social impacts of wastewater overflows are a significant consideration</w:t>
      </w:r>
      <w:r w:rsidR="003F28F0">
        <w:rPr>
          <w:lang w:eastAsia="en-AU"/>
        </w:rPr>
        <w:t xml:space="preserve"> when developing management approaches.</w:t>
      </w:r>
    </w:p>
    <w:p w14:paraId="38622641" w14:textId="77777777" w:rsidR="00C96DC1" w:rsidRDefault="00C96DC1" w:rsidP="00C96DC1">
      <w:pPr>
        <w:pStyle w:val="Heading2"/>
        <w:rPr>
          <w:lang w:eastAsia="en-AU"/>
        </w:rPr>
      </w:pPr>
      <w:bookmarkStart w:id="235" w:name="_Toc527638647"/>
      <w:r>
        <w:rPr>
          <w:lang w:eastAsia="en-AU"/>
        </w:rPr>
        <w:t xml:space="preserve">Case </w:t>
      </w:r>
      <w:r w:rsidR="00E8366A">
        <w:rPr>
          <w:lang w:eastAsia="en-AU"/>
        </w:rPr>
        <w:t>s</w:t>
      </w:r>
      <w:r>
        <w:rPr>
          <w:lang w:eastAsia="en-AU"/>
        </w:rPr>
        <w:t>tudies</w:t>
      </w:r>
      <w:bookmarkEnd w:id="235"/>
    </w:p>
    <w:p w14:paraId="28625F3C" w14:textId="77777777" w:rsidR="00B40466" w:rsidRPr="00B40466" w:rsidRDefault="00B40466" w:rsidP="00B40466">
      <w:pPr>
        <w:pStyle w:val="Body"/>
        <w:rPr>
          <w:lang w:eastAsia="en-AU"/>
        </w:rPr>
      </w:pPr>
      <w:bookmarkStart w:id="236" w:name="_Toc518644107"/>
      <w:bookmarkStart w:id="237" w:name="_Toc518645616"/>
      <w:bookmarkStart w:id="238" w:name="_Toc518645690"/>
      <w:bookmarkStart w:id="239" w:name="_Toc518645764"/>
      <w:bookmarkStart w:id="240" w:name="_Toc518645888"/>
      <w:bookmarkStart w:id="241" w:name="_Toc518646117"/>
      <w:bookmarkStart w:id="242" w:name="_Toc518646191"/>
      <w:bookmarkStart w:id="243" w:name="_Toc518644108"/>
      <w:bookmarkStart w:id="244" w:name="_Toc518645617"/>
      <w:bookmarkStart w:id="245" w:name="_Toc518645691"/>
      <w:bookmarkStart w:id="246" w:name="_Toc518645765"/>
      <w:bookmarkStart w:id="247" w:name="_Toc518645889"/>
      <w:bookmarkStart w:id="248" w:name="_Toc518646118"/>
      <w:bookmarkStart w:id="249" w:name="_Toc518646192"/>
      <w:bookmarkStart w:id="250" w:name="_Toc518644109"/>
      <w:bookmarkStart w:id="251" w:name="_Toc518645618"/>
      <w:bookmarkStart w:id="252" w:name="_Toc518645692"/>
      <w:bookmarkStart w:id="253" w:name="_Toc518645766"/>
      <w:bookmarkStart w:id="254" w:name="_Toc518645890"/>
      <w:bookmarkStart w:id="255" w:name="_Toc518646119"/>
      <w:bookmarkStart w:id="256" w:name="_Toc518646193"/>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Pr>
          <w:lang w:eastAsia="en-AU"/>
        </w:rPr>
        <w:t xml:space="preserve">Three cases studies </w:t>
      </w:r>
      <w:r w:rsidR="00550A92">
        <w:rPr>
          <w:lang w:eastAsia="en-AU"/>
        </w:rPr>
        <w:t>were compiled</w:t>
      </w:r>
      <w:r>
        <w:rPr>
          <w:lang w:eastAsia="en-AU"/>
        </w:rPr>
        <w:t xml:space="preserve"> to provide </w:t>
      </w:r>
      <w:r w:rsidR="00550A92">
        <w:rPr>
          <w:lang w:eastAsia="en-AU"/>
        </w:rPr>
        <w:t>“real-world”</w:t>
      </w:r>
      <w:r>
        <w:rPr>
          <w:lang w:eastAsia="en-AU"/>
        </w:rPr>
        <w:t xml:space="preserve"> </w:t>
      </w:r>
      <w:r w:rsidR="00154893">
        <w:rPr>
          <w:lang w:eastAsia="en-AU"/>
        </w:rPr>
        <w:t xml:space="preserve">examples </w:t>
      </w:r>
      <w:r w:rsidR="003F6436">
        <w:rPr>
          <w:lang w:eastAsia="en-AU"/>
        </w:rPr>
        <w:t>on</w:t>
      </w:r>
      <w:r w:rsidR="001425E2">
        <w:rPr>
          <w:lang w:eastAsia="en-AU"/>
        </w:rPr>
        <w:t xml:space="preserve"> </w:t>
      </w:r>
      <w:r w:rsidR="00435893">
        <w:rPr>
          <w:lang w:eastAsia="en-AU"/>
        </w:rPr>
        <w:t xml:space="preserve">the challenges </w:t>
      </w:r>
      <w:r w:rsidR="00154893">
        <w:rPr>
          <w:lang w:eastAsia="en-AU"/>
        </w:rPr>
        <w:t xml:space="preserve">of </w:t>
      </w:r>
      <w:r>
        <w:rPr>
          <w:lang w:eastAsia="en-AU"/>
        </w:rPr>
        <w:t>consenting WWTP discharges</w:t>
      </w:r>
      <w:r w:rsidR="003F6436">
        <w:rPr>
          <w:lang w:eastAsia="en-AU"/>
        </w:rPr>
        <w:t>,</w:t>
      </w:r>
      <w:r w:rsidR="003F6436" w:rsidRPr="003F6436">
        <w:rPr>
          <w:lang w:eastAsia="en-AU"/>
        </w:rPr>
        <w:t xml:space="preserve"> </w:t>
      </w:r>
      <w:r w:rsidR="00045852">
        <w:rPr>
          <w:lang w:eastAsia="en-AU"/>
        </w:rPr>
        <w:t xml:space="preserve">actual costs for </w:t>
      </w:r>
      <w:r w:rsidR="003F6436">
        <w:rPr>
          <w:lang w:eastAsia="en-AU"/>
        </w:rPr>
        <w:t xml:space="preserve">upgrades </w:t>
      </w:r>
      <w:r>
        <w:rPr>
          <w:lang w:eastAsia="en-AU"/>
        </w:rPr>
        <w:t xml:space="preserve">and </w:t>
      </w:r>
      <w:r w:rsidR="00045852">
        <w:rPr>
          <w:lang w:eastAsia="en-AU"/>
        </w:rPr>
        <w:t xml:space="preserve">the assessed </w:t>
      </w:r>
      <w:r w:rsidR="00154893">
        <w:rPr>
          <w:lang w:eastAsia="en-AU"/>
        </w:rPr>
        <w:t xml:space="preserve">influence </w:t>
      </w:r>
      <w:r>
        <w:rPr>
          <w:lang w:eastAsia="en-AU"/>
        </w:rPr>
        <w:t>of WWTP discharges on receiving environment</w:t>
      </w:r>
      <w:r w:rsidR="00154893">
        <w:rPr>
          <w:lang w:eastAsia="en-AU"/>
        </w:rPr>
        <w:t xml:space="preserve"> water quality</w:t>
      </w:r>
      <w:r>
        <w:rPr>
          <w:lang w:eastAsia="en-AU"/>
        </w:rPr>
        <w:t xml:space="preserve">. </w:t>
      </w:r>
    </w:p>
    <w:p w14:paraId="60EC4F8B" w14:textId="77777777" w:rsidR="00644674" w:rsidRDefault="00644674" w:rsidP="00A27F3D">
      <w:pPr>
        <w:pStyle w:val="Heading2"/>
        <w:rPr>
          <w:lang w:eastAsia="en-AU"/>
        </w:rPr>
      </w:pPr>
      <w:bookmarkStart w:id="257" w:name="_Toc517707402"/>
      <w:bookmarkStart w:id="258" w:name="_Toc517787157"/>
      <w:bookmarkStart w:id="259" w:name="_Toc517793856"/>
      <w:bookmarkStart w:id="260" w:name="_Toc518646195"/>
      <w:bookmarkStart w:id="261" w:name="_Toc518653092"/>
      <w:bookmarkStart w:id="262" w:name="_Toc527638648"/>
      <w:r>
        <w:rPr>
          <w:lang w:eastAsia="en-AU"/>
        </w:rPr>
        <w:t xml:space="preserve">Case </w:t>
      </w:r>
      <w:r w:rsidR="00811B63">
        <w:rPr>
          <w:lang w:eastAsia="en-AU"/>
        </w:rPr>
        <w:t xml:space="preserve">study </w:t>
      </w:r>
      <w:r>
        <w:rPr>
          <w:lang w:eastAsia="en-AU"/>
        </w:rPr>
        <w:t xml:space="preserve">1 </w:t>
      </w:r>
      <w:r w:rsidR="00811B63">
        <w:rPr>
          <w:lang w:eastAsia="en-AU"/>
        </w:rPr>
        <w:t xml:space="preserve">- </w:t>
      </w:r>
      <w:r>
        <w:rPr>
          <w:lang w:eastAsia="en-AU"/>
        </w:rPr>
        <w:t xml:space="preserve">Cambridge </w:t>
      </w:r>
      <w:bookmarkEnd w:id="257"/>
      <w:r w:rsidR="00154893">
        <w:rPr>
          <w:lang w:eastAsia="en-AU"/>
        </w:rPr>
        <w:t>WWTP</w:t>
      </w:r>
      <w:bookmarkEnd w:id="258"/>
      <w:bookmarkEnd w:id="259"/>
      <w:bookmarkEnd w:id="260"/>
      <w:bookmarkEnd w:id="261"/>
      <w:bookmarkEnd w:id="262"/>
    </w:p>
    <w:p w14:paraId="64B48406" w14:textId="77777777" w:rsidR="00644674" w:rsidRPr="005C364A" w:rsidRDefault="00154893" w:rsidP="002C75CD">
      <w:pPr>
        <w:pStyle w:val="Heading3"/>
        <w:rPr>
          <w:lang w:eastAsia="en-AU"/>
        </w:rPr>
      </w:pPr>
      <w:r>
        <w:rPr>
          <w:lang w:eastAsia="en-AU"/>
        </w:rPr>
        <w:t>Key facts</w:t>
      </w:r>
    </w:p>
    <w:p w14:paraId="7C39D608" w14:textId="77777777" w:rsidR="00644674" w:rsidRDefault="00644674" w:rsidP="002C75CD">
      <w:pPr>
        <w:pStyle w:val="Body"/>
        <w:numPr>
          <w:ilvl w:val="0"/>
          <w:numId w:val="83"/>
        </w:numPr>
        <w:rPr>
          <w:lang w:eastAsia="en-AU"/>
        </w:rPr>
      </w:pPr>
      <w:r>
        <w:rPr>
          <w:lang w:eastAsia="en-AU"/>
        </w:rPr>
        <w:t>Consent issued: 1996</w:t>
      </w:r>
    </w:p>
    <w:p w14:paraId="51D4FAC6" w14:textId="77777777" w:rsidR="00644674" w:rsidRDefault="00644674" w:rsidP="002C75CD">
      <w:pPr>
        <w:pStyle w:val="Body"/>
        <w:numPr>
          <w:ilvl w:val="0"/>
          <w:numId w:val="83"/>
        </w:numPr>
        <w:rPr>
          <w:lang w:eastAsia="en-AU"/>
        </w:rPr>
      </w:pPr>
      <w:r>
        <w:rPr>
          <w:lang w:eastAsia="en-AU"/>
        </w:rPr>
        <w:t>Consent Expired: 2016</w:t>
      </w:r>
    </w:p>
    <w:p w14:paraId="72A56028" w14:textId="77777777" w:rsidR="00644674" w:rsidRDefault="00644674" w:rsidP="002C75CD">
      <w:pPr>
        <w:pStyle w:val="Body"/>
        <w:numPr>
          <w:ilvl w:val="0"/>
          <w:numId w:val="83"/>
        </w:numPr>
        <w:rPr>
          <w:lang w:eastAsia="en-AU"/>
        </w:rPr>
      </w:pPr>
      <w:r>
        <w:rPr>
          <w:lang w:eastAsia="en-AU"/>
        </w:rPr>
        <w:t>Plant type: Secondary Treatment and disposal via Rapid Infiltration Beds to the Waikato River</w:t>
      </w:r>
    </w:p>
    <w:p w14:paraId="4D66E3C1" w14:textId="77777777" w:rsidR="00644674" w:rsidRDefault="00644674" w:rsidP="002C75CD">
      <w:pPr>
        <w:pStyle w:val="Body"/>
        <w:numPr>
          <w:ilvl w:val="0"/>
          <w:numId w:val="83"/>
        </w:numPr>
        <w:rPr>
          <w:lang w:eastAsia="en-AU"/>
        </w:rPr>
      </w:pPr>
      <w:r>
        <w:rPr>
          <w:lang w:eastAsia="en-AU"/>
        </w:rPr>
        <w:t>Population Projections: Growth Area, 2006 – 12,936 projection of 23,200 by 2041.</w:t>
      </w:r>
    </w:p>
    <w:p w14:paraId="7F3C3B4D" w14:textId="77777777" w:rsidR="00644674" w:rsidRPr="002160CA" w:rsidRDefault="00644674" w:rsidP="002C75CD">
      <w:pPr>
        <w:pStyle w:val="Heading3"/>
        <w:rPr>
          <w:lang w:eastAsia="en-AU"/>
        </w:rPr>
      </w:pPr>
      <w:r w:rsidRPr="002160CA">
        <w:rPr>
          <w:lang w:eastAsia="en-AU"/>
        </w:rPr>
        <w:t>Background</w:t>
      </w:r>
    </w:p>
    <w:p w14:paraId="44BBF128" w14:textId="77777777" w:rsidR="00644674" w:rsidRDefault="00644674" w:rsidP="00A352AD">
      <w:pPr>
        <w:pStyle w:val="Body"/>
        <w:rPr>
          <w:lang w:eastAsia="en-AU"/>
        </w:rPr>
      </w:pPr>
      <w:r>
        <w:rPr>
          <w:lang w:eastAsia="en-AU"/>
        </w:rPr>
        <w:t>The current plant at Cambridge consists of a series of process trains connected together to provide secondary treatment. The site has a long history of wastewater treatment</w:t>
      </w:r>
      <w:r w:rsidR="00E41AEF">
        <w:rPr>
          <w:lang w:eastAsia="en-AU"/>
        </w:rPr>
        <w:t>,</w:t>
      </w:r>
      <w:r>
        <w:rPr>
          <w:lang w:eastAsia="en-AU"/>
        </w:rPr>
        <w:t xml:space="preserve"> with it initially being the site of the now closed Weddel Crown Freezing Work</w:t>
      </w:r>
      <w:r w:rsidR="00CC45BF">
        <w:rPr>
          <w:lang w:eastAsia="en-AU"/>
        </w:rPr>
        <w:t>s</w:t>
      </w:r>
      <w:r>
        <w:rPr>
          <w:lang w:eastAsia="en-AU"/>
        </w:rPr>
        <w:t xml:space="preserve"> Wastewater Treatment Plant. Waipa District Council purchased the site in 1995 and upgraded the system to that outlined in </w:t>
      </w:r>
      <w:r w:rsidR="007668DF">
        <w:rPr>
          <w:lang w:eastAsia="en-AU"/>
        </w:rPr>
        <w:fldChar w:fldCharType="begin"/>
      </w:r>
      <w:r w:rsidR="007668DF">
        <w:rPr>
          <w:lang w:eastAsia="en-AU"/>
        </w:rPr>
        <w:instrText xml:space="preserve"> REF _Ref517694959 \h </w:instrText>
      </w:r>
      <w:r w:rsidR="007668DF">
        <w:rPr>
          <w:lang w:eastAsia="en-AU"/>
        </w:rPr>
      </w:r>
      <w:r w:rsidR="007668DF">
        <w:rPr>
          <w:lang w:eastAsia="en-AU"/>
        </w:rPr>
        <w:fldChar w:fldCharType="separate"/>
      </w:r>
      <w:r w:rsidR="002777A8">
        <w:t xml:space="preserve">Figure </w:t>
      </w:r>
      <w:r w:rsidR="002777A8">
        <w:rPr>
          <w:noProof/>
        </w:rPr>
        <w:t>9</w:t>
      </w:r>
      <w:r w:rsidR="007668DF">
        <w:rPr>
          <w:lang w:eastAsia="en-AU"/>
        </w:rPr>
        <w:fldChar w:fldCharType="end"/>
      </w:r>
      <w:r>
        <w:rPr>
          <w:lang w:eastAsia="en-AU"/>
        </w:rPr>
        <w:t xml:space="preserve">. </w:t>
      </w:r>
      <w:r w:rsidR="00A40C94">
        <w:rPr>
          <w:lang w:eastAsia="en-AU"/>
        </w:rPr>
        <w:t xml:space="preserve"> </w:t>
      </w:r>
      <w:r>
        <w:rPr>
          <w:lang w:eastAsia="en-AU"/>
        </w:rPr>
        <w:t xml:space="preserve">The upgrade was in accordance with the </w:t>
      </w:r>
      <w:r w:rsidR="00E41AEF">
        <w:rPr>
          <w:lang w:eastAsia="en-AU"/>
        </w:rPr>
        <w:t xml:space="preserve">resource consents </w:t>
      </w:r>
      <w:r>
        <w:rPr>
          <w:lang w:eastAsia="en-AU"/>
        </w:rPr>
        <w:t>issued in 1996 and was undertaken</w:t>
      </w:r>
      <w:r w:rsidR="006B303F">
        <w:rPr>
          <w:lang w:eastAsia="en-AU"/>
        </w:rPr>
        <w:t xml:space="preserve"> in the period</w:t>
      </w:r>
      <w:r>
        <w:rPr>
          <w:lang w:eastAsia="en-AU"/>
        </w:rPr>
        <w:t xml:space="preserve"> 1997-99.</w:t>
      </w:r>
    </w:p>
    <w:p w14:paraId="791F72DB" w14:textId="77777777" w:rsidR="00644674" w:rsidRDefault="00644674" w:rsidP="00644674">
      <w:pPr>
        <w:pStyle w:val="Body"/>
        <w:rPr>
          <w:lang w:eastAsia="en-AU"/>
        </w:rPr>
      </w:pPr>
    </w:p>
    <w:p w14:paraId="468627E8" w14:textId="77777777" w:rsidR="00644674" w:rsidRDefault="00BD5F6A" w:rsidP="00644674">
      <w:pPr>
        <w:pStyle w:val="Body"/>
        <w:rPr>
          <w:lang w:eastAsia="en-AU"/>
        </w:rPr>
      </w:pPr>
      <w:r>
        <w:rPr>
          <w:noProof/>
          <w:lang w:val="en-NZ" w:eastAsia="en-NZ"/>
        </w:rPr>
        <w:lastRenderedPageBreak/>
        <w:drawing>
          <wp:inline distT="0" distB="0" distL="0" distR="0" wp14:anchorId="656B6281" wp14:editId="63AEDF8E">
            <wp:extent cx="5760720" cy="177292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1772920"/>
                    </a:xfrm>
                    <a:prstGeom prst="rect">
                      <a:avLst/>
                    </a:prstGeom>
                  </pic:spPr>
                </pic:pic>
              </a:graphicData>
            </a:graphic>
          </wp:inline>
        </w:drawing>
      </w:r>
    </w:p>
    <w:p w14:paraId="23B5BBC9" w14:textId="77777777" w:rsidR="00644674" w:rsidRDefault="00644674" w:rsidP="00A27F3D">
      <w:pPr>
        <w:pStyle w:val="Caption"/>
        <w:rPr>
          <w:lang w:eastAsia="en-AU"/>
        </w:rPr>
      </w:pPr>
      <w:bookmarkStart w:id="263" w:name="_Ref517694959"/>
      <w:bookmarkStart w:id="264" w:name="_Toc517707451"/>
      <w:bookmarkStart w:id="265" w:name="_Toc517788306"/>
      <w:bookmarkStart w:id="266" w:name="_Toc517793905"/>
      <w:bookmarkStart w:id="267" w:name="_Toc518653146"/>
      <w:bookmarkStart w:id="268" w:name="_Toc521064814"/>
      <w:r>
        <w:t xml:space="preserve">Figure </w:t>
      </w:r>
      <w:r w:rsidR="007B3D80">
        <w:rPr>
          <w:noProof/>
        </w:rPr>
        <w:fldChar w:fldCharType="begin"/>
      </w:r>
      <w:r w:rsidR="007B3D80">
        <w:rPr>
          <w:noProof/>
        </w:rPr>
        <w:instrText xml:space="preserve"> SEQ Figure \* ARABIC </w:instrText>
      </w:r>
      <w:r w:rsidR="007B3D80">
        <w:rPr>
          <w:noProof/>
        </w:rPr>
        <w:fldChar w:fldCharType="separate"/>
      </w:r>
      <w:r w:rsidR="002777A8">
        <w:rPr>
          <w:noProof/>
        </w:rPr>
        <w:t>9</w:t>
      </w:r>
      <w:r w:rsidR="007B3D80">
        <w:rPr>
          <w:noProof/>
        </w:rPr>
        <w:fldChar w:fldCharType="end"/>
      </w:r>
      <w:bookmarkEnd w:id="263"/>
      <w:r>
        <w:t xml:space="preserve"> </w:t>
      </w:r>
      <w:r w:rsidR="00784BA4">
        <w:t xml:space="preserve"> </w:t>
      </w:r>
      <w:r>
        <w:t xml:space="preserve">Cambridge </w:t>
      </w:r>
      <w:r w:rsidR="00E41AEF">
        <w:t>WWTP</w:t>
      </w:r>
      <w:r>
        <w:t xml:space="preserve"> </w:t>
      </w:r>
      <w:r w:rsidR="00E41AEF">
        <w:t>schematic</w:t>
      </w:r>
      <w:bookmarkEnd w:id="264"/>
      <w:bookmarkEnd w:id="265"/>
      <w:bookmarkEnd w:id="266"/>
      <w:bookmarkEnd w:id="267"/>
      <w:bookmarkEnd w:id="268"/>
    </w:p>
    <w:p w14:paraId="0DF1D2F5" w14:textId="77777777" w:rsidR="00644674" w:rsidRDefault="00644674" w:rsidP="00644674">
      <w:pPr>
        <w:pStyle w:val="Body"/>
        <w:rPr>
          <w:lang w:eastAsia="en-AU"/>
        </w:rPr>
      </w:pPr>
    </w:p>
    <w:p w14:paraId="1136B8AE" w14:textId="77777777" w:rsidR="00644674" w:rsidRDefault="00644674" w:rsidP="00644674">
      <w:pPr>
        <w:pStyle w:val="Body"/>
        <w:rPr>
          <w:lang w:eastAsia="en-AU"/>
        </w:rPr>
      </w:pPr>
      <w:r>
        <w:rPr>
          <w:lang w:eastAsia="en-AU"/>
        </w:rPr>
        <w:t xml:space="preserve">Since the completion of the upgrade the discharges from the </w:t>
      </w:r>
      <w:r w:rsidR="007668DF">
        <w:rPr>
          <w:lang w:eastAsia="en-AU"/>
        </w:rPr>
        <w:t>WWTP</w:t>
      </w:r>
      <w:r>
        <w:rPr>
          <w:lang w:eastAsia="en-AU"/>
        </w:rPr>
        <w:t xml:space="preserve"> have not been able to comply consistently with the requirements of the existing discharge consent (960698) for some contaminants, particularly dissolved inorganic nitrogen.</w:t>
      </w:r>
    </w:p>
    <w:p w14:paraId="7B579D1C" w14:textId="77777777" w:rsidR="00644674" w:rsidRPr="002160CA" w:rsidRDefault="00644674" w:rsidP="00A27F3D">
      <w:pPr>
        <w:pStyle w:val="Heading3"/>
        <w:rPr>
          <w:lang w:eastAsia="en-AU"/>
        </w:rPr>
      </w:pPr>
      <w:r w:rsidRPr="002160CA">
        <w:rPr>
          <w:lang w:eastAsia="en-AU"/>
        </w:rPr>
        <w:t xml:space="preserve">Consent </w:t>
      </w:r>
      <w:r w:rsidR="00D97D75">
        <w:rPr>
          <w:lang w:eastAsia="en-AU"/>
        </w:rPr>
        <w:t>a</w:t>
      </w:r>
      <w:r w:rsidR="00D97D75" w:rsidRPr="002160CA">
        <w:rPr>
          <w:lang w:eastAsia="en-AU"/>
        </w:rPr>
        <w:t xml:space="preserve">pplication </w:t>
      </w:r>
      <w:r w:rsidR="00D97D75">
        <w:rPr>
          <w:lang w:eastAsia="en-AU"/>
        </w:rPr>
        <w:t>p</w:t>
      </w:r>
      <w:r w:rsidR="00D97D75" w:rsidRPr="002160CA">
        <w:rPr>
          <w:lang w:eastAsia="en-AU"/>
        </w:rPr>
        <w:t>rocess</w:t>
      </w:r>
    </w:p>
    <w:p w14:paraId="6B333A53" w14:textId="77777777" w:rsidR="007668DF" w:rsidRDefault="00644674" w:rsidP="00644674">
      <w:pPr>
        <w:pStyle w:val="Body"/>
        <w:rPr>
          <w:lang w:eastAsia="en-AU"/>
        </w:rPr>
      </w:pPr>
      <w:r>
        <w:rPr>
          <w:lang w:eastAsia="en-AU"/>
        </w:rPr>
        <w:t xml:space="preserve">In 2010, largely due to the consent compliance challenges, Waipa District Council commenced the process of securing a new consent for the plant. This was many years ahead of what was required and was largely driven by the ongoing compliance issues. </w:t>
      </w:r>
    </w:p>
    <w:p w14:paraId="2751656F" w14:textId="77777777" w:rsidR="00644674" w:rsidRDefault="00644674" w:rsidP="007668DF">
      <w:pPr>
        <w:pStyle w:val="Body"/>
        <w:rPr>
          <w:lang w:eastAsia="en-AU"/>
        </w:rPr>
      </w:pPr>
      <w:r>
        <w:rPr>
          <w:lang w:eastAsia="en-AU"/>
        </w:rPr>
        <w:t xml:space="preserve">The consenting process commenced with securing consultancy services and the formation of a Project Advisory Group (PAG) supported by a Project Control Group (PCG). The PAG group consisted of membership from </w:t>
      </w:r>
      <w:r w:rsidR="00E41AEF">
        <w:rPr>
          <w:lang w:eastAsia="en-AU"/>
        </w:rPr>
        <w:t xml:space="preserve">local </w:t>
      </w:r>
      <w:r>
        <w:rPr>
          <w:lang w:eastAsia="en-AU"/>
        </w:rPr>
        <w:t xml:space="preserve">Iwi and </w:t>
      </w:r>
      <w:r w:rsidR="00E41AEF">
        <w:rPr>
          <w:lang w:eastAsia="en-AU"/>
        </w:rPr>
        <w:t>community board</w:t>
      </w:r>
      <w:r>
        <w:rPr>
          <w:lang w:eastAsia="en-AU"/>
        </w:rPr>
        <w:t>/</w:t>
      </w:r>
      <w:r w:rsidR="00E41AEF">
        <w:rPr>
          <w:lang w:eastAsia="en-AU"/>
        </w:rPr>
        <w:t xml:space="preserve">councillors </w:t>
      </w:r>
      <w:r>
        <w:rPr>
          <w:lang w:eastAsia="en-AU"/>
        </w:rPr>
        <w:t xml:space="preserve">and the PCG </w:t>
      </w:r>
      <w:r w:rsidR="00E41AEF">
        <w:rPr>
          <w:lang w:eastAsia="en-AU"/>
        </w:rPr>
        <w:t xml:space="preserve">council </w:t>
      </w:r>
      <w:r>
        <w:rPr>
          <w:lang w:eastAsia="en-AU"/>
        </w:rPr>
        <w:t xml:space="preserve">staff, </w:t>
      </w:r>
      <w:r w:rsidR="00E41AEF">
        <w:rPr>
          <w:lang w:eastAsia="en-AU"/>
        </w:rPr>
        <w:t xml:space="preserve">consultants </w:t>
      </w:r>
      <w:r>
        <w:rPr>
          <w:lang w:eastAsia="en-AU"/>
        </w:rPr>
        <w:t xml:space="preserve">and independent advisors (Iwi and Waikato Regional Council). A separate </w:t>
      </w:r>
      <w:r w:rsidR="0057142B">
        <w:rPr>
          <w:lang w:eastAsia="en-AU"/>
        </w:rPr>
        <w:t xml:space="preserve">tangata whenua </w:t>
      </w:r>
      <w:r w:rsidR="00E41AEF">
        <w:rPr>
          <w:lang w:eastAsia="en-AU"/>
        </w:rPr>
        <w:t xml:space="preserve">working group </w:t>
      </w:r>
      <w:r>
        <w:rPr>
          <w:lang w:eastAsia="en-AU"/>
        </w:rPr>
        <w:t>was also set up, consisting of Iwi members of the PAG.</w:t>
      </w:r>
      <w:r w:rsidR="007668DF">
        <w:rPr>
          <w:lang w:eastAsia="en-AU"/>
        </w:rPr>
        <w:t xml:space="preserve"> </w:t>
      </w:r>
      <w:r>
        <w:rPr>
          <w:lang w:eastAsia="en-AU"/>
        </w:rPr>
        <w:t xml:space="preserve">The PAG met 12 times over the course of the project and provided </w:t>
      </w:r>
      <w:r w:rsidR="00E41AEF">
        <w:rPr>
          <w:lang w:eastAsia="en-AU"/>
        </w:rPr>
        <w:t xml:space="preserve">council </w:t>
      </w:r>
      <w:r>
        <w:rPr>
          <w:lang w:eastAsia="en-AU"/>
        </w:rPr>
        <w:t xml:space="preserve">staff and </w:t>
      </w:r>
      <w:r w:rsidR="00E41AEF">
        <w:rPr>
          <w:lang w:eastAsia="en-AU"/>
        </w:rPr>
        <w:t xml:space="preserve">consultants </w:t>
      </w:r>
      <w:r>
        <w:rPr>
          <w:lang w:eastAsia="en-AU"/>
        </w:rPr>
        <w:t>with information on the views of various stakeholders to input into the development of the proposed suite of consents required.</w:t>
      </w:r>
    </w:p>
    <w:p w14:paraId="78AD20B9" w14:textId="77777777" w:rsidR="00782459" w:rsidRDefault="00644674" w:rsidP="007668DF">
      <w:pPr>
        <w:pStyle w:val="Body"/>
        <w:rPr>
          <w:lang w:eastAsia="en-AU"/>
        </w:rPr>
      </w:pPr>
      <w:r>
        <w:rPr>
          <w:lang w:eastAsia="en-AU"/>
        </w:rPr>
        <w:t xml:space="preserve">There were a number of drivers for the project, </w:t>
      </w:r>
      <w:r w:rsidR="001F14F8">
        <w:rPr>
          <w:lang w:eastAsia="en-AU"/>
        </w:rPr>
        <w:t>notwithstanding</w:t>
      </w:r>
      <w:r>
        <w:rPr>
          <w:lang w:eastAsia="en-AU"/>
        </w:rPr>
        <w:t xml:space="preserve"> the non</w:t>
      </w:r>
      <w:r w:rsidR="0057142B">
        <w:rPr>
          <w:lang w:eastAsia="en-AU"/>
        </w:rPr>
        <w:t>-</w:t>
      </w:r>
      <w:r>
        <w:rPr>
          <w:lang w:eastAsia="en-AU"/>
        </w:rPr>
        <w:t xml:space="preserve">compliance matters mentioned previously. Drivers for the project ranged from those outlined within the </w:t>
      </w:r>
      <w:r w:rsidR="00E41AEF">
        <w:rPr>
          <w:lang w:eastAsia="en-AU"/>
        </w:rPr>
        <w:t xml:space="preserve">Resource Management Act </w:t>
      </w:r>
      <w:r>
        <w:rPr>
          <w:lang w:eastAsia="en-AU"/>
        </w:rPr>
        <w:t xml:space="preserve">and other </w:t>
      </w:r>
      <w:r w:rsidR="00E41AEF">
        <w:rPr>
          <w:lang w:eastAsia="en-AU"/>
        </w:rPr>
        <w:t xml:space="preserve">regional </w:t>
      </w:r>
      <w:r>
        <w:rPr>
          <w:lang w:eastAsia="en-AU"/>
        </w:rPr>
        <w:t xml:space="preserve">and </w:t>
      </w:r>
      <w:r w:rsidR="00E41AEF">
        <w:rPr>
          <w:lang w:eastAsia="en-AU"/>
        </w:rPr>
        <w:t>national</w:t>
      </w:r>
      <w:r>
        <w:rPr>
          <w:lang w:eastAsia="en-AU"/>
        </w:rPr>
        <w:t xml:space="preserve"> </w:t>
      </w:r>
      <w:r w:rsidR="00E41AEF">
        <w:rPr>
          <w:lang w:eastAsia="en-AU"/>
        </w:rPr>
        <w:t xml:space="preserve">planning </w:t>
      </w:r>
      <w:r>
        <w:rPr>
          <w:lang w:eastAsia="en-AU"/>
        </w:rPr>
        <w:t>tools, through to Waipa District Council’s own planning and strategic imperatives. These are all explained in detail in the Assessment of Environmental Effects</w:t>
      </w:r>
      <w:r w:rsidR="00E41AEF">
        <w:rPr>
          <w:lang w:eastAsia="en-AU"/>
        </w:rPr>
        <w:t xml:space="preserve"> </w:t>
      </w:r>
      <w:r>
        <w:rPr>
          <w:lang w:eastAsia="en-AU"/>
        </w:rPr>
        <w:t>that accompanied the applications.</w:t>
      </w:r>
      <w:r w:rsidR="007668DF">
        <w:rPr>
          <w:lang w:eastAsia="en-AU"/>
        </w:rPr>
        <w:t xml:space="preserve"> </w:t>
      </w:r>
    </w:p>
    <w:p w14:paraId="24CD4B66" w14:textId="77777777" w:rsidR="00644674" w:rsidRDefault="00AF0EDF" w:rsidP="00782459">
      <w:pPr>
        <w:pStyle w:val="Body"/>
        <w:rPr>
          <w:lang w:eastAsia="en-AU"/>
        </w:rPr>
      </w:pPr>
      <w:r>
        <w:rPr>
          <w:lang w:eastAsia="en-AU"/>
        </w:rPr>
        <w:t>Waipa District Council</w:t>
      </w:r>
      <w:r w:rsidR="00644674">
        <w:rPr>
          <w:lang w:eastAsia="en-AU"/>
        </w:rPr>
        <w:t xml:space="preserve"> also went to some leng</w:t>
      </w:r>
      <w:r w:rsidR="007668DF">
        <w:rPr>
          <w:lang w:eastAsia="en-AU"/>
        </w:rPr>
        <w:t>th</w:t>
      </w:r>
      <w:r w:rsidR="00644674">
        <w:rPr>
          <w:lang w:eastAsia="en-AU"/>
        </w:rPr>
        <w:t xml:space="preserve"> to ensure that the application was framed in a way that it would meet the </w:t>
      </w:r>
      <w:r>
        <w:rPr>
          <w:lang w:eastAsia="en-AU"/>
        </w:rPr>
        <w:t>b</w:t>
      </w:r>
      <w:r w:rsidR="00644674">
        <w:rPr>
          <w:lang w:eastAsia="en-AU"/>
        </w:rPr>
        <w:t xml:space="preserve">est </w:t>
      </w:r>
      <w:r>
        <w:rPr>
          <w:lang w:eastAsia="en-AU"/>
        </w:rPr>
        <w:t>p</w:t>
      </w:r>
      <w:r w:rsidR="00644674">
        <w:rPr>
          <w:lang w:eastAsia="en-AU"/>
        </w:rPr>
        <w:t xml:space="preserve">racticable </w:t>
      </w:r>
      <w:r w:rsidR="00782459">
        <w:rPr>
          <w:lang w:eastAsia="en-AU"/>
        </w:rPr>
        <w:t>o</w:t>
      </w:r>
      <w:r w:rsidR="00644674">
        <w:rPr>
          <w:lang w:eastAsia="en-AU"/>
        </w:rPr>
        <w:t xml:space="preserve">ption approach </w:t>
      </w:r>
      <w:r>
        <w:rPr>
          <w:lang w:eastAsia="en-AU"/>
        </w:rPr>
        <w:t>for discharge of the contaminants pursuant to the Resource Management Act.</w:t>
      </w:r>
      <w:r w:rsidR="00782459">
        <w:rPr>
          <w:lang w:eastAsia="en-AU"/>
        </w:rPr>
        <w:t xml:space="preserve"> </w:t>
      </w:r>
      <w:r w:rsidR="00644674">
        <w:rPr>
          <w:lang w:eastAsia="en-AU"/>
        </w:rPr>
        <w:t xml:space="preserve">For the one wastewater site, seven separate consents were required, ranging from discharge of </w:t>
      </w:r>
      <w:r w:rsidR="006B303F">
        <w:rPr>
          <w:lang w:eastAsia="en-AU"/>
        </w:rPr>
        <w:t xml:space="preserve">odour </w:t>
      </w:r>
      <w:r w:rsidR="00644674">
        <w:rPr>
          <w:lang w:eastAsia="en-AU"/>
        </w:rPr>
        <w:t xml:space="preserve">to </w:t>
      </w:r>
      <w:r w:rsidR="006B303F">
        <w:rPr>
          <w:lang w:eastAsia="en-AU"/>
        </w:rPr>
        <w:t xml:space="preserve">air, </w:t>
      </w:r>
      <w:r w:rsidR="00644674">
        <w:rPr>
          <w:lang w:eastAsia="en-AU"/>
        </w:rPr>
        <w:t>through to a consent to place a structure on the bed of a river.</w:t>
      </w:r>
    </w:p>
    <w:p w14:paraId="72D25AFF" w14:textId="77777777" w:rsidR="00644674" w:rsidRPr="00FD53CA" w:rsidRDefault="00644674" w:rsidP="00A27F3D">
      <w:pPr>
        <w:pStyle w:val="Heading3"/>
        <w:rPr>
          <w:lang w:eastAsia="en-AU"/>
        </w:rPr>
      </w:pPr>
      <w:r w:rsidRPr="00FD53CA">
        <w:rPr>
          <w:lang w:eastAsia="en-AU"/>
        </w:rPr>
        <w:t xml:space="preserve">Proposed </w:t>
      </w:r>
      <w:r w:rsidR="00D97D75">
        <w:rPr>
          <w:lang w:eastAsia="en-AU"/>
        </w:rPr>
        <w:t>s</w:t>
      </w:r>
      <w:r w:rsidR="00D97D75" w:rsidRPr="00FD53CA">
        <w:rPr>
          <w:lang w:eastAsia="en-AU"/>
        </w:rPr>
        <w:t xml:space="preserve">cheme </w:t>
      </w:r>
    </w:p>
    <w:p w14:paraId="0AF9EBC4" w14:textId="77777777" w:rsidR="00D97D75" w:rsidRDefault="00644674" w:rsidP="007668DF">
      <w:pPr>
        <w:pStyle w:val="Body"/>
        <w:rPr>
          <w:lang w:eastAsia="en-AU"/>
        </w:rPr>
      </w:pPr>
      <w:r>
        <w:rPr>
          <w:lang w:eastAsia="en-AU"/>
        </w:rPr>
        <w:t xml:space="preserve">Following significant discussions and dialog, the </w:t>
      </w:r>
      <w:r w:rsidR="00435893">
        <w:rPr>
          <w:lang w:eastAsia="en-AU"/>
        </w:rPr>
        <w:t xml:space="preserve">PCG </w:t>
      </w:r>
      <w:r>
        <w:rPr>
          <w:lang w:eastAsia="en-AU"/>
        </w:rPr>
        <w:t xml:space="preserve">developed a </w:t>
      </w:r>
      <w:r w:rsidR="001F14F8">
        <w:rPr>
          <w:lang w:eastAsia="en-AU"/>
        </w:rPr>
        <w:t>plan</w:t>
      </w:r>
      <w:r w:rsidR="00D97D75">
        <w:rPr>
          <w:lang w:eastAsia="en-AU"/>
        </w:rPr>
        <w:t xml:space="preserve"> for progressive improvement reflected in </w:t>
      </w:r>
      <w:r>
        <w:rPr>
          <w:lang w:eastAsia="en-AU"/>
        </w:rPr>
        <w:t xml:space="preserve">potential </w:t>
      </w:r>
      <w:r w:rsidR="00435893">
        <w:rPr>
          <w:lang w:eastAsia="en-AU"/>
        </w:rPr>
        <w:t xml:space="preserve">consent conditions </w:t>
      </w:r>
      <w:r w:rsidR="007668DF">
        <w:rPr>
          <w:lang w:eastAsia="en-AU"/>
        </w:rPr>
        <w:t xml:space="preserve">and these are summarised in </w:t>
      </w:r>
      <w:r w:rsidR="007668DF">
        <w:rPr>
          <w:lang w:eastAsia="en-AU"/>
        </w:rPr>
        <w:fldChar w:fldCharType="begin"/>
      </w:r>
      <w:r w:rsidR="007668DF">
        <w:rPr>
          <w:lang w:eastAsia="en-AU"/>
        </w:rPr>
        <w:instrText xml:space="preserve"> REF _Ref517695386 \h </w:instrText>
      </w:r>
      <w:r w:rsidR="007668DF">
        <w:rPr>
          <w:lang w:eastAsia="en-AU"/>
        </w:rPr>
      </w:r>
      <w:r w:rsidR="007668DF">
        <w:rPr>
          <w:lang w:eastAsia="en-AU"/>
        </w:rPr>
        <w:fldChar w:fldCharType="separate"/>
      </w:r>
      <w:r w:rsidR="002777A8">
        <w:t xml:space="preserve">Table </w:t>
      </w:r>
      <w:r w:rsidR="002777A8">
        <w:rPr>
          <w:noProof/>
        </w:rPr>
        <w:t>7</w:t>
      </w:r>
      <w:r w:rsidR="007668DF">
        <w:rPr>
          <w:lang w:eastAsia="en-AU"/>
        </w:rPr>
        <w:fldChar w:fldCharType="end"/>
      </w:r>
      <w:r>
        <w:rPr>
          <w:lang w:eastAsia="en-AU"/>
        </w:rPr>
        <w:t>.</w:t>
      </w:r>
    </w:p>
    <w:p w14:paraId="30D66CBC" w14:textId="77777777" w:rsidR="00526670" w:rsidRDefault="00644674" w:rsidP="00581922">
      <w:pPr>
        <w:pStyle w:val="Body"/>
        <w:rPr>
          <w:lang w:eastAsia="en-AU"/>
        </w:rPr>
      </w:pPr>
      <w:r>
        <w:rPr>
          <w:lang w:eastAsia="en-AU"/>
        </w:rPr>
        <w:t xml:space="preserve">These conditions were deemed most appropriate to meet the projects vision and objectives and also to allow for the long term growth of Cambridge. As with most consent applications, the process must be </w:t>
      </w:r>
      <w:r w:rsidR="00435893">
        <w:rPr>
          <w:lang w:eastAsia="en-AU"/>
        </w:rPr>
        <w:t>“effects based”</w:t>
      </w:r>
      <w:r>
        <w:rPr>
          <w:lang w:eastAsia="en-AU"/>
        </w:rPr>
        <w:t xml:space="preserve"> and focus on what is best for the receiving environment and not how the applicant will arrive at that point. </w:t>
      </w:r>
      <w:r w:rsidR="00435893">
        <w:rPr>
          <w:lang w:eastAsia="en-AU"/>
        </w:rPr>
        <w:t>U</w:t>
      </w:r>
      <w:r>
        <w:rPr>
          <w:lang w:eastAsia="en-AU"/>
        </w:rPr>
        <w:t xml:space="preserve">tilising </w:t>
      </w:r>
      <w:r w:rsidR="00AF0EDF">
        <w:rPr>
          <w:lang w:eastAsia="en-AU"/>
        </w:rPr>
        <w:t>the best practicable option</w:t>
      </w:r>
      <w:r w:rsidR="00782459">
        <w:rPr>
          <w:lang w:eastAsia="en-AU"/>
        </w:rPr>
        <w:t xml:space="preserve"> approach</w:t>
      </w:r>
      <w:r>
        <w:rPr>
          <w:lang w:eastAsia="en-AU"/>
        </w:rPr>
        <w:t xml:space="preserve"> also means that cost and community affordabil</w:t>
      </w:r>
      <w:r w:rsidR="00581922">
        <w:rPr>
          <w:lang w:eastAsia="en-AU"/>
        </w:rPr>
        <w:t>ity must be taken into account.</w:t>
      </w:r>
    </w:p>
    <w:p w14:paraId="2D163A6B" w14:textId="77777777" w:rsidR="007668DF" w:rsidRDefault="007668DF" w:rsidP="00A27F3D">
      <w:pPr>
        <w:pStyle w:val="Caption"/>
        <w:rPr>
          <w:lang w:eastAsia="en-AU"/>
        </w:rPr>
      </w:pPr>
      <w:bookmarkStart w:id="269" w:name="_Ref517695386"/>
      <w:bookmarkStart w:id="270" w:name="_Toc517707646"/>
      <w:bookmarkStart w:id="271" w:name="_Toc517788317"/>
      <w:bookmarkStart w:id="272" w:name="_Toc517793886"/>
      <w:bookmarkStart w:id="273" w:name="_Toc518042085"/>
      <w:bookmarkStart w:id="274" w:name="_Toc518653123"/>
      <w:bookmarkStart w:id="275" w:name="_Toc521064790"/>
      <w:r>
        <w:lastRenderedPageBreak/>
        <w:t xml:space="preserve">Table </w:t>
      </w:r>
      <w:r w:rsidR="007B3D80">
        <w:rPr>
          <w:noProof/>
        </w:rPr>
        <w:fldChar w:fldCharType="begin"/>
      </w:r>
      <w:r w:rsidR="007B3D80">
        <w:rPr>
          <w:noProof/>
        </w:rPr>
        <w:instrText xml:space="preserve"> SEQ Table \* ARABIC </w:instrText>
      </w:r>
      <w:r w:rsidR="007B3D80">
        <w:rPr>
          <w:noProof/>
        </w:rPr>
        <w:fldChar w:fldCharType="separate"/>
      </w:r>
      <w:r w:rsidR="002777A8">
        <w:rPr>
          <w:noProof/>
        </w:rPr>
        <w:t>7</w:t>
      </w:r>
      <w:r w:rsidR="007B3D80">
        <w:rPr>
          <w:noProof/>
        </w:rPr>
        <w:fldChar w:fldCharType="end"/>
      </w:r>
      <w:bookmarkEnd w:id="269"/>
      <w:r>
        <w:t xml:space="preserve"> </w:t>
      </w:r>
      <w:r w:rsidR="00784BA4">
        <w:t xml:space="preserve"> </w:t>
      </w:r>
      <w:r>
        <w:t xml:space="preserve">Case </w:t>
      </w:r>
      <w:r w:rsidR="00811B63">
        <w:t xml:space="preserve">study </w:t>
      </w:r>
      <w:r>
        <w:t xml:space="preserve">1 – Consent </w:t>
      </w:r>
      <w:r w:rsidR="00D97D75">
        <w:t xml:space="preserve">compliance values </w:t>
      </w:r>
      <w:r>
        <w:t>Cambridge WWTP</w:t>
      </w:r>
      <w:bookmarkEnd w:id="270"/>
      <w:bookmarkEnd w:id="271"/>
      <w:bookmarkEnd w:id="272"/>
      <w:bookmarkEnd w:id="273"/>
      <w:bookmarkEnd w:id="274"/>
      <w:bookmarkEnd w:id="275"/>
    </w:p>
    <w:tbl>
      <w:tblPr>
        <w:tblStyle w:val="Table-Style3"/>
        <w:tblW w:w="8487" w:type="dxa"/>
        <w:tblLook w:val="04A0" w:firstRow="1" w:lastRow="0" w:firstColumn="1" w:lastColumn="0" w:noHBand="0" w:noVBand="1"/>
      </w:tblPr>
      <w:tblGrid>
        <w:gridCol w:w="2829"/>
        <w:gridCol w:w="2829"/>
        <w:gridCol w:w="2829"/>
      </w:tblGrid>
      <w:tr w:rsidR="007668DF" w14:paraId="5745BB44" w14:textId="77777777" w:rsidTr="00784BA4">
        <w:trPr>
          <w:cnfStyle w:val="100000000000" w:firstRow="1" w:lastRow="0" w:firstColumn="0" w:lastColumn="0" w:oddVBand="0" w:evenVBand="0" w:oddHBand="0" w:evenHBand="0" w:firstRowFirstColumn="0" w:firstRowLastColumn="0" w:lastRowFirstColumn="0" w:lastRowLastColumn="0"/>
          <w:tblHeader/>
        </w:trPr>
        <w:tc>
          <w:tcPr>
            <w:tcW w:w="2829" w:type="dxa"/>
            <w:vAlign w:val="center"/>
          </w:tcPr>
          <w:p w14:paraId="48CBF7B5" w14:textId="77777777" w:rsidR="007668DF" w:rsidRDefault="007668DF" w:rsidP="00784BA4">
            <w:pPr>
              <w:pStyle w:val="Body"/>
              <w:ind w:left="0"/>
              <w:rPr>
                <w:lang w:eastAsia="en-AU"/>
              </w:rPr>
            </w:pPr>
            <w:r>
              <w:rPr>
                <w:lang w:eastAsia="en-AU"/>
              </w:rPr>
              <w:t xml:space="preserve">Consent </w:t>
            </w:r>
            <w:r w:rsidR="00A40C94">
              <w:rPr>
                <w:lang w:eastAsia="en-AU"/>
              </w:rPr>
              <w:t>parameter</w:t>
            </w:r>
          </w:p>
        </w:tc>
        <w:tc>
          <w:tcPr>
            <w:tcW w:w="2829" w:type="dxa"/>
          </w:tcPr>
          <w:p w14:paraId="53EAB69D" w14:textId="77777777" w:rsidR="007668DF" w:rsidRDefault="007668DF" w:rsidP="00784BA4">
            <w:pPr>
              <w:pStyle w:val="Body"/>
              <w:ind w:left="0"/>
              <w:jc w:val="center"/>
              <w:rPr>
                <w:lang w:eastAsia="en-AU"/>
              </w:rPr>
            </w:pPr>
            <w:r>
              <w:rPr>
                <w:lang w:eastAsia="en-AU"/>
              </w:rPr>
              <w:t xml:space="preserve">Proposed </w:t>
            </w:r>
            <w:r w:rsidR="00A40C94">
              <w:rPr>
                <w:lang w:eastAsia="en-AU"/>
              </w:rPr>
              <w:t xml:space="preserve">limit </w:t>
            </w:r>
            <w:r>
              <w:rPr>
                <w:lang w:eastAsia="en-AU"/>
              </w:rPr>
              <w:t>from December 2019</w:t>
            </w:r>
          </w:p>
        </w:tc>
        <w:tc>
          <w:tcPr>
            <w:tcW w:w="2829" w:type="dxa"/>
          </w:tcPr>
          <w:p w14:paraId="6E6C9965" w14:textId="77777777" w:rsidR="007668DF" w:rsidRDefault="007668DF" w:rsidP="00784BA4">
            <w:pPr>
              <w:pStyle w:val="Body"/>
              <w:ind w:left="0"/>
              <w:jc w:val="center"/>
              <w:rPr>
                <w:lang w:eastAsia="en-AU"/>
              </w:rPr>
            </w:pPr>
            <w:r>
              <w:rPr>
                <w:lang w:eastAsia="en-AU"/>
              </w:rPr>
              <w:t xml:space="preserve">Proposed </w:t>
            </w:r>
            <w:r w:rsidR="00A40C94">
              <w:rPr>
                <w:lang w:eastAsia="en-AU"/>
              </w:rPr>
              <w:t xml:space="preserve">limit </w:t>
            </w:r>
            <w:r>
              <w:rPr>
                <w:lang w:eastAsia="en-AU"/>
              </w:rPr>
              <w:t>from December 2022</w:t>
            </w:r>
          </w:p>
        </w:tc>
      </w:tr>
      <w:tr w:rsidR="007668DF" w14:paraId="7EA26F42" w14:textId="77777777" w:rsidTr="00E66F34">
        <w:tc>
          <w:tcPr>
            <w:tcW w:w="2829" w:type="dxa"/>
          </w:tcPr>
          <w:p w14:paraId="292DF80C" w14:textId="77777777" w:rsidR="007668DF" w:rsidRDefault="007668DF" w:rsidP="007668DF">
            <w:pPr>
              <w:pStyle w:val="Body"/>
              <w:ind w:left="0"/>
              <w:rPr>
                <w:lang w:eastAsia="en-AU"/>
              </w:rPr>
            </w:pPr>
            <w:r>
              <w:rPr>
                <w:lang w:eastAsia="en-AU"/>
              </w:rPr>
              <w:t>Flow</w:t>
            </w:r>
          </w:p>
        </w:tc>
        <w:tc>
          <w:tcPr>
            <w:tcW w:w="2829" w:type="dxa"/>
          </w:tcPr>
          <w:p w14:paraId="63919DC1" w14:textId="77777777" w:rsidR="007668DF" w:rsidRDefault="007668DF" w:rsidP="007668DF">
            <w:pPr>
              <w:pStyle w:val="Body"/>
              <w:ind w:left="0"/>
              <w:rPr>
                <w:lang w:eastAsia="en-AU"/>
              </w:rPr>
            </w:pPr>
            <w:r>
              <w:rPr>
                <w:lang w:eastAsia="en-AU"/>
              </w:rPr>
              <w:t>35,200 m</w:t>
            </w:r>
            <w:r w:rsidRPr="004213D2">
              <w:rPr>
                <w:vertAlign w:val="superscript"/>
                <w:lang w:eastAsia="en-AU"/>
              </w:rPr>
              <w:t>3</w:t>
            </w:r>
            <w:r>
              <w:rPr>
                <w:lang w:eastAsia="en-AU"/>
              </w:rPr>
              <w:t>/day</w:t>
            </w:r>
          </w:p>
        </w:tc>
        <w:tc>
          <w:tcPr>
            <w:tcW w:w="2829" w:type="dxa"/>
          </w:tcPr>
          <w:p w14:paraId="645DD432" w14:textId="77777777" w:rsidR="007668DF" w:rsidRDefault="007668DF" w:rsidP="007668DF">
            <w:pPr>
              <w:pStyle w:val="Body"/>
              <w:ind w:left="0"/>
              <w:rPr>
                <w:lang w:eastAsia="en-AU"/>
              </w:rPr>
            </w:pPr>
            <w:r>
              <w:rPr>
                <w:lang w:eastAsia="en-AU"/>
              </w:rPr>
              <w:t>35,200 m</w:t>
            </w:r>
            <w:r w:rsidRPr="004213D2">
              <w:rPr>
                <w:vertAlign w:val="superscript"/>
                <w:lang w:eastAsia="en-AU"/>
              </w:rPr>
              <w:t>3</w:t>
            </w:r>
            <w:r>
              <w:rPr>
                <w:lang w:eastAsia="en-AU"/>
              </w:rPr>
              <w:t>/day</w:t>
            </w:r>
          </w:p>
        </w:tc>
      </w:tr>
      <w:tr w:rsidR="007668DF" w14:paraId="23699369" w14:textId="77777777" w:rsidTr="00E66F34">
        <w:tc>
          <w:tcPr>
            <w:tcW w:w="2829" w:type="dxa"/>
          </w:tcPr>
          <w:p w14:paraId="389322CD" w14:textId="77777777" w:rsidR="007668DF" w:rsidRDefault="007668DF" w:rsidP="007668DF">
            <w:pPr>
              <w:pStyle w:val="Body"/>
              <w:ind w:left="0"/>
              <w:rPr>
                <w:lang w:eastAsia="en-AU"/>
              </w:rPr>
            </w:pPr>
            <w:r>
              <w:rPr>
                <w:lang w:eastAsia="en-AU"/>
              </w:rPr>
              <w:t>cBOD</w:t>
            </w:r>
          </w:p>
        </w:tc>
        <w:tc>
          <w:tcPr>
            <w:tcW w:w="2829" w:type="dxa"/>
          </w:tcPr>
          <w:p w14:paraId="7FAAD4A1" w14:textId="77777777" w:rsidR="007668DF" w:rsidRDefault="007668DF" w:rsidP="007668DF">
            <w:pPr>
              <w:pStyle w:val="Body"/>
              <w:ind w:left="0"/>
              <w:rPr>
                <w:lang w:eastAsia="en-AU"/>
              </w:rPr>
            </w:pPr>
            <w:r>
              <w:rPr>
                <w:lang w:eastAsia="en-AU"/>
              </w:rPr>
              <w:t>Not exceed 10 mg/l</w:t>
            </w:r>
          </w:p>
          <w:p w14:paraId="57AC339A" w14:textId="77777777" w:rsidR="007668DF" w:rsidRDefault="007668DF" w:rsidP="007668DF">
            <w:pPr>
              <w:pStyle w:val="Body"/>
              <w:ind w:left="0"/>
              <w:rPr>
                <w:lang w:eastAsia="en-AU"/>
              </w:rPr>
            </w:pPr>
            <w:r>
              <w:rPr>
                <w:lang w:eastAsia="en-AU"/>
              </w:rPr>
              <w:t>90</w:t>
            </w:r>
            <w:r w:rsidRPr="004213D2">
              <w:rPr>
                <w:vertAlign w:val="superscript"/>
                <w:lang w:eastAsia="en-AU"/>
              </w:rPr>
              <w:t>th</w:t>
            </w:r>
            <w:r>
              <w:rPr>
                <w:lang w:eastAsia="en-AU"/>
              </w:rPr>
              <w:t xml:space="preserve"> Percentile 20 mg/m</w:t>
            </w:r>
            <w:r w:rsidRPr="004213D2">
              <w:rPr>
                <w:vertAlign w:val="superscript"/>
                <w:lang w:eastAsia="en-AU"/>
              </w:rPr>
              <w:t>3</w:t>
            </w:r>
          </w:p>
        </w:tc>
        <w:tc>
          <w:tcPr>
            <w:tcW w:w="2829" w:type="dxa"/>
          </w:tcPr>
          <w:p w14:paraId="0444723E" w14:textId="77777777" w:rsidR="007668DF" w:rsidRDefault="007668DF" w:rsidP="007668DF">
            <w:pPr>
              <w:pStyle w:val="Body"/>
              <w:ind w:left="0"/>
              <w:rPr>
                <w:lang w:eastAsia="en-AU"/>
              </w:rPr>
            </w:pPr>
            <w:r>
              <w:rPr>
                <w:lang w:eastAsia="en-AU"/>
              </w:rPr>
              <w:t>Not exceed 10 mg/l</w:t>
            </w:r>
          </w:p>
          <w:p w14:paraId="50DF5916" w14:textId="77777777" w:rsidR="007668DF" w:rsidRDefault="007668DF" w:rsidP="007668DF">
            <w:pPr>
              <w:pStyle w:val="Body"/>
              <w:ind w:left="0"/>
              <w:rPr>
                <w:lang w:eastAsia="en-AU"/>
              </w:rPr>
            </w:pPr>
            <w:r>
              <w:rPr>
                <w:lang w:eastAsia="en-AU"/>
              </w:rPr>
              <w:t>90</w:t>
            </w:r>
            <w:r w:rsidRPr="004213D2">
              <w:rPr>
                <w:vertAlign w:val="superscript"/>
                <w:lang w:eastAsia="en-AU"/>
              </w:rPr>
              <w:t>th</w:t>
            </w:r>
            <w:r>
              <w:rPr>
                <w:lang w:eastAsia="en-AU"/>
              </w:rPr>
              <w:t xml:space="preserve"> Percentile 20 mg/m</w:t>
            </w:r>
            <w:r w:rsidRPr="004213D2">
              <w:rPr>
                <w:vertAlign w:val="superscript"/>
                <w:lang w:eastAsia="en-AU"/>
              </w:rPr>
              <w:t>3</w:t>
            </w:r>
          </w:p>
        </w:tc>
      </w:tr>
      <w:tr w:rsidR="007668DF" w14:paraId="142C49B6" w14:textId="77777777" w:rsidTr="00E66F34">
        <w:tc>
          <w:tcPr>
            <w:tcW w:w="2829" w:type="dxa"/>
          </w:tcPr>
          <w:p w14:paraId="2448E4A2" w14:textId="77777777" w:rsidR="007668DF" w:rsidRDefault="007668DF" w:rsidP="007668DF">
            <w:pPr>
              <w:pStyle w:val="Body"/>
              <w:ind w:left="0"/>
              <w:rPr>
                <w:lang w:eastAsia="en-AU"/>
              </w:rPr>
            </w:pPr>
            <w:r>
              <w:rPr>
                <w:lang w:eastAsia="en-AU"/>
              </w:rPr>
              <w:t>Suspended Solids</w:t>
            </w:r>
          </w:p>
        </w:tc>
        <w:tc>
          <w:tcPr>
            <w:tcW w:w="2829" w:type="dxa"/>
          </w:tcPr>
          <w:p w14:paraId="1B77EB41" w14:textId="77777777" w:rsidR="007668DF" w:rsidRDefault="007668DF" w:rsidP="007668DF">
            <w:pPr>
              <w:pStyle w:val="Body"/>
              <w:ind w:left="0"/>
              <w:rPr>
                <w:lang w:eastAsia="en-AU"/>
              </w:rPr>
            </w:pPr>
            <w:r>
              <w:rPr>
                <w:lang w:eastAsia="en-AU"/>
              </w:rPr>
              <w:t>Not exceed 10 mg/l</w:t>
            </w:r>
          </w:p>
          <w:p w14:paraId="6288CC44" w14:textId="77777777" w:rsidR="007668DF" w:rsidRDefault="007668DF" w:rsidP="007668DF">
            <w:pPr>
              <w:pStyle w:val="Body"/>
              <w:ind w:left="0"/>
              <w:rPr>
                <w:lang w:eastAsia="en-AU"/>
              </w:rPr>
            </w:pPr>
            <w:r>
              <w:rPr>
                <w:lang w:eastAsia="en-AU"/>
              </w:rPr>
              <w:t>90</w:t>
            </w:r>
            <w:r w:rsidRPr="004213D2">
              <w:rPr>
                <w:vertAlign w:val="superscript"/>
                <w:lang w:eastAsia="en-AU"/>
              </w:rPr>
              <w:t>th</w:t>
            </w:r>
            <w:r>
              <w:rPr>
                <w:lang w:eastAsia="en-AU"/>
              </w:rPr>
              <w:t xml:space="preserve"> Percentile 20 mg/m</w:t>
            </w:r>
            <w:r w:rsidRPr="004213D2">
              <w:rPr>
                <w:vertAlign w:val="superscript"/>
                <w:lang w:eastAsia="en-AU"/>
              </w:rPr>
              <w:t>3</w:t>
            </w:r>
          </w:p>
        </w:tc>
        <w:tc>
          <w:tcPr>
            <w:tcW w:w="2829" w:type="dxa"/>
          </w:tcPr>
          <w:p w14:paraId="35113AA0" w14:textId="77777777" w:rsidR="007668DF" w:rsidRDefault="007668DF" w:rsidP="007668DF">
            <w:pPr>
              <w:pStyle w:val="Body"/>
              <w:ind w:left="0"/>
              <w:rPr>
                <w:lang w:eastAsia="en-AU"/>
              </w:rPr>
            </w:pPr>
            <w:r>
              <w:rPr>
                <w:lang w:eastAsia="en-AU"/>
              </w:rPr>
              <w:t>Not exceed 10 mg/l</w:t>
            </w:r>
          </w:p>
          <w:p w14:paraId="7102D182" w14:textId="77777777" w:rsidR="007668DF" w:rsidRDefault="007668DF" w:rsidP="007668DF">
            <w:pPr>
              <w:pStyle w:val="Body"/>
              <w:ind w:left="0"/>
              <w:rPr>
                <w:lang w:eastAsia="en-AU"/>
              </w:rPr>
            </w:pPr>
            <w:r>
              <w:rPr>
                <w:lang w:eastAsia="en-AU"/>
              </w:rPr>
              <w:t>90</w:t>
            </w:r>
            <w:r w:rsidRPr="004213D2">
              <w:rPr>
                <w:vertAlign w:val="superscript"/>
                <w:lang w:eastAsia="en-AU"/>
              </w:rPr>
              <w:t>th</w:t>
            </w:r>
            <w:r>
              <w:rPr>
                <w:lang w:eastAsia="en-AU"/>
              </w:rPr>
              <w:t xml:space="preserve"> Percentile 20 mg/m</w:t>
            </w:r>
            <w:r w:rsidRPr="004213D2">
              <w:rPr>
                <w:vertAlign w:val="superscript"/>
                <w:lang w:eastAsia="en-AU"/>
              </w:rPr>
              <w:t>3</w:t>
            </w:r>
          </w:p>
        </w:tc>
      </w:tr>
      <w:tr w:rsidR="007668DF" w14:paraId="710D4C6B" w14:textId="77777777" w:rsidTr="00E66F34">
        <w:tc>
          <w:tcPr>
            <w:tcW w:w="2829" w:type="dxa"/>
          </w:tcPr>
          <w:p w14:paraId="02148ABC" w14:textId="77777777" w:rsidR="007668DF" w:rsidRDefault="007668DF" w:rsidP="007668DF">
            <w:pPr>
              <w:pStyle w:val="Body"/>
              <w:ind w:left="0"/>
              <w:rPr>
                <w:lang w:eastAsia="en-AU"/>
              </w:rPr>
            </w:pPr>
            <w:r>
              <w:rPr>
                <w:lang w:eastAsia="en-AU"/>
              </w:rPr>
              <w:t>Total Nitrogen</w:t>
            </w:r>
          </w:p>
        </w:tc>
        <w:tc>
          <w:tcPr>
            <w:tcW w:w="2829" w:type="dxa"/>
          </w:tcPr>
          <w:p w14:paraId="691B09F0" w14:textId="77777777" w:rsidR="007668DF" w:rsidRDefault="007668DF" w:rsidP="007668DF">
            <w:pPr>
              <w:pStyle w:val="Body"/>
              <w:ind w:left="0"/>
              <w:rPr>
                <w:lang w:eastAsia="en-AU"/>
              </w:rPr>
            </w:pPr>
            <w:r>
              <w:rPr>
                <w:lang w:eastAsia="en-AU"/>
              </w:rPr>
              <w:t>No more than 130 kg/day</w:t>
            </w:r>
          </w:p>
        </w:tc>
        <w:tc>
          <w:tcPr>
            <w:tcW w:w="2829" w:type="dxa"/>
          </w:tcPr>
          <w:p w14:paraId="4D592C82" w14:textId="77777777" w:rsidR="007668DF" w:rsidRDefault="007668DF" w:rsidP="007668DF">
            <w:pPr>
              <w:pStyle w:val="Body"/>
              <w:ind w:left="0"/>
              <w:rPr>
                <w:lang w:eastAsia="en-AU"/>
              </w:rPr>
            </w:pPr>
            <w:r>
              <w:rPr>
                <w:lang w:eastAsia="en-AU"/>
              </w:rPr>
              <w:t>No more than 52 kg/day</w:t>
            </w:r>
          </w:p>
        </w:tc>
      </w:tr>
      <w:tr w:rsidR="007668DF" w14:paraId="6F7D2BB2" w14:textId="77777777" w:rsidTr="00E66F34">
        <w:tc>
          <w:tcPr>
            <w:tcW w:w="2829" w:type="dxa"/>
          </w:tcPr>
          <w:p w14:paraId="263992DE" w14:textId="77777777" w:rsidR="007668DF" w:rsidRDefault="007668DF" w:rsidP="007668DF">
            <w:pPr>
              <w:pStyle w:val="Body"/>
              <w:ind w:left="0"/>
              <w:rPr>
                <w:lang w:eastAsia="en-AU"/>
              </w:rPr>
            </w:pPr>
            <w:r>
              <w:rPr>
                <w:lang w:eastAsia="en-AU"/>
              </w:rPr>
              <w:t xml:space="preserve">Total Phosphorus </w:t>
            </w:r>
          </w:p>
        </w:tc>
        <w:tc>
          <w:tcPr>
            <w:tcW w:w="2829" w:type="dxa"/>
          </w:tcPr>
          <w:p w14:paraId="09C41B01" w14:textId="77777777" w:rsidR="007668DF" w:rsidRDefault="007668DF" w:rsidP="007668DF">
            <w:pPr>
              <w:pStyle w:val="Body"/>
              <w:ind w:left="0"/>
              <w:rPr>
                <w:lang w:eastAsia="en-AU"/>
              </w:rPr>
            </w:pPr>
            <w:r>
              <w:rPr>
                <w:lang w:eastAsia="en-AU"/>
              </w:rPr>
              <w:t>Summer limit (Dec – May) 25 kg/day</w:t>
            </w:r>
          </w:p>
        </w:tc>
        <w:tc>
          <w:tcPr>
            <w:tcW w:w="2829" w:type="dxa"/>
          </w:tcPr>
          <w:p w14:paraId="434CAC5C" w14:textId="77777777" w:rsidR="007668DF" w:rsidRDefault="007668DF" w:rsidP="007668DF">
            <w:pPr>
              <w:pStyle w:val="Body"/>
              <w:ind w:left="0"/>
              <w:rPr>
                <w:lang w:eastAsia="en-AU"/>
              </w:rPr>
            </w:pPr>
            <w:r>
              <w:rPr>
                <w:lang w:eastAsia="en-AU"/>
              </w:rPr>
              <w:t>Summer limit (Dec – May) 13 kg/day</w:t>
            </w:r>
          </w:p>
        </w:tc>
      </w:tr>
      <w:tr w:rsidR="007668DF" w14:paraId="1B3A70A7" w14:textId="77777777" w:rsidTr="00E66F34">
        <w:tc>
          <w:tcPr>
            <w:tcW w:w="2829" w:type="dxa"/>
          </w:tcPr>
          <w:p w14:paraId="3002498B" w14:textId="77777777" w:rsidR="007668DF" w:rsidRPr="00261B3A" w:rsidRDefault="007668DF" w:rsidP="007668DF">
            <w:pPr>
              <w:pStyle w:val="Body"/>
              <w:ind w:left="0"/>
              <w:rPr>
                <w:i/>
                <w:lang w:eastAsia="en-AU"/>
              </w:rPr>
            </w:pPr>
            <w:r w:rsidRPr="00261B3A">
              <w:rPr>
                <w:i/>
                <w:lang w:eastAsia="en-AU"/>
              </w:rPr>
              <w:t xml:space="preserve">E-Coli </w:t>
            </w:r>
          </w:p>
        </w:tc>
        <w:tc>
          <w:tcPr>
            <w:tcW w:w="2829" w:type="dxa"/>
          </w:tcPr>
          <w:p w14:paraId="62CC3954" w14:textId="77777777" w:rsidR="007668DF" w:rsidRDefault="007668DF" w:rsidP="007668DF">
            <w:pPr>
              <w:pStyle w:val="Body"/>
              <w:ind w:left="0"/>
              <w:rPr>
                <w:lang w:eastAsia="en-AU"/>
              </w:rPr>
            </w:pPr>
            <w:r>
              <w:rPr>
                <w:lang w:eastAsia="en-AU"/>
              </w:rPr>
              <w:t>126 cfu per 100 mls</w:t>
            </w:r>
          </w:p>
        </w:tc>
        <w:tc>
          <w:tcPr>
            <w:tcW w:w="2829" w:type="dxa"/>
          </w:tcPr>
          <w:p w14:paraId="4FC03191" w14:textId="77777777" w:rsidR="007668DF" w:rsidRDefault="007668DF" w:rsidP="007668DF">
            <w:pPr>
              <w:pStyle w:val="Body"/>
              <w:ind w:left="0"/>
              <w:rPr>
                <w:lang w:eastAsia="en-AU"/>
              </w:rPr>
            </w:pPr>
            <w:r>
              <w:rPr>
                <w:lang w:eastAsia="en-AU"/>
              </w:rPr>
              <w:t>126 cfu per 100 mls</w:t>
            </w:r>
          </w:p>
        </w:tc>
      </w:tr>
    </w:tbl>
    <w:p w14:paraId="2C007C81" w14:textId="77777777" w:rsidR="007668DF" w:rsidRDefault="007668DF" w:rsidP="00644674">
      <w:pPr>
        <w:pStyle w:val="Body"/>
        <w:rPr>
          <w:lang w:eastAsia="en-AU"/>
        </w:rPr>
      </w:pPr>
    </w:p>
    <w:p w14:paraId="29B51F6E" w14:textId="77777777" w:rsidR="00644674" w:rsidRDefault="00644674" w:rsidP="00644674">
      <w:pPr>
        <w:pStyle w:val="Body"/>
        <w:rPr>
          <w:lang w:eastAsia="en-AU"/>
        </w:rPr>
      </w:pPr>
      <w:r>
        <w:rPr>
          <w:lang w:eastAsia="en-AU"/>
        </w:rPr>
        <w:t xml:space="preserve">To achieve the consent conditions, </w:t>
      </w:r>
      <w:r w:rsidR="00AF0EDF">
        <w:rPr>
          <w:lang w:eastAsia="en-AU"/>
        </w:rPr>
        <w:t xml:space="preserve">Waipa District Council </w:t>
      </w:r>
      <w:r>
        <w:rPr>
          <w:lang w:eastAsia="en-AU"/>
        </w:rPr>
        <w:t xml:space="preserve">proposed a staged approach for the treatment plant, breaking the works down to </w:t>
      </w:r>
      <w:r w:rsidR="00435893">
        <w:rPr>
          <w:lang w:eastAsia="en-AU"/>
        </w:rPr>
        <w:t xml:space="preserve">three </w:t>
      </w:r>
      <w:r>
        <w:rPr>
          <w:lang w:eastAsia="en-AU"/>
        </w:rPr>
        <w:t>stages over a number of years, these stages being:</w:t>
      </w:r>
    </w:p>
    <w:p w14:paraId="24838C24" w14:textId="77777777" w:rsidR="00644674" w:rsidRDefault="00644674" w:rsidP="00A27F3D">
      <w:pPr>
        <w:pStyle w:val="Body"/>
        <w:numPr>
          <w:ilvl w:val="0"/>
          <w:numId w:val="84"/>
        </w:numPr>
        <w:rPr>
          <w:lang w:eastAsia="en-AU"/>
        </w:rPr>
      </w:pPr>
      <w:r>
        <w:rPr>
          <w:lang w:eastAsia="en-AU"/>
        </w:rPr>
        <w:t xml:space="preserve">Stage 1 – </w:t>
      </w:r>
      <w:r w:rsidR="00435893">
        <w:rPr>
          <w:lang w:eastAsia="en-AU"/>
        </w:rPr>
        <w:t>Retain e</w:t>
      </w:r>
      <w:r>
        <w:rPr>
          <w:lang w:eastAsia="en-AU"/>
        </w:rPr>
        <w:t xml:space="preserve">xisting </w:t>
      </w:r>
      <w:r w:rsidR="00435893">
        <w:rPr>
          <w:lang w:eastAsia="en-AU"/>
        </w:rPr>
        <w:t>WWTP</w:t>
      </w:r>
      <w:r>
        <w:rPr>
          <w:lang w:eastAsia="en-AU"/>
        </w:rPr>
        <w:t xml:space="preserve"> (</w:t>
      </w:r>
      <w:r w:rsidR="00435893">
        <w:rPr>
          <w:lang w:eastAsia="en-AU"/>
        </w:rPr>
        <w:t xml:space="preserve">with physical </w:t>
      </w:r>
      <w:r>
        <w:rPr>
          <w:lang w:eastAsia="en-AU"/>
        </w:rPr>
        <w:t>works of first upgrade to commence 2016)</w:t>
      </w:r>
    </w:p>
    <w:p w14:paraId="65A3F800" w14:textId="77777777" w:rsidR="00644674" w:rsidRDefault="00644674" w:rsidP="002C75CD">
      <w:pPr>
        <w:pStyle w:val="Body"/>
        <w:numPr>
          <w:ilvl w:val="0"/>
          <w:numId w:val="84"/>
        </w:numPr>
      </w:pPr>
      <w:r>
        <w:t xml:space="preserve">Stage 2 – Upgrade the </w:t>
      </w:r>
      <w:r w:rsidR="00435893">
        <w:t xml:space="preserve">plant </w:t>
      </w:r>
      <w:r>
        <w:t>to achieve treatment scenario 1 (as outlined in the AEE) between 2019 and 2022</w:t>
      </w:r>
    </w:p>
    <w:p w14:paraId="5E6DF74F" w14:textId="77777777" w:rsidR="00644674" w:rsidRDefault="00644674" w:rsidP="002C75CD">
      <w:pPr>
        <w:pStyle w:val="Body"/>
        <w:numPr>
          <w:ilvl w:val="0"/>
          <w:numId w:val="84"/>
        </w:numPr>
      </w:pPr>
      <w:r>
        <w:t>Stage 3 Further upgrades between 2022 – 2046</w:t>
      </w:r>
    </w:p>
    <w:p w14:paraId="3BB56D56" w14:textId="77777777" w:rsidR="00644674" w:rsidRDefault="00644674" w:rsidP="00644674">
      <w:pPr>
        <w:pStyle w:val="Body"/>
      </w:pPr>
      <w:r>
        <w:t xml:space="preserve">The basis of the proposed consent conditions </w:t>
      </w:r>
      <w:r w:rsidR="00435893">
        <w:t xml:space="preserve">is to </w:t>
      </w:r>
      <w:r>
        <w:t xml:space="preserve">utilise </w:t>
      </w:r>
      <w:r w:rsidR="00120410">
        <w:t>BNR</w:t>
      </w:r>
      <w:r w:rsidR="00782459">
        <w:t xml:space="preserve"> </w:t>
      </w:r>
      <w:r>
        <w:t xml:space="preserve">type technology, whilst acknowledging that over time technology will improve and other tools </w:t>
      </w:r>
      <w:r w:rsidR="00435893">
        <w:t xml:space="preserve">will </w:t>
      </w:r>
      <w:r>
        <w:t>become available to be deployed to meet consent compliance requirements.</w:t>
      </w:r>
    </w:p>
    <w:p w14:paraId="3A305BB4" w14:textId="77777777" w:rsidR="00644674" w:rsidRDefault="00644674" w:rsidP="00A27F3D">
      <w:pPr>
        <w:pStyle w:val="Heading3"/>
      </w:pPr>
      <w:r w:rsidRPr="004213D2">
        <w:t>Costs</w:t>
      </w:r>
    </w:p>
    <w:p w14:paraId="6C3ACB99" w14:textId="77777777" w:rsidR="00644674" w:rsidRDefault="00644674" w:rsidP="00644674">
      <w:pPr>
        <w:pStyle w:val="Body"/>
        <w:ind w:left="491"/>
      </w:pPr>
      <w:r>
        <w:t xml:space="preserve">The estimated costs for the scheme are presented in </w:t>
      </w:r>
      <w:r w:rsidR="003F5DE8">
        <w:fldChar w:fldCharType="begin"/>
      </w:r>
      <w:r w:rsidR="003F5DE8">
        <w:instrText xml:space="preserve"> REF _Ref517695567 \h </w:instrText>
      </w:r>
      <w:r w:rsidR="003F5DE8">
        <w:fldChar w:fldCharType="separate"/>
      </w:r>
      <w:r w:rsidR="002777A8">
        <w:t xml:space="preserve">Table </w:t>
      </w:r>
      <w:r w:rsidR="002777A8">
        <w:rPr>
          <w:noProof/>
        </w:rPr>
        <w:t>8</w:t>
      </w:r>
      <w:r w:rsidR="003F5DE8">
        <w:fldChar w:fldCharType="end"/>
      </w:r>
      <w:r>
        <w:t xml:space="preserve"> </w:t>
      </w:r>
      <w:r w:rsidR="00DE0AF9">
        <w:t xml:space="preserve">following </w:t>
      </w:r>
      <w:r>
        <w:t xml:space="preserve">and are contained within </w:t>
      </w:r>
      <w:r w:rsidR="00380446">
        <w:t xml:space="preserve">the Waipa District </w:t>
      </w:r>
      <w:r>
        <w:t>Council 2012-2022 Long Term Plan</w:t>
      </w:r>
      <w:r w:rsidR="007668DF">
        <w:t>.</w:t>
      </w:r>
    </w:p>
    <w:p w14:paraId="26A1AA2A" w14:textId="77777777" w:rsidR="007668DF" w:rsidRDefault="007668DF" w:rsidP="00A27F3D">
      <w:pPr>
        <w:pStyle w:val="Caption"/>
      </w:pPr>
      <w:bookmarkStart w:id="276" w:name="_Ref517695567"/>
      <w:bookmarkStart w:id="277" w:name="_Toc518042086"/>
      <w:bookmarkStart w:id="278" w:name="_Toc517707647"/>
      <w:bookmarkStart w:id="279" w:name="_Toc517788318"/>
      <w:bookmarkStart w:id="280" w:name="_Toc517793887"/>
      <w:bookmarkStart w:id="281" w:name="_Toc518653124"/>
      <w:bookmarkStart w:id="282" w:name="_Toc521064791"/>
      <w:r>
        <w:t xml:space="preserve">Table </w:t>
      </w:r>
      <w:r w:rsidR="007B3D80">
        <w:rPr>
          <w:noProof/>
        </w:rPr>
        <w:fldChar w:fldCharType="begin"/>
      </w:r>
      <w:r w:rsidR="007B3D80">
        <w:rPr>
          <w:noProof/>
        </w:rPr>
        <w:instrText xml:space="preserve"> SEQ Table \* ARABIC </w:instrText>
      </w:r>
      <w:r w:rsidR="007B3D80">
        <w:rPr>
          <w:noProof/>
        </w:rPr>
        <w:fldChar w:fldCharType="separate"/>
      </w:r>
      <w:r w:rsidR="002777A8">
        <w:rPr>
          <w:noProof/>
        </w:rPr>
        <w:t>8</w:t>
      </w:r>
      <w:r w:rsidR="007B3D80">
        <w:rPr>
          <w:noProof/>
        </w:rPr>
        <w:fldChar w:fldCharType="end"/>
      </w:r>
      <w:bookmarkEnd w:id="276"/>
      <w:r w:rsidR="00784BA4">
        <w:rPr>
          <w:noProof/>
        </w:rPr>
        <w:t xml:space="preserve"> </w:t>
      </w:r>
      <w:r>
        <w:t xml:space="preserve"> Case </w:t>
      </w:r>
      <w:r w:rsidR="00811B63">
        <w:t xml:space="preserve">study </w:t>
      </w:r>
      <w:r>
        <w:t xml:space="preserve">1 – Predicted </w:t>
      </w:r>
      <w:r w:rsidR="00B52A53">
        <w:t>capital investment</w:t>
      </w:r>
      <w:bookmarkEnd w:id="277"/>
      <w:bookmarkEnd w:id="278"/>
      <w:bookmarkEnd w:id="279"/>
      <w:bookmarkEnd w:id="280"/>
      <w:bookmarkEnd w:id="281"/>
      <w:bookmarkEnd w:id="282"/>
    </w:p>
    <w:tbl>
      <w:tblPr>
        <w:tblStyle w:val="Table-Style3"/>
        <w:tblW w:w="8562" w:type="dxa"/>
        <w:tblInd w:w="491" w:type="dxa"/>
        <w:tblLook w:val="04A0" w:firstRow="1" w:lastRow="0" w:firstColumn="1" w:lastColumn="0" w:noHBand="0" w:noVBand="1"/>
      </w:tblPr>
      <w:tblGrid>
        <w:gridCol w:w="4281"/>
        <w:gridCol w:w="4281"/>
      </w:tblGrid>
      <w:tr w:rsidR="007668DF" w14:paraId="488EAC6E" w14:textId="77777777" w:rsidTr="00E66F34">
        <w:trPr>
          <w:cnfStyle w:val="100000000000" w:firstRow="1" w:lastRow="0" w:firstColumn="0" w:lastColumn="0" w:oddVBand="0" w:evenVBand="0" w:oddHBand="0" w:evenHBand="0" w:firstRowFirstColumn="0" w:firstRowLastColumn="0" w:lastRowFirstColumn="0" w:lastRowLastColumn="0"/>
        </w:trPr>
        <w:tc>
          <w:tcPr>
            <w:tcW w:w="4281" w:type="dxa"/>
          </w:tcPr>
          <w:p w14:paraId="2309D138" w14:textId="77777777" w:rsidR="007668DF" w:rsidRDefault="007668DF" w:rsidP="002C75CD">
            <w:pPr>
              <w:pStyle w:val="Body"/>
              <w:ind w:left="0"/>
              <w:jc w:val="center"/>
            </w:pPr>
            <w:r>
              <w:t>Capital Expenditure Year</w:t>
            </w:r>
          </w:p>
        </w:tc>
        <w:tc>
          <w:tcPr>
            <w:tcW w:w="4281" w:type="dxa"/>
          </w:tcPr>
          <w:p w14:paraId="4AAC2184" w14:textId="77777777" w:rsidR="007668DF" w:rsidRDefault="00435893" w:rsidP="002C75CD">
            <w:pPr>
              <w:pStyle w:val="Body"/>
              <w:ind w:left="0"/>
              <w:jc w:val="center"/>
            </w:pPr>
            <w:r>
              <w:t>Cost Estimate</w:t>
            </w:r>
            <w:r w:rsidR="007668DF">
              <w:t xml:space="preserve"> (</w:t>
            </w:r>
            <w:r w:rsidR="00782459">
              <w:t xml:space="preserve">$ Million </w:t>
            </w:r>
            <w:r w:rsidR="007668DF">
              <w:t>excl. GST)</w:t>
            </w:r>
          </w:p>
        </w:tc>
      </w:tr>
      <w:tr w:rsidR="007668DF" w14:paraId="6A96F277" w14:textId="77777777" w:rsidTr="00E66F34">
        <w:tc>
          <w:tcPr>
            <w:tcW w:w="4281" w:type="dxa"/>
          </w:tcPr>
          <w:p w14:paraId="2479CBE2" w14:textId="77777777" w:rsidR="007668DF" w:rsidRDefault="007668DF" w:rsidP="00A27F3D">
            <w:pPr>
              <w:pStyle w:val="Body"/>
              <w:ind w:left="0"/>
              <w:jc w:val="center"/>
            </w:pPr>
            <w:r>
              <w:t>2016/17</w:t>
            </w:r>
          </w:p>
        </w:tc>
        <w:tc>
          <w:tcPr>
            <w:tcW w:w="4281" w:type="dxa"/>
          </w:tcPr>
          <w:p w14:paraId="6F8F615C" w14:textId="77777777" w:rsidR="007668DF" w:rsidRDefault="007668DF" w:rsidP="00380446">
            <w:pPr>
              <w:pStyle w:val="Body"/>
              <w:ind w:left="0"/>
              <w:jc w:val="center"/>
            </w:pPr>
            <w:r>
              <w:t>$7</w:t>
            </w:r>
            <w:r w:rsidR="00782459">
              <w:t xml:space="preserve"> </w:t>
            </w:r>
            <w:r w:rsidR="00435893">
              <w:t>M</w:t>
            </w:r>
            <w:r w:rsidR="00042BF7">
              <w:t>illion</w:t>
            </w:r>
          </w:p>
        </w:tc>
      </w:tr>
      <w:tr w:rsidR="007668DF" w14:paraId="66FD162E" w14:textId="77777777" w:rsidTr="00E66F34">
        <w:tc>
          <w:tcPr>
            <w:tcW w:w="4281" w:type="dxa"/>
          </w:tcPr>
          <w:p w14:paraId="3BE0BC96" w14:textId="77777777" w:rsidR="007668DF" w:rsidRDefault="007668DF" w:rsidP="00A27F3D">
            <w:pPr>
              <w:pStyle w:val="Body"/>
              <w:ind w:left="0"/>
              <w:jc w:val="center"/>
            </w:pPr>
            <w:r>
              <w:t>2017/18</w:t>
            </w:r>
          </w:p>
        </w:tc>
        <w:tc>
          <w:tcPr>
            <w:tcW w:w="4281" w:type="dxa"/>
          </w:tcPr>
          <w:p w14:paraId="37AF9BE9" w14:textId="77777777" w:rsidR="007668DF" w:rsidRDefault="007668DF" w:rsidP="00380446">
            <w:pPr>
              <w:pStyle w:val="Body"/>
              <w:ind w:left="0"/>
              <w:jc w:val="center"/>
            </w:pPr>
            <w:r>
              <w:t>$7</w:t>
            </w:r>
            <w:r w:rsidR="00782459">
              <w:t xml:space="preserve"> </w:t>
            </w:r>
            <w:r w:rsidR="00435893">
              <w:t>M</w:t>
            </w:r>
            <w:r w:rsidR="00042BF7">
              <w:t>illion</w:t>
            </w:r>
          </w:p>
        </w:tc>
      </w:tr>
      <w:tr w:rsidR="007668DF" w14:paraId="6646C452" w14:textId="77777777" w:rsidTr="00E66F34">
        <w:tc>
          <w:tcPr>
            <w:tcW w:w="4281" w:type="dxa"/>
          </w:tcPr>
          <w:p w14:paraId="1648C911" w14:textId="77777777" w:rsidR="007668DF" w:rsidRDefault="007668DF" w:rsidP="00A27F3D">
            <w:pPr>
              <w:pStyle w:val="Body"/>
              <w:ind w:left="0"/>
              <w:jc w:val="center"/>
            </w:pPr>
            <w:r>
              <w:t>2020/21</w:t>
            </w:r>
          </w:p>
        </w:tc>
        <w:tc>
          <w:tcPr>
            <w:tcW w:w="4281" w:type="dxa"/>
          </w:tcPr>
          <w:p w14:paraId="0156494D" w14:textId="77777777" w:rsidR="007668DF" w:rsidRDefault="007668DF" w:rsidP="002C75CD">
            <w:pPr>
              <w:pStyle w:val="Body"/>
              <w:ind w:left="0"/>
              <w:jc w:val="center"/>
            </w:pPr>
            <w:r>
              <w:t>$6</w:t>
            </w:r>
            <w:r w:rsidR="00782459">
              <w:t xml:space="preserve"> </w:t>
            </w:r>
            <w:r w:rsidR="00435893">
              <w:t>M</w:t>
            </w:r>
            <w:r w:rsidR="00042BF7">
              <w:t>illion</w:t>
            </w:r>
          </w:p>
        </w:tc>
      </w:tr>
      <w:tr w:rsidR="007668DF" w14:paraId="1A6D8122" w14:textId="77777777" w:rsidTr="00E66F34">
        <w:tc>
          <w:tcPr>
            <w:tcW w:w="4281" w:type="dxa"/>
          </w:tcPr>
          <w:p w14:paraId="43E66438" w14:textId="77777777" w:rsidR="007668DF" w:rsidRDefault="007668DF" w:rsidP="00A27F3D">
            <w:pPr>
              <w:pStyle w:val="Body"/>
              <w:ind w:left="0"/>
              <w:jc w:val="center"/>
            </w:pPr>
            <w:r>
              <w:t>Total</w:t>
            </w:r>
          </w:p>
        </w:tc>
        <w:tc>
          <w:tcPr>
            <w:tcW w:w="4281" w:type="dxa"/>
          </w:tcPr>
          <w:p w14:paraId="789F82E5" w14:textId="77777777" w:rsidR="007668DF" w:rsidRPr="00C20437" w:rsidRDefault="007668DF" w:rsidP="002C75CD">
            <w:pPr>
              <w:pStyle w:val="Body"/>
              <w:ind w:left="0"/>
              <w:jc w:val="center"/>
            </w:pPr>
            <w:r w:rsidRPr="00C20437">
              <w:t>$20</w:t>
            </w:r>
            <w:r w:rsidR="00782459" w:rsidRPr="00C20437">
              <w:t xml:space="preserve"> </w:t>
            </w:r>
            <w:r w:rsidR="00435893" w:rsidRPr="00C20437">
              <w:t>M</w:t>
            </w:r>
            <w:r w:rsidR="00042BF7" w:rsidRPr="00C20437">
              <w:t>illion</w:t>
            </w:r>
          </w:p>
        </w:tc>
      </w:tr>
    </w:tbl>
    <w:p w14:paraId="75FFA514" w14:textId="77777777" w:rsidR="00644674" w:rsidRDefault="00644674" w:rsidP="00644674">
      <w:pPr>
        <w:pStyle w:val="Body"/>
        <w:ind w:left="491"/>
      </w:pPr>
      <w:r>
        <w:t>Operational costs for a new plant have been estimated at $1.4</w:t>
      </w:r>
      <w:r w:rsidR="00435893">
        <w:t xml:space="preserve"> </w:t>
      </w:r>
      <w:r w:rsidR="00757B5C">
        <w:t>M</w:t>
      </w:r>
      <w:r w:rsidR="00042BF7">
        <w:t>illion</w:t>
      </w:r>
      <w:r>
        <w:t xml:space="preserve">/annum </w:t>
      </w:r>
      <w:r w:rsidR="00D97D75">
        <w:t>with</w:t>
      </w:r>
      <w:r w:rsidR="002B694F">
        <w:t xml:space="preserve"> an</w:t>
      </w:r>
      <w:r w:rsidR="003877A2">
        <w:t xml:space="preserve"> additional provis</w:t>
      </w:r>
      <w:r w:rsidR="002B694F">
        <w:t>ion for</w:t>
      </w:r>
      <w:r w:rsidR="00D97D75">
        <w:t xml:space="preserve"> </w:t>
      </w:r>
      <w:r>
        <w:t xml:space="preserve">sludge management costs </w:t>
      </w:r>
      <w:r w:rsidR="003877A2">
        <w:t xml:space="preserve">of </w:t>
      </w:r>
      <w:r>
        <w:t>$1.1</w:t>
      </w:r>
      <w:r w:rsidR="00435893">
        <w:t xml:space="preserve"> </w:t>
      </w:r>
      <w:r w:rsidR="00757B5C">
        <w:t>M</w:t>
      </w:r>
      <w:r w:rsidR="00042BF7">
        <w:t>illion</w:t>
      </w:r>
      <w:r>
        <w:t>/annum.</w:t>
      </w:r>
    </w:p>
    <w:p w14:paraId="6B6CE527" w14:textId="77777777" w:rsidR="00644674" w:rsidRDefault="00644674" w:rsidP="00644674">
      <w:pPr>
        <w:pStyle w:val="Body"/>
        <w:ind w:left="491"/>
      </w:pPr>
      <w:r>
        <w:t>Works associated with any upgrade</w:t>
      </w:r>
      <w:r w:rsidR="00782459">
        <w:t xml:space="preserve"> </w:t>
      </w:r>
      <w:r>
        <w:t>outside of that outline</w:t>
      </w:r>
      <w:r w:rsidR="00782459">
        <w:t>d</w:t>
      </w:r>
      <w:r>
        <w:t xml:space="preserve"> in</w:t>
      </w:r>
      <w:r w:rsidR="00757B5C">
        <w:t xml:space="preserve"> </w:t>
      </w:r>
      <w:r w:rsidR="00757B5C">
        <w:fldChar w:fldCharType="begin"/>
      </w:r>
      <w:r w:rsidR="00757B5C">
        <w:instrText xml:space="preserve"> REF _Ref517695567 \h </w:instrText>
      </w:r>
      <w:r w:rsidR="00757B5C">
        <w:fldChar w:fldCharType="separate"/>
      </w:r>
      <w:r w:rsidR="002777A8">
        <w:t xml:space="preserve">Table </w:t>
      </w:r>
      <w:r w:rsidR="002777A8">
        <w:rPr>
          <w:noProof/>
        </w:rPr>
        <w:t>8</w:t>
      </w:r>
      <w:r w:rsidR="00757B5C">
        <w:fldChar w:fldCharType="end"/>
      </w:r>
      <w:r>
        <w:t xml:space="preserve">, include significant ground preparation works at the site, abandonment of the </w:t>
      </w:r>
      <w:r w:rsidR="00D62184">
        <w:t xml:space="preserve">current </w:t>
      </w:r>
      <w:r>
        <w:t>ground disposal process</w:t>
      </w:r>
      <w:r w:rsidR="00D62184">
        <w:t>,</w:t>
      </w:r>
      <w:r>
        <w:t xml:space="preserve"> </w:t>
      </w:r>
      <w:r w:rsidR="00757B5C">
        <w:t xml:space="preserve">a </w:t>
      </w:r>
      <w:r>
        <w:t xml:space="preserve">new outfall </w:t>
      </w:r>
      <w:r>
        <w:lastRenderedPageBreak/>
        <w:t>diffuser and pond desludging. This work has been estimated at a further $6</w:t>
      </w:r>
      <w:r w:rsidR="00CC45BF">
        <w:t xml:space="preserve"> </w:t>
      </w:r>
      <w:r w:rsidR="00757B5C">
        <w:t>M</w:t>
      </w:r>
      <w:r w:rsidR="00042BF7">
        <w:t>illion</w:t>
      </w:r>
      <w:r>
        <w:t xml:space="preserve">, bringing the total cost of the works to an estimated $26 </w:t>
      </w:r>
      <w:r w:rsidR="00757B5C">
        <w:t>M</w:t>
      </w:r>
      <w:r w:rsidR="00042BF7">
        <w:t>illion</w:t>
      </w:r>
      <w:r>
        <w:t>.</w:t>
      </w:r>
    </w:p>
    <w:p w14:paraId="4B9FF0CB" w14:textId="77777777" w:rsidR="00644674" w:rsidRDefault="00644674" w:rsidP="00644674">
      <w:pPr>
        <w:pStyle w:val="Body"/>
        <w:ind w:left="491"/>
      </w:pPr>
      <w:r>
        <w:t xml:space="preserve">Waipa </w:t>
      </w:r>
      <w:r w:rsidR="00CC45BF">
        <w:t>District Council</w:t>
      </w:r>
      <w:r>
        <w:t xml:space="preserve"> operates a wastewater rating system that collects rates from all properties connected to a scheme. Alongside the works required for Cambridge, work is also needed for the Te Awamutu </w:t>
      </w:r>
      <w:r w:rsidR="00757B5C">
        <w:t>WWTP</w:t>
      </w:r>
      <w:r w:rsidR="00782459">
        <w:t xml:space="preserve"> </w:t>
      </w:r>
      <w:r>
        <w:t xml:space="preserve">which also requires a consent renewal. </w:t>
      </w:r>
    </w:p>
    <w:p w14:paraId="51E57DAD" w14:textId="77777777" w:rsidR="00757B5C" w:rsidRDefault="00644674" w:rsidP="00644674">
      <w:pPr>
        <w:pStyle w:val="Body"/>
        <w:ind w:left="491"/>
      </w:pPr>
      <w:r w:rsidRPr="007433D4">
        <w:t xml:space="preserve">The table below outlines the rates increases </w:t>
      </w:r>
      <w:r w:rsidR="00435893" w:rsidRPr="007433D4">
        <w:t xml:space="preserve">estimated over 10 years that will be required to cover the upgrade costs </w:t>
      </w:r>
      <w:r w:rsidRPr="007433D4">
        <w:t>to Waipa District ratepayers connected to a network</w:t>
      </w:r>
      <w:r w:rsidR="00757B5C" w:rsidRPr="007433D4">
        <w:t>.</w:t>
      </w:r>
      <w:r w:rsidR="007433D4">
        <w:t xml:space="preserve"> These rate increases cover both the Cambridge and Te Awamutu WWTP upgrade projections.</w:t>
      </w:r>
    </w:p>
    <w:p w14:paraId="6C133F32" w14:textId="77777777" w:rsidR="00757B5C" w:rsidRDefault="00757B5C" w:rsidP="00A27F3D">
      <w:pPr>
        <w:pStyle w:val="Caption"/>
      </w:pPr>
      <w:bookmarkStart w:id="283" w:name="_Toc518042087"/>
      <w:bookmarkStart w:id="284" w:name="_Toc517707648"/>
      <w:bookmarkStart w:id="285" w:name="_Toc517788319"/>
      <w:bookmarkStart w:id="286" w:name="_Toc517793888"/>
      <w:bookmarkStart w:id="287" w:name="_Toc518653125"/>
      <w:bookmarkStart w:id="288" w:name="_Toc521064792"/>
      <w:r>
        <w:t xml:space="preserve">Table </w:t>
      </w:r>
      <w:r w:rsidR="007B3D80">
        <w:rPr>
          <w:noProof/>
        </w:rPr>
        <w:fldChar w:fldCharType="begin"/>
      </w:r>
      <w:r w:rsidR="007B3D80">
        <w:rPr>
          <w:noProof/>
        </w:rPr>
        <w:instrText xml:space="preserve"> SEQ Table \* ARABIC </w:instrText>
      </w:r>
      <w:r w:rsidR="007B3D80">
        <w:rPr>
          <w:noProof/>
        </w:rPr>
        <w:fldChar w:fldCharType="separate"/>
      </w:r>
      <w:r w:rsidR="002777A8">
        <w:rPr>
          <w:noProof/>
        </w:rPr>
        <w:t>9</w:t>
      </w:r>
      <w:r w:rsidR="007B3D80">
        <w:rPr>
          <w:noProof/>
        </w:rPr>
        <w:fldChar w:fldCharType="end"/>
      </w:r>
      <w:r w:rsidR="00784BA4">
        <w:rPr>
          <w:noProof/>
        </w:rPr>
        <w:t xml:space="preserve"> </w:t>
      </w:r>
      <w:r>
        <w:t xml:space="preserve"> Waipa District Council predicted rates increases</w:t>
      </w:r>
      <w:bookmarkEnd w:id="283"/>
      <w:bookmarkEnd w:id="284"/>
      <w:bookmarkEnd w:id="285"/>
      <w:bookmarkEnd w:id="286"/>
      <w:bookmarkEnd w:id="287"/>
      <w:bookmarkEnd w:id="288"/>
    </w:p>
    <w:tbl>
      <w:tblPr>
        <w:tblStyle w:val="Table-Style3"/>
        <w:tblW w:w="8523" w:type="dxa"/>
        <w:tblInd w:w="577" w:type="dxa"/>
        <w:tblLook w:val="04A0" w:firstRow="1" w:lastRow="0" w:firstColumn="1" w:lastColumn="0" w:noHBand="0" w:noVBand="1"/>
      </w:tblPr>
      <w:tblGrid>
        <w:gridCol w:w="1149"/>
        <w:gridCol w:w="673"/>
        <w:gridCol w:w="673"/>
        <w:gridCol w:w="672"/>
        <w:gridCol w:w="672"/>
        <w:gridCol w:w="672"/>
        <w:gridCol w:w="672"/>
        <w:gridCol w:w="672"/>
        <w:gridCol w:w="672"/>
        <w:gridCol w:w="672"/>
        <w:gridCol w:w="756"/>
        <w:gridCol w:w="756"/>
      </w:tblGrid>
      <w:tr w:rsidR="0021047A" w14:paraId="3668F45A" w14:textId="77777777" w:rsidTr="00784BA4">
        <w:trPr>
          <w:cnfStyle w:val="100000000000" w:firstRow="1" w:lastRow="0" w:firstColumn="0" w:lastColumn="0" w:oddVBand="0" w:evenVBand="0" w:oddHBand="0" w:evenHBand="0" w:firstRowFirstColumn="0" w:firstRowLastColumn="0" w:lastRowFirstColumn="0" w:lastRowLastColumn="0"/>
          <w:cantSplit/>
          <w:trHeight w:val="1116"/>
        </w:trPr>
        <w:tc>
          <w:tcPr>
            <w:tcW w:w="1120" w:type="dxa"/>
            <w:vAlign w:val="center"/>
          </w:tcPr>
          <w:p w14:paraId="396C49D7" w14:textId="77777777" w:rsidR="000F06E3" w:rsidRDefault="000F06E3" w:rsidP="00784BA4">
            <w:pPr>
              <w:pStyle w:val="Body"/>
              <w:ind w:left="0"/>
            </w:pPr>
            <w:r>
              <w:t>Year</w:t>
            </w:r>
          </w:p>
        </w:tc>
        <w:tc>
          <w:tcPr>
            <w:tcW w:w="659" w:type="dxa"/>
            <w:shd w:val="clear" w:color="auto" w:fill="0065A4" w:themeFill="accent1"/>
            <w:textDirection w:val="tbRl"/>
          </w:tcPr>
          <w:p w14:paraId="0A598D82" w14:textId="77777777" w:rsidR="000F06E3" w:rsidRDefault="000F06E3" w:rsidP="00E66F34">
            <w:pPr>
              <w:pStyle w:val="Body"/>
              <w:ind w:left="113" w:right="113"/>
            </w:pPr>
            <w:r w:rsidRPr="00380446">
              <w:rPr>
                <w:sz w:val="18"/>
                <w:szCs w:val="18"/>
              </w:rPr>
              <w:t>2011/12</w:t>
            </w:r>
          </w:p>
        </w:tc>
        <w:tc>
          <w:tcPr>
            <w:tcW w:w="658" w:type="dxa"/>
            <w:shd w:val="clear" w:color="auto" w:fill="0065A4" w:themeFill="accent1"/>
            <w:textDirection w:val="tbRl"/>
          </w:tcPr>
          <w:p w14:paraId="289663E2" w14:textId="77777777" w:rsidR="000F06E3" w:rsidRDefault="000F06E3" w:rsidP="00E66F34">
            <w:pPr>
              <w:pStyle w:val="Body"/>
              <w:ind w:left="113" w:right="113"/>
            </w:pPr>
            <w:r w:rsidRPr="00380446">
              <w:rPr>
                <w:sz w:val="18"/>
                <w:szCs w:val="18"/>
              </w:rPr>
              <w:t>2012/13</w:t>
            </w:r>
          </w:p>
        </w:tc>
        <w:tc>
          <w:tcPr>
            <w:tcW w:w="658" w:type="dxa"/>
            <w:shd w:val="clear" w:color="auto" w:fill="0065A4" w:themeFill="accent1"/>
            <w:textDirection w:val="tbRl"/>
          </w:tcPr>
          <w:p w14:paraId="2C829CA9" w14:textId="77777777" w:rsidR="000F06E3" w:rsidRDefault="000F06E3" w:rsidP="00E66F34">
            <w:pPr>
              <w:pStyle w:val="Body"/>
              <w:ind w:left="113" w:right="113"/>
            </w:pPr>
            <w:r w:rsidRPr="00380446">
              <w:rPr>
                <w:sz w:val="18"/>
                <w:szCs w:val="18"/>
              </w:rPr>
              <w:t>2013/14</w:t>
            </w:r>
          </w:p>
        </w:tc>
        <w:tc>
          <w:tcPr>
            <w:tcW w:w="658" w:type="dxa"/>
            <w:shd w:val="clear" w:color="auto" w:fill="0065A4" w:themeFill="accent1"/>
            <w:textDirection w:val="tbRl"/>
          </w:tcPr>
          <w:p w14:paraId="29C0C4C8" w14:textId="77777777" w:rsidR="000F06E3" w:rsidRDefault="000F06E3" w:rsidP="00E66F34">
            <w:pPr>
              <w:pStyle w:val="Body"/>
              <w:ind w:left="113" w:right="113"/>
            </w:pPr>
            <w:r w:rsidRPr="00380446">
              <w:rPr>
                <w:sz w:val="18"/>
                <w:szCs w:val="18"/>
              </w:rPr>
              <w:t>2014/15</w:t>
            </w:r>
          </w:p>
        </w:tc>
        <w:tc>
          <w:tcPr>
            <w:tcW w:w="658" w:type="dxa"/>
            <w:shd w:val="clear" w:color="auto" w:fill="0065A4" w:themeFill="accent1"/>
            <w:textDirection w:val="tbRl"/>
          </w:tcPr>
          <w:p w14:paraId="6349E7C6" w14:textId="77777777" w:rsidR="000F06E3" w:rsidRDefault="000F06E3" w:rsidP="00E66F34">
            <w:pPr>
              <w:pStyle w:val="Body"/>
              <w:ind w:left="113" w:right="113"/>
            </w:pPr>
            <w:r w:rsidRPr="00380446">
              <w:rPr>
                <w:sz w:val="18"/>
                <w:szCs w:val="18"/>
              </w:rPr>
              <w:t>2015/16</w:t>
            </w:r>
          </w:p>
        </w:tc>
        <w:tc>
          <w:tcPr>
            <w:tcW w:w="658" w:type="dxa"/>
            <w:shd w:val="clear" w:color="auto" w:fill="0065A4" w:themeFill="accent1"/>
            <w:textDirection w:val="tbRl"/>
          </w:tcPr>
          <w:p w14:paraId="254D7CD6" w14:textId="77777777" w:rsidR="000F06E3" w:rsidRDefault="000F06E3" w:rsidP="00E66F34">
            <w:pPr>
              <w:pStyle w:val="Body"/>
              <w:ind w:left="113" w:right="113"/>
            </w:pPr>
            <w:r w:rsidRPr="00380446">
              <w:rPr>
                <w:sz w:val="18"/>
                <w:szCs w:val="18"/>
              </w:rPr>
              <w:t>2016/17</w:t>
            </w:r>
          </w:p>
        </w:tc>
        <w:tc>
          <w:tcPr>
            <w:tcW w:w="658" w:type="dxa"/>
            <w:shd w:val="clear" w:color="auto" w:fill="0065A4" w:themeFill="accent1"/>
            <w:textDirection w:val="tbRl"/>
          </w:tcPr>
          <w:p w14:paraId="28BAD26B" w14:textId="77777777" w:rsidR="000F06E3" w:rsidRDefault="000F06E3" w:rsidP="00E66F34">
            <w:pPr>
              <w:pStyle w:val="Body"/>
              <w:ind w:left="113" w:right="113"/>
            </w:pPr>
            <w:r w:rsidRPr="00380446">
              <w:rPr>
                <w:sz w:val="18"/>
                <w:szCs w:val="18"/>
              </w:rPr>
              <w:t>2017/18</w:t>
            </w:r>
          </w:p>
        </w:tc>
        <w:tc>
          <w:tcPr>
            <w:tcW w:w="658" w:type="dxa"/>
            <w:shd w:val="clear" w:color="auto" w:fill="0065A4" w:themeFill="accent1"/>
            <w:textDirection w:val="tbRl"/>
          </w:tcPr>
          <w:p w14:paraId="222720F3" w14:textId="77777777" w:rsidR="000F06E3" w:rsidRDefault="000F06E3" w:rsidP="00E66F34">
            <w:pPr>
              <w:pStyle w:val="Body"/>
              <w:ind w:left="113" w:right="113"/>
            </w:pPr>
            <w:r w:rsidRPr="00380446">
              <w:rPr>
                <w:sz w:val="18"/>
                <w:szCs w:val="18"/>
              </w:rPr>
              <w:t>2018/19</w:t>
            </w:r>
          </w:p>
        </w:tc>
        <w:tc>
          <w:tcPr>
            <w:tcW w:w="658" w:type="dxa"/>
            <w:shd w:val="clear" w:color="auto" w:fill="0065A4" w:themeFill="accent1"/>
            <w:textDirection w:val="tbRl"/>
          </w:tcPr>
          <w:p w14:paraId="5227C818" w14:textId="77777777" w:rsidR="000F06E3" w:rsidRDefault="000F06E3" w:rsidP="00E66F34">
            <w:pPr>
              <w:pStyle w:val="Body"/>
              <w:ind w:left="113" w:right="113"/>
            </w:pPr>
            <w:r w:rsidRPr="00380446">
              <w:rPr>
                <w:sz w:val="18"/>
                <w:szCs w:val="18"/>
              </w:rPr>
              <w:t>2019/20</w:t>
            </w:r>
          </w:p>
        </w:tc>
        <w:tc>
          <w:tcPr>
            <w:tcW w:w="740" w:type="dxa"/>
            <w:shd w:val="clear" w:color="auto" w:fill="0065A4" w:themeFill="accent1"/>
            <w:textDirection w:val="tbRl"/>
          </w:tcPr>
          <w:p w14:paraId="5B3414F0" w14:textId="77777777" w:rsidR="000F06E3" w:rsidRDefault="000F06E3" w:rsidP="00E66F34">
            <w:pPr>
              <w:pStyle w:val="Body"/>
              <w:ind w:left="113" w:right="113"/>
            </w:pPr>
            <w:r w:rsidRPr="00380446">
              <w:rPr>
                <w:sz w:val="18"/>
                <w:szCs w:val="18"/>
              </w:rPr>
              <w:t>2020/21</w:t>
            </w:r>
          </w:p>
        </w:tc>
        <w:tc>
          <w:tcPr>
            <w:tcW w:w="740" w:type="dxa"/>
            <w:shd w:val="clear" w:color="auto" w:fill="0065A4" w:themeFill="accent1"/>
            <w:textDirection w:val="tbRl"/>
          </w:tcPr>
          <w:p w14:paraId="78141B51" w14:textId="77777777" w:rsidR="000F06E3" w:rsidRDefault="000F06E3" w:rsidP="00E66F34">
            <w:pPr>
              <w:pStyle w:val="Body"/>
              <w:ind w:left="113" w:right="113"/>
            </w:pPr>
            <w:r w:rsidRPr="00380446">
              <w:rPr>
                <w:sz w:val="18"/>
                <w:szCs w:val="18"/>
              </w:rPr>
              <w:t>2021/22</w:t>
            </w:r>
          </w:p>
        </w:tc>
      </w:tr>
      <w:tr w:rsidR="0021047A" w14:paraId="766DDD1D" w14:textId="77777777" w:rsidTr="007D2E46">
        <w:trPr>
          <w:trHeight w:val="732"/>
        </w:trPr>
        <w:tc>
          <w:tcPr>
            <w:tcW w:w="1120" w:type="dxa"/>
            <w:shd w:val="clear" w:color="auto" w:fill="F2F2F2" w:themeFill="background1" w:themeFillShade="F2"/>
          </w:tcPr>
          <w:p w14:paraId="7372F92F" w14:textId="77777777" w:rsidR="000F06E3" w:rsidRDefault="000F06E3" w:rsidP="000F06E3">
            <w:pPr>
              <w:pStyle w:val="Body"/>
              <w:ind w:left="0"/>
            </w:pPr>
            <w:r w:rsidRPr="00380446">
              <w:rPr>
                <w:sz w:val="18"/>
                <w:szCs w:val="18"/>
              </w:rPr>
              <w:t>Wastewater Rate</w:t>
            </w:r>
          </w:p>
        </w:tc>
        <w:tc>
          <w:tcPr>
            <w:tcW w:w="659" w:type="dxa"/>
            <w:shd w:val="clear" w:color="auto" w:fill="F2F2F2" w:themeFill="background1" w:themeFillShade="F2"/>
          </w:tcPr>
          <w:p w14:paraId="1CCE6DC6" w14:textId="77777777" w:rsidR="000F06E3" w:rsidRDefault="000F06E3" w:rsidP="00E66F34">
            <w:pPr>
              <w:pStyle w:val="Body"/>
              <w:ind w:left="0"/>
              <w:jc w:val="center"/>
            </w:pPr>
            <w:r w:rsidRPr="00380446">
              <w:rPr>
                <w:sz w:val="18"/>
                <w:szCs w:val="18"/>
              </w:rPr>
              <w:t>$494</w:t>
            </w:r>
          </w:p>
        </w:tc>
        <w:tc>
          <w:tcPr>
            <w:tcW w:w="658" w:type="dxa"/>
            <w:shd w:val="clear" w:color="auto" w:fill="F2F2F2" w:themeFill="background1" w:themeFillShade="F2"/>
          </w:tcPr>
          <w:p w14:paraId="3655F569" w14:textId="77777777" w:rsidR="000F06E3" w:rsidRDefault="000F06E3" w:rsidP="00E66F34">
            <w:pPr>
              <w:pStyle w:val="Body"/>
              <w:ind w:left="0"/>
              <w:jc w:val="center"/>
            </w:pPr>
            <w:r w:rsidRPr="00380446">
              <w:rPr>
                <w:sz w:val="18"/>
                <w:szCs w:val="18"/>
              </w:rPr>
              <w:t>$450</w:t>
            </w:r>
          </w:p>
        </w:tc>
        <w:tc>
          <w:tcPr>
            <w:tcW w:w="658" w:type="dxa"/>
            <w:shd w:val="clear" w:color="auto" w:fill="F2F2F2" w:themeFill="background1" w:themeFillShade="F2"/>
          </w:tcPr>
          <w:p w14:paraId="1AB484A1" w14:textId="77777777" w:rsidR="000F06E3" w:rsidRDefault="000F06E3" w:rsidP="00E66F34">
            <w:pPr>
              <w:pStyle w:val="Body"/>
              <w:ind w:left="0"/>
              <w:jc w:val="center"/>
            </w:pPr>
            <w:r w:rsidRPr="00380446">
              <w:rPr>
                <w:sz w:val="18"/>
                <w:szCs w:val="18"/>
              </w:rPr>
              <w:t>$462</w:t>
            </w:r>
          </w:p>
        </w:tc>
        <w:tc>
          <w:tcPr>
            <w:tcW w:w="658" w:type="dxa"/>
            <w:shd w:val="clear" w:color="auto" w:fill="F2F2F2" w:themeFill="background1" w:themeFillShade="F2"/>
          </w:tcPr>
          <w:p w14:paraId="1A50D2E8" w14:textId="77777777" w:rsidR="000F06E3" w:rsidRDefault="000F06E3" w:rsidP="00E66F34">
            <w:pPr>
              <w:pStyle w:val="Body"/>
              <w:ind w:left="0"/>
              <w:jc w:val="center"/>
            </w:pPr>
            <w:r w:rsidRPr="00380446">
              <w:rPr>
                <w:sz w:val="18"/>
                <w:szCs w:val="18"/>
              </w:rPr>
              <w:t>$475</w:t>
            </w:r>
          </w:p>
        </w:tc>
        <w:tc>
          <w:tcPr>
            <w:tcW w:w="658" w:type="dxa"/>
            <w:shd w:val="clear" w:color="auto" w:fill="F2F2F2" w:themeFill="background1" w:themeFillShade="F2"/>
          </w:tcPr>
          <w:p w14:paraId="29B7CD86" w14:textId="77777777" w:rsidR="000F06E3" w:rsidRDefault="000F06E3" w:rsidP="00E66F34">
            <w:pPr>
              <w:pStyle w:val="Body"/>
              <w:ind w:left="0"/>
              <w:jc w:val="center"/>
            </w:pPr>
            <w:r w:rsidRPr="00380446">
              <w:rPr>
                <w:sz w:val="18"/>
                <w:szCs w:val="18"/>
              </w:rPr>
              <w:t>$496</w:t>
            </w:r>
          </w:p>
        </w:tc>
        <w:tc>
          <w:tcPr>
            <w:tcW w:w="658" w:type="dxa"/>
            <w:shd w:val="clear" w:color="auto" w:fill="F2F2F2" w:themeFill="background1" w:themeFillShade="F2"/>
          </w:tcPr>
          <w:p w14:paraId="0B544CD9" w14:textId="77777777" w:rsidR="000F06E3" w:rsidRDefault="000F06E3" w:rsidP="00E66F34">
            <w:pPr>
              <w:pStyle w:val="Body"/>
              <w:ind w:left="0"/>
              <w:jc w:val="center"/>
            </w:pPr>
            <w:r w:rsidRPr="00380446">
              <w:rPr>
                <w:sz w:val="18"/>
                <w:szCs w:val="18"/>
              </w:rPr>
              <w:t>$516</w:t>
            </w:r>
          </w:p>
        </w:tc>
        <w:tc>
          <w:tcPr>
            <w:tcW w:w="658" w:type="dxa"/>
            <w:shd w:val="clear" w:color="auto" w:fill="F2F2F2" w:themeFill="background1" w:themeFillShade="F2"/>
          </w:tcPr>
          <w:p w14:paraId="3C14D907" w14:textId="77777777" w:rsidR="000F06E3" w:rsidRDefault="000F06E3" w:rsidP="00E66F34">
            <w:pPr>
              <w:pStyle w:val="Body"/>
              <w:ind w:left="0"/>
              <w:jc w:val="center"/>
            </w:pPr>
            <w:r w:rsidRPr="00380446">
              <w:rPr>
                <w:sz w:val="18"/>
                <w:szCs w:val="18"/>
              </w:rPr>
              <w:t>$559</w:t>
            </w:r>
          </w:p>
        </w:tc>
        <w:tc>
          <w:tcPr>
            <w:tcW w:w="658" w:type="dxa"/>
            <w:shd w:val="clear" w:color="auto" w:fill="F2F2F2" w:themeFill="background1" w:themeFillShade="F2"/>
          </w:tcPr>
          <w:p w14:paraId="06D6C43A" w14:textId="77777777" w:rsidR="000F06E3" w:rsidRDefault="000F06E3" w:rsidP="00E66F34">
            <w:pPr>
              <w:pStyle w:val="Body"/>
              <w:ind w:left="0"/>
              <w:jc w:val="center"/>
            </w:pPr>
            <w:r w:rsidRPr="00380446">
              <w:rPr>
                <w:sz w:val="18"/>
                <w:szCs w:val="18"/>
              </w:rPr>
              <w:t>$727</w:t>
            </w:r>
          </w:p>
        </w:tc>
        <w:tc>
          <w:tcPr>
            <w:tcW w:w="658" w:type="dxa"/>
            <w:shd w:val="clear" w:color="auto" w:fill="F2F2F2" w:themeFill="background1" w:themeFillShade="F2"/>
          </w:tcPr>
          <w:p w14:paraId="7832A103" w14:textId="77777777" w:rsidR="000F06E3" w:rsidRDefault="000F06E3" w:rsidP="00E66F34">
            <w:pPr>
              <w:pStyle w:val="Body"/>
              <w:ind w:left="0"/>
              <w:jc w:val="center"/>
            </w:pPr>
            <w:r w:rsidRPr="00380446">
              <w:rPr>
                <w:sz w:val="18"/>
                <w:szCs w:val="18"/>
              </w:rPr>
              <w:t>$974</w:t>
            </w:r>
          </w:p>
        </w:tc>
        <w:tc>
          <w:tcPr>
            <w:tcW w:w="740" w:type="dxa"/>
            <w:shd w:val="clear" w:color="auto" w:fill="F2F2F2" w:themeFill="background1" w:themeFillShade="F2"/>
          </w:tcPr>
          <w:p w14:paraId="4957D5EB" w14:textId="77777777" w:rsidR="000F06E3" w:rsidRDefault="000F06E3" w:rsidP="00E66F34">
            <w:pPr>
              <w:pStyle w:val="Body"/>
              <w:ind w:left="0"/>
              <w:jc w:val="center"/>
            </w:pPr>
            <w:r w:rsidRPr="00380446">
              <w:rPr>
                <w:sz w:val="18"/>
                <w:szCs w:val="18"/>
              </w:rPr>
              <w:t>$1,049</w:t>
            </w:r>
          </w:p>
        </w:tc>
        <w:tc>
          <w:tcPr>
            <w:tcW w:w="740" w:type="dxa"/>
            <w:shd w:val="clear" w:color="auto" w:fill="F2F2F2" w:themeFill="background1" w:themeFillShade="F2"/>
          </w:tcPr>
          <w:p w14:paraId="49B66C84" w14:textId="77777777" w:rsidR="000F06E3" w:rsidRDefault="000F06E3" w:rsidP="00E66F34">
            <w:pPr>
              <w:pStyle w:val="Body"/>
              <w:ind w:left="0"/>
              <w:jc w:val="center"/>
            </w:pPr>
            <w:r w:rsidRPr="00380446">
              <w:rPr>
                <w:sz w:val="18"/>
                <w:szCs w:val="18"/>
              </w:rPr>
              <w:t>$1,116</w:t>
            </w:r>
          </w:p>
        </w:tc>
      </w:tr>
      <w:tr w:rsidR="0021047A" w14:paraId="6ACEBFB2" w14:textId="77777777" w:rsidTr="007D2E46">
        <w:trPr>
          <w:trHeight w:val="437"/>
        </w:trPr>
        <w:tc>
          <w:tcPr>
            <w:tcW w:w="1120" w:type="dxa"/>
            <w:shd w:val="clear" w:color="auto" w:fill="F2F2F2" w:themeFill="background1" w:themeFillShade="F2"/>
          </w:tcPr>
          <w:p w14:paraId="6FC8A794" w14:textId="77777777" w:rsidR="000F06E3" w:rsidRDefault="000F06E3" w:rsidP="000F06E3">
            <w:pPr>
              <w:pStyle w:val="Body"/>
              <w:ind w:left="0"/>
            </w:pPr>
            <w:r w:rsidRPr="00380446">
              <w:rPr>
                <w:sz w:val="18"/>
                <w:szCs w:val="18"/>
              </w:rPr>
              <w:t>% increase</w:t>
            </w:r>
          </w:p>
        </w:tc>
        <w:tc>
          <w:tcPr>
            <w:tcW w:w="659" w:type="dxa"/>
            <w:shd w:val="clear" w:color="auto" w:fill="F2F2F2" w:themeFill="background1" w:themeFillShade="F2"/>
          </w:tcPr>
          <w:p w14:paraId="7FD1D751" w14:textId="77777777" w:rsidR="000F06E3" w:rsidRDefault="000F06E3" w:rsidP="00E66F34">
            <w:pPr>
              <w:pStyle w:val="Body"/>
              <w:ind w:left="0"/>
              <w:jc w:val="center"/>
            </w:pPr>
          </w:p>
        </w:tc>
        <w:tc>
          <w:tcPr>
            <w:tcW w:w="658" w:type="dxa"/>
            <w:shd w:val="clear" w:color="auto" w:fill="F2F2F2" w:themeFill="background1" w:themeFillShade="F2"/>
          </w:tcPr>
          <w:p w14:paraId="303E36B0" w14:textId="77777777" w:rsidR="000F06E3" w:rsidRDefault="000F06E3" w:rsidP="00E66F34">
            <w:pPr>
              <w:pStyle w:val="Body"/>
              <w:ind w:left="0"/>
              <w:jc w:val="center"/>
            </w:pPr>
            <w:r w:rsidRPr="00380446">
              <w:rPr>
                <w:sz w:val="18"/>
                <w:szCs w:val="18"/>
              </w:rPr>
              <w:t>-8.9</w:t>
            </w:r>
          </w:p>
        </w:tc>
        <w:tc>
          <w:tcPr>
            <w:tcW w:w="658" w:type="dxa"/>
            <w:shd w:val="clear" w:color="auto" w:fill="F2F2F2" w:themeFill="background1" w:themeFillShade="F2"/>
          </w:tcPr>
          <w:p w14:paraId="5DC4C5F1" w14:textId="77777777" w:rsidR="000F06E3" w:rsidRDefault="000F06E3" w:rsidP="00E66F34">
            <w:pPr>
              <w:pStyle w:val="Body"/>
              <w:ind w:left="0"/>
              <w:jc w:val="center"/>
            </w:pPr>
            <w:r w:rsidRPr="00380446">
              <w:rPr>
                <w:sz w:val="18"/>
                <w:szCs w:val="18"/>
              </w:rPr>
              <w:t>2.7</w:t>
            </w:r>
          </w:p>
        </w:tc>
        <w:tc>
          <w:tcPr>
            <w:tcW w:w="658" w:type="dxa"/>
            <w:shd w:val="clear" w:color="auto" w:fill="F2F2F2" w:themeFill="background1" w:themeFillShade="F2"/>
          </w:tcPr>
          <w:p w14:paraId="60EA9DBE" w14:textId="77777777" w:rsidR="000F06E3" w:rsidRDefault="000F06E3" w:rsidP="00E66F34">
            <w:pPr>
              <w:pStyle w:val="Body"/>
              <w:ind w:left="0"/>
              <w:jc w:val="center"/>
            </w:pPr>
            <w:r w:rsidRPr="00380446">
              <w:rPr>
                <w:sz w:val="18"/>
                <w:szCs w:val="18"/>
              </w:rPr>
              <w:t>2.8</w:t>
            </w:r>
          </w:p>
        </w:tc>
        <w:tc>
          <w:tcPr>
            <w:tcW w:w="658" w:type="dxa"/>
            <w:shd w:val="clear" w:color="auto" w:fill="F2F2F2" w:themeFill="background1" w:themeFillShade="F2"/>
          </w:tcPr>
          <w:p w14:paraId="23B27125" w14:textId="77777777" w:rsidR="000F06E3" w:rsidRDefault="000F06E3" w:rsidP="00E66F34">
            <w:pPr>
              <w:pStyle w:val="Body"/>
              <w:ind w:left="0"/>
              <w:jc w:val="center"/>
            </w:pPr>
            <w:r w:rsidRPr="00380446">
              <w:rPr>
                <w:sz w:val="18"/>
                <w:szCs w:val="18"/>
              </w:rPr>
              <w:t>4.4</w:t>
            </w:r>
          </w:p>
        </w:tc>
        <w:tc>
          <w:tcPr>
            <w:tcW w:w="658" w:type="dxa"/>
            <w:shd w:val="clear" w:color="auto" w:fill="F2F2F2" w:themeFill="background1" w:themeFillShade="F2"/>
          </w:tcPr>
          <w:p w14:paraId="0FAB5A3B" w14:textId="77777777" w:rsidR="000F06E3" w:rsidRDefault="000F06E3" w:rsidP="00E66F34">
            <w:pPr>
              <w:pStyle w:val="Body"/>
              <w:ind w:left="0"/>
              <w:jc w:val="center"/>
            </w:pPr>
            <w:r w:rsidRPr="00380446">
              <w:rPr>
                <w:sz w:val="18"/>
                <w:szCs w:val="18"/>
              </w:rPr>
              <w:t>4</w:t>
            </w:r>
          </w:p>
        </w:tc>
        <w:tc>
          <w:tcPr>
            <w:tcW w:w="658" w:type="dxa"/>
            <w:shd w:val="clear" w:color="auto" w:fill="F2F2F2" w:themeFill="background1" w:themeFillShade="F2"/>
          </w:tcPr>
          <w:p w14:paraId="3BB14F58" w14:textId="77777777" w:rsidR="000F06E3" w:rsidRDefault="000F06E3" w:rsidP="00E66F34">
            <w:pPr>
              <w:pStyle w:val="Body"/>
              <w:ind w:left="0"/>
              <w:jc w:val="center"/>
            </w:pPr>
            <w:r w:rsidRPr="00380446">
              <w:rPr>
                <w:sz w:val="18"/>
                <w:szCs w:val="18"/>
              </w:rPr>
              <w:t>8.3</w:t>
            </w:r>
          </w:p>
        </w:tc>
        <w:tc>
          <w:tcPr>
            <w:tcW w:w="658" w:type="dxa"/>
            <w:shd w:val="clear" w:color="auto" w:fill="F2F2F2" w:themeFill="background1" w:themeFillShade="F2"/>
          </w:tcPr>
          <w:p w14:paraId="1C3DA881" w14:textId="77777777" w:rsidR="000F06E3" w:rsidRDefault="000F06E3" w:rsidP="00E66F34">
            <w:pPr>
              <w:pStyle w:val="Body"/>
              <w:ind w:left="0"/>
              <w:jc w:val="center"/>
            </w:pPr>
            <w:r w:rsidRPr="00380446">
              <w:rPr>
                <w:sz w:val="18"/>
                <w:szCs w:val="18"/>
              </w:rPr>
              <w:t>30.1</w:t>
            </w:r>
          </w:p>
        </w:tc>
        <w:tc>
          <w:tcPr>
            <w:tcW w:w="658" w:type="dxa"/>
            <w:shd w:val="clear" w:color="auto" w:fill="F2F2F2" w:themeFill="background1" w:themeFillShade="F2"/>
          </w:tcPr>
          <w:p w14:paraId="047625EC" w14:textId="77777777" w:rsidR="000F06E3" w:rsidRDefault="000F06E3" w:rsidP="00E66F34">
            <w:pPr>
              <w:pStyle w:val="Body"/>
              <w:ind w:left="0"/>
              <w:jc w:val="center"/>
            </w:pPr>
            <w:r w:rsidRPr="00380446">
              <w:rPr>
                <w:sz w:val="18"/>
                <w:szCs w:val="18"/>
              </w:rPr>
              <w:t>34</w:t>
            </w:r>
          </w:p>
        </w:tc>
        <w:tc>
          <w:tcPr>
            <w:tcW w:w="740" w:type="dxa"/>
            <w:shd w:val="clear" w:color="auto" w:fill="F2F2F2" w:themeFill="background1" w:themeFillShade="F2"/>
          </w:tcPr>
          <w:p w14:paraId="43998608" w14:textId="77777777" w:rsidR="000F06E3" w:rsidRDefault="000F06E3" w:rsidP="00E66F34">
            <w:pPr>
              <w:pStyle w:val="Body"/>
              <w:ind w:left="0"/>
              <w:jc w:val="center"/>
            </w:pPr>
            <w:r w:rsidRPr="00380446">
              <w:rPr>
                <w:sz w:val="18"/>
                <w:szCs w:val="18"/>
              </w:rPr>
              <w:t>7.7</w:t>
            </w:r>
          </w:p>
        </w:tc>
        <w:tc>
          <w:tcPr>
            <w:tcW w:w="740" w:type="dxa"/>
            <w:shd w:val="clear" w:color="auto" w:fill="F2F2F2" w:themeFill="background1" w:themeFillShade="F2"/>
          </w:tcPr>
          <w:p w14:paraId="73B7BCB1" w14:textId="77777777" w:rsidR="000F06E3" w:rsidRDefault="000F06E3" w:rsidP="00E66F34">
            <w:pPr>
              <w:pStyle w:val="Body"/>
              <w:ind w:left="0"/>
              <w:jc w:val="center"/>
            </w:pPr>
            <w:r w:rsidRPr="00380446">
              <w:rPr>
                <w:sz w:val="18"/>
                <w:szCs w:val="18"/>
              </w:rPr>
              <w:t>6.4</w:t>
            </w:r>
          </w:p>
        </w:tc>
      </w:tr>
    </w:tbl>
    <w:p w14:paraId="189CF100" w14:textId="77777777" w:rsidR="00644674" w:rsidRPr="004213D2" w:rsidRDefault="00644674" w:rsidP="00E66F34">
      <w:pPr>
        <w:pStyle w:val="Body"/>
      </w:pPr>
    </w:p>
    <w:p w14:paraId="57D63EAD" w14:textId="77777777" w:rsidR="00644674" w:rsidRDefault="00644674" w:rsidP="00A27F3D">
      <w:pPr>
        <w:pStyle w:val="Heading3"/>
      </w:pPr>
      <w:bookmarkStart w:id="289" w:name="_Ref517762595"/>
      <w:r>
        <w:t xml:space="preserve">Receiving </w:t>
      </w:r>
      <w:bookmarkEnd w:id="289"/>
      <w:r w:rsidR="00D97D75">
        <w:t xml:space="preserve">environment </w:t>
      </w:r>
    </w:p>
    <w:p w14:paraId="512F5D18" w14:textId="77777777" w:rsidR="00757B5C" w:rsidRDefault="00644674" w:rsidP="00644674">
      <w:pPr>
        <w:pStyle w:val="Body"/>
        <w:ind w:left="491"/>
      </w:pPr>
      <w:r>
        <w:t>Cambridge WWTP currently discharges treated wastewater into the Waikato River near Pukerimu Lane, Cambridge. A Waikato Regional Council water quality monitoring site is located approximately 12</w:t>
      </w:r>
      <w:r w:rsidR="00380446">
        <w:t xml:space="preserve"> </w:t>
      </w:r>
      <w:r>
        <w:t xml:space="preserve">km downstream at Narrows boat ramp (immediately downstream of Airport Road bridge). </w:t>
      </w:r>
    </w:p>
    <w:p w14:paraId="2113514A" w14:textId="77777777" w:rsidR="00644674" w:rsidRDefault="00644674" w:rsidP="00644674">
      <w:pPr>
        <w:pStyle w:val="Body"/>
        <w:ind w:left="491"/>
      </w:pPr>
      <w:r>
        <w:t xml:space="preserve">Monitoring results from 2015 to 2016 show that the Waikato River is within the </w:t>
      </w:r>
      <w:r w:rsidR="00380446">
        <w:t xml:space="preserve">NPS Freshwater </w:t>
      </w:r>
      <w:r w:rsidR="008B6F41">
        <w:t>Attribute A value</w:t>
      </w:r>
      <w:r>
        <w:t xml:space="preserve"> for total oxidised nitrogen</w:t>
      </w:r>
      <w:r w:rsidR="006D6340">
        <w:t xml:space="preserve"> (which as explained in </w:t>
      </w:r>
      <w:r w:rsidR="006D6340">
        <w:fldChar w:fldCharType="begin"/>
      </w:r>
      <w:r w:rsidR="006D6340">
        <w:instrText xml:space="preserve"> REF _Ref518563119 \r \h </w:instrText>
      </w:r>
      <w:r w:rsidR="006D6340">
        <w:fldChar w:fldCharType="separate"/>
      </w:r>
      <w:r w:rsidR="002777A8">
        <w:t>3.4.2</w:t>
      </w:r>
      <w:r w:rsidR="006D6340">
        <w:fldChar w:fldCharType="end"/>
      </w:r>
      <w:r>
        <w:t xml:space="preserve"> </w:t>
      </w:r>
      <w:r w:rsidR="006D6340">
        <w:t>equates</w:t>
      </w:r>
      <w:r w:rsidR="007433D4">
        <w:t xml:space="preserve"> to nitrate</w:t>
      </w:r>
      <w:r w:rsidR="006D6340">
        <w:t xml:space="preserve">) </w:t>
      </w:r>
      <w:r>
        <w:t xml:space="preserve">and below the </w:t>
      </w:r>
      <w:r w:rsidR="008B6F41">
        <w:t>Attribute C value</w:t>
      </w:r>
      <w:r>
        <w:t xml:space="preserve"> for </w:t>
      </w:r>
      <w:r w:rsidR="008F06EE">
        <w:rPr>
          <w:i/>
        </w:rPr>
        <w:t>E.coli</w:t>
      </w:r>
      <w:r w:rsidR="006D6340" w:rsidRPr="006D6340">
        <w:t>.</w:t>
      </w:r>
      <w:r w:rsidR="006D6340">
        <w:t xml:space="preserve"> </w:t>
      </w:r>
      <w:r>
        <w:t>Absolute data was not able to be obtained for ammonia, however concentrations over the two years of data appeared to vary between below the detection limit to 0.055 g/m</w:t>
      </w:r>
      <w:r w:rsidRPr="00250DED">
        <w:rPr>
          <w:vertAlign w:val="superscript"/>
        </w:rPr>
        <w:t>3</w:t>
      </w:r>
      <w:r>
        <w:t>, and only exceeding 0.03 g/m</w:t>
      </w:r>
      <w:r w:rsidRPr="00250DED">
        <w:rPr>
          <w:vertAlign w:val="superscript"/>
        </w:rPr>
        <w:t>3</w:t>
      </w:r>
      <w:r>
        <w:t xml:space="preserve"> (</w:t>
      </w:r>
      <w:r w:rsidR="008B6F41">
        <w:t>Attribute A</w:t>
      </w:r>
      <w:r>
        <w:t xml:space="preserve">) once during this period. The Waikato River is likely to be within the </w:t>
      </w:r>
      <w:r w:rsidR="008B6F41">
        <w:t>Attribute A</w:t>
      </w:r>
      <w:r>
        <w:t xml:space="preserve"> </w:t>
      </w:r>
      <w:r w:rsidR="008B6F41">
        <w:t xml:space="preserve">value </w:t>
      </w:r>
      <w:r>
        <w:t>for ammonia concentrations.</w:t>
      </w:r>
    </w:p>
    <w:p w14:paraId="7D22491D" w14:textId="77777777" w:rsidR="008B6F41" w:rsidRDefault="00644674" w:rsidP="00644674">
      <w:pPr>
        <w:pStyle w:val="Body"/>
        <w:ind w:left="491"/>
        <w:rPr>
          <w:szCs w:val="20"/>
        </w:rPr>
      </w:pPr>
      <w:r>
        <w:rPr>
          <w:szCs w:val="20"/>
        </w:rPr>
        <w:t xml:space="preserve">Approximately 55% of land cover within the catchment of the Cambridge WWTP has been categorised as nutrient contributing land. This indicates that there is a moderate proportion of land within the catchment </w:t>
      </w:r>
      <w:r w:rsidR="00380446">
        <w:rPr>
          <w:szCs w:val="20"/>
        </w:rPr>
        <w:t xml:space="preserve">that </w:t>
      </w:r>
      <w:r>
        <w:rPr>
          <w:szCs w:val="20"/>
        </w:rPr>
        <w:t>could be contributing towards the existing nutrient concentrations within the Waikato River. Further, the WWTP typically contributes approximately 0.</w:t>
      </w:r>
      <w:r w:rsidR="00042BF7">
        <w:rPr>
          <w:szCs w:val="20"/>
        </w:rPr>
        <w:t>03</w:t>
      </w:r>
      <w:r>
        <w:rPr>
          <w:szCs w:val="20"/>
        </w:rPr>
        <w:t xml:space="preserve">% to the total flow of the Waikato River. This is a </w:t>
      </w:r>
      <w:bookmarkStart w:id="290" w:name="_Hlk517690614"/>
      <w:r w:rsidR="006D6340">
        <w:rPr>
          <w:szCs w:val="20"/>
        </w:rPr>
        <w:t xml:space="preserve">small </w:t>
      </w:r>
      <w:r>
        <w:rPr>
          <w:szCs w:val="20"/>
        </w:rPr>
        <w:t xml:space="preserve">water quantity contribution compared to the overall volume of the receiving water body. </w:t>
      </w:r>
    </w:p>
    <w:p w14:paraId="275BD772" w14:textId="77777777" w:rsidR="00644674" w:rsidRDefault="00644674" w:rsidP="00644674">
      <w:pPr>
        <w:pStyle w:val="Body"/>
        <w:ind w:left="491"/>
      </w:pPr>
      <w:r>
        <w:rPr>
          <w:szCs w:val="20"/>
        </w:rPr>
        <w:t xml:space="preserve">The water quantity contribution suggests nutrients and other outputs from the WWTP are likely to be diluted after reasonable mixing and provide a </w:t>
      </w:r>
      <w:r w:rsidR="006D6340">
        <w:rPr>
          <w:szCs w:val="20"/>
        </w:rPr>
        <w:t xml:space="preserve">small </w:t>
      </w:r>
      <w:r>
        <w:rPr>
          <w:szCs w:val="20"/>
        </w:rPr>
        <w:t xml:space="preserve">contribution to existing nutrient </w:t>
      </w:r>
      <w:r w:rsidR="006D6340">
        <w:rPr>
          <w:szCs w:val="20"/>
        </w:rPr>
        <w:t xml:space="preserve">and </w:t>
      </w:r>
      <w:r w:rsidR="006D6340" w:rsidRPr="006D6340">
        <w:rPr>
          <w:i/>
          <w:szCs w:val="20"/>
        </w:rPr>
        <w:t>E.coli</w:t>
      </w:r>
      <w:r w:rsidR="006D6340" w:rsidRPr="00E66F34">
        <w:rPr>
          <w:i/>
          <w:szCs w:val="20"/>
        </w:rPr>
        <w:t xml:space="preserve"> </w:t>
      </w:r>
      <w:r>
        <w:rPr>
          <w:szCs w:val="20"/>
        </w:rPr>
        <w:t>concentrations of the receiving environment.</w:t>
      </w:r>
      <w:bookmarkEnd w:id="290"/>
    </w:p>
    <w:p w14:paraId="0964F846" w14:textId="77777777" w:rsidR="00644674" w:rsidRDefault="0057142B" w:rsidP="00644674">
      <w:pPr>
        <w:pStyle w:val="Body"/>
        <w:ind w:left="491"/>
      </w:pPr>
      <w:r>
        <w:t xml:space="preserve">Utilising the sensitivity analysis framework employed in this report, an </w:t>
      </w:r>
      <w:r w:rsidR="00644674">
        <w:t>upgrade of the existing Cambridge WWTP to a grade which meets the NPS</w:t>
      </w:r>
      <w:r w:rsidR="00380446">
        <w:t xml:space="preserve"> Freshwater </w:t>
      </w:r>
      <w:r w:rsidR="008B6F41">
        <w:t>Attribute B</w:t>
      </w:r>
      <w:r w:rsidR="00644674">
        <w:t xml:space="preserve"> for total oxidised nitrogen, ammonia and</w:t>
      </w:r>
      <w:r w:rsidR="00644674" w:rsidRPr="00A27F3D">
        <w:rPr>
          <w:i/>
        </w:rPr>
        <w:t xml:space="preserve"> E. </w:t>
      </w:r>
      <w:r w:rsidR="00757B5C">
        <w:rPr>
          <w:i/>
        </w:rPr>
        <w:t>C</w:t>
      </w:r>
      <w:r w:rsidR="00644674" w:rsidRPr="00A27F3D">
        <w:rPr>
          <w:i/>
        </w:rPr>
        <w:t>oli</w:t>
      </w:r>
      <w:r w:rsidR="00644674">
        <w:t xml:space="preserve">. at the end of pipe would likely provide a </w:t>
      </w:r>
      <w:r>
        <w:t xml:space="preserve">“low” </w:t>
      </w:r>
      <w:r w:rsidR="00644674">
        <w:t xml:space="preserve">benefit to the existing water quality of the receiving environment. </w:t>
      </w:r>
      <w:r>
        <w:t xml:space="preserve"> This is because the Cambridge WWTP sits in a catchment with </w:t>
      </w:r>
      <w:r w:rsidR="00644674">
        <w:t>a moderate proportion of nutrient contributing land cover</w:t>
      </w:r>
      <w:r>
        <w:t xml:space="preserve">, and </w:t>
      </w:r>
      <w:r>
        <w:rPr>
          <w:lang w:eastAsia="en-AU"/>
        </w:rPr>
        <w:t>the overall discharge quantity is less  than 0.1% of the receiving environment flow rate.</w:t>
      </w:r>
    </w:p>
    <w:p w14:paraId="01955054" w14:textId="77777777" w:rsidR="00644674" w:rsidRPr="00C70039" w:rsidRDefault="00644674" w:rsidP="00A27F3D">
      <w:pPr>
        <w:pStyle w:val="Heading3"/>
      </w:pPr>
      <w:r w:rsidRPr="00C70039">
        <w:lastRenderedPageBreak/>
        <w:t xml:space="preserve">Current </w:t>
      </w:r>
      <w:r w:rsidR="00D97D75">
        <w:t>s</w:t>
      </w:r>
      <w:r w:rsidR="00D97D75" w:rsidRPr="00C70039">
        <w:t>tate</w:t>
      </w:r>
    </w:p>
    <w:p w14:paraId="58375126" w14:textId="77777777" w:rsidR="00644674" w:rsidRDefault="00644674" w:rsidP="00757B5C">
      <w:pPr>
        <w:pStyle w:val="Body"/>
        <w:ind w:left="491"/>
      </w:pPr>
      <w:r>
        <w:t xml:space="preserve">Council has resolved to </w:t>
      </w:r>
      <w:r w:rsidR="00380446">
        <w:t xml:space="preserve">identify </w:t>
      </w:r>
      <w:r>
        <w:t>the $20</w:t>
      </w:r>
      <w:r w:rsidR="00380446">
        <w:t xml:space="preserve"> </w:t>
      </w:r>
      <w:r w:rsidR="00757B5C">
        <w:t>M</w:t>
      </w:r>
      <w:r w:rsidR="00042BF7">
        <w:t>illion</w:t>
      </w:r>
      <w:r>
        <w:t xml:space="preserve"> required</w:t>
      </w:r>
      <w:r w:rsidR="00380446">
        <w:t xml:space="preserve"> for upgrades </w:t>
      </w:r>
      <w:r>
        <w:t>in it</w:t>
      </w:r>
      <w:r w:rsidR="00757B5C">
        <w:t>s</w:t>
      </w:r>
      <w:r>
        <w:t xml:space="preserve"> Long Term Plan</w:t>
      </w:r>
      <w:r w:rsidR="00757B5C">
        <w:t>;</w:t>
      </w:r>
      <w:r>
        <w:t xml:space="preserve"> but has also committed to undertaking further works to determine if a more cost effective solution to the plant upgrade can be found.</w:t>
      </w:r>
      <w:r w:rsidR="00757B5C">
        <w:t xml:space="preserve"> </w:t>
      </w:r>
      <w:r>
        <w:t xml:space="preserve">Over the past </w:t>
      </w:r>
      <w:r w:rsidR="00230B1D">
        <w:t xml:space="preserve">two </w:t>
      </w:r>
      <w:r>
        <w:t xml:space="preserve">years it has been working with NIWA </w:t>
      </w:r>
      <w:r w:rsidR="00042BF7">
        <w:t xml:space="preserve">and </w:t>
      </w:r>
      <w:r>
        <w:t>undertaking tr</w:t>
      </w:r>
      <w:r w:rsidR="00757B5C">
        <w:t>ials</w:t>
      </w:r>
      <w:r>
        <w:t xml:space="preserve"> at the site utilising wetland treatment technology to determine if there are more environmentally sustainable options available to it for treatment. </w:t>
      </w:r>
    </w:p>
    <w:p w14:paraId="5D310635" w14:textId="77777777" w:rsidR="00644674" w:rsidRDefault="00644674" w:rsidP="00A27F3D">
      <w:pPr>
        <w:pStyle w:val="Body"/>
        <w:ind w:left="491"/>
      </w:pPr>
      <w:r>
        <w:t xml:space="preserve">Council is also looking to </w:t>
      </w:r>
      <w:r w:rsidR="00D97D75">
        <w:t xml:space="preserve">policy </w:t>
      </w:r>
      <w:r>
        <w:t xml:space="preserve">and </w:t>
      </w:r>
      <w:r w:rsidR="00D97D75">
        <w:t xml:space="preserve">planning </w:t>
      </w:r>
      <w:r>
        <w:t xml:space="preserve">mechanisms to enable a long term </w:t>
      </w:r>
      <w:r w:rsidR="008B6F41">
        <w:t xml:space="preserve">more </w:t>
      </w:r>
      <w:r>
        <w:t xml:space="preserve">environmentally sound approach for the site. This includes the emerging </w:t>
      </w:r>
      <w:r w:rsidR="00D97D75">
        <w:t>“</w:t>
      </w:r>
      <w:r>
        <w:t>Off Set Mitigation Policy</w:t>
      </w:r>
      <w:r w:rsidR="00D97D75">
        <w:t>”</w:t>
      </w:r>
      <w:r>
        <w:t xml:space="preserve"> in Waikato Regional Councils Plan Change 1 (Healthy Rivers) process.</w:t>
      </w:r>
    </w:p>
    <w:p w14:paraId="3CC7F7AB" w14:textId="77777777" w:rsidR="008C10AD" w:rsidRDefault="008C10AD" w:rsidP="00A27F3D">
      <w:pPr>
        <w:pStyle w:val="Body"/>
        <w:ind w:left="491"/>
      </w:pPr>
      <w:r>
        <w:t>The consent application process for the new consents is currently on hold.</w:t>
      </w:r>
    </w:p>
    <w:p w14:paraId="5E7541D9" w14:textId="77777777" w:rsidR="00380446" w:rsidRDefault="00380446" w:rsidP="00380446">
      <w:pPr>
        <w:pStyle w:val="Heading3"/>
      </w:pPr>
      <w:r>
        <w:t xml:space="preserve">Case </w:t>
      </w:r>
      <w:r w:rsidR="008C10AD">
        <w:t>study relevance</w:t>
      </w:r>
    </w:p>
    <w:p w14:paraId="536BFCCB" w14:textId="77777777" w:rsidR="00750004" w:rsidRDefault="007433D4">
      <w:pPr>
        <w:pStyle w:val="Body"/>
      </w:pPr>
      <w:r>
        <w:t>Under the three main categories of interest t</w:t>
      </w:r>
      <w:r w:rsidR="00380446">
        <w:t xml:space="preserve">his case study </w:t>
      </w:r>
      <w:r w:rsidR="00F844E9">
        <w:t>provides the following key facts</w:t>
      </w:r>
      <w:r>
        <w:t>:</w:t>
      </w:r>
    </w:p>
    <w:p w14:paraId="70CDE537" w14:textId="77777777" w:rsidR="007433D4" w:rsidRDefault="007433D4" w:rsidP="00E66F34">
      <w:pPr>
        <w:pStyle w:val="Body"/>
        <w:numPr>
          <w:ilvl w:val="0"/>
          <w:numId w:val="104"/>
        </w:numPr>
      </w:pPr>
      <w:r>
        <w:t>Resource consents –</w:t>
      </w:r>
      <w:r w:rsidR="00380446">
        <w:t xml:space="preserve"> </w:t>
      </w:r>
      <w:r>
        <w:t xml:space="preserve">The case study provides an example of </w:t>
      </w:r>
      <w:r w:rsidR="00380446">
        <w:t>a treatment plant re-consenting process that is not only long and complex, but has also arrived at an outcome that will require a community to invest significantly in the upgrade of a plant</w:t>
      </w:r>
      <w:r w:rsidR="008B6F41">
        <w:t xml:space="preserve"> if fully implemented</w:t>
      </w:r>
      <w:r w:rsidR="00D62184">
        <w:t>.</w:t>
      </w:r>
    </w:p>
    <w:p w14:paraId="25DF5748" w14:textId="77777777" w:rsidR="007433D4" w:rsidRPr="00D46AF3" w:rsidRDefault="007433D4" w:rsidP="00E66F34">
      <w:pPr>
        <w:pStyle w:val="Body"/>
        <w:numPr>
          <w:ilvl w:val="0"/>
          <w:numId w:val="104"/>
        </w:numPr>
      </w:pPr>
      <w:r w:rsidRPr="00D46AF3">
        <w:t xml:space="preserve">Cost estimates – </w:t>
      </w:r>
      <w:r w:rsidR="00EB7E39" w:rsidRPr="00D46AF3">
        <w:t>A t</w:t>
      </w:r>
      <w:r w:rsidRPr="00D46AF3">
        <w:t>otal investment of $26 M</w:t>
      </w:r>
      <w:r w:rsidR="00042BF7">
        <w:t>illion</w:t>
      </w:r>
      <w:r w:rsidRPr="00D46AF3">
        <w:t xml:space="preserve"> </w:t>
      </w:r>
      <w:r w:rsidR="00EB7E39" w:rsidRPr="00D46AF3">
        <w:t xml:space="preserve">is </w:t>
      </w:r>
      <w:r w:rsidRPr="00D46AF3">
        <w:t>estimated</w:t>
      </w:r>
      <w:r w:rsidR="00F844E9">
        <w:t xml:space="preserve"> by council</w:t>
      </w:r>
      <w:r w:rsidRPr="00D46AF3">
        <w:t xml:space="preserve"> </w:t>
      </w:r>
      <w:r w:rsidR="00EB7E39" w:rsidRPr="00D46AF3">
        <w:t>to add</w:t>
      </w:r>
      <w:r w:rsidR="00750004" w:rsidRPr="00D46AF3">
        <w:t xml:space="preserve"> a</w:t>
      </w:r>
      <w:r w:rsidR="00EB7E39" w:rsidRPr="00D46AF3">
        <w:t xml:space="preserve"> </w:t>
      </w:r>
      <w:r w:rsidR="00120410">
        <w:t>BNR</w:t>
      </w:r>
      <w:r w:rsidR="00EB7E39" w:rsidRPr="00D46AF3">
        <w:t xml:space="preserve"> type technology to the WWTP </w:t>
      </w:r>
      <w:r w:rsidRPr="00D46AF3">
        <w:t xml:space="preserve">plant </w:t>
      </w:r>
      <w:r w:rsidR="00EE4BED" w:rsidRPr="00E66F34">
        <w:t>(</w:t>
      </w:r>
      <w:r w:rsidR="00EB7E39" w:rsidRPr="00D46AF3">
        <w:t>with</w:t>
      </w:r>
      <w:r w:rsidRPr="00D46AF3">
        <w:t xml:space="preserve"> associated civil works</w:t>
      </w:r>
      <w:r w:rsidR="00EE4BED" w:rsidRPr="00E66F34">
        <w:t>)</w:t>
      </w:r>
      <w:r w:rsidRPr="00D46AF3">
        <w:t xml:space="preserve"> </w:t>
      </w:r>
      <w:r w:rsidR="00750004" w:rsidRPr="00D46AF3">
        <w:t xml:space="preserve">to service a </w:t>
      </w:r>
      <w:r w:rsidR="00EE4BED" w:rsidRPr="00E66F34">
        <w:t xml:space="preserve">projected </w:t>
      </w:r>
      <w:r w:rsidR="00750004" w:rsidRPr="00D46AF3">
        <w:t xml:space="preserve">population of </w:t>
      </w:r>
      <w:r w:rsidR="00EE4BED" w:rsidRPr="00D46AF3">
        <w:t>23,200</w:t>
      </w:r>
      <w:r w:rsidR="00EE4BED" w:rsidRPr="00E66F34">
        <w:t xml:space="preserve">. </w:t>
      </w:r>
    </w:p>
    <w:p w14:paraId="04243901" w14:textId="77777777" w:rsidR="00380446" w:rsidRPr="007668DF" w:rsidRDefault="007433D4" w:rsidP="00E66F34">
      <w:pPr>
        <w:pStyle w:val="Body"/>
        <w:numPr>
          <w:ilvl w:val="0"/>
          <w:numId w:val="104"/>
        </w:numPr>
      </w:pPr>
      <w:r>
        <w:t>Receiving environment -</w:t>
      </w:r>
      <w:r w:rsidR="00D62184">
        <w:t xml:space="preserve"> </w:t>
      </w:r>
      <w:r w:rsidR="00212137">
        <w:t>The</w:t>
      </w:r>
      <w:r w:rsidR="00D62184">
        <w:t xml:space="preserve"> review of the </w:t>
      </w:r>
      <w:r w:rsidR="00212137">
        <w:t xml:space="preserve">WWTP contribution to receiving water quality in section </w:t>
      </w:r>
      <w:r w:rsidR="003F5DE8">
        <w:t xml:space="preserve">5.3.6 </w:t>
      </w:r>
      <w:r w:rsidR="00212137">
        <w:t xml:space="preserve">highlights that the WWTP discharge is </w:t>
      </w:r>
      <w:r w:rsidR="00636485">
        <w:t xml:space="preserve">small </w:t>
      </w:r>
      <w:r w:rsidR="00212137">
        <w:t>in relation to other diffuse sources of pollution in the wider catchment.</w:t>
      </w:r>
    </w:p>
    <w:p w14:paraId="7CAB98A7" w14:textId="77777777" w:rsidR="00B576A2" w:rsidRDefault="004C7B53" w:rsidP="002C75CD">
      <w:pPr>
        <w:pStyle w:val="Heading2"/>
        <w:rPr>
          <w:lang w:eastAsia="en-AU"/>
        </w:rPr>
      </w:pPr>
      <w:bookmarkStart w:id="291" w:name="_Toc517707403"/>
      <w:bookmarkStart w:id="292" w:name="_Toc517787158"/>
      <w:bookmarkStart w:id="293" w:name="_Toc517793857"/>
      <w:bookmarkStart w:id="294" w:name="_Toc518646196"/>
      <w:bookmarkStart w:id="295" w:name="_Toc518653093"/>
      <w:bookmarkStart w:id="296" w:name="_Toc527638649"/>
      <w:r>
        <w:rPr>
          <w:lang w:eastAsia="en-AU"/>
        </w:rPr>
        <w:t xml:space="preserve">Case </w:t>
      </w:r>
      <w:r w:rsidR="00D54348">
        <w:rPr>
          <w:lang w:eastAsia="en-AU"/>
        </w:rPr>
        <w:t xml:space="preserve">study </w:t>
      </w:r>
      <w:r>
        <w:rPr>
          <w:lang w:eastAsia="en-AU"/>
        </w:rPr>
        <w:t>2</w:t>
      </w:r>
      <w:r w:rsidR="00811B63">
        <w:rPr>
          <w:lang w:eastAsia="en-AU"/>
        </w:rPr>
        <w:t xml:space="preserve"> - </w:t>
      </w:r>
      <w:r w:rsidR="00B576A2">
        <w:rPr>
          <w:lang w:eastAsia="en-AU"/>
        </w:rPr>
        <w:t xml:space="preserve">Ngatea </w:t>
      </w:r>
      <w:bookmarkEnd w:id="291"/>
      <w:r w:rsidR="00D97D75">
        <w:rPr>
          <w:lang w:eastAsia="en-AU"/>
        </w:rPr>
        <w:t>WWTP</w:t>
      </w:r>
      <w:bookmarkEnd w:id="292"/>
      <w:bookmarkEnd w:id="293"/>
      <w:bookmarkEnd w:id="294"/>
      <w:bookmarkEnd w:id="295"/>
      <w:bookmarkEnd w:id="296"/>
    </w:p>
    <w:p w14:paraId="5E0C2ED6" w14:textId="77777777" w:rsidR="00B576A2" w:rsidRPr="005C364A" w:rsidRDefault="00D97D75" w:rsidP="002C75CD">
      <w:pPr>
        <w:pStyle w:val="Heading3"/>
        <w:rPr>
          <w:lang w:eastAsia="en-AU"/>
        </w:rPr>
      </w:pPr>
      <w:r>
        <w:rPr>
          <w:lang w:eastAsia="en-AU"/>
        </w:rPr>
        <w:t>Key facts</w:t>
      </w:r>
    </w:p>
    <w:p w14:paraId="146D9E70" w14:textId="77777777" w:rsidR="00B576A2" w:rsidRDefault="00B576A2" w:rsidP="002C75CD">
      <w:pPr>
        <w:pStyle w:val="Body"/>
        <w:numPr>
          <w:ilvl w:val="0"/>
          <w:numId w:val="86"/>
        </w:numPr>
        <w:rPr>
          <w:lang w:eastAsia="en-AU"/>
        </w:rPr>
      </w:pPr>
      <w:r>
        <w:rPr>
          <w:lang w:eastAsia="en-AU"/>
        </w:rPr>
        <w:t>Consent issued: June 2006</w:t>
      </w:r>
    </w:p>
    <w:p w14:paraId="4C63E83B" w14:textId="77777777" w:rsidR="00B576A2" w:rsidRDefault="00B576A2" w:rsidP="002C75CD">
      <w:pPr>
        <w:pStyle w:val="Body"/>
        <w:numPr>
          <w:ilvl w:val="0"/>
          <w:numId w:val="86"/>
        </w:numPr>
        <w:rPr>
          <w:lang w:eastAsia="en-AU"/>
        </w:rPr>
      </w:pPr>
      <w:r>
        <w:rPr>
          <w:lang w:eastAsia="en-AU"/>
        </w:rPr>
        <w:t>Consent Expired: October 2015</w:t>
      </w:r>
    </w:p>
    <w:p w14:paraId="2FD10C75" w14:textId="77777777" w:rsidR="00B576A2" w:rsidRDefault="00B576A2" w:rsidP="002C75CD">
      <w:pPr>
        <w:pStyle w:val="Body"/>
        <w:numPr>
          <w:ilvl w:val="0"/>
          <w:numId w:val="86"/>
        </w:numPr>
        <w:rPr>
          <w:lang w:eastAsia="en-AU"/>
        </w:rPr>
      </w:pPr>
      <w:r>
        <w:rPr>
          <w:lang w:eastAsia="en-AU"/>
        </w:rPr>
        <w:t xml:space="preserve">Plant type: Oxidation Pond </w:t>
      </w:r>
    </w:p>
    <w:p w14:paraId="01D7A300" w14:textId="77777777" w:rsidR="00B576A2" w:rsidRPr="00212137" w:rsidRDefault="00B576A2" w:rsidP="002C75CD">
      <w:pPr>
        <w:pStyle w:val="Body"/>
        <w:numPr>
          <w:ilvl w:val="0"/>
          <w:numId w:val="86"/>
        </w:numPr>
        <w:rPr>
          <w:lang w:eastAsia="en-AU"/>
        </w:rPr>
      </w:pPr>
      <w:r w:rsidRPr="00212137">
        <w:rPr>
          <w:lang w:eastAsia="en-AU"/>
        </w:rPr>
        <w:t>Population Projections:</w:t>
      </w:r>
      <w:r w:rsidR="00212137">
        <w:rPr>
          <w:lang w:eastAsia="en-AU"/>
        </w:rPr>
        <w:t xml:space="preserve"> </w:t>
      </w:r>
      <w:r w:rsidR="00212137" w:rsidRPr="008B6F41">
        <w:rPr>
          <w:i/>
          <w:lang w:eastAsia="en-AU"/>
        </w:rPr>
        <w:t>not available</w:t>
      </w:r>
    </w:p>
    <w:p w14:paraId="4894D6D8" w14:textId="77777777" w:rsidR="00B576A2" w:rsidRPr="00244D47" w:rsidRDefault="00B576A2" w:rsidP="002C75CD">
      <w:pPr>
        <w:pStyle w:val="Heading3"/>
      </w:pPr>
      <w:r w:rsidRPr="00244D47">
        <w:t>Background</w:t>
      </w:r>
    </w:p>
    <w:p w14:paraId="1102FDE2" w14:textId="77777777" w:rsidR="009D7B11" w:rsidRDefault="009D7B11" w:rsidP="009D7B11">
      <w:pPr>
        <w:pStyle w:val="Body"/>
        <w:ind w:left="491"/>
      </w:pPr>
      <w:r>
        <w:t>The Ngatea WWTP has a consent to d</w:t>
      </w:r>
      <w:r w:rsidRPr="00E96C09">
        <w:t>ischarge up to 6050</w:t>
      </w:r>
      <w:r>
        <w:t xml:space="preserve"> m</w:t>
      </w:r>
      <w:r w:rsidRPr="00A27F3D">
        <w:rPr>
          <w:vertAlign w:val="superscript"/>
        </w:rPr>
        <w:t>3</w:t>
      </w:r>
      <w:r>
        <w:t>/</w:t>
      </w:r>
      <w:r w:rsidRPr="00E96C09">
        <w:t>day of treat</w:t>
      </w:r>
      <w:r>
        <w:t>ed wastewater to the Puhunga Canal and</w:t>
      </w:r>
      <w:r w:rsidRPr="00E96C09">
        <w:t xml:space="preserve"> </w:t>
      </w:r>
      <w:r>
        <w:t xml:space="preserve">to </w:t>
      </w:r>
      <w:r w:rsidRPr="00E96C09">
        <w:t>discharge effluent to ground.</w:t>
      </w:r>
      <w:r>
        <w:t xml:space="preserve"> The current consent expired in October 2015 and the Hauraki District Council is currently progressing though a consenting process. The treatment plant is currently operating under</w:t>
      </w:r>
      <w:r w:rsidRPr="00A9424D">
        <w:t xml:space="preserve"> </w:t>
      </w:r>
      <w:r>
        <w:t xml:space="preserve">RMA s124 protection status. The application for the replacement consent was publically notified and only two submissions were received. Only one of these submissions wished to be heard with the issues raised by the submitter covering the following: </w:t>
      </w:r>
    </w:p>
    <w:p w14:paraId="3AD27050" w14:textId="77777777" w:rsidR="009D7B11" w:rsidRPr="00B576A2" w:rsidRDefault="009D7B11" w:rsidP="009D7B11">
      <w:pPr>
        <w:pStyle w:val="Body"/>
        <w:numPr>
          <w:ilvl w:val="0"/>
          <w:numId w:val="88"/>
        </w:numPr>
      </w:pPr>
      <w:r w:rsidRPr="00B576A2">
        <w:t>Policy issues – N</w:t>
      </w:r>
      <w:r>
        <w:t xml:space="preserve">PS </w:t>
      </w:r>
      <w:r w:rsidRPr="00B576A2">
        <w:t xml:space="preserve">Freshwater </w:t>
      </w:r>
    </w:p>
    <w:p w14:paraId="362B8328" w14:textId="77777777" w:rsidR="009D7B11" w:rsidRPr="00B576A2" w:rsidRDefault="009D7B11" w:rsidP="009D7B11">
      <w:pPr>
        <w:pStyle w:val="Body"/>
        <w:numPr>
          <w:ilvl w:val="0"/>
          <w:numId w:val="88"/>
        </w:numPr>
      </w:pPr>
      <w:r w:rsidRPr="00B576A2">
        <w:t>Nutrient</w:t>
      </w:r>
      <w:r w:rsidRPr="00A27F3D">
        <w:t xml:space="preserve"> </w:t>
      </w:r>
      <w:r w:rsidRPr="00B576A2">
        <w:t>loadings</w:t>
      </w:r>
    </w:p>
    <w:p w14:paraId="3E53640E" w14:textId="77777777" w:rsidR="009D7B11" w:rsidRPr="00B576A2" w:rsidRDefault="009D7B11" w:rsidP="009D7B11">
      <w:pPr>
        <w:pStyle w:val="Body"/>
        <w:numPr>
          <w:ilvl w:val="0"/>
          <w:numId w:val="88"/>
        </w:numPr>
      </w:pPr>
      <w:r w:rsidRPr="00B576A2">
        <w:t>Avian botulism</w:t>
      </w:r>
      <w:r w:rsidRPr="00A27F3D">
        <w:t xml:space="preserve"> </w:t>
      </w:r>
      <w:r w:rsidRPr="00B576A2">
        <w:t>management</w:t>
      </w:r>
    </w:p>
    <w:p w14:paraId="203254B7" w14:textId="77777777" w:rsidR="009D7B11" w:rsidRPr="00B576A2" w:rsidRDefault="009D7B11" w:rsidP="009D7B11">
      <w:pPr>
        <w:pStyle w:val="Body"/>
        <w:numPr>
          <w:ilvl w:val="0"/>
          <w:numId w:val="88"/>
        </w:numPr>
      </w:pPr>
      <w:r w:rsidRPr="00B576A2">
        <w:t>Microbial risk</w:t>
      </w:r>
      <w:r w:rsidRPr="00A27F3D">
        <w:t xml:space="preserve"> </w:t>
      </w:r>
      <w:r w:rsidRPr="00B576A2">
        <w:t>assessment.</w:t>
      </w:r>
    </w:p>
    <w:p w14:paraId="45E8ABF9" w14:textId="77777777" w:rsidR="009D7B11" w:rsidRPr="00B576A2" w:rsidRDefault="009D7B11" w:rsidP="009D7B11">
      <w:pPr>
        <w:pStyle w:val="Body"/>
        <w:numPr>
          <w:ilvl w:val="0"/>
          <w:numId w:val="88"/>
        </w:numPr>
      </w:pPr>
      <w:r w:rsidRPr="00B576A2">
        <w:t>Review</w:t>
      </w:r>
      <w:r w:rsidRPr="00A27F3D">
        <w:t xml:space="preserve"> </w:t>
      </w:r>
      <w:r w:rsidRPr="00B576A2">
        <w:t>condition</w:t>
      </w:r>
    </w:p>
    <w:p w14:paraId="0A1A51D7" w14:textId="77777777" w:rsidR="00120410" w:rsidRPr="00B576A2" w:rsidRDefault="009D7B11" w:rsidP="009D7B11">
      <w:pPr>
        <w:pStyle w:val="Body"/>
        <w:ind w:left="491"/>
      </w:pPr>
      <w:r w:rsidRPr="00B576A2">
        <w:lastRenderedPageBreak/>
        <w:t xml:space="preserve">It is understood that the consenting process is still progressing as </w:t>
      </w:r>
      <w:r>
        <w:t>Hauraki District Council</w:t>
      </w:r>
      <w:r w:rsidRPr="00B576A2">
        <w:t>, Waikato Regional Council and the submitter continue to work together to try and address the issues raised.</w:t>
      </w:r>
    </w:p>
    <w:p w14:paraId="2EC26B8A" w14:textId="77777777" w:rsidR="00B576A2" w:rsidRPr="00EF25D1" w:rsidRDefault="00B576A2" w:rsidP="002C75CD">
      <w:pPr>
        <w:pStyle w:val="Heading3"/>
      </w:pPr>
      <w:r w:rsidRPr="00EF25D1">
        <w:t xml:space="preserve">Current </w:t>
      </w:r>
      <w:r w:rsidR="008C10AD">
        <w:t>p</w:t>
      </w:r>
      <w:r w:rsidR="008C10AD" w:rsidRPr="00EF25D1">
        <w:t xml:space="preserve">lant </w:t>
      </w:r>
      <w:r w:rsidR="008C10AD">
        <w:t>p</w:t>
      </w:r>
      <w:r w:rsidR="008C10AD" w:rsidRPr="00EF25D1">
        <w:t>erformance</w:t>
      </w:r>
    </w:p>
    <w:p w14:paraId="73A45D14" w14:textId="77777777" w:rsidR="009D7B11" w:rsidRDefault="009D7B11" w:rsidP="009D7B11">
      <w:pPr>
        <w:pStyle w:val="Body"/>
        <w:ind w:left="491"/>
      </w:pPr>
      <w:r w:rsidRPr="00A9424D">
        <w:t>The N</w:t>
      </w:r>
      <w:r>
        <w:t xml:space="preserve">gatea </w:t>
      </w:r>
      <w:r w:rsidRPr="00A9424D">
        <w:t xml:space="preserve">WWTP is performing well for a plant of its type </w:t>
      </w:r>
      <w:r>
        <w:t>based on the data supplied by Hauraki District Council and reproduced in</w:t>
      </w:r>
      <w:r w:rsidRPr="00A9424D">
        <w:t xml:space="preserve"> </w:t>
      </w:r>
      <w:r>
        <w:fldChar w:fldCharType="begin"/>
      </w:r>
      <w:r>
        <w:instrText xml:space="preserve"> REF _Ref517763082 \h </w:instrText>
      </w:r>
      <w:r>
        <w:fldChar w:fldCharType="separate"/>
      </w:r>
      <w:r w:rsidR="002777A8">
        <w:t xml:space="preserve">Table </w:t>
      </w:r>
      <w:r w:rsidR="002777A8">
        <w:rPr>
          <w:noProof/>
        </w:rPr>
        <w:t>10</w:t>
      </w:r>
      <w:r>
        <w:fldChar w:fldCharType="end"/>
      </w:r>
      <w:r>
        <w:t xml:space="preserve"> </w:t>
      </w:r>
      <w:r w:rsidRPr="00A9424D">
        <w:t xml:space="preserve">below. </w:t>
      </w:r>
    </w:p>
    <w:p w14:paraId="0393C134" w14:textId="77777777" w:rsidR="009D7B11" w:rsidRDefault="009D7B11" w:rsidP="009D7B11">
      <w:pPr>
        <w:pStyle w:val="Body"/>
        <w:ind w:left="491"/>
      </w:pPr>
      <w:r w:rsidRPr="00A9424D">
        <w:t xml:space="preserve">A </w:t>
      </w:r>
      <w:r w:rsidRPr="00B576A2">
        <w:t>recent upgrade of the Ngatea W</w:t>
      </w:r>
      <w:r>
        <w:t>W</w:t>
      </w:r>
      <w:r w:rsidRPr="00B576A2">
        <w:t>TP significantly improved the performance of the plant from a typical oxidation pond system to a much higher level of treatment. This higher level of treatment i</w:t>
      </w:r>
      <w:r>
        <w:t>ncluded</w:t>
      </w:r>
      <w:r w:rsidRPr="00B576A2">
        <w:t xml:space="preserve"> the installation of a baffle within the oxidation pond to reduce short circuiting, and a tertiary rock filter to polish the effluent prior to discharge.</w:t>
      </w:r>
    </w:p>
    <w:p w14:paraId="5667A1CF" w14:textId="77777777" w:rsidR="00B576A2" w:rsidRDefault="00B576A2" w:rsidP="002C75CD">
      <w:pPr>
        <w:pStyle w:val="Caption"/>
      </w:pPr>
      <w:bookmarkStart w:id="297" w:name="_Ref517763082"/>
      <w:bookmarkStart w:id="298" w:name="_Toc518042088"/>
      <w:bookmarkStart w:id="299" w:name="_Toc517707649"/>
      <w:bookmarkStart w:id="300" w:name="_Toc517788320"/>
      <w:bookmarkStart w:id="301" w:name="_Toc517793889"/>
      <w:bookmarkStart w:id="302" w:name="_Toc518653126"/>
      <w:bookmarkStart w:id="303" w:name="_Toc521064793"/>
      <w:r>
        <w:t xml:space="preserve">Table </w:t>
      </w:r>
      <w:r w:rsidR="007B3D80">
        <w:rPr>
          <w:noProof/>
        </w:rPr>
        <w:fldChar w:fldCharType="begin"/>
      </w:r>
      <w:r w:rsidR="007B3D80">
        <w:rPr>
          <w:noProof/>
        </w:rPr>
        <w:instrText xml:space="preserve"> SEQ Table \* ARABIC </w:instrText>
      </w:r>
      <w:r w:rsidR="007B3D80">
        <w:rPr>
          <w:noProof/>
        </w:rPr>
        <w:fldChar w:fldCharType="separate"/>
      </w:r>
      <w:r w:rsidR="002777A8">
        <w:rPr>
          <w:noProof/>
        </w:rPr>
        <w:t>10</w:t>
      </w:r>
      <w:r w:rsidR="007B3D80">
        <w:rPr>
          <w:noProof/>
        </w:rPr>
        <w:fldChar w:fldCharType="end"/>
      </w:r>
      <w:bookmarkEnd w:id="297"/>
      <w:r>
        <w:t xml:space="preserve"> </w:t>
      </w:r>
      <w:r w:rsidR="00784BA4">
        <w:t xml:space="preserve"> </w:t>
      </w:r>
      <w:r>
        <w:t xml:space="preserve">Case Study 2 Ngatea WWTP </w:t>
      </w:r>
      <w:r w:rsidR="00B52A53">
        <w:t xml:space="preserve">performance </w:t>
      </w:r>
      <w:bookmarkEnd w:id="298"/>
      <w:r w:rsidR="00B52A53">
        <w:t>data</w:t>
      </w:r>
      <w:bookmarkEnd w:id="299"/>
      <w:bookmarkEnd w:id="300"/>
      <w:bookmarkEnd w:id="301"/>
      <w:bookmarkEnd w:id="302"/>
      <w:bookmarkEnd w:id="303"/>
    </w:p>
    <w:tbl>
      <w:tblPr>
        <w:tblStyle w:val="Table-Style3"/>
        <w:tblW w:w="8564" w:type="dxa"/>
        <w:tblInd w:w="491" w:type="dxa"/>
        <w:tblLook w:val="04A0" w:firstRow="1" w:lastRow="0" w:firstColumn="1" w:lastColumn="0" w:noHBand="0" w:noVBand="1"/>
      </w:tblPr>
      <w:tblGrid>
        <w:gridCol w:w="2141"/>
        <w:gridCol w:w="2141"/>
        <w:gridCol w:w="2141"/>
        <w:gridCol w:w="2141"/>
      </w:tblGrid>
      <w:tr w:rsidR="00B576A2" w14:paraId="3B9E4CFC" w14:textId="77777777" w:rsidTr="00784BA4">
        <w:trPr>
          <w:cnfStyle w:val="100000000000" w:firstRow="1" w:lastRow="0" w:firstColumn="0" w:lastColumn="0" w:oddVBand="0" w:evenVBand="0" w:oddHBand="0" w:evenHBand="0" w:firstRowFirstColumn="0" w:firstRowLastColumn="0" w:lastRowFirstColumn="0" w:lastRowLastColumn="0"/>
        </w:trPr>
        <w:tc>
          <w:tcPr>
            <w:tcW w:w="2141" w:type="dxa"/>
            <w:vAlign w:val="center"/>
          </w:tcPr>
          <w:p w14:paraId="60B76BB2" w14:textId="77777777" w:rsidR="00B576A2" w:rsidRPr="00784BA4" w:rsidRDefault="00B576A2" w:rsidP="00784BA4">
            <w:pPr>
              <w:pStyle w:val="Body"/>
              <w:ind w:left="0"/>
              <w:rPr>
                <w:szCs w:val="20"/>
              </w:rPr>
            </w:pPr>
            <w:r w:rsidRPr="00784BA4">
              <w:rPr>
                <w:rFonts w:cs="Arial"/>
                <w:bCs/>
                <w:szCs w:val="20"/>
              </w:rPr>
              <w:t>Parameter</w:t>
            </w:r>
          </w:p>
        </w:tc>
        <w:tc>
          <w:tcPr>
            <w:tcW w:w="2141" w:type="dxa"/>
          </w:tcPr>
          <w:p w14:paraId="77AB8246" w14:textId="77777777" w:rsidR="00B576A2" w:rsidRPr="00784BA4" w:rsidRDefault="00B576A2" w:rsidP="00784BA4">
            <w:pPr>
              <w:pStyle w:val="Body"/>
              <w:ind w:left="0"/>
              <w:jc w:val="center"/>
              <w:rPr>
                <w:rFonts w:cs="Arial"/>
                <w:bCs/>
                <w:szCs w:val="20"/>
              </w:rPr>
            </w:pPr>
            <w:r w:rsidRPr="00784BA4">
              <w:rPr>
                <w:rFonts w:cs="Arial"/>
                <w:bCs/>
                <w:szCs w:val="20"/>
              </w:rPr>
              <w:t>Ngatea WW</w:t>
            </w:r>
            <w:r w:rsidR="00B52A53" w:rsidRPr="00784BA4">
              <w:rPr>
                <w:rFonts w:cs="Arial"/>
                <w:bCs/>
                <w:szCs w:val="20"/>
              </w:rPr>
              <w:t>T</w:t>
            </w:r>
            <w:r w:rsidRPr="00784BA4">
              <w:rPr>
                <w:rFonts w:cs="Arial"/>
                <w:bCs/>
                <w:szCs w:val="20"/>
              </w:rPr>
              <w:t>P</w:t>
            </w:r>
            <w:r w:rsidR="00784BA4">
              <w:rPr>
                <w:rFonts w:cs="Arial"/>
                <w:bCs/>
                <w:szCs w:val="20"/>
              </w:rPr>
              <w:t xml:space="preserve"> </w:t>
            </w:r>
            <w:r w:rsidRPr="00784BA4">
              <w:rPr>
                <w:rFonts w:cs="Arial"/>
                <w:bCs/>
                <w:szCs w:val="20"/>
              </w:rPr>
              <w:t>2009</w:t>
            </w:r>
            <w:r w:rsidR="00784BA4">
              <w:rPr>
                <w:rFonts w:cs="Arial"/>
                <w:bCs/>
                <w:szCs w:val="20"/>
              </w:rPr>
              <w:t> </w:t>
            </w:r>
            <w:r w:rsidR="002D482D" w:rsidRPr="00784BA4">
              <w:rPr>
                <w:rFonts w:cs="Arial"/>
                <w:bCs/>
                <w:szCs w:val="20"/>
              </w:rPr>
              <w:t>-</w:t>
            </w:r>
            <w:r w:rsidR="00784BA4">
              <w:rPr>
                <w:rFonts w:cs="Arial"/>
                <w:bCs/>
                <w:szCs w:val="20"/>
              </w:rPr>
              <w:t> </w:t>
            </w:r>
            <w:r w:rsidRPr="00784BA4">
              <w:rPr>
                <w:rFonts w:cs="Arial"/>
                <w:bCs/>
                <w:szCs w:val="20"/>
              </w:rPr>
              <w:t xml:space="preserve">2015 </w:t>
            </w:r>
            <w:r w:rsidR="00B52A53" w:rsidRPr="00784BA4">
              <w:rPr>
                <w:rFonts w:cs="Arial"/>
                <w:bCs/>
                <w:szCs w:val="20"/>
              </w:rPr>
              <w:t>median</w:t>
            </w:r>
          </w:p>
        </w:tc>
        <w:tc>
          <w:tcPr>
            <w:tcW w:w="2141" w:type="dxa"/>
          </w:tcPr>
          <w:p w14:paraId="09B1A5E1" w14:textId="77777777" w:rsidR="00B576A2" w:rsidRPr="00784BA4" w:rsidRDefault="00B576A2" w:rsidP="00784BA4">
            <w:pPr>
              <w:pStyle w:val="Body"/>
              <w:ind w:left="0"/>
              <w:jc w:val="center"/>
              <w:rPr>
                <w:szCs w:val="20"/>
              </w:rPr>
            </w:pPr>
            <w:r w:rsidRPr="00784BA4">
              <w:rPr>
                <w:rFonts w:cs="Arial"/>
                <w:bCs/>
                <w:szCs w:val="20"/>
              </w:rPr>
              <w:t xml:space="preserve">“Typical” </w:t>
            </w:r>
            <w:r w:rsidR="00B52A53" w:rsidRPr="00784BA4">
              <w:rPr>
                <w:rFonts w:cs="Arial"/>
                <w:szCs w:val="20"/>
              </w:rPr>
              <w:t>primary oxidation pond median</w:t>
            </w:r>
          </w:p>
        </w:tc>
        <w:tc>
          <w:tcPr>
            <w:tcW w:w="2141" w:type="dxa"/>
          </w:tcPr>
          <w:p w14:paraId="7F35522C" w14:textId="77777777" w:rsidR="00B576A2" w:rsidRPr="00784BA4" w:rsidRDefault="00B576A2" w:rsidP="00784BA4">
            <w:pPr>
              <w:pStyle w:val="Body"/>
              <w:ind w:left="0"/>
              <w:jc w:val="center"/>
              <w:rPr>
                <w:szCs w:val="20"/>
              </w:rPr>
            </w:pPr>
            <w:r w:rsidRPr="00784BA4">
              <w:rPr>
                <w:rFonts w:cs="Arial"/>
                <w:bCs/>
                <w:szCs w:val="20"/>
              </w:rPr>
              <w:t xml:space="preserve">“Typical” </w:t>
            </w:r>
            <w:r w:rsidR="00B52A53" w:rsidRPr="00784BA4">
              <w:rPr>
                <w:rFonts w:cs="Arial"/>
                <w:szCs w:val="20"/>
              </w:rPr>
              <w:t>tertiary oxidation p</w:t>
            </w:r>
            <w:r w:rsidRPr="00784BA4">
              <w:rPr>
                <w:rFonts w:cs="Arial"/>
                <w:szCs w:val="20"/>
              </w:rPr>
              <w:t xml:space="preserve">ond </w:t>
            </w:r>
            <w:r w:rsidR="00B52A53" w:rsidRPr="00784BA4">
              <w:rPr>
                <w:rFonts w:cs="Arial"/>
                <w:szCs w:val="20"/>
              </w:rPr>
              <w:t>median</w:t>
            </w:r>
          </w:p>
        </w:tc>
      </w:tr>
      <w:tr w:rsidR="00B576A2" w14:paraId="42AC24EB" w14:textId="77777777" w:rsidTr="00E66F34">
        <w:tc>
          <w:tcPr>
            <w:tcW w:w="2141" w:type="dxa"/>
          </w:tcPr>
          <w:p w14:paraId="42FC21B5" w14:textId="77777777" w:rsidR="00B576A2" w:rsidRPr="000A47CB" w:rsidRDefault="00B576A2" w:rsidP="00B576A2">
            <w:pPr>
              <w:pStyle w:val="Body"/>
              <w:ind w:left="0"/>
              <w:rPr>
                <w:szCs w:val="20"/>
              </w:rPr>
            </w:pPr>
            <w:r w:rsidRPr="000A47CB">
              <w:rPr>
                <w:rFonts w:cs="Arial"/>
                <w:szCs w:val="20"/>
              </w:rPr>
              <w:t>BOD, g/m</w:t>
            </w:r>
            <w:r w:rsidRPr="000A47CB">
              <w:rPr>
                <w:rFonts w:cs="Arial"/>
                <w:position w:val="9"/>
                <w:szCs w:val="20"/>
              </w:rPr>
              <w:t>3</w:t>
            </w:r>
          </w:p>
        </w:tc>
        <w:tc>
          <w:tcPr>
            <w:tcW w:w="2141" w:type="dxa"/>
          </w:tcPr>
          <w:p w14:paraId="5DA60581" w14:textId="77777777" w:rsidR="00B576A2" w:rsidRPr="000A47CB" w:rsidRDefault="00B576A2" w:rsidP="00A27F3D">
            <w:pPr>
              <w:pStyle w:val="Body"/>
              <w:ind w:left="0"/>
              <w:jc w:val="center"/>
              <w:rPr>
                <w:szCs w:val="20"/>
              </w:rPr>
            </w:pPr>
            <w:r w:rsidRPr="000A47CB">
              <w:rPr>
                <w:rFonts w:cs="Arial"/>
                <w:w w:val="99"/>
                <w:szCs w:val="20"/>
              </w:rPr>
              <w:t>3</w:t>
            </w:r>
          </w:p>
        </w:tc>
        <w:tc>
          <w:tcPr>
            <w:tcW w:w="2141" w:type="dxa"/>
          </w:tcPr>
          <w:p w14:paraId="452DFD28" w14:textId="77777777" w:rsidR="00B576A2" w:rsidRPr="000A47CB" w:rsidRDefault="00B576A2" w:rsidP="002C75CD">
            <w:pPr>
              <w:pStyle w:val="Body"/>
              <w:ind w:left="0"/>
              <w:jc w:val="center"/>
              <w:rPr>
                <w:szCs w:val="20"/>
              </w:rPr>
            </w:pPr>
            <w:r w:rsidRPr="000A47CB">
              <w:rPr>
                <w:rFonts w:cs="Arial"/>
                <w:szCs w:val="20"/>
              </w:rPr>
              <w:t>40</w:t>
            </w:r>
          </w:p>
        </w:tc>
        <w:tc>
          <w:tcPr>
            <w:tcW w:w="2141" w:type="dxa"/>
          </w:tcPr>
          <w:p w14:paraId="1055B276" w14:textId="77777777" w:rsidR="00B576A2" w:rsidRPr="000A47CB" w:rsidRDefault="00B576A2" w:rsidP="002C75CD">
            <w:pPr>
              <w:pStyle w:val="Body"/>
              <w:ind w:left="0"/>
              <w:jc w:val="center"/>
              <w:rPr>
                <w:szCs w:val="20"/>
              </w:rPr>
            </w:pPr>
            <w:r w:rsidRPr="000A47CB">
              <w:rPr>
                <w:rFonts w:cs="Arial"/>
                <w:szCs w:val="20"/>
              </w:rPr>
              <w:t>30</w:t>
            </w:r>
          </w:p>
        </w:tc>
      </w:tr>
      <w:tr w:rsidR="00B576A2" w14:paraId="6E89BBC9" w14:textId="77777777" w:rsidTr="00E66F34">
        <w:tc>
          <w:tcPr>
            <w:tcW w:w="2141" w:type="dxa"/>
          </w:tcPr>
          <w:p w14:paraId="61113338" w14:textId="77777777" w:rsidR="00B576A2" w:rsidRPr="000A47CB" w:rsidRDefault="00B576A2" w:rsidP="00B576A2">
            <w:pPr>
              <w:pStyle w:val="Body"/>
              <w:ind w:left="0"/>
              <w:rPr>
                <w:szCs w:val="20"/>
              </w:rPr>
            </w:pPr>
            <w:r w:rsidRPr="000A47CB">
              <w:rPr>
                <w:rFonts w:cs="Arial"/>
                <w:szCs w:val="20"/>
              </w:rPr>
              <w:t>Suspended solids, g/m</w:t>
            </w:r>
            <w:r w:rsidRPr="000A47CB">
              <w:rPr>
                <w:rFonts w:cs="Arial"/>
                <w:position w:val="9"/>
                <w:szCs w:val="20"/>
              </w:rPr>
              <w:t>3</w:t>
            </w:r>
          </w:p>
        </w:tc>
        <w:tc>
          <w:tcPr>
            <w:tcW w:w="2141" w:type="dxa"/>
          </w:tcPr>
          <w:p w14:paraId="6BE6E21A" w14:textId="77777777" w:rsidR="00B576A2" w:rsidRPr="000A47CB" w:rsidRDefault="00B576A2" w:rsidP="00A27F3D">
            <w:pPr>
              <w:pStyle w:val="Body"/>
              <w:ind w:left="0"/>
              <w:jc w:val="center"/>
              <w:rPr>
                <w:szCs w:val="20"/>
              </w:rPr>
            </w:pPr>
            <w:r w:rsidRPr="000A47CB">
              <w:rPr>
                <w:rFonts w:cs="Arial"/>
                <w:szCs w:val="20"/>
              </w:rPr>
              <w:t>15</w:t>
            </w:r>
          </w:p>
        </w:tc>
        <w:tc>
          <w:tcPr>
            <w:tcW w:w="2141" w:type="dxa"/>
          </w:tcPr>
          <w:p w14:paraId="137CFBD4" w14:textId="77777777" w:rsidR="00B576A2" w:rsidRPr="000A47CB" w:rsidRDefault="00B576A2" w:rsidP="002C75CD">
            <w:pPr>
              <w:pStyle w:val="Body"/>
              <w:ind w:left="0"/>
              <w:jc w:val="center"/>
              <w:rPr>
                <w:szCs w:val="20"/>
              </w:rPr>
            </w:pPr>
            <w:r w:rsidRPr="000A47CB">
              <w:rPr>
                <w:rFonts w:cs="Arial"/>
                <w:szCs w:val="20"/>
              </w:rPr>
              <w:t>50</w:t>
            </w:r>
          </w:p>
        </w:tc>
        <w:tc>
          <w:tcPr>
            <w:tcW w:w="2141" w:type="dxa"/>
          </w:tcPr>
          <w:p w14:paraId="3CD5BB93" w14:textId="77777777" w:rsidR="00B576A2" w:rsidRPr="000A47CB" w:rsidRDefault="00B576A2" w:rsidP="002C75CD">
            <w:pPr>
              <w:pStyle w:val="Body"/>
              <w:ind w:left="0"/>
              <w:jc w:val="center"/>
              <w:rPr>
                <w:szCs w:val="20"/>
              </w:rPr>
            </w:pPr>
            <w:r w:rsidRPr="000A47CB">
              <w:rPr>
                <w:rFonts w:cs="Arial"/>
                <w:szCs w:val="20"/>
              </w:rPr>
              <w:t>40</w:t>
            </w:r>
          </w:p>
        </w:tc>
      </w:tr>
      <w:tr w:rsidR="00B576A2" w14:paraId="7E423D25" w14:textId="77777777" w:rsidTr="00E66F34">
        <w:tc>
          <w:tcPr>
            <w:tcW w:w="2141" w:type="dxa"/>
          </w:tcPr>
          <w:p w14:paraId="34F5EF81" w14:textId="77777777" w:rsidR="00B576A2" w:rsidRPr="000A47CB" w:rsidRDefault="00B576A2" w:rsidP="00B576A2">
            <w:pPr>
              <w:pStyle w:val="Body"/>
              <w:ind w:left="0"/>
              <w:rPr>
                <w:szCs w:val="20"/>
              </w:rPr>
            </w:pPr>
            <w:r w:rsidRPr="000A47CB">
              <w:rPr>
                <w:rFonts w:cs="Arial"/>
                <w:szCs w:val="20"/>
              </w:rPr>
              <w:t>TN, g/m</w:t>
            </w:r>
            <w:r w:rsidRPr="000A47CB">
              <w:rPr>
                <w:rFonts w:cs="Arial"/>
                <w:position w:val="9"/>
                <w:szCs w:val="20"/>
              </w:rPr>
              <w:t>3</w:t>
            </w:r>
          </w:p>
        </w:tc>
        <w:tc>
          <w:tcPr>
            <w:tcW w:w="2141" w:type="dxa"/>
          </w:tcPr>
          <w:p w14:paraId="59F1E77A" w14:textId="77777777" w:rsidR="00B576A2" w:rsidRPr="000A47CB" w:rsidRDefault="00B576A2" w:rsidP="00A27F3D">
            <w:pPr>
              <w:pStyle w:val="Body"/>
              <w:ind w:left="0"/>
              <w:jc w:val="center"/>
              <w:rPr>
                <w:szCs w:val="20"/>
              </w:rPr>
            </w:pPr>
            <w:r w:rsidRPr="000A47CB">
              <w:rPr>
                <w:rFonts w:cs="Arial"/>
                <w:szCs w:val="20"/>
              </w:rPr>
              <w:t>15</w:t>
            </w:r>
          </w:p>
        </w:tc>
        <w:tc>
          <w:tcPr>
            <w:tcW w:w="2141" w:type="dxa"/>
          </w:tcPr>
          <w:p w14:paraId="304A1554" w14:textId="77777777" w:rsidR="00B576A2" w:rsidRPr="000A47CB" w:rsidRDefault="00B576A2" w:rsidP="002C75CD">
            <w:pPr>
              <w:pStyle w:val="Body"/>
              <w:ind w:left="0"/>
              <w:jc w:val="center"/>
              <w:rPr>
                <w:szCs w:val="20"/>
              </w:rPr>
            </w:pPr>
            <w:r w:rsidRPr="000A47CB">
              <w:rPr>
                <w:rFonts w:cs="Arial"/>
                <w:szCs w:val="20"/>
              </w:rPr>
              <w:t>40</w:t>
            </w:r>
          </w:p>
        </w:tc>
        <w:tc>
          <w:tcPr>
            <w:tcW w:w="2141" w:type="dxa"/>
          </w:tcPr>
          <w:p w14:paraId="25210179" w14:textId="77777777" w:rsidR="00B576A2" w:rsidRPr="000A47CB" w:rsidRDefault="00B576A2" w:rsidP="002C75CD">
            <w:pPr>
              <w:pStyle w:val="Body"/>
              <w:ind w:left="0"/>
              <w:jc w:val="center"/>
              <w:rPr>
                <w:szCs w:val="20"/>
              </w:rPr>
            </w:pPr>
            <w:r w:rsidRPr="000A47CB">
              <w:rPr>
                <w:rFonts w:cs="Arial"/>
                <w:szCs w:val="20"/>
              </w:rPr>
              <w:t>35</w:t>
            </w:r>
          </w:p>
        </w:tc>
      </w:tr>
      <w:tr w:rsidR="00B576A2" w14:paraId="488BD997" w14:textId="77777777" w:rsidTr="00E66F34">
        <w:tc>
          <w:tcPr>
            <w:tcW w:w="2141" w:type="dxa"/>
          </w:tcPr>
          <w:p w14:paraId="4E30AB80" w14:textId="77777777" w:rsidR="00B576A2" w:rsidRPr="000A47CB" w:rsidRDefault="00B576A2" w:rsidP="00B576A2">
            <w:pPr>
              <w:pStyle w:val="Body"/>
              <w:ind w:left="0"/>
              <w:rPr>
                <w:szCs w:val="20"/>
              </w:rPr>
            </w:pPr>
            <w:r w:rsidRPr="000A47CB">
              <w:rPr>
                <w:rFonts w:cs="Arial"/>
                <w:szCs w:val="20"/>
              </w:rPr>
              <w:t>TP, g/m</w:t>
            </w:r>
            <w:r w:rsidRPr="000A47CB">
              <w:rPr>
                <w:rFonts w:cs="Arial"/>
                <w:position w:val="9"/>
                <w:szCs w:val="20"/>
              </w:rPr>
              <w:t>3</w:t>
            </w:r>
          </w:p>
        </w:tc>
        <w:tc>
          <w:tcPr>
            <w:tcW w:w="2141" w:type="dxa"/>
          </w:tcPr>
          <w:p w14:paraId="3C303F77" w14:textId="77777777" w:rsidR="00B576A2" w:rsidRPr="000A47CB" w:rsidRDefault="00B576A2" w:rsidP="00A27F3D">
            <w:pPr>
              <w:pStyle w:val="Body"/>
              <w:ind w:left="0"/>
              <w:jc w:val="center"/>
              <w:rPr>
                <w:szCs w:val="20"/>
              </w:rPr>
            </w:pPr>
            <w:r w:rsidRPr="000A47CB">
              <w:rPr>
                <w:rFonts w:cs="Arial"/>
                <w:w w:val="99"/>
                <w:szCs w:val="20"/>
              </w:rPr>
              <w:t>5</w:t>
            </w:r>
          </w:p>
        </w:tc>
        <w:tc>
          <w:tcPr>
            <w:tcW w:w="2141" w:type="dxa"/>
          </w:tcPr>
          <w:p w14:paraId="21FF9CA3" w14:textId="77777777" w:rsidR="00B576A2" w:rsidRPr="000A47CB" w:rsidRDefault="00B576A2" w:rsidP="002C75CD">
            <w:pPr>
              <w:pStyle w:val="Body"/>
              <w:ind w:left="0"/>
              <w:jc w:val="center"/>
              <w:rPr>
                <w:szCs w:val="20"/>
              </w:rPr>
            </w:pPr>
            <w:r w:rsidRPr="000A47CB">
              <w:rPr>
                <w:rFonts w:cs="Arial"/>
                <w:w w:val="99"/>
                <w:szCs w:val="20"/>
              </w:rPr>
              <w:t>8</w:t>
            </w:r>
          </w:p>
        </w:tc>
        <w:tc>
          <w:tcPr>
            <w:tcW w:w="2141" w:type="dxa"/>
          </w:tcPr>
          <w:p w14:paraId="6628DBF9" w14:textId="77777777" w:rsidR="00B576A2" w:rsidRPr="000A47CB" w:rsidRDefault="00B576A2" w:rsidP="002C75CD">
            <w:pPr>
              <w:pStyle w:val="Body"/>
              <w:ind w:left="0"/>
              <w:jc w:val="center"/>
              <w:rPr>
                <w:szCs w:val="20"/>
              </w:rPr>
            </w:pPr>
            <w:r w:rsidRPr="000A47CB">
              <w:rPr>
                <w:rFonts w:cs="Arial"/>
                <w:w w:val="99"/>
                <w:szCs w:val="20"/>
              </w:rPr>
              <w:t>8</w:t>
            </w:r>
          </w:p>
        </w:tc>
      </w:tr>
      <w:tr w:rsidR="00B576A2" w14:paraId="449CF50A" w14:textId="77777777" w:rsidTr="00E66F34">
        <w:tc>
          <w:tcPr>
            <w:tcW w:w="2141" w:type="dxa"/>
          </w:tcPr>
          <w:p w14:paraId="3827528B" w14:textId="77777777" w:rsidR="00B576A2" w:rsidRPr="000A47CB" w:rsidRDefault="00B576A2" w:rsidP="00B576A2">
            <w:pPr>
              <w:pStyle w:val="Body"/>
              <w:ind w:left="0"/>
              <w:rPr>
                <w:rFonts w:cs="Arial"/>
                <w:szCs w:val="20"/>
              </w:rPr>
            </w:pPr>
            <w:r w:rsidRPr="000A47CB">
              <w:rPr>
                <w:rFonts w:cs="Arial"/>
                <w:i/>
                <w:iCs/>
                <w:szCs w:val="20"/>
              </w:rPr>
              <w:t>E. coli</w:t>
            </w:r>
            <w:r w:rsidRPr="000A47CB">
              <w:rPr>
                <w:rFonts w:cs="Arial"/>
                <w:szCs w:val="20"/>
              </w:rPr>
              <w:t>, MPN/100ml</w:t>
            </w:r>
          </w:p>
        </w:tc>
        <w:tc>
          <w:tcPr>
            <w:tcW w:w="2141" w:type="dxa"/>
          </w:tcPr>
          <w:p w14:paraId="57966C6C" w14:textId="77777777" w:rsidR="00B576A2" w:rsidRPr="000A47CB" w:rsidRDefault="00B576A2" w:rsidP="00A27F3D">
            <w:pPr>
              <w:pStyle w:val="Body"/>
              <w:ind w:left="0"/>
              <w:jc w:val="center"/>
              <w:rPr>
                <w:rFonts w:cs="Arial"/>
                <w:w w:val="99"/>
                <w:szCs w:val="20"/>
              </w:rPr>
            </w:pPr>
            <w:r w:rsidRPr="000A47CB">
              <w:rPr>
                <w:rFonts w:cs="Arial"/>
                <w:szCs w:val="20"/>
              </w:rPr>
              <w:t>1,650</w:t>
            </w:r>
          </w:p>
        </w:tc>
        <w:tc>
          <w:tcPr>
            <w:tcW w:w="2141" w:type="dxa"/>
          </w:tcPr>
          <w:p w14:paraId="40CA417A" w14:textId="77777777" w:rsidR="00B576A2" w:rsidRPr="000A47CB" w:rsidRDefault="00B576A2" w:rsidP="002C75CD">
            <w:pPr>
              <w:pStyle w:val="Body"/>
              <w:ind w:left="0"/>
              <w:jc w:val="center"/>
              <w:rPr>
                <w:rFonts w:cs="Arial"/>
                <w:w w:val="99"/>
                <w:szCs w:val="20"/>
              </w:rPr>
            </w:pPr>
            <w:r w:rsidRPr="000A47CB">
              <w:rPr>
                <w:rFonts w:cs="Arial"/>
                <w:szCs w:val="20"/>
              </w:rPr>
              <w:t>10,000</w:t>
            </w:r>
          </w:p>
        </w:tc>
        <w:tc>
          <w:tcPr>
            <w:tcW w:w="2141" w:type="dxa"/>
          </w:tcPr>
          <w:p w14:paraId="2A3EC1C9" w14:textId="77777777" w:rsidR="00B576A2" w:rsidRPr="000A47CB" w:rsidRDefault="00B576A2" w:rsidP="002C75CD">
            <w:pPr>
              <w:pStyle w:val="Body"/>
              <w:ind w:left="0"/>
              <w:jc w:val="center"/>
              <w:rPr>
                <w:rFonts w:cs="Arial"/>
                <w:w w:val="99"/>
                <w:szCs w:val="20"/>
              </w:rPr>
            </w:pPr>
            <w:r w:rsidRPr="000A47CB">
              <w:rPr>
                <w:rFonts w:cs="Arial"/>
                <w:szCs w:val="20"/>
              </w:rPr>
              <w:t>5,000</w:t>
            </w:r>
          </w:p>
        </w:tc>
      </w:tr>
    </w:tbl>
    <w:p w14:paraId="5471633D" w14:textId="77777777" w:rsidR="00B576A2" w:rsidRDefault="00B576A2" w:rsidP="00CC45BF">
      <w:pPr>
        <w:pStyle w:val="Body"/>
        <w:ind w:left="0"/>
      </w:pPr>
    </w:p>
    <w:p w14:paraId="1CF8F680" w14:textId="77777777" w:rsidR="00B576A2" w:rsidRDefault="009D7B11" w:rsidP="00A27F3D">
      <w:pPr>
        <w:pStyle w:val="Body"/>
        <w:ind w:left="491"/>
      </w:pPr>
      <w:r>
        <w:t xml:space="preserve">Given this high level of performance against other like plants, Hauraki </w:t>
      </w:r>
      <w:r w:rsidR="009776A1">
        <w:t>District</w:t>
      </w:r>
      <w:r>
        <w:t xml:space="preserve"> Council have not allocated any funding to upgrade the plant and propose to continue to operate the site to the current standard.</w:t>
      </w:r>
    </w:p>
    <w:p w14:paraId="16155017" w14:textId="77777777" w:rsidR="00B576A2" w:rsidRDefault="009A061E" w:rsidP="002C75CD">
      <w:pPr>
        <w:pStyle w:val="Heading3"/>
      </w:pPr>
      <w:r>
        <w:t>Receiving Environment</w:t>
      </w:r>
    </w:p>
    <w:p w14:paraId="4AAE2FB0" w14:textId="77777777" w:rsidR="009D7B11" w:rsidRDefault="009D7B11" w:rsidP="009D7B11">
      <w:pPr>
        <w:pStyle w:val="Body"/>
        <w:ind w:left="491"/>
      </w:pPr>
      <w:r>
        <w:t xml:space="preserve">Ngatea WWTP currently discharges treated wastewater into a farm drain that flows in an easterly direction adjacent to Phillips Road. The farm drain flows for approximately 1 km before flowing into the Piako River, near the Piako River and Punanga Canal confluence. A Waikato Regional Council water quality monitoring site is located on the Piako River approximately 35 km upstream of the Piako River and Punanga Canal confluence at the Paeroa-Tahuna Road bridge. </w:t>
      </w:r>
    </w:p>
    <w:p w14:paraId="176848A9" w14:textId="77777777" w:rsidR="009D7B11" w:rsidRDefault="009D7B11" w:rsidP="009D7B11">
      <w:pPr>
        <w:pStyle w:val="Body"/>
        <w:ind w:left="491"/>
      </w:pPr>
      <w:r>
        <w:t xml:space="preserve">Monitoring results from 2015 to 2016 show that the Piako River is within Attribute B for total oxidised nitrogen and below Attribute C for </w:t>
      </w:r>
      <w:r>
        <w:rPr>
          <w:i/>
        </w:rPr>
        <w:t>E.coli</w:t>
      </w:r>
      <w:r>
        <w:t>. Absolute data was not able to be obtained for ammonia, however concentrations over the two years of data appeared to vary between below the detection limit to 0.120 g/m</w:t>
      </w:r>
      <w:r w:rsidRPr="00250DED">
        <w:rPr>
          <w:vertAlign w:val="superscript"/>
        </w:rPr>
        <w:t>3</w:t>
      </w:r>
      <w:r>
        <w:t>, and exceeding 0.03 g/m</w:t>
      </w:r>
      <w:r w:rsidRPr="00250DED">
        <w:rPr>
          <w:vertAlign w:val="superscript"/>
        </w:rPr>
        <w:t>3</w:t>
      </w:r>
      <w:r>
        <w:t xml:space="preserve"> (Attribute A) on 12 instances during this period. The Piako River is likely to be within Attribute B for ammonia concentrations.</w:t>
      </w:r>
    </w:p>
    <w:p w14:paraId="16B82715" w14:textId="77777777" w:rsidR="009D7B11" w:rsidRDefault="009D7B11" w:rsidP="009D7B11">
      <w:pPr>
        <w:pStyle w:val="Body"/>
        <w:ind w:left="491"/>
        <w:rPr>
          <w:szCs w:val="20"/>
        </w:rPr>
      </w:pPr>
      <w:r w:rsidRPr="000520BF">
        <w:rPr>
          <w:szCs w:val="20"/>
        </w:rPr>
        <w:t xml:space="preserve">Approximately 100% of land cover within the catchment of the Ngatea WWTP has been categorised as nutrient contributing land. This indicates that there is a </w:t>
      </w:r>
      <w:r>
        <w:rPr>
          <w:szCs w:val="20"/>
        </w:rPr>
        <w:t>large</w:t>
      </w:r>
      <w:r w:rsidRPr="000520BF">
        <w:rPr>
          <w:szCs w:val="20"/>
        </w:rPr>
        <w:t xml:space="preserve"> proportion of land within the catchment </w:t>
      </w:r>
      <w:r>
        <w:rPr>
          <w:szCs w:val="20"/>
        </w:rPr>
        <w:t xml:space="preserve">that </w:t>
      </w:r>
      <w:r w:rsidRPr="000520BF">
        <w:rPr>
          <w:szCs w:val="20"/>
        </w:rPr>
        <w:t xml:space="preserve">could be contributing towards the existing nutrient concentrations within the </w:t>
      </w:r>
      <w:r>
        <w:rPr>
          <w:szCs w:val="20"/>
        </w:rPr>
        <w:t>farm drain</w:t>
      </w:r>
      <w:r w:rsidR="00042BF7">
        <w:rPr>
          <w:szCs w:val="20"/>
        </w:rPr>
        <w:t xml:space="preserve"> </w:t>
      </w:r>
      <w:r w:rsidRPr="00381487">
        <w:rPr>
          <w:szCs w:val="20"/>
        </w:rPr>
        <w:t xml:space="preserve">(i.e. the WWTP likely has a relatively low contribution to nutrient and </w:t>
      </w:r>
      <w:r w:rsidRPr="00A352AD">
        <w:rPr>
          <w:i/>
          <w:szCs w:val="20"/>
        </w:rPr>
        <w:t>E. coli</w:t>
      </w:r>
      <w:r w:rsidRPr="00381487">
        <w:rPr>
          <w:szCs w:val="20"/>
        </w:rPr>
        <w:t xml:space="preserve"> concentrations within the receiving environment). </w:t>
      </w:r>
      <w:r w:rsidRPr="000520BF">
        <w:rPr>
          <w:szCs w:val="20"/>
        </w:rPr>
        <w:t xml:space="preserve"> </w:t>
      </w:r>
    </w:p>
    <w:p w14:paraId="31C00022" w14:textId="77777777" w:rsidR="009D7B11" w:rsidRDefault="009D7B11" w:rsidP="009D7B11">
      <w:pPr>
        <w:pStyle w:val="Body"/>
        <w:ind w:left="491"/>
        <w:rPr>
          <w:rFonts w:cs="Arial"/>
          <w:szCs w:val="20"/>
        </w:rPr>
      </w:pPr>
      <w:r>
        <w:rPr>
          <w:szCs w:val="20"/>
        </w:rPr>
        <w:lastRenderedPageBreak/>
        <w:t>The</w:t>
      </w:r>
      <w:r w:rsidRPr="000520BF">
        <w:rPr>
          <w:szCs w:val="20"/>
        </w:rPr>
        <w:t xml:space="preserve"> WWTP typically contributes approximately 9.1% to the total flow of the </w:t>
      </w:r>
      <w:r>
        <w:rPr>
          <w:szCs w:val="20"/>
        </w:rPr>
        <w:t>farm drain</w:t>
      </w:r>
      <w:r w:rsidRPr="000520BF">
        <w:rPr>
          <w:szCs w:val="20"/>
        </w:rPr>
        <w:t xml:space="preserve">. This is a </w:t>
      </w:r>
      <w:r w:rsidR="00042BF7">
        <w:rPr>
          <w:szCs w:val="20"/>
        </w:rPr>
        <w:t>large</w:t>
      </w:r>
      <w:r w:rsidR="00042BF7" w:rsidRPr="000520BF">
        <w:rPr>
          <w:szCs w:val="20"/>
        </w:rPr>
        <w:t xml:space="preserve"> </w:t>
      </w:r>
      <w:r w:rsidRPr="000520BF">
        <w:rPr>
          <w:szCs w:val="20"/>
        </w:rPr>
        <w:t>(</w:t>
      </w:r>
      <w:r w:rsidR="00042BF7">
        <w:rPr>
          <w:szCs w:val="20"/>
        </w:rPr>
        <w:t>large</w:t>
      </w:r>
      <w:r w:rsidR="00042BF7" w:rsidRPr="000520BF">
        <w:rPr>
          <w:szCs w:val="20"/>
        </w:rPr>
        <w:t xml:space="preserve"> </w:t>
      </w:r>
      <w:r w:rsidRPr="000520BF">
        <w:rPr>
          <w:szCs w:val="20"/>
        </w:rPr>
        <w:t>benefit) water quantity contribution compared to the overall volume of th</w:t>
      </w:r>
      <w:r>
        <w:rPr>
          <w:szCs w:val="20"/>
        </w:rPr>
        <w:t>is</w:t>
      </w:r>
      <w:r w:rsidRPr="000520BF">
        <w:rPr>
          <w:szCs w:val="20"/>
        </w:rPr>
        <w:t xml:space="preserve"> receiving water</w:t>
      </w:r>
      <w:r>
        <w:rPr>
          <w:szCs w:val="20"/>
        </w:rPr>
        <w:t xml:space="preserve"> body, thus n</w:t>
      </w:r>
      <w:r w:rsidRPr="000520BF">
        <w:rPr>
          <w:szCs w:val="20"/>
        </w:rPr>
        <w:t>utrients and other outputs from the WWTP are likely to influence existing nutrient concentrations after reasonable mixing</w:t>
      </w:r>
      <w:r w:rsidRPr="000520BF">
        <w:rPr>
          <w:rFonts w:cs="Arial"/>
          <w:szCs w:val="20"/>
        </w:rPr>
        <w:t>.</w:t>
      </w:r>
    </w:p>
    <w:p w14:paraId="2DD1F856" w14:textId="77777777" w:rsidR="009D7B11" w:rsidRDefault="009D7B11" w:rsidP="009D7B11">
      <w:pPr>
        <w:pStyle w:val="Body"/>
        <w:ind w:left="491"/>
        <w:rPr>
          <w:szCs w:val="20"/>
        </w:rPr>
      </w:pPr>
      <w:r>
        <w:rPr>
          <w:rFonts w:cs="Arial"/>
          <w:szCs w:val="20"/>
        </w:rPr>
        <w:t xml:space="preserve">The </w:t>
      </w:r>
      <w:r w:rsidR="00042BF7">
        <w:rPr>
          <w:rFonts w:cs="Arial"/>
          <w:szCs w:val="20"/>
        </w:rPr>
        <w:t xml:space="preserve">level of </w:t>
      </w:r>
      <w:r>
        <w:rPr>
          <w:rFonts w:cs="Arial"/>
          <w:szCs w:val="20"/>
        </w:rPr>
        <w:t xml:space="preserve">benefit of the receiving environment (farm drain), from a WWTP upgrade, is not of the same magnitude for </w:t>
      </w:r>
      <w:r w:rsidR="00042BF7">
        <w:rPr>
          <w:rFonts w:cs="Arial"/>
          <w:szCs w:val="20"/>
        </w:rPr>
        <w:t xml:space="preserve">downstream </w:t>
      </w:r>
      <w:r>
        <w:rPr>
          <w:rFonts w:cs="Arial"/>
          <w:szCs w:val="20"/>
        </w:rPr>
        <w:t xml:space="preserve">the Piako River since the </w:t>
      </w:r>
      <w:r>
        <w:rPr>
          <w:szCs w:val="20"/>
        </w:rPr>
        <w:t xml:space="preserve">water quantity contribution of the WWTP compared to the overall volume of the Piako River is small. </w:t>
      </w:r>
    </w:p>
    <w:p w14:paraId="6B30C8DE" w14:textId="77777777" w:rsidR="00B576A2" w:rsidRDefault="009D7B11" w:rsidP="009D7B11">
      <w:pPr>
        <w:pStyle w:val="Body"/>
        <w:ind w:left="491"/>
        <w:rPr>
          <w:rFonts w:cs="Arial"/>
          <w:szCs w:val="20"/>
        </w:rPr>
      </w:pPr>
      <w:r>
        <w:rPr>
          <w:szCs w:val="20"/>
        </w:rPr>
        <w:t>Nutrients and other outputs from the WWTP are likely to be diluted after reasonable mixing and provide a small contribution to existing nutrient concentrations of the Piako River.</w:t>
      </w:r>
      <w:r w:rsidR="00B576A2">
        <w:rPr>
          <w:rFonts w:cs="Arial"/>
          <w:szCs w:val="20"/>
        </w:rPr>
        <w:t xml:space="preserve"> </w:t>
      </w:r>
    </w:p>
    <w:p w14:paraId="4996CD61" w14:textId="77777777" w:rsidR="004C7B53" w:rsidRDefault="00630D74" w:rsidP="008B6F41">
      <w:pPr>
        <w:pStyle w:val="Heading3"/>
        <w:rPr>
          <w:lang w:eastAsia="en-AU"/>
        </w:rPr>
      </w:pPr>
      <w:r>
        <w:rPr>
          <w:lang w:eastAsia="en-AU"/>
        </w:rPr>
        <w:t xml:space="preserve">Case </w:t>
      </w:r>
      <w:r w:rsidR="00E70A3D">
        <w:rPr>
          <w:lang w:eastAsia="en-AU"/>
        </w:rPr>
        <w:t xml:space="preserve">study </w:t>
      </w:r>
      <w:r>
        <w:rPr>
          <w:lang w:eastAsia="en-AU"/>
        </w:rPr>
        <w:t xml:space="preserve">2 </w:t>
      </w:r>
      <w:r w:rsidR="00E70A3D">
        <w:rPr>
          <w:lang w:eastAsia="en-AU"/>
        </w:rPr>
        <w:t>relevance</w:t>
      </w:r>
    </w:p>
    <w:p w14:paraId="3951EF42" w14:textId="77777777" w:rsidR="00CB5A37" w:rsidRDefault="00CB5A37" w:rsidP="00CB5A37">
      <w:pPr>
        <w:pStyle w:val="Body"/>
      </w:pPr>
      <w:r>
        <w:t xml:space="preserve">Under the three main categories of interest this case study </w:t>
      </w:r>
      <w:r w:rsidR="00DE6A3F">
        <w:t>provides the following insights</w:t>
      </w:r>
      <w:r>
        <w:t>:</w:t>
      </w:r>
    </w:p>
    <w:p w14:paraId="17549BD5" w14:textId="77777777" w:rsidR="00CB5A37" w:rsidRPr="00CB5A37" w:rsidRDefault="00CB5A37" w:rsidP="00CB5A37">
      <w:pPr>
        <w:pStyle w:val="Body"/>
        <w:numPr>
          <w:ilvl w:val="0"/>
          <w:numId w:val="104"/>
        </w:numPr>
      </w:pPr>
      <w:r>
        <w:t xml:space="preserve">Resource consents – </w:t>
      </w:r>
      <w:r w:rsidRPr="00CB5A37">
        <w:t>Unlike the other case studies presented in this report, the Ngatea WWTP case presents a situat</w:t>
      </w:r>
      <w:r w:rsidR="00DE6A3F">
        <w:t xml:space="preserve">ion where a waste stabilisation </w:t>
      </w:r>
      <w:r w:rsidRPr="00CB5A37">
        <w:t>type plant is considered to be operating well and achieving a reasonable level of treatment and consent compliance. The consent renewal approach taken by Hauraki District Council relies on the fact that the plant is performing well. Hauraki District Council proposes that the operating permit remains the same as current and the plant configuration remains unchanged. The consent process undertaken by council drew very few submissions (2) with only one wishing to be heard. At the time of drafting this report, the consent process was still ongoing.</w:t>
      </w:r>
    </w:p>
    <w:p w14:paraId="23EB0097" w14:textId="77777777" w:rsidR="00CB5A37" w:rsidRDefault="00CB5A37" w:rsidP="00E66F34">
      <w:pPr>
        <w:pStyle w:val="Body"/>
        <w:numPr>
          <w:ilvl w:val="0"/>
          <w:numId w:val="104"/>
        </w:numPr>
      </w:pPr>
      <w:r w:rsidRPr="00E66F34">
        <w:t xml:space="preserve">Cost estimates – </w:t>
      </w:r>
      <w:r>
        <w:t>None have been specifically developed since Hauraki District Council plan to not upgrade the plant.</w:t>
      </w:r>
      <w:r w:rsidRPr="00CB5A37">
        <w:t xml:space="preserve"> The underlying issue that sits with a community such as Ngatea is the affordability of any upgrade to the system and the impacts on local rates. Analysis undertaken for the wider study suggests that an upgrade to this plant </w:t>
      </w:r>
      <w:r w:rsidR="00DE6A3F">
        <w:t xml:space="preserve">(if the consenting strategy is not accepted and an upgrade is required) </w:t>
      </w:r>
      <w:r w:rsidRPr="00CB5A37">
        <w:t>would cost in the order of $3.7</w:t>
      </w:r>
      <w:r w:rsidR="00DE6A3F">
        <w:t xml:space="preserve"> </w:t>
      </w:r>
      <w:r w:rsidRPr="00CB5A37">
        <w:t>M</w:t>
      </w:r>
      <w:r w:rsidR="00042BF7">
        <w:t>illion</w:t>
      </w:r>
      <w:r w:rsidRPr="00CB5A37">
        <w:t xml:space="preserve"> with associated operational costs</w:t>
      </w:r>
      <w:r w:rsidR="00042BF7">
        <w:t xml:space="preserve">. Hauraki District Council have advised they expect the costs will in reality be higher, although detailed design of the upgrade would be needed to confirm this. </w:t>
      </w:r>
    </w:p>
    <w:p w14:paraId="09825BE7" w14:textId="77777777" w:rsidR="00630D74" w:rsidRPr="008B6F41" w:rsidRDefault="00CB5A37" w:rsidP="00E66F34">
      <w:pPr>
        <w:pStyle w:val="Body"/>
        <w:numPr>
          <w:ilvl w:val="0"/>
          <w:numId w:val="104"/>
        </w:numPr>
        <w:rPr>
          <w:lang w:eastAsia="en-AU"/>
        </w:rPr>
      </w:pPr>
      <w:r>
        <w:t xml:space="preserve">Receiving environment - </w:t>
      </w:r>
      <w:r w:rsidR="003006E0" w:rsidRPr="003006E0">
        <w:t xml:space="preserve">This case study has direct relevance to the wider study in that </w:t>
      </w:r>
      <w:r w:rsidR="003006E0">
        <w:t xml:space="preserve">a </w:t>
      </w:r>
      <w:r w:rsidR="003006E0" w:rsidRPr="003006E0">
        <w:t>plant upgrade may indeed improve the quality of the receiving environment, even with the high contribution of nutrients from the land in the surrounding catchment.</w:t>
      </w:r>
      <w:r w:rsidR="003006E0">
        <w:t xml:space="preserve"> However while t</w:t>
      </w:r>
      <w:r w:rsidR="00505291">
        <w:t>he WWTP discharge influence</w:t>
      </w:r>
      <w:r w:rsidR="003006E0">
        <w:t>s</w:t>
      </w:r>
      <w:r w:rsidR="00505291">
        <w:t xml:space="preserve"> the water quality of the direct receiving environment (farm drain) </w:t>
      </w:r>
      <w:r w:rsidR="003006E0">
        <w:t>it</w:t>
      </w:r>
      <w:r w:rsidR="00505291">
        <w:t xml:space="preserve"> is unlikely to have much influence on the downstream Piako River.</w:t>
      </w:r>
      <w:r w:rsidR="003006E0" w:rsidRPr="003006E0">
        <w:t xml:space="preserve"> </w:t>
      </w:r>
    </w:p>
    <w:p w14:paraId="690C657D" w14:textId="77777777" w:rsidR="004C7B53" w:rsidRDefault="004C7B53" w:rsidP="002C75CD">
      <w:pPr>
        <w:pStyle w:val="Heading2"/>
        <w:rPr>
          <w:lang w:eastAsia="en-AU"/>
        </w:rPr>
      </w:pPr>
      <w:bookmarkStart w:id="304" w:name="_Toc517707404"/>
      <w:bookmarkStart w:id="305" w:name="_Toc517787159"/>
      <w:bookmarkStart w:id="306" w:name="_Toc517793858"/>
      <w:bookmarkStart w:id="307" w:name="_Toc518646197"/>
      <w:bookmarkStart w:id="308" w:name="_Toc518653094"/>
      <w:bookmarkStart w:id="309" w:name="_Toc527638650"/>
      <w:r>
        <w:rPr>
          <w:lang w:eastAsia="en-AU"/>
        </w:rPr>
        <w:t xml:space="preserve">Case </w:t>
      </w:r>
      <w:r w:rsidR="00D54348">
        <w:rPr>
          <w:lang w:eastAsia="en-AU"/>
        </w:rPr>
        <w:t xml:space="preserve">study </w:t>
      </w:r>
      <w:r>
        <w:rPr>
          <w:lang w:eastAsia="en-AU"/>
        </w:rPr>
        <w:t>3</w:t>
      </w:r>
      <w:r w:rsidR="00811B63">
        <w:rPr>
          <w:lang w:eastAsia="en-AU"/>
        </w:rPr>
        <w:t xml:space="preserve"> - </w:t>
      </w:r>
      <w:r>
        <w:rPr>
          <w:lang w:eastAsia="en-AU"/>
        </w:rPr>
        <w:t xml:space="preserve">Wellsford </w:t>
      </w:r>
      <w:bookmarkEnd w:id="304"/>
      <w:r w:rsidR="00E70A3D">
        <w:rPr>
          <w:lang w:eastAsia="en-AU"/>
        </w:rPr>
        <w:t>WWTP</w:t>
      </w:r>
      <w:bookmarkEnd w:id="305"/>
      <w:bookmarkEnd w:id="306"/>
      <w:bookmarkEnd w:id="307"/>
      <w:bookmarkEnd w:id="308"/>
      <w:bookmarkEnd w:id="309"/>
    </w:p>
    <w:p w14:paraId="1B9E4B92" w14:textId="77777777" w:rsidR="00E404A7" w:rsidRPr="005C364A" w:rsidRDefault="00E70A3D" w:rsidP="00E404A7">
      <w:pPr>
        <w:pStyle w:val="Heading3"/>
        <w:rPr>
          <w:lang w:eastAsia="en-AU"/>
        </w:rPr>
      </w:pPr>
      <w:r>
        <w:rPr>
          <w:lang w:eastAsia="en-AU"/>
        </w:rPr>
        <w:t>Key facts</w:t>
      </w:r>
    </w:p>
    <w:p w14:paraId="22C5EDBE" w14:textId="77777777" w:rsidR="00D71E8E" w:rsidRPr="00E66F34" w:rsidRDefault="00D71E8E" w:rsidP="00D71E8E">
      <w:pPr>
        <w:pStyle w:val="Body"/>
        <w:numPr>
          <w:ilvl w:val="0"/>
          <w:numId w:val="91"/>
        </w:numPr>
      </w:pPr>
      <w:r>
        <w:rPr>
          <w:rFonts w:cs="Arial"/>
          <w:szCs w:val="20"/>
          <w:lang w:eastAsia="en-AU"/>
        </w:rPr>
        <w:t>Original consent</w:t>
      </w:r>
      <w:r w:rsidRPr="00E66F34">
        <w:t xml:space="preserve"> issued: 1989 </w:t>
      </w:r>
    </w:p>
    <w:p w14:paraId="1E3E535D" w14:textId="77777777" w:rsidR="00D71E8E" w:rsidRPr="00E66F34" w:rsidRDefault="00D71E8E" w:rsidP="00D71E8E">
      <w:pPr>
        <w:pStyle w:val="Body"/>
        <w:numPr>
          <w:ilvl w:val="0"/>
          <w:numId w:val="91"/>
        </w:numPr>
      </w:pPr>
      <w:r>
        <w:rPr>
          <w:rFonts w:cs="Arial"/>
          <w:szCs w:val="20"/>
          <w:lang w:eastAsia="en-AU"/>
        </w:rPr>
        <w:t>Original c</w:t>
      </w:r>
      <w:r w:rsidRPr="00BB4219">
        <w:rPr>
          <w:rFonts w:cs="Arial"/>
          <w:szCs w:val="20"/>
          <w:lang w:eastAsia="en-AU"/>
        </w:rPr>
        <w:t>onsent</w:t>
      </w:r>
      <w:r w:rsidRPr="00E66F34">
        <w:t xml:space="preserve"> Expired: December 1999</w:t>
      </w:r>
    </w:p>
    <w:p w14:paraId="5810D93F" w14:textId="77777777" w:rsidR="00D71E8E" w:rsidRPr="00E66F34" w:rsidRDefault="00D71E8E" w:rsidP="00D71E8E">
      <w:pPr>
        <w:pStyle w:val="Body"/>
        <w:numPr>
          <w:ilvl w:val="0"/>
          <w:numId w:val="91"/>
        </w:numPr>
      </w:pPr>
      <w:r w:rsidRPr="00E66F34">
        <w:t>Plant type: Secondary Treatment and discharge into Tributary of the Hoteo River</w:t>
      </w:r>
    </w:p>
    <w:p w14:paraId="196B2426" w14:textId="77777777" w:rsidR="00D71E8E" w:rsidRDefault="00D71E8E" w:rsidP="00D71E8E">
      <w:pPr>
        <w:pStyle w:val="Body"/>
        <w:numPr>
          <w:ilvl w:val="0"/>
          <w:numId w:val="91"/>
        </w:numPr>
        <w:rPr>
          <w:rFonts w:cs="Arial"/>
          <w:szCs w:val="20"/>
          <w:lang w:eastAsia="en-AU"/>
        </w:rPr>
      </w:pPr>
      <w:r>
        <w:rPr>
          <w:rFonts w:cs="Arial"/>
          <w:szCs w:val="20"/>
          <w:lang w:eastAsia="en-AU"/>
        </w:rPr>
        <w:t>New consent issued: November 2017</w:t>
      </w:r>
    </w:p>
    <w:p w14:paraId="3E568C9D" w14:textId="77777777" w:rsidR="00D71E8E" w:rsidRDefault="00D71E8E" w:rsidP="00D71E8E">
      <w:pPr>
        <w:pStyle w:val="Body"/>
        <w:numPr>
          <w:ilvl w:val="0"/>
          <w:numId w:val="91"/>
        </w:numPr>
        <w:rPr>
          <w:rFonts w:cs="Arial"/>
          <w:szCs w:val="20"/>
          <w:lang w:eastAsia="en-AU"/>
        </w:rPr>
      </w:pPr>
      <w:r>
        <w:rPr>
          <w:rFonts w:cs="Arial"/>
          <w:szCs w:val="20"/>
          <w:lang w:eastAsia="en-AU"/>
        </w:rPr>
        <w:t>New consent expires: November 2052</w:t>
      </w:r>
    </w:p>
    <w:p w14:paraId="195D2F77" w14:textId="77777777" w:rsidR="00D71E8E" w:rsidRPr="00BB4219" w:rsidRDefault="00D71E8E" w:rsidP="00D71E8E">
      <w:pPr>
        <w:pStyle w:val="Body"/>
        <w:numPr>
          <w:ilvl w:val="0"/>
          <w:numId w:val="91"/>
        </w:numPr>
        <w:rPr>
          <w:rFonts w:cs="Arial"/>
          <w:szCs w:val="20"/>
          <w:lang w:eastAsia="en-AU"/>
        </w:rPr>
      </w:pPr>
      <w:r>
        <w:t>Proposed</w:t>
      </w:r>
      <w:r>
        <w:rPr>
          <w:rFonts w:cs="Arial"/>
          <w:szCs w:val="20"/>
          <w:lang w:eastAsia="en-AU"/>
        </w:rPr>
        <w:t xml:space="preserve"> Plant: Tertiary treatment and discharge</w:t>
      </w:r>
    </w:p>
    <w:p w14:paraId="26F2A633" w14:textId="77777777" w:rsidR="00D71E8E" w:rsidRPr="00A352AD" w:rsidRDefault="00D71E8E" w:rsidP="00A352AD">
      <w:pPr>
        <w:pStyle w:val="Body"/>
        <w:numPr>
          <w:ilvl w:val="0"/>
          <w:numId w:val="91"/>
        </w:numPr>
        <w:rPr>
          <w:rFonts w:cs="Arial"/>
          <w:szCs w:val="20"/>
          <w:lang w:eastAsia="en-AU"/>
        </w:rPr>
      </w:pPr>
      <w:r w:rsidRPr="00A352AD">
        <w:rPr>
          <w:rFonts w:cs="Arial"/>
          <w:szCs w:val="20"/>
          <w:lang w:eastAsia="en-AU"/>
        </w:rPr>
        <w:t xml:space="preserve">Population Projections: Growth Area, 1800 </w:t>
      </w:r>
      <w:r w:rsidRPr="00BB4219">
        <w:rPr>
          <w:rFonts w:cs="Arial"/>
          <w:szCs w:val="20"/>
          <w:lang w:eastAsia="en-AU"/>
        </w:rPr>
        <w:t>PE</w:t>
      </w:r>
      <w:r w:rsidRPr="00A352AD">
        <w:rPr>
          <w:rFonts w:cs="Arial"/>
          <w:szCs w:val="20"/>
          <w:lang w:eastAsia="en-AU"/>
        </w:rPr>
        <w:t xml:space="preserve"> and growing to 5000 </w:t>
      </w:r>
      <w:r w:rsidRPr="00BB4219">
        <w:rPr>
          <w:rFonts w:cs="Arial"/>
          <w:szCs w:val="20"/>
          <w:lang w:eastAsia="en-AU"/>
        </w:rPr>
        <w:t>PE</w:t>
      </w:r>
    </w:p>
    <w:p w14:paraId="45DEAE52" w14:textId="77777777" w:rsidR="00E404A7" w:rsidRPr="002160CA" w:rsidRDefault="00E404A7" w:rsidP="00E404A7">
      <w:pPr>
        <w:pStyle w:val="Heading3"/>
        <w:rPr>
          <w:lang w:eastAsia="en-AU"/>
        </w:rPr>
      </w:pPr>
      <w:r>
        <w:rPr>
          <w:lang w:eastAsia="en-AU"/>
        </w:rPr>
        <w:lastRenderedPageBreak/>
        <w:t>B</w:t>
      </w:r>
      <w:r w:rsidRPr="002160CA">
        <w:rPr>
          <w:lang w:eastAsia="en-AU"/>
        </w:rPr>
        <w:t>ackground</w:t>
      </w:r>
    </w:p>
    <w:p w14:paraId="0AD257AF" w14:textId="77777777" w:rsidR="00D71E8E" w:rsidRDefault="00D71E8E" w:rsidP="00D71E8E">
      <w:pPr>
        <w:pStyle w:val="Body"/>
        <w:ind w:left="491"/>
        <w:rPr>
          <w:szCs w:val="20"/>
        </w:rPr>
      </w:pPr>
      <w:r w:rsidRPr="00E404A7">
        <w:rPr>
          <w:szCs w:val="20"/>
        </w:rPr>
        <w:t>The W</w:t>
      </w:r>
      <w:r>
        <w:rPr>
          <w:szCs w:val="20"/>
        </w:rPr>
        <w:t xml:space="preserve">ellsford </w:t>
      </w:r>
      <w:r w:rsidRPr="00E404A7">
        <w:rPr>
          <w:szCs w:val="20"/>
        </w:rPr>
        <w:t xml:space="preserve">WWTP was commissioned in 1972 and consisted of </w:t>
      </w:r>
      <w:r>
        <w:rPr>
          <w:szCs w:val="20"/>
        </w:rPr>
        <w:t xml:space="preserve">a </w:t>
      </w:r>
      <w:r w:rsidR="005E7EEA">
        <w:rPr>
          <w:szCs w:val="20"/>
        </w:rPr>
        <w:t>w</w:t>
      </w:r>
      <w:r>
        <w:rPr>
          <w:szCs w:val="20"/>
        </w:rPr>
        <w:t xml:space="preserve">aste </w:t>
      </w:r>
      <w:r w:rsidR="005E7EEA">
        <w:rPr>
          <w:szCs w:val="20"/>
        </w:rPr>
        <w:t>s</w:t>
      </w:r>
      <w:r>
        <w:rPr>
          <w:szCs w:val="20"/>
        </w:rPr>
        <w:t xml:space="preserve">tabilisation </w:t>
      </w:r>
      <w:r w:rsidR="005E7EEA">
        <w:rPr>
          <w:szCs w:val="20"/>
        </w:rPr>
        <w:t>p</w:t>
      </w:r>
      <w:r>
        <w:rPr>
          <w:szCs w:val="20"/>
        </w:rPr>
        <w:t xml:space="preserve">ond system </w:t>
      </w:r>
      <w:r w:rsidRPr="00E404A7">
        <w:rPr>
          <w:szCs w:val="20"/>
        </w:rPr>
        <w:t xml:space="preserve">and discharge to the </w:t>
      </w:r>
      <w:r>
        <w:rPr>
          <w:szCs w:val="20"/>
        </w:rPr>
        <w:t>receiving</w:t>
      </w:r>
      <w:r w:rsidRPr="00E404A7">
        <w:rPr>
          <w:szCs w:val="20"/>
        </w:rPr>
        <w:t xml:space="preserve"> environment. The plant was </w:t>
      </w:r>
      <w:r>
        <w:rPr>
          <w:szCs w:val="20"/>
        </w:rPr>
        <w:t>designed</w:t>
      </w:r>
      <w:r w:rsidRPr="00E404A7">
        <w:rPr>
          <w:szCs w:val="20"/>
        </w:rPr>
        <w:t xml:space="preserve"> to service the area of Wellsford, with Te Hanna being added on in 2006. Discharge from the plant represents a large portion of the volume of the flow in </w:t>
      </w:r>
      <w:r w:rsidR="005E7EEA">
        <w:rPr>
          <w:szCs w:val="20"/>
        </w:rPr>
        <w:t>“</w:t>
      </w:r>
      <w:r w:rsidRPr="00E404A7">
        <w:rPr>
          <w:szCs w:val="20"/>
        </w:rPr>
        <w:t>Tributary</w:t>
      </w:r>
      <w:r w:rsidR="005E7EEA">
        <w:rPr>
          <w:szCs w:val="20"/>
        </w:rPr>
        <w:t xml:space="preserve"> A”</w:t>
      </w:r>
      <w:r w:rsidRPr="00E404A7">
        <w:rPr>
          <w:szCs w:val="20"/>
        </w:rPr>
        <w:t xml:space="preserve"> (the receiving environment) and at times during summer can be all </w:t>
      </w:r>
      <w:r w:rsidR="005E7EEA">
        <w:rPr>
          <w:szCs w:val="20"/>
        </w:rPr>
        <w:t xml:space="preserve">of </w:t>
      </w:r>
      <w:r w:rsidRPr="00E404A7">
        <w:rPr>
          <w:szCs w:val="20"/>
        </w:rPr>
        <w:t>the flow.</w:t>
      </w:r>
    </w:p>
    <w:p w14:paraId="427A8A86" w14:textId="77777777" w:rsidR="00D71E8E" w:rsidRPr="00E404A7" w:rsidRDefault="00D71E8E" w:rsidP="00D71E8E">
      <w:pPr>
        <w:pStyle w:val="Body"/>
        <w:ind w:left="491"/>
        <w:rPr>
          <w:szCs w:val="20"/>
        </w:rPr>
      </w:pPr>
      <w:r>
        <w:rPr>
          <w:szCs w:val="20"/>
        </w:rPr>
        <w:t xml:space="preserve">Prior to the amalgamation of the </w:t>
      </w:r>
      <w:r w:rsidR="005E7EEA">
        <w:rPr>
          <w:szCs w:val="20"/>
        </w:rPr>
        <w:t>w</w:t>
      </w:r>
      <w:r>
        <w:rPr>
          <w:szCs w:val="20"/>
        </w:rPr>
        <w:t xml:space="preserve">ater </w:t>
      </w:r>
      <w:r w:rsidR="005E7EEA">
        <w:rPr>
          <w:szCs w:val="20"/>
        </w:rPr>
        <w:t>i</w:t>
      </w:r>
      <w:r>
        <w:rPr>
          <w:szCs w:val="20"/>
        </w:rPr>
        <w:t xml:space="preserve">ndustry in Auckland and the original consent term expiring, Rodney District Council (RDC) made an application for renewal. Given the challenges of operating and upgrading the plant, the renewal process took some time and was not completed prior to the 2010 Auckland City amalgamation process. </w:t>
      </w:r>
    </w:p>
    <w:p w14:paraId="72210820" w14:textId="77777777" w:rsidR="00E404A7" w:rsidRDefault="00D71E8E" w:rsidP="00A352AD">
      <w:pPr>
        <w:pStyle w:val="Body"/>
        <w:ind w:left="491"/>
      </w:pPr>
      <w:r w:rsidRPr="00E404A7">
        <w:rPr>
          <w:szCs w:val="20"/>
        </w:rPr>
        <w:t xml:space="preserve">The plant has over the years failed to comply with a number of standards of its resource consent particularly with regards to </w:t>
      </w:r>
      <w:r w:rsidR="005E7EEA">
        <w:rPr>
          <w:szCs w:val="20"/>
        </w:rPr>
        <w:t>t</w:t>
      </w:r>
      <w:r w:rsidRPr="00E404A7">
        <w:rPr>
          <w:szCs w:val="20"/>
        </w:rPr>
        <w:t xml:space="preserve">otal </w:t>
      </w:r>
      <w:r w:rsidR="005E7EEA">
        <w:rPr>
          <w:szCs w:val="20"/>
        </w:rPr>
        <w:t>s</w:t>
      </w:r>
      <w:r w:rsidRPr="00E404A7">
        <w:rPr>
          <w:szCs w:val="20"/>
        </w:rPr>
        <w:t xml:space="preserve">uspended </w:t>
      </w:r>
      <w:r w:rsidR="005E7EEA">
        <w:rPr>
          <w:szCs w:val="20"/>
        </w:rPr>
        <w:t>s</w:t>
      </w:r>
      <w:r w:rsidRPr="00E404A7">
        <w:rPr>
          <w:szCs w:val="20"/>
        </w:rPr>
        <w:t xml:space="preserve">olids, </w:t>
      </w:r>
      <w:r w:rsidR="005E7EEA">
        <w:rPr>
          <w:szCs w:val="20"/>
        </w:rPr>
        <w:t>t</w:t>
      </w:r>
      <w:r w:rsidRPr="00E404A7">
        <w:rPr>
          <w:szCs w:val="20"/>
        </w:rPr>
        <w:t xml:space="preserve">otal </w:t>
      </w:r>
      <w:r w:rsidR="005E7EEA">
        <w:rPr>
          <w:szCs w:val="20"/>
        </w:rPr>
        <w:t>i</w:t>
      </w:r>
      <w:r w:rsidRPr="00E404A7">
        <w:rPr>
          <w:szCs w:val="20"/>
        </w:rPr>
        <w:t xml:space="preserve">norganic </w:t>
      </w:r>
      <w:r w:rsidR="005E7EEA">
        <w:rPr>
          <w:szCs w:val="20"/>
        </w:rPr>
        <w:t>n</w:t>
      </w:r>
      <w:r w:rsidR="00784BA4">
        <w:rPr>
          <w:szCs w:val="20"/>
        </w:rPr>
        <w:t>itrogen</w:t>
      </w:r>
      <w:r w:rsidRPr="00E404A7">
        <w:rPr>
          <w:szCs w:val="20"/>
        </w:rPr>
        <w:t xml:space="preserve"> and faecal coliforms.</w:t>
      </w:r>
      <w:r w:rsidR="005E7EEA">
        <w:rPr>
          <w:szCs w:val="20"/>
        </w:rPr>
        <w:t xml:space="preserve"> </w:t>
      </w:r>
      <w:r w:rsidRPr="00E404A7">
        <w:rPr>
          <w:szCs w:val="20"/>
        </w:rPr>
        <w:t xml:space="preserve">In 2014 to address some of these </w:t>
      </w:r>
      <w:r w:rsidR="00784BA4" w:rsidRPr="00E404A7">
        <w:rPr>
          <w:szCs w:val="20"/>
        </w:rPr>
        <w:t>issues,</w:t>
      </w:r>
      <w:r w:rsidRPr="00E404A7">
        <w:rPr>
          <w:szCs w:val="20"/>
        </w:rPr>
        <w:t xml:space="preserve"> </w:t>
      </w:r>
      <w:r>
        <w:rPr>
          <w:szCs w:val="20"/>
        </w:rPr>
        <w:t>Watercare</w:t>
      </w:r>
      <w:r w:rsidRPr="00E404A7">
        <w:rPr>
          <w:szCs w:val="20"/>
        </w:rPr>
        <w:t xml:space="preserve"> undertook an upgrade of the site by installing a new (temporary) Membrane Filtration Plant. This has rectified the </w:t>
      </w:r>
      <w:r w:rsidR="00784BA4" w:rsidRPr="00E404A7">
        <w:rPr>
          <w:szCs w:val="20"/>
        </w:rPr>
        <w:t>non</w:t>
      </w:r>
      <w:r w:rsidR="00784BA4">
        <w:rPr>
          <w:szCs w:val="20"/>
        </w:rPr>
        <w:t>-c</w:t>
      </w:r>
      <w:r w:rsidR="00784BA4" w:rsidRPr="00E404A7">
        <w:rPr>
          <w:szCs w:val="20"/>
        </w:rPr>
        <w:t>ompliance</w:t>
      </w:r>
      <w:r w:rsidRPr="00E404A7">
        <w:rPr>
          <w:szCs w:val="20"/>
        </w:rPr>
        <w:t xml:space="preserve"> matters </w:t>
      </w:r>
      <w:r w:rsidRPr="008E3831">
        <w:rPr>
          <w:szCs w:val="20"/>
        </w:rPr>
        <w:t xml:space="preserve">in relation to </w:t>
      </w:r>
      <w:r w:rsidR="005E7EEA">
        <w:rPr>
          <w:szCs w:val="20"/>
        </w:rPr>
        <w:t xml:space="preserve">total suspended solids </w:t>
      </w:r>
      <w:r w:rsidRPr="008E3831">
        <w:rPr>
          <w:szCs w:val="20"/>
        </w:rPr>
        <w:t>and f</w:t>
      </w:r>
      <w:r>
        <w:rPr>
          <w:szCs w:val="20"/>
        </w:rPr>
        <w:t>aecal coliforms</w:t>
      </w:r>
      <w:r w:rsidRPr="008E3831">
        <w:rPr>
          <w:szCs w:val="20"/>
        </w:rPr>
        <w:t xml:space="preserve"> but not</w:t>
      </w:r>
      <w:r w:rsidR="005E7EEA">
        <w:rPr>
          <w:szCs w:val="20"/>
        </w:rPr>
        <w:t xml:space="preserve"> </w:t>
      </w:r>
      <w:r w:rsidR="005E7EEA" w:rsidRPr="005E7EEA">
        <w:rPr>
          <w:szCs w:val="20"/>
        </w:rPr>
        <w:t>total inorganic nitrogen</w:t>
      </w:r>
      <w:r w:rsidRPr="008E3831">
        <w:rPr>
          <w:szCs w:val="20"/>
        </w:rPr>
        <w:t>.</w:t>
      </w:r>
      <w:r w:rsidR="00E404A7" w:rsidRPr="00E308F8">
        <w:rPr>
          <w:noProof/>
          <w:lang w:val="en-NZ" w:eastAsia="en-NZ"/>
        </w:rPr>
        <w:drawing>
          <wp:inline distT="0" distB="0" distL="0" distR="0" wp14:anchorId="46C32B9E" wp14:editId="486D2EDB">
            <wp:extent cx="5731200" cy="3909266"/>
            <wp:effectExtent l="0" t="0" r="317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200" cy="3909266"/>
                    </a:xfrm>
                    <a:prstGeom prst="rect">
                      <a:avLst/>
                    </a:prstGeom>
                    <a:noFill/>
                    <a:ln>
                      <a:noFill/>
                    </a:ln>
                  </pic:spPr>
                </pic:pic>
              </a:graphicData>
            </a:graphic>
          </wp:inline>
        </w:drawing>
      </w:r>
      <w:r w:rsidR="00E404A7">
        <w:t xml:space="preserve"> </w:t>
      </w:r>
    </w:p>
    <w:p w14:paraId="78419E78" w14:textId="77777777" w:rsidR="00E404A7" w:rsidRDefault="00E404A7" w:rsidP="00E404A7">
      <w:pPr>
        <w:pStyle w:val="Caption"/>
      </w:pPr>
      <w:bookmarkStart w:id="310" w:name="_Toc517788307"/>
      <w:bookmarkStart w:id="311" w:name="_Toc517793906"/>
      <w:bookmarkStart w:id="312" w:name="_Toc518653147"/>
      <w:bookmarkStart w:id="313" w:name="_Toc521064815"/>
      <w:r>
        <w:t xml:space="preserve">Figure </w:t>
      </w:r>
      <w:r w:rsidR="007B3D80">
        <w:rPr>
          <w:noProof/>
        </w:rPr>
        <w:fldChar w:fldCharType="begin"/>
      </w:r>
      <w:r w:rsidR="007B3D80">
        <w:rPr>
          <w:noProof/>
        </w:rPr>
        <w:instrText xml:space="preserve"> SEQ Figure \* ARABIC </w:instrText>
      </w:r>
      <w:r w:rsidR="007B3D80">
        <w:rPr>
          <w:noProof/>
        </w:rPr>
        <w:fldChar w:fldCharType="separate"/>
      </w:r>
      <w:r w:rsidR="002777A8">
        <w:rPr>
          <w:noProof/>
        </w:rPr>
        <w:t>10</w:t>
      </w:r>
      <w:r w:rsidR="007B3D80">
        <w:rPr>
          <w:noProof/>
        </w:rPr>
        <w:fldChar w:fldCharType="end"/>
      </w:r>
      <w:r>
        <w:t xml:space="preserve"> </w:t>
      </w:r>
      <w:r w:rsidR="00784BA4">
        <w:t xml:space="preserve"> </w:t>
      </w:r>
      <w:r w:rsidR="008E3831">
        <w:t>Case</w:t>
      </w:r>
      <w:r>
        <w:t xml:space="preserve"> </w:t>
      </w:r>
      <w:r w:rsidR="00D54348">
        <w:t xml:space="preserve">study </w:t>
      </w:r>
      <w:r>
        <w:t>3 – Wellsford WWTP</w:t>
      </w:r>
      <w:bookmarkEnd w:id="310"/>
      <w:bookmarkEnd w:id="311"/>
      <w:bookmarkEnd w:id="312"/>
      <w:bookmarkEnd w:id="313"/>
    </w:p>
    <w:p w14:paraId="0869628D" w14:textId="77777777" w:rsidR="00581922" w:rsidRDefault="00581922">
      <w:pPr>
        <w:spacing w:after="0"/>
      </w:pPr>
      <w:r>
        <w:br w:type="page"/>
      </w:r>
    </w:p>
    <w:p w14:paraId="4DF65F90" w14:textId="77777777" w:rsidR="00D71E8E" w:rsidRPr="002160CA" w:rsidRDefault="00D71E8E" w:rsidP="00D71E8E">
      <w:pPr>
        <w:pStyle w:val="Heading3"/>
        <w:rPr>
          <w:lang w:eastAsia="en-AU"/>
        </w:rPr>
      </w:pPr>
      <w:r w:rsidRPr="002160CA">
        <w:rPr>
          <w:lang w:eastAsia="en-AU"/>
        </w:rPr>
        <w:lastRenderedPageBreak/>
        <w:t xml:space="preserve">Consent </w:t>
      </w:r>
      <w:r>
        <w:rPr>
          <w:lang w:eastAsia="en-AU"/>
        </w:rPr>
        <w:t>p</w:t>
      </w:r>
      <w:r w:rsidRPr="002160CA">
        <w:rPr>
          <w:lang w:eastAsia="en-AU"/>
        </w:rPr>
        <w:t>rocess</w:t>
      </w:r>
    </w:p>
    <w:p w14:paraId="7FBCF4D2" w14:textId="77777777" w:rsidR="00D71E8E" w:rsidRPr="007D5634" w:rsidRDefault="00D71E8E" w:rsidP="00D71E8E">
      <w:pPr>
        <w:pStyle w:val="Body"/>
        <w:ind w:left="491"/>
        <w:rPr>
          <w:szCs w:val="20"/>
        </w:rPr>
      </w:pPr>
      <w:r w:rsidRPr="007D5634">
        <w:rPr>
          <w:szCs w:val="20"/>
        </w:rPr>
        <w:t xml:space="preserve">The discharge to </w:t>
      </w:r>
      <w:r>
        <w:rPr>
          <w:szCs w:val="20"/>
        </w:rPr>
        <w:t>the tributary was previously</w:t>
      </w:r>
      <w:r w:rsidRPr="007D5634">
        <w:rPr>
          <w:szCs w:val="20"/>
        </w:rPr>
        <w:t xml:space="preserve"> authorised under resource consent 886559. This consent expired on 31 December 1999. An application to replace the consent was lodged with, and accepted by, the then Auckland Regional Council six months prior to </w:t>
      </w:r>
      <w:r w:rsidR="005E7EEA">
        <w:rPr>
          <w:szCs w:val="20"/>
        </w:rPr>
        <w:t xml:space="preserve">the </w:t>
      </w:r>
      <w:r w:rsidRPr="007D5634">
        <w:rPr>
          <w:szCs w:val="20"/>
        </w:rPr>
        <w:t>expiry date to enable the consent to continue to be exercised</w:t>
      </w:r>
      <w:r w:rsidR="005E7EEA">
        <w:rPr>
          <w:szCs w:val="20"/>
        </w:rPr>
        <w:t xml:space="preserve"> </w:t>
      </w:r>
      <w:r w:rsidRPr="007D5634">
        <w:rPr>
          <w:szCs w:val="20"/>
        </w:rPr>
        <w:t xml:space="preserve">while the new resource consent was being sought. Nine years following the initial application an updated application was lodged (in September 2009) by </w:t>
      </w:r>
      <w:r>
        <w:rPr>
          <w:szCs w:val="20"/>
        </w:rPr>
        <w:t>RDC</w:t>
      </w:r>
      <w:r w:rsidRPr="007D5634">
        <w:rPr>
          <w:szCs w:val="20"/>
        </w:rPr>
        <w:t>. This application requested, amongst other things, a much shorter consent duration than previously.</w:t>
      </w:r>
    </w:p>
    <w:p w14:paraId="0F091082" w14:textId="77777777" w:rsidR="00D71E8E" w:rsidRPr="007D5634" w:rsidRDefault="00D71E8E" w:rsidP="00D71E8E">
      <w:pPr>
        <w:pStyle w:val="Body"/>
        <w:ind w:left="491"/>
        <w:rPr>
          <w:szCs w:val="20"/>
        </w:rPr>
      </w:pPr>
      <w:r w:rsidRPr="007D5634">
        <w:rPr>
          <w:szCs w:val="20"/>
        </w:rPr>
        <w:t xml:space="preserve">Upon becoming responsible for the Wellsford WWTP, </w:t>
      </w:r>
      <w:r>
        <w:rPr>
          <w:szCs w:val="20"/>
        </w:rPr>
        <w:t>Watercare</w:t>
      </w:r>
      <w:r w:rsidRPr="007D5634">
        <w:rPr>
          <w:szCs w:val="20"/>
        </w:rPr>
        <w:t xml:space="preserve"> spent several years attempting to progress the consent application. In 2014, Watercare undertook a strategic wastewater servicing framework and implementation programme to consider long term (i.e. 30 – 50 year) wastewater servicing requirements for the Auckland Region. This included a review of the servicing requirements for Wellsford and Te Hana. </w:t>
      </w:r>
      <w:r>
        <w:rPr>
          <w:szCs w:val="20"/>
        </w:rPr>
        <w:t xml:space="preserve">This service </w:t>
      </w:r>
      <w:r w:rsidRPr="007D5634">
        <w:rPr>
          <w:szCs w:val="20"/>
        </w:rPr>
        <w:t>review, along with changes to the policy framework</w:t>
      </w:r>
      <w:r>
        <w:rPr>
          <w:szCs w:val="20"/>
        </w:rPr>
        <w:t xml:space="preserve"> in Auckland, lead</w:t>
      </w:r>
      <w:r w:rsidRPr="007D5634">
        <w:rPr>
          <w:szCs w:val="20"/>
        </w:rPr>
        <w:t xml:space="preserve"> </w:t>
      </w:r>
      <w:r>
        <w:rPr>
          <w:szCs w:val="20"/>
        </w:rPr>
        <w:t xml:space="preserve">Watercare </w:t>
      </w:r>
      <w:r w:rsidRPr="007D5634">
        <w:rPr>
          <w:szCs w:val="20"/>
        </w:rPr>
        <w:t xml:space="preserve">to undertake a new assessment for a replacement application to update the </w:t>
      </w:r>
      <w:r>
        <w:rPr>
          <w:szCs w:val="20"/>
        </w:rPr>
        <w:t>one previously lodged</w:t>
      </w:r>
      <w:r w:rsidRPr="007D5634">
        <w:rPr>
          <w:szCs w:val="20"/>
        </w:rPr>
        <w:t>. This included a new alternatives assessment supported by further technical investigations</w:t>
      </w:r>
      <w:r>
        <w:rPr>
          <w:szCs w:val="20"/>
        </w:rPr>
        <w:t>. This was</w:t>
      </w:r>
      <w:r w:rsidRPr="007D5634">
        <w:rPr>
          <w:szCs w:val="20"/>
        </w:rPr>
        <w:t xml:space="preserve"> informed through consultation with iwi, neighbours, and the wider community all utilising the RMA prescribed B</w:t>
      </w:r>
      <w:r w:rsidR="005E7EEA">
        <w:rPr>
          <w:szCs w:val="20"/>
        </w:rPr>
        <w:t xml:space="preserve">est Practicable Option </w:t>
      </w:r>
      <w:r w:rsidRPr="007D5634">
        <w:rPr>
          <w:szCs w:val="20"/>
        </w:rPr>
        <w:t>approach.</w:t>
      </w:r>
      <w:r>
        <w:rPr>
          <w:szCs w:val="20"/>
        </w:rPr>
        <w:t xml:space="preserve"> A consent for a 35 year period was issued in November 2017</w:t>
      </w:r>
      <w:r w:rsidRPr="007D5634">
        <w:rPr>
          <w:szCs w:val="20"/>
        </w:rPr>
        <w:t>.</w:t>
      </w:r>
    </w:p>
    <w:p w14:paraId="69CAF436" w14:textId="77777777" w:rsidR="007D5634" w:rsidRPr="007D5634" w:rsidRDefault="00D71E8E" w:rsidP="00A352AD">
      <w:pPr>
        <w:pStyle w:val="Body"/>
        <w:ind w:left="491"/>
        <w:rPr>
          <w:szCs w:val="20"/>
        </w:rPr>
      </w:pPr>
      <w:r w:rsidRPr="007D5634">
        <w:rPr>
          <w:szCs w:val="20"/>
        </w:rPr>
        <w:t xml:space="preserve">The </w:t>
      </w:r>
      <w:r>
        <w:rPr>
          <w:szCs w:val="20"/>
        </w:rPr>
        <w:t xml:space="preserve">new </w:t>
      </w:r>
      <w:r w:rsidRPr="007D5634">
        <w:rPr>
          <w:szCs w:val="20"/>
        </w:rPr>
        <w:t xml:space="preserve">consent </w:t>
      </w:r>
      <w:r>
        <w:rPr>
          <w:szCs w:val="20"/>
        </w:rPr>
        <w:t>proposed</w:t>
      </w:r>
      <w:r w:rsidRPr="007D5634">
        <w:rPr>
          <w:szCs w:val="20"/>
        </w:rPr>
        <w:t xml:space="preserve"> a </w:t>
      </w:r>
      <w:r w:rsidR="00E06D5B">
        <w:rPr>
          <w:szCs w:val="20"/>
        </w:rPr>
        <w:t>two</w:t>
      </w:r>
      <w:r w:rsidRPr="007D5634">
        <w:rPr>
          <w:szCs w:val="20"/>
        </w:rPr>
        <w:t xml:space="preserve"> stage approach</w:t>
      </w:r>
      <w:r>
        <w:rPr>
          <w:szCs w:val="20"/>
        </w:rPr>
        <w:t xml:space="preserve"> to manage growth and minimise environmental effects</w:t>
      </w:r>
      <w:r w:rsidRPr="007D5634">
        <w:rPr>
          <w:szCs w:val="20"/>
        </w:rPr>
        <w:t xml:space="preserve">. Stage one of the </w:t>
      </w:r>
      <w:r>
        <w:rPr>
          <w:szCs w:val="20"/>
        </w:rPr>
        <w:t>contained</w:t>
      </w:r>
      <w:r w:rsidRPr="007D5634">
        <w:rPr>
          <w:szCs w:val="20"/>
        </w:rPr>
        <w:t xml:space="preserve"> consent conditions for an initial </w:t>
      </w:r>
      <w:r w:rsidR="00E06D5B">
        <w:rPr>
          <w:szCs w:val="20"/>
        </w:rPr>
        <w:t>five</w:t>
      </w:r>
      <w:r w:rsidRPr="007D5634">
        <w:rPr>
          <w:szCs w:val="20"/>
        </w:rPr>
        <w:t xml:space="preserve"> year period whilst </w:t>
      </w:r>
      <w:bookmarkStart w:id="314" w:name="bookmark0"/>
      <w:bookmarkEnd w:id="314"/>
      <w:r>
        <w:rPr>
          <w:szCs w:val="20"/>
        </w:rPr>
        <w:t>“</w:t>
      </w:r>
      <w:r w:rsidRPr="007D5634">
        <w:rPr>
          <w:szCs w:val="20"/>
        </w:rPr>
        <w:t>Advanced Wetland Treatment</w:t>
      </w:r>
      <w:r>
        <w:rPr>
          <w:szCs w:val="20"/>
        </w:rPr>
        <w:t>”</w:t>
      </w:r>
      <w:r w:rsidRPr="007D5634">
        <w:rPr>
          <w:szCs w:val="20"/>
        </w:rPr>
        <w:t xml:space="preserve"> technology is assessed at the site. This technology is new to New Zealand and as such, </w:t>
      </w:r>
      <w:r>
        <w:rPr>
          <w:szCs w:val="20"/>
        </w:rPr>
        <w:t>Watercare</w:t>
      </w:r>
      <w:r w:rsidRPr="007D5634">
        <w:rPr>
          <w:szCs w:val="20"/>
        </w:rPr>
        <w:t xml:space="preserve"> suggest that it is appropriate to undertake a pilot programme to ensure that it meets expectations at the site. The </w:t>
      </w:r>
      <w:r w:rsidR="00E06D5B">
        <w:rPr>
          <w:szCs w:val="20"/>
        </w:rPr>
        <w:t>five</w:t>
      </w:r>
      <w:r w:rsidRPr="007D5634">
        <w:rPr>
          <w:szCs w:val="20"/>
        </w:rPr>
        <w:t xml:space="preserve"> year period will enable the technology to be assessed under different conditions, as well as providing an opportunity to test different treatment media.The </w:t>
      </w:r>
      <w:r>
        <w:rPr>
          <w:szCs w:val="20"/>
        </w:rPr>
        <w:t>former</w:t>
      </w:r>
      <w:r w:rsidRPr="007D5634">
        <w:rPr>
          <w:szCs w:val="20"/>
        </w:rPr>
        <w:t xml:space="preserve"> and final consent conditions for the plant are outlined below in </w:t>
      </w:r>
      <w:r>
        <w:rPr>
          <w:szCs w:val="20"/>
        </w:rPr>
        <w:fldChar w:fldCharType="begin"/>
      </w:r>
      <w:r>
        <w:rPr>
          <w:szCs w:val="20"/>
        </w:rPr>
        <w:instrText xml:space="preserve"> REF _Ref517709061 \h </w:instrText>
      </w:r>
      <w:r>
        <w:rPr>
          <w:szCs w:val="20"/>
        </w:rPr>
      </w:r>
      <w:r>
        <w:rPr>
          <w:szCs w:val="20"/>
        </w:rPr>
        <w:fldChar w:fldCharType="separate"/>
      </w:r>
      <w:r w:rsidR="002777A8">
        <w:t xml:space="preserve">Table </w:t>
      </w:r>
      <w:r w:rsidR="002777A8">
        <w:rPr>
          <w:noProof/>
        </w:rPr>
        <w:t>11</w:t>
      </w:r>
      <w:r>
        <w:rPr>
          <w:szCs w:val="20"/>
        </w:rPr>
        <w:fldChar w:fldCharType="end"/>
      </w:r>
      <w:r>
        <w:rPr>
          <w:szCs w:val="20"/>
        </w:rPr>
        <w:t>.</w:t>
      </w:r>
    </w:p>
    <w:p w14:paraId="2A07A32B" w14:textId="77777777" w:rsidR="00E404A7" w:rsidRPr="00B17779" w:rsidRDefault="00E404A7" w:rsidP="00E404A7">
      <w:pPr>
        <w:kinsoku w:val="0"/>
        <w:overflowPunct w:val="0"/>
        <w:autoSpaceDE w:val="0"/>
        <w:autoSpaceDN w:val="0"/>
        <w:adjustRightInd w:val="0"/>
        <w:spacing w:after="0" w:line="20" w:lineRule="exact"/>
        <w:ind w:left="123"/>
        <w:rPr>
          <w:rFonts w:ascii="Times New Roman" w:hAnsi="Times New Roman"/>
          <w:sz w:val="2"/>
          <w:szCs w:val="2"/>
        </w:rPr>
      </w:pPr>
    </w:p>
    <w:p w14:paraId="020B8383" w14:textId="77777777" w:rsidR="00E404A7" w:rsidRPr="000F5390" w:rsidRDefault="00E404A7" w:rsidP="00E404A7">
      <w:pPr>
        <w:kinsoku w:val="0"/>
        <w:overflowPunct w:val="0"/>
        <w:autoSpaceDE w:val="0"/>
        <w:autoSpaceDN w:val="0"/>
        <w:adjustRightInd w:val="0"/>
        <w:spacing w:before="6" w:after="0"/>
        <w:rPr>
          <w:rFonts w:ascii="Times New Roman" w:hAnsi="Times New Roman"/>
          <w:sz w:val="7"/>
          <w:szCs w:val="7"/>
        </w:rPr>
      </w:pPr>
    </w:p>
    <w:p w14:paraId="0EC0F8BB" w14:textId="77777777" w:rsidR="00E404A7" w:rsidRDefault="007D5634" w:rsidP="007D5634">
      <w:pPr>
        <w:pStyle w:val="Caption"/>
      </w:pPr>
      <w:bookmarkStart w:id="315" w:name="_Ref517709061"/>
      <w:bookmarkStart w:id="316" w:name="_Toc517788321"/>
      <w:bookmarkStart w:id="317" w:name="_Toc517793890"/>
      <w:bookmarkStart w:id="318" w:name="_Toc518042089"/>
      <w:bookmarkStart w:id="319" w:name="_Toc518653127"/>
      <w:bookmarkStart w:id="320" w:name="_Toc521064794"/>
      <w:r>
        <w:t xml:space="preserve">Table </w:t>
      </w:r>
      <w:r w:rsidR="007B3D80">
        <w:rPr>
          <w:noProof/>
        </w:rPr>
        <w:fldChar w:fldCharType="begin"/>
      </w:r>
      <w:r w:rsidR="007B3D80">
        <w:rPr>
          <w:noProof/>
        </w:rPr>
        <w:instrText xml:space="preserve"> SEQ Table \* ARABIC </w:instrText>
      </w:r>
      <w:r w:rsidR="007B3D80">
        <w:rPr>
          <w:noProof/>
        </w:rPr>
        <w:fldChar w:fldCharType="separate"/>
      </w:r>
      <w:r w:rsidR="002777A8">
        <w:rPr>
          <w:noProof/>
        </w:rPr>
        <w:t>11</w:t>
      </w:r>
      <w:r w:rsidR="007B3D80">
        <w:rPr>
          <w:noProof/>
        </w:rPr>
        <w:fldChar w:fldCharType="end"/>
      </w:r>
      <w:bookmarkEnd w:id="315"/>
      <w:r>
        <w:t xml:space="preserve"> </w:t>
      </w:r>
      <w:r w:rsidR="00E06D5B">
        <w:t xml:space="preserve"> </w:t>
      </w:r>
      <w:r>
        <w:t xml:space="preserve">Case </w:t>
      </w:r>
      <w:r w:rsidR="00D54348">
        <w:t xml:space="preserve">study </w:t>
      </w:r>
      <w:r>
        <w:t xml:space="preserve">3 </w:t>
      </w:r>
      <w:r w:rsidR="00247427">
        <w:t>–</w:t>
      </w:r>
      <w:r>
        <w:t xml:space="preserve"> </w:t>
      </w:r>
      <w:r w:rsidR="00247427">
        <w:t xml:space="preserve">Wellsford WWTP </w:t>
      </w:r>
      <w:r w:rsidR="002A4025">
        <w:t>current</w:t>
      </w:r>
      <w:r w:rsidR="00E404A7">
        <w:t xml:space="preserve"> and proposed consent conditions</w:t>
      </w:r>
      <w:bookmarkEnd w:id="316"/>
      <w:bookmarkEnd w:id="317"/>
      <w:bookmarkEnd w:id="318"/>
      <w:bookmarkEnd w:id="319"/>
      <w:bookmarkEnd w:id="320"/>
    </w:p>
    <w:tbl>
      <w:tblPr>
        <w:tblStyle w:val="Table-Style3"/>
        <w:tblW w:w="8480" w:type="dxa"/>
        <w:tblInd w:w="547" w:type="dxa"/>
        <w:tblLook w:val="04A0" w:firstRow="1" w:lastRow="0" w:firstColumn="1" w:lastColumn="0" w:noHBand="0" w:noVBand="1"/>
      </w:tblPr>
      <w:tblGrid>
        <w:gridCol w:w="1696"/>
        <w:gridCol w:w="1696"/>
        <w:gridCol w:w="1696"/>
        <w:gridCol w:w="1696"/>
        <w:gridCol w:w="1696"/>
      </w:tblGrid>
      <w:tr w:rsidR="00D71E8E" w14:paraId="37E7562E" w14:textId="77777777" w:rsidTr="00E06D5B">
        <w:trPr>
          <w:cnfStyle w:val="100000000000" w:firstRow="1" w:lastRow="0" w:firstColumn="0" w:lastColumn="0" w:oddVBand="0" w:evenVBand="0" w:oddHBand="0" w:evenHBand="0" w:firstRowFirstColumn="0" w:firstRowLastColumn="0" w:lastRowFirstColumn="0" w:lastRowLastColumn="0"/>
        </w:trPr>
        <w:tc>
          <w:tcPr>
            <w:tcW w:w="1696" w:type="dxa"/>
            <w:vAlign w:val="center"/>
          </w:tcPr>
          <w:p w14:paraId="1C12E3FF" w14:textId="77777777" w:rsidR="00D71E8E" w:rsidRPr="00E06D5B" w:rsidRDefault="00D71E8E" w:rsidP="00E06D5B">
            <w:pPr>
              <w:pStyle w:val="Body"/>
              <w:ind w:left="0"/>
            </w:pPr>
            <w:r w:rsidRPr="00E06D5B">
              <w:rPr>
                <w:rFonts w:cs="Arial"/>
                <w:bCs/>
              </w:rPr>
              <w:t>Parameter</w:t>
            </w:r>
          </w:p>
        </w:tc>
        <w:tc>
          <w:tcPr>
            <w:tcW w:w="1696" w:type="dxa"/>
          </w:tcPr>
          <w:p w14:paraId="1BC171C0" w14:textId="77777777" w:rsidR="00D71E8E" w:rsidRPr="00E06D5B" w:rsidRDefault="00D71E8E" w:rsidP="00A352AD">
            <w:pPr>
              <w:pStyle w:val="Body"/>
              <w:ind w:left="0"/>
              <w:jc w:val="center"/>
            </w:pPr>
            <w:r w:rsidRPr="00E06D5B">
              <w:rPr>
                <w:rFonts w:cs="Arial"/>
                <w:bCs/>
              </w:rPr>
              <w:t>Unit</w:t>
            </w:r>
          </w:p>
        </w:tc>
        <w:tc>
          <w:tcPr>
            <w:tcW w:w="1696" w:type="dxa"/>
          </w:tcPr>
          <w:p w14:paraId="67358A7F" w14:textId="77777777" w:rsidR="00D71E8E" w:rsidRPr="00E06D5B" w:rsidRDefault="00D71E8E" w:rsidP="00D71E8E">
            <w:pPr>
              <w:pStyle w:val="Body"/>
              <w:ind w:left="0"/>
              <w:jc w:val="center"/>
            </w:pPr>
            <w:r w:rsidRPr="00E06D5B">
              <w:rPr>
                <w:rFonts w:cs="Arial"/>
                <w:bCs/>
              </w:rPr>
              <w:t>Former</w:t>
            </w:r>
          </w:p>
        </w:tc>
        <w:tc>
          <w:tcPr>
            <w:tcW w:w="3392" w:type="dxa"/>
            <w:gridSpan w:val="2"/>
          </w:tcPr>
          <w:p w14:paraId="0C0F0960" w14:textId="77777777" w:rsidR="00D71E8E" w:rsidRPr="00E06D5B" w:rsidRDefault="00D71E8E" w:rsidP="00D71E8E">
            <w:pPr>
              <w:pStyle w:val="Body"/>
              <w:ind w:left="0"/>
              <w:jc w:val="center"/>
            </w:pPr>
            <w:r w:rsidRPr="00E06D5B">
              <w:t>New</w:t>
            </w:r>
          </w:p>
        </w:tc>
      </w:tr>
      <w:tr w:rsidR="00247427" w14:paraId="1CCE4961" w14:textId="77777777" w:rsidTr="00D71E8E">
        <w:tc>
          <w:tcPr>
            <w:tcW w:w="1696" w:type="dxa"/>
          </w:tcPr>
          <w:p w14:paraId="40E2064A" w14:textId="77777777" w:rsidR="00247427" w:rsidRDefault="00247427" w:rsidP="00247427">
            <w:pPr>
              <w:pStyle w:val="Body"/>
              <w:ind w:left="0"/>
            </w:pPr>
          </w:p>
        </w:tc>
        <w:tc>
          <w:tcPr>
            <w:tcW w:w="1696" w:type="dxa"/>
          </w:tcPr>
          <w:p w14:paraId="3A182E15" w14:textId="77777777" w:rsidR="00247427" w:rsidRDefault="00247427" w:rsidP="00A352AD">
            <w:pPr>
              <w:pStyle w:val="Body"/>
              <w:ind w:left="0"/>
              <w:jc w:val="center"/>
            </w:pPr>
          </w:p>
        </w:tc>
        <w:tc>
          <w:tcPr>
            <w:tcW w:w="1696" w:type="dxa"/>
          </w:tcPr>
          <w:p w14:paraId="4CACB65E" w14:textId="77777777" w:rsidR="00247427" w:rsidRDefault="00247427" w:rsidP="00247427">
            <w:pPr>
              <w:pStyle w:val="Body"/>
              <w:ind w:left="0"/>
              <w:jc w:val="center"/>
            </w:pPr>
          </w:p>
        </w:tc>
        <w:tc>
          <w:tcPr>
            <w:tcW w:w="1696" w:type="dxa"/>
          </w:tcPr>
          <w:p w14:paraId="18DD0CB7" w14:textId="77777777" w:rsidR="00247427" w:rsidRPr="00247427" w:rsidRDefault="00247427" w:rsidP="00247427">
            <w:pPr>
              <w:pStyle w:val="Body"/>
              <w:ind w:left="0"/>
              <w:jc w:val="center"/>
              <w:rPr>
                <w:i/>
              </w:rPr>
            </w:pPr>
            <w:r w:rsidRPr="00247427">
              <w:rPr>
                <w:i/>
              </w:rPr>
              <w:t>Median</w:t>
            </w:r>
          </w:p>
        </w:tc>
        <w:tc>
          <w:tcPr>
            <w:tcW w:w="1696" w:type="dxa"/>
          </w:tcPr>
          <w:p w14:paraId="733D96C7" w14:textId="77777777" w:rsidR="00247427" w:rsidRPr="00247427" w:rsidRDefault="00247427" w:rsidP="00247427">
            <w:pPr>
              <w:pStyle w:val="Body"/>
              <w:ind w:left="0"/>
              <w:jc w:val="center"/>
              <w:rPr>
                <w:i/>
              </w:rPr>
            </w:pPr>
            <w:r w:rsidRPr="00247427">
              <w:rPr>
                <w:i/>
              </w:rPr>
              <w:t>95</w:t>
            </w:r>
            <w:r w:rsidRPr="00247427">
              <w:rPr>
                <w:i/>
                <w:vertAlign w:val="superscript"/>
              </w:rPr>
              <w:t>th</w:t>
            </w:r>
            <w:r w:rsidRPr="00247427">
              <w:rPr>
                <w:i/>
              </w:rPr>
              <w:t xml:space="preserve"> percentile</w:t>
            </w:r>
          </w:p>
        </w:tc>
      </w:tr>
      <w:tr w:rsidR="00247427" w14:paraId="76A7C5F9" w14:textId="77777777" w:rsidTr="00D71E8E">
        <w:tc>
          <w:tcPr>
            <w:tcW w:w="1696" w:type="dxa"/>
          </w:tcPr>
          <w:p w14:paraId="30E1D619" w14:textId="77777777" w:rsidR="00247427" w:rsidRDefault="00247427" w:rsidP="00247427">
            <w:pPr>
              <w:pStyle w:val="Body"/>
              <w:ind w:left="0"/>
            </w:pPr>
            <w:r w:rsidRPr="00B17779">
              <w:rPr>
                <w:rFonts w:cs="Arial"/>
              </w:rPr>
              <w:t>BOD</w:t>
            </w:r>
          </w:p>
        </w:tc>
        <w:tc>
          <w:tcPr>
            <w:tcW w:w="1696" w:type="dxa"/>
          </w:tcPr>
          <w:p w14:paraId="62DF37F9" w14:textId="77777777" w:rsidR="00247427" w:rsidRDefault="00247427" w:rsidP="00A352AD">
            <w:pPr>
              <w:pStyle w:val="Body"/>
              <w:ind w:left="0"/>
              <w:jc w:val="center"/>
            </w:pPr>
            <w:r w:rsidRPr="00B17779">
              <w:rPr>
                <w:rFonts w:cs="Arial"/>
              </w:rPr>
              <w:t>g/m</w:t>
            </w:r>
            <w:r w:rsidRPr="00B17779">
              <w:rPr>
                <w:rFonts w:cs="Arial"/>
                <w:position w:val="8"/>
                <w:sz w:val="14"/>
                <w:szCs w:val="14"/>
              </w:rPr>
              <w:t>3</w:t>
            </w:r>
          </w:p>
        </w:tc>
        <w:tc>
          <w:tcPr>
            <w:tcW w:w="1696" w:type="dxa"/>
          </w:tcPr>
          <w:p w14:paraId="287342D2" w14:textId="77777777" w:rsidR="00247427" w:rsidRDefault="00247427" w:rsidP="00247427">
            <w:pPr>
              <w:pStyle w:val="Body"/>
              <w:ind w:left="0"/>
              <w:jc w:val="center"/>
            </w:pPr>
            <w:r w:rsidRPr="00B17779">
              <w:rPr>
                <w:rFonts w:cs="Arial"/>
              </w:rPr>
              <w:t>&lt;20</w:t>
            </w:r>
          </w:p>
        </w:tc>
        <w:tc>
          <w:tcPr>
            <w:tcW w:w="1696" w:type="dxa"/>
          </w:tcPr>
          <w:p w14:paraId="68D73353" w14:textId="77777777" w:rsidR="00247427" w:rsidRDefault="00247427" w:rsidP="00247427">
            <w:pPr>
              <w:pStyle w:val="Body"/>
              <w:ind w:left="0"/>
              <w:jc w:val="center"/>
            </w:pPr>
            <w:r>
              <w:t>5</w:t>
            </w:r>
          </w:p>
        </w:tc>
        <w:tc>
          <w:tcPr>
            <w:tcW w:w="1696" w:type="dxa"/>
          </w:tcPr>
          <w:p w14:paraId="22D8EA78" w14:textId="77777777" w:rsidR="00247427" w:rsidRDefault="00247427" w:rsidP="00247427">
            <w:pPr>
              <w:pStyle w:val="Body"/>
              <w:ind w:left="0"/>
              <w:jc w:val="center"/>
            </w:pPr>
            <w:r>
              <w:t>-</w:t>
            </w:r>
          </w:p>
        </w:tc>
      </w:tr>
      <w:tr w:rsidR="00247427" w14:paraId="02AA3578" w14:textId="77777777" w:rsidTr="00D71E8E">
        <w:tc>
          <w:tcPr>
            <w:tcW w:w="1696" w:type="dxa"/>
          </w:tcPr>
          <w:p w14:paraId="1D62CD22" w14:textId="77777777" w:rsidR="00247427" w:rsidRDefault="00247427" w:rsidP="00247427">
            <w:pPr>
              <w:pStyle w:val="Body"/>
              <w:ind w:left="0"/>
            </w:pPr>
            <w:r w:rsidRPr="00B17779">
              <w:rPr>
                <w:rFonts w:cs="Arial"/>
              </w:rPr>
              <w:t>TSS</w:t>
            </w:r>
          </w:p>
        </w:tc>
        <w:tc>
          <w:tcPr>
            <w:tcW w:w="1696" w:type="dxa"/>
          </w:tcPr>
          <w:p w14:paraId="72644593" w14:textId="77777777" w:rsidR="00247427" w:rsidRDefault="00247427" w:rsidP="00A352AD">
            <w:pPr>
              <w:pStyle w:val="Body"/>
              <w:ind w:left="0"/>
              <w:jc w:val="center"/>
            </w:pPr>
            <w:r w:rsidRPr="00B17779">
              <w:rPr>
                <w:rFonts w:cs="Arial"/>
              </w:rPr>
              <w:t>g/m</w:t>
            </w:r>
            <w:r w:rsidRPr="00B17779">
              <w:rPr>
                <w:rFonts w:cs="Arial"/>
                <w:position w:val="8"/>
                <w:sz w:val="14"/>
                <w:szCs w:val="14"/>
              </w:rPr>
              <w:t>3</w:t>
            </w:r>
          </w:p>
        </w:tc>
        <w:tc>
          <w:tcPr>
            <w:tcW w:w="1696" w:type="dxa"/>
          </w:tcPr>
          <w:p w14:paraId="0BCE0966" w14:textId="77777777" w:rsidR="00247427" w:rsidRDefault="00247427" w:rsidP="00247427">
            <w:pPr>
              <w:pStyle w:val="Body"/>
              <w:ind w:left="0"/>
              <w:jc w:val="center"/>
            </w:pPr>
            <w:r w:rsidRPr="00B17779">
              <w:rPr>
                <w:rFonts w:cs="Arial"/>
              </w:rPr>
              <w:t>&lt;30</w:t>
            </w:r>
          </w:p>
        </w:tc>
        <w:tc>
          <w:tcPr>
            <w:tcW w:w="1696" w:type="dxa"/>
          </w:tcPr>
          <w:p w14:paraId="7A4B3E3B" w14:textId="77777777" w:rsidR="00247427" w:rsidRDefault="00247427" w:rsidP="00247427">
            <w:pPr>
              <w:pStyle w:val="Body"/>
              <w:ind w:left="0"/>
              <w:jc w:val="center"/>
            </w:pPr>
            <w:r>
              <w:t>15</w:t>
            </w:r>
          </w:p>
        </w:tc>
        <w:tc>
          <w:tcPr>
            <w:tcW w:w="1696" w:type="dxa"/>
          </w:tcPr>
          <w:p w14:paraId="339F55C5" w14:textId="77777777" w:rsidR="00247427" w:rsidRDefault="00247427" w:rsidP="00247427">
            <w:pPr>
              <w:pStyle w:val="Body"/>
              <w:ind w:left="0"/>
              <w:jc w:val="center"/>
            </w:pPr>
            <w:r>
              <w:t>20</w:t>
            </w:r>
          </w:p>
        </w:tc>
      </w:tr>
      <w:tr w:rsidR="00247427" w14:paraId="5B7E6A19" w14:textId="77777777" w:rsidTr="00D71E8E">
        <w:tc>
          <w:tcPr>
            <w:tcW w:w="1696" w:type="dxa"/>
          </w:tcPr>
          <w:p w14:paraId="56D1FA55" w14:textId="77777777" w:rsidR="00247427" w:rsidRDefault="00247427" w:rsidP="00247427">
            <w:pPr>
              <w:pStyle w:val="Body"/>
              <w:ind w:left="0"/>
            </w:pPr>
            <w:r w:rsidRPr="00B17779">
              <w:rPr>
                <w:rFonts w:cs="Arial"/>
              </w:rPr>
              <w:t>Nitrate – N</w:t>
            </w:r>
          </w:p>
        </w:tc>
        <w:tc>
          <w:tcPr>
            <w:tcW w:w="1696" w:type="dxa"/>
          </w:tcPr>
          <w:p w14:paraId="507D827F" w14:textId="77777777" w:rsidR="00247427" w:rsidRDefault="00247427" w:rsidP="00A352AD">
            <w:pPr>
              <w:pStyle w:val="Body"/>
              <w:ind w:left="0"/>
              <w:jc w:val="center"/>
            </w:pPr>
            <w:r w:rsidRPr="00B17779">
              <w:rPr>
                <w:rFonts w:cs="Arial"/>
              </w:rPr>
              <w:t>g/m</w:t>
            </w:r>
            <w:r w:rsidRPr="00B17779">
              <w:rPr>
                <w:rFonts w:cs="Arial"/>
                <w:position w:val="8"/>
                <w:sz w:val="14"/>
                <w:szCs w:val="14"/>
              </w:rPr>
              <w:t>3</w:t>
            </w:r>
          </w:p>
        </w:tc>
        <w:tc>
          <w:tcPr>
            <w:tcW w:w="1696" w:type="dxa"/>
          </w:tcPr>
          <w:p w14:paraId="7A041707" w14:textId="77777777" w:rsidR="00247427" w:rsidRDefault="00247427" w:rsidP="00247427">
            <w:pPr>
              <w:pStyle w:val="Body"/>
              <w:ind w:left="0"/>
              <w:jc w:val="center"/>
            </w:pPr>
            <w:r w:rsidRPr="00B17779">
              <w:rPr>
                <w:rFonts w:cs="Arial"/>
              </w:rPr>
              <w:t>-</w:t>
            </w:r>
          </w:p>
        </w:tc>
        <w:tc>
          <w:tcPr>
            <w:tcW w:w="1696" w:type="dxa"/>
          </w:tcPr>
          <w:p w14:paraId="09F46008" w14:textId="77777777" w:rsidR="00247427" w:rsidRDefault="00247427" w:rsidP="00247427">
            <w:pPr>
              <w:pStyle w:val="Body"/>
              <w:ind w:left="0"/>
              <w:jc w:val="center"/>
            </w:pPr>
          </w:p>
        </w:tc>
        <w:tc>
          <w:tcPr>
            <w:tcW w:w="1696" w:type="dxa"/>
          </w:tcPr>
          <w:p w14:paraId="7F14C960" w14:textId="77777777" w:rsidR="00247427" w:rsidRDefault="00247427" w:rsidP="00247427">
            <w:pPr>
              <w:pStyle w:val="Body"/>
              <w:ind w:left="0"/>
              <w:jc w:val="center"/>
            </w:pPr>
            <w:r>
              <w:t>7</w:t>
            </w:r>
          </w:p>
        </w:tc>
      </w:tr>
      <w:tr w:rsidR="00247427" w14:paraId="4D4FB65E" w14:textId="77777777" w:rsidTr="00D71E8E">
        <w:tc>
          <w:tcPr>
            <w:tcW w:w="1696" w:type="dxa"/>
          </w:tcPr>
          <w:p w14:paraId="1BB93573" w14:textId="77777777" w:rsidR="00247427" w:rsidRDefault="00247427" w:rsidP="00247427">
            <w:pPr>
              <w:pStyle w:val="Body"/>
              <w:ind w:left="0"/>
            </w:pPr>
            <w:r w:rsidRPr="00B17779">
              <w:rPr>
                <w:rFonts w:cs="Arial"/>
              </w:rPr>
              <w:t>Ammonia – N</w:t>
            </w:r>
          </w:p>
        </w:tc>
        <w:tc>
          <w:tcPr>
            <w:tcW w:w="1696" w:type="dxa"/>
          </w:tcPr>
          <w:p w14:paraId="2B4433A0" w14:textId="77777777" w:rsidR="00247427" w:rsidRDefault="00247427" w:rsidP="00A352AD">
            <w:pPr>
              <w:pStyle w:val="Body"/>
              <w:ind w:left="0"/>
              <w:jc w:val="center"/>
            </w:pPr>
            <w:r w:rsidRPr="00B17779">
              <w:rPr>
                <w:rFonts w:cs="Arial"/>
              </w:rPr>
              <w:t>g/m</w:t>
            </w:r>
            <w:r w:rsidRPr="00B17779">
              <w:rPr>
                <w:rFonts w:cs="Arial"/>
                <w:position w:val="8"/>
                <w:sz w:val="14"/>
                <w:szCs w:val="14"/>
              </w:rPr>
              <w:t>3</w:t>
            </w:r>
          </w:p>
        </w:tc>
        <w:tc>
          <w:tcPr>
            <w:tcW w:w="1696" w:type="dxa"/>
          </w:tcPr>
          <w:p w14:paraId="727D5976" w14:textId="77777777" w:rsidR="00247427" w:rsidRDefault="00247427" w:rsidP="00247427">
            <w:pPr>
              <w:pStyle w:val="Body"/>
              <w:ind w:left="0"/>
              <w:jc w:val="center"/>
            </w:pPr>
            <w:r w:rsidRPr="00B17779">
              <w:rPr>
                <w:rFonts w:cs="Arial"/>
              </w:rPr>
              <w:t>-</w:t>
            </w:r>
          </w:p>
        </w:tc>
        <w:tc>
          <w:tcPr>
            <w:tcW w:w="1696" w:type="dxa"/>
          </w:tcPr>
          <w:p w14:paraId="4DDE09FD" w14:textId="77777777" w:rsidR="00247427" w:rsidRDefault="00247427" w:rsidP="00247427">
            <w:pPr>
              <w:pStyle w:val="Body"/>
              <w:ind w:left="0"/>
              <w:jc w:val="center"/>
            </w:pPr>
            <w:r>
              <w:t>-</w:t>
            </w:r>
          </w:p>
        </w:tc>
        <w:tc>
          <w:tcPr>
            <w:tcW w:w="1696" w:type="dxa"/>
          </w:tcPr>
          <w:p w14:paraId="5A320DFE" w14:textId="77777777" w:rsidR="00247427" w:rsidRDefault="00247427" w:rsidP="00247427">
            <w:pPr>
              <w:pStyle w:val="Body"/>
              <w:ind w:left="0"/>
              <w:jc w:val="center"/>
            </w:pPr>
            <w:r>
              <w:t>4</w:t>
            </w:r>
          </w:p>
        </w:tc>
      </w:tr>
      <w:tr w:rsidR="00247427" w14:paraId="57076DC6" w14:textId="77777777" w:rsidTr="00D71E8E">
        <w:tc>
          <w:tcPr>
            <w:tcW w:w="1696" w:type="dxa"/>
          </w:tcPr>
          <w:p w14:paraId="06141FF9" w14:textId="77777777" w:rsidR="00247427" w:rsidRDefault="00247427" w:rsidP="00247427">
            <w:pPr>
              <w:pStyle w:val="Body"/>
              <w:ind w:left="0"/>
            </w:pPr>
            <w:r w:rsidRPr="00B17779">
              <w:rPr>
                <w:rFonts w:cs="Arial"/>
              </w:rPr>
              <w:t>TIN</w:t>
            </w:r>
          </w:p>
        </w:tc>
        <w:tc>
          <w:tcPr>
            <w:tcW w:w="1696" w:type="dxa"/>
          </w:tcPr>
          <w:p w14:paraId="4D1B558B" w14:textId="77777777" w:rsidR="00247427" w:rsidRDefault="00247427" w:rsidP="00A352AD">
            <w:pPr>
              <w:pStyle w:val="Body"/>
              <w:ind w:left="0"/>
              <w:jc w:val="center"/>
            </w:pPr>
            <w:r w:rsidRPr="00B17779">
              <w:rPr>
                <w:rFonts w:cs="Arial"/>
              </w:rPr>
              <w:t>g/m</w:t>
            </w:r>
            <w:r w:rsidRPr="00B17779">
              <w:rPr>
                <w:rFonts w:cs="Arial"/>
                <w:position w:val="8"/>
                <w:sz w:val="14"/>
                <w:szCs w:val="14"/>
              </w:rPr>
              <w:t>3</w:t>
            </w:r>
          </w:p>
        </w:tc>
        <w:tc>
          <w:tcPr>
            <w:tcW w:w="1696" w:type="dxa"/>
          </w:tcPr>
          <w:p w14:paraId="2CAD9747" w14:textId="77777777" w:rsidR="00247427" w:rsidRDefault="00247427" w:rsidP="00247427">
            <w:pPr>
              <w:pStyle w:val="Body"/>
              <w:ind w:left="0"/>
              <w:jc w:val="center"/>
            </w:pPr>
            <w:r w:rsidRPr="00B17779">
              <w:rPr>
                <w:rFonts w:cs="Arial"/>
              </w:rPr>
              <w:t>&lt;10</w:t>
            </w:r>
          </w:p>
        </w:tc>
        <w:tc>
          <w:tcPr>
            <w:tcW w:w="1696" w:type="dxa"/>
          </w:tcPr>
          <w:p w14:paraId="1A915A35" w14:textId="77777777" w:rsidR="00247427" w:rsidRDefault="00247427" w:rsidP="00247427">
            <w:pPr>
              <w:pStyle w:val="Body"/>
              <w:ind w:left="0"/>
              <w:jc w:val="center"/>
            </w:pPr>
            <w:r>
              <w:t>5</w:t>
            </w:r>
          </w:p>
        </w:tc>
        <w:tc>
          <w:tcPr>
            <w:tcW w:w="1696" w:type="dxa"/>
          </w:tcPr>
          <w:p w14:paraId="553E6DCE" w14:textId="77777777" w:rsidR="00247427" w:rsidRDefault="00247427" w:rsidP="00247427">
            <w:pPr>
              <w:pStyle w:val="Body"/>
              <w:ind w:left="0"/>
              <w:jc w:val="center"/>
            </w:pPr>
            <w:r>
              <w:t>-</w:t>
            </w:r>
          </w:p>
        </w:tc>
      </w:tr>
      <w:tr w:rsidR="00247427" w14:paraId="227375F4" w14:textId="77777777" w:rsidTr="00D71E8E">
        <w:tc>
          <w:tcPr>
            <w:tcW w:w="1696" w:type="dxa"/>
          </w:tcPr>
          <w:p w14:paraId="530B1B05" w14:textId="77777777" w:rsidR="00247427" w:rsidRPr="00B17779" w:rsidRDefault="00247427" w:rsidP="00247427">
            <w:pPr>
              <w:pStyle w:val="Body"/>
              <w:ind w:left="0"/>
              <w:rPr>
                <w:rFonts w:cs="Arial"/>
              </w:rPr>
            </w:pPr>
            <w:r w:rsidRPr="00B17779">
              <w:rPr>
                <w:rFonts w:cs="Arial"/>
              </w:rPr>
              <w:t>Total P</w:t>
            </w:r>
          </w:p>
        </w:tc>
        <w:tc>
          <w:tcPr>
            <w:tcW w:w="1696" w:type="dxa"/>
          </w:tcPr>
          <w:p w14:paraId="6C1883B4" w14:textId="77777777" w:rsidR="00247427" w:rsidRDefault="00247427" w:rsidP="00A352AD">
            <w:pPr>
              <w:pStyle w:val="Body"/>
              <w:ind w:left="0"/>
              <w:jc w:val="center"/>
            </w:pPr>
            <w:r w:rsidRPr="00B17779">
              <w:rPr>
                <w:rFonts w:cs="Arial"/>
              </w:rPr>
              <w:t>g/m</w:t>
            </w:r>
            <w:r w:rsidRPr="00B17779">
              <w:rPr>
                <w:rFonts w:cs="Arial"/>
                <w:position w:val="8"/>
                <w:sz w:val="14"/>
                <w:szCs w:val="14"/>
              </w:rPr>
              <w:t>3</w:t>
            </w:r>
          </w:p>
        </w:tc>
        <w:tc>
          <w:tcPr>
            <w:tcW w:w="1696" w:type="dxa"/>
          </w:tcPr>
          <w:p w14:paraId="03817805" w14:textId="77777777" w:rsidR="00247427" w:rsidRDefault="00247427" w:rsidP="00247427">
            <w:pPr>
              <w:pStyle w:val="Body"/>
              <w:ind w:left="0"/>
              <w:jc w:val="center"/>
            </w:pPr>
            <w:r w:rsidRPr="00B17779">
              <w:rPr>
                <w:rFonts w:cs="Arial"/>
              </w:rPr>
              <w:t>-</w:t>
            </w:r>
          </w:p>
        </w:tc>
        <w:tc>
          <w:tcPr>
            <w:tcW w:w="1696" w:type="dxa"/>
          </w:tcPr>
          <w:p w14:paraId="18E61363" w14:textId="77777777" w:rsidR="00247427" w:rsidRDefault="00247427" w:rsidP="00247427">
            <w:pPr>
              <w:pStyle w:val="Body"/>
              <w:ind w:left="0"/>
              <w:jc w:val="center"/>
            </w:pPr>
            <w:r>
              <w:t>1.5</w:t>
            </w:r>
          </w:p>
        </w:tc>
        <w:tc>
          <w:tcPr>
            <w:tcW w:w="1696" w:type="dxa"/>
          </w:tcPr>
          <w:p w14:paraId="4D827FF3" w14:textId="77777777" w:rsidR="00247427" w:rsidRDefault="00247427" w:rsidP="00247427">
            <w:pPr>
              <w:pStyle w:val="Body"/>
              <w:ind w:left="0"/>
              <w:jc w:val="center"/>
            </w:pPr>
          </w:p>
        </w:tc>
      </w:tr>
      <w:tr w:rsidR="00247427" w14:paraId="35683341" w14:textId="77777777" w:rsidTr="00D71E8E">
        <w:tc>
          <w:tcPr>
            <w:tcW w:w="1696" w:type="dxa"/>
          </w:tcPr>
          <w:p w14:paraId="4280E1F7" w14:textId="77777777" w:rsidR="00247427" w:rsidRPr="00B17779" w:rsidRDefault="00247427" w:rsidP="00247427">
            <w:pPr>
              <w:pStyle w:val="Body"/>
              <w:ind w:left="0"/>
              <w:rPr>
                <w:rFonts w:cs="Arial"/>
              </w:rPr>
            </w:pPr>
            <w:r w:rsidRPr="00B17779">
              <w:rPr>
                <w:rFonts w:cs="Arial"/>
              </w:rPr>
              <w:t>Dissolved Oxygen</w:t>
            </w:r>
          </w:p>
        </w:tc>
        <w:tc>
          <w:tcPr>
            <w:tcW w:w="1696" w:type="dxa"/>
          </w:tcPr>
          <w:p w14:paraId="65698FC7" w14:textId="77777777" w:rsidR="00247427" w:rsidRDefault="00247427" w:rsidP="00A352AD">
            <w:pPr>
              <w:pStyle w:val="Body"/>
              <w:ind w:left="0"/>
              <w:jc w:val="center"/>
            </w:pPr>
            <w:r w:rsidRPr="00B17779">
              <w:rPr>
                <w:rFonts w:cs="Arial"/>
              </w:rPr>
              <w:t>g/m</w:t>
            </w:r>
            <w:r w:rsidRPr="00B17779">
              <w:rPr>
                <w:rFonts w:cs="Arial"/>
                <w:position w:val="8"/>
                <w:sz w:val="14"/>
                <w:szCs w:val="14"/>
              </w:rPr>
              <w:t>3</w:t>
            </w:r>
          </w:p>
        </w:tc>
        <w:tc>
          <w:tcPr>
            <w:tcW w:w="1696" w:type="dxa"/>
          </w:tcPr>
          <w:p w14:paraId="1DBDB756" w14:textId="77777777" w:rsidR="00247427" w:rsidRDefault="00247427" w:rsidP="00247427">
            <w:pPr>
              <w:pStyle w:val="Body"/>
              <w:ind w:left="0"/>
              <w:jc w:val="center"/>
            </w:pPr>
            <w:r w:rsidRPr="00B17779">
              <w:rPr>
                <w:rFonts w:cs="Arial"/>
              </w:rPr>
              <w:t>-</w:t>
            </w:r>
          </w:p>
        </w:tc>
        <w:tc>
          <w:tcPr>
            <w:tcW w:w="3392" w:type="dxa"/>
            <w:gridSpan w:val="2"/>
          </w:tcPr>
          <w:p w14:paraId="122F2341" w14:textId="77777777" w:rsidR="00247427" w:rsidRDefault="00247427" w:rsidP="00247427">
            <w:pPr>
              <w:pStyle w:val="Body"/>
              <w:ind w:left="0"/>
              <w:jc w:val="center"/>
            </w:pPr>
            <w:r>
              <w:t>Minimum of 5</w:t>
            </w:r>
          </w:p>
        </w:tc>
      </w:tr>
      <w:tr w:rsidR="00247427" w14:paraId="4E987981" w14:textId="77777777" w:rsidTr="00D71E8E">
        <w:tc>
          <w:tcPr>
            <w:tcW w:w="1696" w:type="dxa"/>
          </w:tcPr>
          <w:p w14:paraId="798318C1" w14:textId="77777777" w:rsidR="00247427" w:rsidRPr="00B17779" w:rsidRDefault="008F06EE" w:rsidP="00247427">
            <w:pPr>
              <w:pStyle w:val="Body"/>
              <w:ind w:left="0"/>
              <w:rPr>
                <w:rFonts w:cs="Arial"/>
              </w:rPr>
            </w:pPr>
            <w:r>
              <w:rPr>
                <w:rFonts w:cs="Arial"/>
                <w:i/>
                <w:iCs/>
              </w:rPr>
              <w:t>E.coli</w:t>
            </w:r>
          </w:p>
        </w:tc>
        <w:tc>
          <w:tcPr>
            <w:tcW w:w="1696" w:type="dxa"/>
          </w:tcPr>
          <w:p w14:paraId="3559A3A4" w14:textId="77777777" w:rsidR="00247427" w:rsidRDefault="00247427" w:rsidP="00A352AD">
            <w:pPr>
              <w:pStyle w:val="Body"/>
              <w:ind w:left="0"/>
              <w:jc w:val="center"/>
            </w:pPr>
            <w:r w:rsidRPr="00B17779">
              <w:rPr>
                <w:rFonts w:cs="Arial"/>
              </w:rPr>
              <w:t>cfu/100 ml</w:t>
            </w:r>
          </w:p>
        </w:tc>
        <w:tc>
          <w:tcPr>
            <w:tcW w:w="1696" w:type="dxa"/>
          </w:tcPr>
          <w:p w14:paraId="4AE7AA43" w14:textId="77777777" w:rsidR="00247427" w:rsidRDefault="00247427" w:rsidP="00247427">
            <w:pPr>
              <w:pStyle w:val="Body"/>
              <w:ind w:left="0"/>
              <w:jc w:val="center"/>
            </w:pPr>
            <w:r w:rsidRPr="00B17779">
              <w:rPr>
                <w:rFonts w:cs="Arial"/>
              </w:rPr>
              <w:t>&lt;1000</w:t>
            </w:r>
          </w:p>
        </w:tc>
        <w:tc>
          <w:tcPr>
            <w:tcW w:w="1696" w:type="dxa"/>
          </w:tcPr>
          <w:p w14:paraId="347BA475" w14:textId="77777777" w:rsidR="00247427" w:rsidRDefault="00247427" w:rsidP="00247427">
            <w:pPr>
              <w:pStyle w:val="Body"/>
              <w:ind w:left="0"/>
              <w:jc w:val="center"/>
            </w:pPr>
            <w:r>
              <w:t>260</w:t>
            </w:r>
          </w:p>
        </w:tc>
        <w:tc>
          <w:tcPr>
            <w:tcW w:w="1696" w:type="dxa"/>
          </w:tcPr>
          <w:p w14:paraId="0660E75C" w14:textId="77777777" w:rsidR="00247427" w:rsidRDefault="00247427" w:rsidP="00247427">
            <w:pPr>
              <w:pStyle w:val="Body"/>
              <w:ind w:left="0"/>
              <w:jc w:val="center"/>
            </w:pPr>
            <w:r>
              <w:t>-</w:t>
            </w:r>
          </w:p>
        </w:tc>
      </w:tr>
    </w:tbl>
    <w:p w14:paraId="4A7A35D6" w14:textId="77777777" w:rsidR="00247427" w:rsidRPr="00247427" w:rsidRDefault="00247427" w:rsidP="00247427">
      <w:pPr>
        <w:pStyle w:val="Body"/>
      </w:pPr>
    </w:p>
    <w:p w14:paraId="4D7022C4" w14:textId="77777777" w:rsidR="00E404A7" w:rsidRPr="00FD53CA" w:rsidRDefault="00E404A7" w:rsidP="007D5634">
      <w:pPr>
        <w:pStyle w:val="Heading3"/>
        <w:rPr>
          <w:lang w:eastAsia="en-AU"/>
        </w:rPr>
      </w:pPr>
      <w:r w:rsidRPr="00FD53CA">
        <w:rPr>
          <w:lang w:eastAsia="en-AU"/>
        </w:rPr>
        <w:lastRenderedPageBreak/>
        <w:t xml:space="preserve">Proposed </w:t>
      </w:r>
      <w:r w:rsidR="007C5201">
        <w:rPr>
          <w:lang w:eastAsia="en-AU"/>
        </w:rPr>
        <w:t>s</w:t>
      </w:r>
      <w:r w:rsidR="007C5201" w:rsidRPr="00FD53CA">
        <w:rPr>
          <w:lang w:eastAsia="en-AU"/>
        </w:rPr>
        <w:t xml:space="preserve">cheme </w:t>
      </w:r>
    </w:p>
    <w:p w14:paraId="61F292BE" w14:textId="77777777" w:rsidR="00D71E8E" w:rsidRDefault="00D71E8E" w:rsidP="00D71E8E">
      <w:pPr>
        <w:pStyle w:val="Body"/>
        <w:ind w:left="491"/>
        <w:rPr>
          <w:szCs w:val="20"/>
        </w:rPr>
      </w:pPr>
      <w:r w:rsidRPr="007D5634">
        <w:rPr>
          <w:szCs w:val="20"/>
        </w:rPr>
        <w:t xml:space="preserve">As noted above, the Wellsford WWTP Upgrade is proposed to be an Advanced Wetland treatment process. The Advanced Wetland Treatment system is new technology in New Zealand, but has achieved excellent treatment quality results internationally. </w:t>
      </w:r>
    </w:p>
    <w:p w14:paraId="31F45F30" w14:textId="77777777" w:rsidR="00D71E8E" w:rsidRDefault="00D71E8E" w:rsidP="00D71E8E">
      <w:pPr>
        <w:pStyle w:val="Body"/>
        <w:ind w:left="491"/>
        <w:rPr>
          <w:szCs w:val="20"/>
        </w:rPr>
      </w:pPr>
      <w:r w:rsidRPr="007D5634">
        <w:rPr>
          <w:szCs w:val="20"/>
        </w:rPr>
        <w:t xml:space="preserve">The successful adoption of this technology has the potential to greatly benefit other communities throughout New Zealand. Upgrading to more advanced treatment processes can be very expensive and affording such upgrades is problematic for many local authorities, particularly those serving smaller communities. </w:t>
      </w:r>
    </w:p>
    <w:p w14:paraId="06F477F4" w14:textId="77777777" w:rsidR="00D71E8E" w:rsidRDefault="00D71E8E" w:rsidP="00D71E8E">
      <w:pPr>
        <w:pStyle w:val="Body"/>
        <w:ind w:left="491"/>
        <w:rPr>
          <w:szCs w:val="20"/>
        </w:rPr>
      </w:pPr>
      <w:r w:rsidRPr="007D5634">
        <w:rPr>
          <w:szCs w:val="20"/>
        </w:rPr>
        <w:t>The Advanced Wetland Treatment system produces treated wastewater at an equivalent standard to an advanced activated sludge process, but is much more cost effective. It also incorporates a more culturally sensitive process in that it involves land contact and enables the use of vegetation in the treatment process.</w:t>
      </w:r>
    </w:p>
    <w:p w14:paraId="6BAA7200" w14:textId="77777777" w:rsidR="00D71E8E" w:rsidRPr="007D5634" w:rsidRDefault="00D71E8E" w:rsidP="00D71E8E">
      <w:pPr>
        <w:pStyle w:val="Body"/>
        <w:ind w:left="491"/>
        <w:rPr>
          <w:szCs w:val="20"/>
        </w:rPr>
      </w:pPr>
      <w:r w:rsidRPr="007D5634">
        <w:rPr>
          <w:szCs w:val="20"/>
        </w:rPr>
        <w:t xml:space="preserve">The plant at Wellsford will be designed to serve a population of approximately 5,000 </w:t>
      </w:r>
      <w:r w:rsidRPr="007C5201">
        <w:rPr>
          <w:szCs w:val="20"/>
        </w:rPr>
        <w:t>PE</w:t>
      </w:r>
      <w:r>
        <w:rPr>
          <w:szCs w:val="20"/>
        </w:rPr>
        <w:t xml:space="preserve"> </w:t>
      </w:r>
      <w:r w:rsidRPr="007D5634">
        <w:rPr>
          <w:szCs w:val="20"/>
        </w:rPr>
        <w:t>by 2052 with an average design flow of approximately 1,730 m</w:t>
      </w:r>
      <w:r w:rsidRPr="002A4025">
        <w:rPr>
          <w:szCs w:val="20"/>
          <w:vertAlign w:val="superscript"/>
        </w:rPr>
        <w:t>3</w:t>
      </w:r>
      <w:r w:rsidRPr="007D5634">
        <w:rPr>
          <w:szCs w:val="20"/>
        </w:rPr>
        <w:t xml:space="preserve">/day. Under the Wellsford WWTP </w:t>
      </w:r>
      <w:r>
        <w:rPr>
          <w:szCs w:val="20"/>
        </w:rPr>
        <w:t>u</w:t>
      </w:r>
      <w:r w:rsidRPr="007D5634">
        <w:rPr>
          <w:szCs w:val="20"/>
        </w:rPr>
        <w:t xml:space="preserve">pgrade proposal, the oxidation pond </w:t>
      </w:r>
      <w:r>
        <w:rPr>
          <w:szCs w:val="20"/>
        </w:rPr>
        <w:t xml:space="preserve">and existing inlet screen </w:t>
      </w:r>
      <w:r w:rsidRPr="007D5634">
        <w:rPr>
          <w:szCs w:val="20"/>
        </w:rPr>
        <w:t>will be retained but all other treatment processes will be replaced.</w:t>
      </w:r>
      <w:r>
        <w:rPr>
          <w:szCs w:val="20"/>
        </w:rPr>
        <w:t xml:space="preserve"> </w:t>
      </w:r>
      <w:r w:rsidRPr="007D5634">
        <w:rPr>
          <w:szCs w:val="20"/>
        </w:rPr>
        <w:t>The new treatment process will comprise:</w:t>
      </w:r>
    </w:p>
    <w:p w14:paraId="04E46A35" w14:textId="77777777" w:rsidR="00D71E8E" w:rsidRPr="007D5634" w:rsidRDefault="00D71E8E" w:rsidP="00D71E8E">
      <w:pPr>
        <w:pStyle w:val="Body"/>
        <w:numPr>
          <w:ilvl w:val="0"/>
          <w:numId w:val="94"/>
        </w:numPr>
        <w:rPr>
          <w:szCs w:val="20"/>
        </w:rPr>
      </w:pPr>
      <w:r w:rsidRPr="002A4025">
        <w:rPr>
          <w:lang w:eastAsia="en-AU"/>
        </w:rPr>
        <w:t>Inlet screen and oxidation pond (existing);</w:t>
      </w:r>
    </w:p>
    <w:p w14:paraId="49CB1EA3" w14:textId="77777777" w:rsidR="00D71E8E" w:rsidRPr="00536B8D" w:rsidRDefault="00D71E8E" w:rsidP="00D71E8E">
      <w:pPr>
        <w:pStyle w:val="Body"/>
        <w:numPr>
          <w:ilvl w:val="0"/>
          <w:numId w:val="94"/>
        </w:numPr>
        <w:rPr>
          <w:lang w:eastAsia="en-AU"/>
        </w:rPr>
      </w:pPr>
      <w:r w:rsidRPr="00536B8D">
        <w:rPr>
          <w:lang w:eastAsia="en-AU"/>
        </w:rPr>
        <w:t>Alum dosing;</w:t>
      </w:r>
    </w:p>
    <w:p w14:paraId="10633393" w14:textId="77777777" w:rsidR="00D71E8E" w:rsidRPr="00536B8D" w:rsidRDefault="00D71E8E" w:rsidP="00D71E8E">
      <w:pPr>
        <w:pStyle w:val="Body"/>
        <w:numPr>
          <w:ilvl w:val="0"/>
          <w:numId w:val="94"/>
        </w:numPr>
        <w:rPr>
          <w:lang w:eastAsia="en-AU"/>
        </w:rPr>
      </w:pPr>
      <w:r w:rsidRPr="00536B8D">
        <w:rPr>
          <w:lang w:eastAsia="en-AU"/>
        </w:rPr>
        <w:t>New membrane filtration plant to replace existing temporary unit;</w:t>
      </w:r>
    </w:p>
    <w:p w14:paraId="48BE5882" w14:textId="77777777" w:rsidR="00D71E8E" w:rsidRPr="00536B8D" w:rsidRDefault="00D71E8E" w:rsidP="00D71E8E">
      <w:pPr>
        <w:pStyle w:val="Body"/>
        <w:numPr>
          <w:ilvl w:val="0"/>
          <w:numId w:val="94"/>
        </w:numPr>
        <w:rPr>
          <w:lang w:eastAsia="en-AU"/>
        </w:rPr>
      </w:pPr>
      <w:r w:rsidRPr="00536B8D">
        <w:rPr>
          <w:lang w:eastAsia="en-AU"/>
        </w:rPr>
        <w:t>Advanced Wetland Treatment; and</w:t>
      </w:r>
    </w:p>
    <w:p w14:paraId="49563F5A" w14:textId="77777777" w:rsidR="00D71E8E" w:rsidRPr="007D5634" w:rsidRDefault="00D71E8E" w:rsidP="00D71E8E">
      <w:pPr>
        <w:pStyle w:val="Body"/>
        <w:numPr>
          <w:ilvl w:val="0"/>
          <w:numId w:val="94"/>
        </w:numPr>
        <w:rPr>
          <w:szCs w:val="20"/>
        </w:rPr>
      </w:pPr>
      <w:r w:rsidRPr="00536B8D">
        <w:rPr>
          <w:lang w:eastAsia="en-AU"/>
        </w:rPr>
        <w:t>UV disinfection.</w:t>
      </w:r>
    </w:p>
    <w:p w14:paraId="0CC94E85" w14:textId="77777777" w:rsidR="00D71E8E" w:rsidRDefault="00D71E8E" w:rsidP="00D71E8E">
      <w:pPr>
        <w:kinsoku w:val="0"/>
        <w:overflowPunct w:val="0"/>
        <w:autoSpaceDE w:val="0"/>
        <w:autoSpaceDN w:val="0"/>
        <w:adjustRightInd w:val="0"/>
        <w:spacing w:after="0" w:line="247" w:lineRule="exact"/>
        <w:ind w:left="39" w:firstLine="440"/>
        <w:rPr>
          <w:szCs w:val="20"/>
        </w:rPr>
      </w:pPr>
      <w:r w:rsidRPr="007D5634">
        <w:rPr>
          <w:szCs w:val="20"/>
        </w:rPr>
        <w:t xml:space="preserve">The current discharge point to </w:t>
      </w:r>
      <w:r>
        <w:rPr>
          <w:szCs w:val="20"/>
        </w:rPr>
        <w:t xml:space="preserve">the </w:t>
      </w:r>
      <w:r w:rsidRPr="007D5634">
        <w:rPr>
          <w:szCs w:val="20"/>
        </w:rPr>
        <w:t xml:space="preserve">Tributary will </w:t>
      </w:r>
      <w:r>
        <w:rPr>
          <w:szCs w:val="20"/>
        </w:rPr>
        <w:t>be maintained.</w:t>
      </w:r>
    </w:p>
    <w:p w14:paraId="21D5EA3B" w14:textId="77777777" w:rsidR="00581922" w:rsidRDefault="00581922" w:rsidP="00D71E8E">
      <w:pPr>
        <w:kinsoku w:val="0"/>
        <w:overflowPunct w:val="0"/>
        <w:autoSpaceDE w:val="0"/>
        <w:autoSpaceDN w:val="0"/>
        <w:adjustRightInd w:val="0"/>
        <w:spacing w:after="0" w:line="247" w:lineRule="exact"/>
        <w:ind w:left="39" w:firstLine="440"/>
        <w:rPr>
          <w:szCs w:val="20"/>
        </w:rPr>
      </w:pPr>
    </w:p>
    <w:p w14:paraId="2687AFD4" w14:textId="77777777" w:rsidR="00581922" w:rsidRDefault="00581922">
      <w:pPr>
        <w:spacing w:after="0"/>
        <w:rPr>
          <w:szCs w:val="20"/>
        </w:rPr>
      </w:pPr>
      <w:r>
        <w:rPr>
          <w:szCs w:val="20"/>
        </w:rPr>
        <w:br w:type="page"/>
      </w:r>
    </w:p>
    <w:p w14:paraId="3E711C0D" w14:textId="77777777" w:rsidR="00E404A7" w:rsidRPr="007D5634" w:rsidRDefault="00E404A7">
      <w:pPr>
        <w:pStyle w:val="Heading3"/>
        <w:rPr>
          <w:szCs w:val="20"/>
        </w:rPr>
      </w:pPr>
      <w:r w:rsidRPr="007D5634">
        <w:lastRenderedPageBreak/>
        <w:t>Costs</w:t>
      </w:r>
    </w:p>
    <w:p w14:paraId="144DF5DE" w14:textId="77777777" w:rsidR="00E404A7" w:rsidRDefault="00D71E8E" w:rsidP="007D5634">
      <w:pPr>
        <w:pStyle w:val="Body"/>
        <w:ind w:left="491"/>
        <w:rPr>
          <w:szCs w:val="20"/>
        </w:rPr>
      </w:pPr>
      <w:r>
        <w:rPr>
          <w:szCs w:val="20"/>
        </w:rPr>
        <w:t>As part of</w:t>
      </w:r>
      <w:r w:rsidRPr="007D5634">
        <w:rPr>
          <w:szCs w:val="20"/>
        </w:rPr>
        <w:t xml:space="preserve"> the </w:t>
      </w:r>
      <w:r>
        <w:rPr>
          <w:szCs w:val="20"/>
        </w:rPr>
        <w:t>optioneering process, through</w:t>
      </w:r>
      <w:r w:rsidRPr="007D5634">
        <w:rPr>
          <w:szCs w:val="20"/>
        </w:rPr>
        <w:t xml:space="preserve"> the </w:t>
      </w:r>
      <w:r>
        <w:rPr>
          <w:szCs w:val="20"/>
        </w:rPr>
        <w:t>c</w:t>
      </w:r>
      <w:r w:rsidRPr="007D5634">
        <w:rPr>
          <w:szCs w:val="20"/>
        </w:rPr>
        <w:t xml:space="preserve">onsent </w:t>
      </w:r>
      <w:r>
        <w:rPr>
          <w:szCs w:val="20"/>
        </w:rPr>
        <w:t>Watercare analy</w:t>
      </w:r>
      <w:r w:rsidR="005E7EEA">
        <w:rPr>
          <w:szCs w:val="20"/>
        </w:rPr>
        <w:t>s</w:t>
      </w:r>
      <w:r>
        <w:rPr>
          <w:szCs w:val="20"/>
        </w:rPr>
        <w:t>ed capital and operational costs</w:t>
      </w:r>
      <w:r w:rsidRPr="007D5634">
        <w:rPr>
          <w:szCs w:val="20"/>
        </w:rPr>
        <w:t xml:space="preserve">. </w:t>
      </w:r>
      <w:r>
        <w:rPr>
          <w:szCs w:val="20"/>
        </w:rPr>
        <w:fldChar w:fldCharType="begin"/>
      </w:r>
      <w:r>
        <w:rPr>
          <w:szCs w:val="20"/>
        </w:rPr>
        <w:instrText xml:space="preserve"> REF _Ref517710107 \h </w:instrText>
      </w:r>
      <w:r>
        <w:rPr>
          <w:szCs w:val="20"/>
        </w:rPr>
      </w:r>
      <w:r>
        <w:rPr>
          <w:szCs w:val="20"/>
        </w:rPr>
        <w:fldChar w:fldCharType="separate"/>
      </w:r>
      <w:r w:rsidR="002777A8">
        <w:t xml:space="preserve">Table </w:t>
      </w:r>
      <w:r w:rsidR="002777A8">
        <w:rPr>
          <w:noProof/>
        </w:rPr>
        <w:t>12</w:t>
      </w:r>
      <w:r>
        <w:rPr>
          <w:szCs w:val="20"/>
        </w:rPr>
        <w:fldChar w:fldCharType="end"/>
      </w:r>
      <w:r>
        <w:rPr>
          <w:szCs w:val="20"/>
        </w:rPr>
        <w:t xml:space="preserve"> </w:t>
      </w:r>
      <w:r w:rsidRPr="007D5634">
        <w:rPr>
          <w:szCs w:val="20"/>
        </w:rPr>
        <w:t>below outlines the costs of all shortlisted options (developed through the AEE process) along with that of the preferred option</w:t>
      </w:r>
      <w:r>
        <w:rPr>
          <w:szCs w:val="20"/>
        </w:rPr>
        <w:t xml:space="preserve"> 4a</w:t>
      </w:r>
      <w:r w:rsidR="00E06D5B">
        <w:rPr>
          <w:szCs w:val="20"/>
        </w:rPr>
        <w:t xml:space="preserve"> </w:t>
      </w:r>
      <w:r>
        <w:rPr>
          <w:szCs w:val="20"/>
        </w:rPr>
        <w:t>(1)</w:t>
      </w:r>
      <w:r w:rsidRPr="007D5634">
        <w:rPr>
          <w:szCs w:val="20"/>
        </w:rPr>
        <w:t>.</w:t>
      </w:r>
    </w:p>
    <w:p w14:paraId="0DDE02A5" w14:textId="77777777" w:rsidR="007D5634" w:rsidRDefault="007D5634" w:rsidP="007D5634">
      <w:pPr>
        <w:pStyle w:val="Caption"/>
      </w:pPr>
      <w:bookmarkStart w:id="321" w:name="_Ref517710107"/>
      <w:bookmarkStart w:id="322" w:name="_Toc517788322"/>
      <w:bookmarkStart w:id="323" w:name="_Toc517793891"/>
      <w:bookmarkStart w:id="324" w:name="_Toc518042090"/>
      <w:bookmarkStart w:id="325" w:name="_Toc518653128"/>
      <w:bookmarkStart w:id="326" w:name="_Toc521064795"/>
      <w:r>
        <w:t xml:space="preserve">Table </w:t>
      </w:r>
      <w:r w:rsidR="007B3D80">
        <w:rPr>
          <w:noProof/>
        </w:rPr>
        <w:fldChar w:fldCharType="begin"/>
      </w:r>
      <w:r w:rsidR="007B3D80">
        <w:rPr>
          <w:noProof/>
        </w:rPr>
        <w:instrText xml:space="preserve"> SEQ Table \* ARABIC </w:instrText>
      </w:r>
      <w:r w:rsidR="007B3D80">
        <w:rPr>
          <w:noProof/>
        </w:rPr>
        <w:fldChar w:fldCharType="separate"/>
      </w:r>
      <w:r w:rsidR="002777A8">
        <w:rPr>
          <w:noProof/>
        </w:rPr>
        <w:t>12</w:t>
      </w:r>
      <w:r w:rsidR="007B3D80">
        <w:rPr>
          <w:noProof/>
        </w:rPr>
        <w:fldChar w:fldCharType="end"/>
      </w:r>
      <w:bookmarkEnd w:id="321"/>
      <w:r>
        <w:t xml:space="preserve"> Case </w:t>
      </w:r>
      <w:r w:rsidR="00D54348">
        <w:t xml:space="preserve">study </w:t>
      </w:r>
      <w:r>
        <w:t xml:space="preserve">3 Wellsford WWTP </w:t>
      </w:r>
      <w:r w:rsidR="00ED6B8F">
        <w:t>upgrade cost estimates</w:t>
      </w:r>
      <w:bookmarkEnd w:id="322"/>
      <w:bookmarkEnd w:id="323"/>
      <w:bookmarkEnd w:id="324"/>
      <w:bookmarkEnd w:id="325"/>
      <w:bookmarkEnd w:id="326"/>
    </w:p>
    <w:tbl>
      <w:tblPr>
        <w:tblStyle w:val="Table-Style3"/>
        <w:tblW w:w="8996" w:type="dxa"/>
        <w:tblInd w:w="609" w:type="dxa"/>
        <w:tblLayout w:type="fixed"/>
        <w:tblLook w:val="04A0" w:firstRow="1" w:lastRow="0" w:firstColumn="1" w:lastColumn="0" w:noHBand="0" w:noVBand="1"/>
      </w:tblPr>
      <w:tblGrid>
        <w:gridCol w:w="934"/>
        <w:gridCol w:w="1709"/>
        <w:gridCol w:w="1323"/>
        <w:gridCol w:w="1323"/>
        <w:gridCol w:w="1324"/>
        <w:gridCol w:w="2383"/>
      </w:tblGrid>
      <w:tr w:rsidR="0021047A" w14:paraId="1E3B3DA3" w14:textId="77777777" w:rsidTr="00E06D5B">
        <w:trPr>
          <w:cnfStyle w:val="100000000000" w:firstRow="1" w:lastRow="0" w:firstColumn="0" w:lastColumn="0" w:oddVBand="0" w:evenVBand="0" w:oddHBand="0" w:evenHBand="0" w:firstRowFirstColumn="0" w:firstRowLastColumn="0" w:lastRowFirstColumn="0" w:lastRowLastColumn="0"/>
          <w:trHeight w:val="1136"/>
          <w:tblHeader/>
        </w:trPr>
        <w:tc>
          <w:tcPr>
            <w:tcW w:w="934" w:type="dxa"/>
            <w:vAlign w:val="center"/>
          </w:tcPr>
          <w:p w14:paraId="191821E0" w14:textId="77777777" w:rsidR="007D5634" w:rsidRPr="00E06D5B" w:rsidRDefault="007D5634" w:rsidP="00E06D5B">
            <w:pPr>
              <w:pStyle w:val="Body"/>
              <w:spacing w:before="0" w:after="0"/>
              <w:ind w:left="0"/>
              <w:rPr>
                <w:sz w:val="18"/>
              </w:rPr>
            </w:pPr>
            <w:r w:rsidRPr="00E06D5B">
              <w:rPr>
                <w:sz w:val="18"/>
              </w:rPr>
              <w:t xml:space="preserve">Option </w:t>
            </w:r>
            <w:r w:rsidRPr="00E06D5B">
              <w:rPr>
                <w:w w:val="95"/>
                <w:sz w:val="18"/>
              </w:rPr>
              <w:t>Number</w:t>
            </w:r>
          </w:p>
        </w:tc>
        <w:tc>
          <w:tcPr>
            <w:tcW w:w="1709" w:type="dxa"/>
          </w:tcPr>
          <w:p w14:paraId="4DD84F1D" w14:textId="77777777" w:rsidR="007D5634" w:rsidRPr="00E06D5B" w:rsidRDefault="007D5634" w:rsidP="00E06D5B">
            <w:pPr>
              <w:pStyle w:val="Body"/>
              <w:spacing w:before="0" w:after="0"/>
              <w:ind w:left="0"/>
              <w:jc w:val="center"/>
              <w:rPr>
                <w:sz w:val="18"/>
              </w:rPr>
            </w:pPr>
            <w:r w:rsidRPr="00E06D5B">
              <w:rPr>
                <w:sz w:val="18"/>
              </w:rPr>
              <w:t xml:space="preserve">Wastewater </w:t>
            </w:r>
            <w:r w:rsidR="00ED6B8F" w:rsidRPr="00E06D5B">
              <w:rPr>
                <w:sz w:val="18"/>
              </w:rPr>
              <w:t>treatment option</w:t>
            </w:r>
          </w:p>
        </w:tc>
        <w:tc>
          <w:tcPr>
            <w:tcW w:w="1323" w:type="dxa"/>
          </w:tcPr>
          <w:p w14:paraId="7E5FE2F9" w14:textId="77777777" w:rsidR="00ED6B8F" w:rsidRPr="00E06D5B" w:rsidRDefault="007D5634" w:rsidP="00E06D5B">
            <w:pPr>
              <w:pStyle w:val="Body"/>
              <w:spacing w:before="0" w:after="0"/>
              <w:ind w:left="0"/>
              <w:jc w:val="center"/>
              <w:rPr>
                <w:sz w:val="18"/>
              </w:rPr>
            </w:pPr>
            <w:r w:rsidRPr="00E06D5B">
              <w:rPr>
                <w:sz w:val="18"/>
              </w:rPr>
              <w:t>Total</w:t>
            </w:r>
          </w:p>
          <w:p w14:paraId="3F9369B0" w14:textId="77777777" w:rsidR="007D5634" w:rsidRPr="00E06D5B" w:rsidRDefault="005E7EEA" w:rsidP="00E06D5B">
            <w:pPr>
              <w:pStyle w:val="Body"/>
              <w:spacing w:before="0" w:after="0"/>
              <w:ind w:left="0"/>
              <w:jc w:val="center"/>
              <w:rPr>
                <w:sz w:val="18"/>
              </w:rPr>
            </w:pPr>
            <w:r w:rsidRPr="00E06D5B">
              <w:rPr>
                <w:sz w:val="18"/>
              </w:rPr>
              <w:t>c</w:t>
            </w:r>
            <w:r w:rsidRPr="00E06D5B" w:rsidDel="00ED6B8F">
              <w:rPr>
                <w:sz w:val="18"/>
              </w:rPr>
              <w:t>apital</w:t>
            </w:r>
          </w:p>
          <w:p w14:paraId="154A48C0" w14:textId="77777777" w:rsidR="007D5634" w:rsidRPr="00E06D5B" w:rsidRDefault="005E7EEA" w:rsidP="00E06D5B">
            <w:pPr>
              <w:pStyle w:val="Body"/>
              <w:spacing w:before="0" w:after="0"/>
              <w:ind w:left="0"/>
              <w:jc w:val="center"/>
              <w:rPr>
                <w:sz w:val="18"/>
              </w:rPr>
            </w:pPr>
            <w:r w:rsidRPr="00E06D5B">
              <w:rPr>
                <w:sz w:val="18"/>
              </w:rPr>
              <w:t xml:space="preserve">cost </w:t>
            </w:r>
            <w:r w:rsidR="007D5634" w:rsidRPr="00E06D5B">
              <w:rPr>
                <w:sz w:val="18"/>
              </w:rPr>
              <w:t>$</w:t>
            </w:r>
            <w:r w:rsidR="00120410" w:rsidRPr="00E06D5B">
              <w:rPr>
                <w:sz w:val="18"/>
                <w:szCs w:val="18"/>
              </w:rPr>
              <w:t xml:space="preserve"> </w:t>
            </w:r>
            <w:r w:rsidR="007D5634" w:rsidRPr="00E06D5B">
              <w:rPr>
                <w:sz w:val="18"/>
              </w:rPr>
              <w:t>M</w:t>
            </w:r>
            <w:r w:rsidRPr="00E06D5B">
              <w:rPr>
                <w:sz w:val="18"/>
              </w:rPr>
              <w:t>illion</w:t>
            </w:r>
          </w:p>
        </w:tc>
        <w:tc>
          <w:tcPr>
            <w:tcW w:w="1323" w:type="dxa"/>
          </w:tcPr>
          <w:p w14:paraId="5DD5AFFC" w14:textId="77777777" w:rsidR="007D5634" w:rsidRPr="00E06D5B" w:rsidRDefault="007D5634" w:rsidP="00E06D5B">
            <w:pPr>
              <w:pStyle w:val="Body"/>
              <w:spacing w:before="0" w:after="0"/>
              <w:ind w:left="0"/>
              <w:jc w:val="center"/>
              <w:rPr>
                <w:sz w:val="18"/>
              </w:rPr>
            </w:pPr>
            <w:r w:rsidRPr="00E06D5B">
              <w:rPr>
                <w:sz w:val="18"/>
              </w:rPr>
              <w:t xml:space="preserve">Annual </w:t>
            </w:r>
            <w:r w:rsidR="005E7EEA" w:rsidRPr="00E06D5B">
              <w:rPr>
                <w:sz w:val="18"/>
              </w:rPr>
              <w:t>operational</w:t>
            </w:r>
          </w:p>
          <w:p w14:paraId="69CD4643" w14:textId="77777777" w:rsidR="007D5634" w:rsidRPr="00E06D5B" w:rsidRDefault="005E7EEA" w:rsidP="00E06D5B">
            <w:pPr>
              <w:pStyle w:val="Body"/>
              <w:spacing w:before="0" w:after="0"/>
              <w:ind w:left="0"/>
              <w:jc w:val="center"/>
              <w:rPr>
                <w:sz w:val="18"/>
              </w:rPr>
            </w:pPr>
            <w:r w:rsidRPr="00E06D5B">
              <w:rPr>
                <w:sz w:val="18"/>
              </w:rPr>
              <w:t xml:space="preserve">cost </w:t>
            </w:r>
            <w:r w:rsidR="00247427" w:rsidRPr="00E06D5B">
              <w:rPr>
                <w:sz w:val="18"/>
              </w:rPr>
              <w:t>$</w:t>
            </w:r>
            <w:r w:rsidR="00120410" w:rsidRPr="00E06D5B">
              <w:rPr>
                <w:sz w:val="18"/>
                <w:szCs w:val="18"/>
              </w:rPr>
              <w:t xml:space="preserve"> </w:t>
            </w:r>
            <w:r w:rsidR="00247427" w:rsidRPr="00E06D5B">
              <w:rPr>
                <w:sz w:val="18"/>
              </w:rPr>
              <w:t>M</w:t>
            </w:r>
            <w:r w:rsidRPr="00E06D5B">
              <w:rPr>
                <w:sz w:val="18"/>
              </w:rPr>
              <w:t>illion</w:t>
            </w:r>
          </w:p>
        </w:tc>
        <w:tc>
          <w:tcPr>
            <w:tcW w:w="1324" w:type="dxa"/>
          </w:tcPr>
          <w:p w14:paraId="030D71E1" w14:textId="77777777" w:rsidR="007D5634" w:rsidRPr="00E06D5B" w:rsidRDefault="007D5634" w:rsidP="00E06D5B">
            <w:pPr>
              <w:pStyle w:val="Body"/>
              <w:spacing w:before="0" w:after="0"/>
              <w:ind w:left="0"/>
              <w:jc w:val="center"/>
              <w:rPr>
                <w:sz w:val="18"/>
              </w:rPr>
            </w:pPr>
            <w:r w:rsidRPr="00E06D5B">
              <w:rPr>
                <w:sz w:val="18"/>
              </w:rPr>
              <w:t xml:space="preserve">Major </w:t>
            </w:r>
            <w:r w:rsidR="005E7EEA" w:rsidRPr="00E06D5B">
              <w:rPr>
                <w:sz w:val="18"/>
              </w:rPr>
              <w:t>receiving</w:t>
            </w:r>
          </w:p>
          <w:p w14:paraId="35D669AE" w14:textId="77777777" w:rsidR="007D5634" w:rsidRPr="00E06D5B" w:rsidRDefault="005E7EEA" w:rsidP="00E06D5B">
            <w:pPr>
              <w:pStyle w:val="Body"/>
              <w:spacing w:before="0" w:after="0"/>
              <w:ind w:left="0"/>
              <w:jc w:val="center"/>
              <w:rPr>
                <w:sz w:val="18"/>
              </w:rPr>
            </w:pPr>
            <w:r w:rsidRPr="00E06D5B">
              <w:rPr>
                <w:sz w:val="18"/>
              </w:rPr>
              <w:t>environment</w:t>
            </w:r>
          </w:p>
        </w:tc>
        <w:tc>
          <w:tcPr>
            <w:tcW w:w="2383" w:type="dxa"/>
          </w:tcPr>
          <w:p w14:paraId="7DA100BE" w14:textId="77777777" w:rsidR="003D5E54" w:rsidRPr="00E06D5B" w:rsidRDefault="007D5634" w:rsidP="00E06D5B">
            <w:pPr>
              <w:pStyle w:val="Body"/>
              <w:spacing w:before="0" w:after="0"/>
              <w:ind w:left="0"/>
              <w:jc w:val="center"/>
              <w:rPr>
                <w:bCs/>
                <w:sz w:val="18"/>
                <w:szCs w:val="18"/>
              </w:rPr>
            </w:pPr>
            <w:r w:rsidRPr="00E06D5B">
              <w:rPr>
                <w:sz w:val="18"/>
              </w:rPr>
              <w:t>Overall</w:t>
            </w:r>
          </w:p>
          <w:p w14:paraId="24A66346" w14:textId="77777777" w:rsidR="007D5634" w:rsidRPr="00E06D5B" w:rsidRDefault="005E7EEA" w:rsidP="00E06D5B">
            <w:pPr>
              <w:pStyle w:val="Body"/>
              <w:spacing w:before="0" w:after="0"/>
              <w:ind w:left="0"/>
              <w:jc w:val="center"/>
              <w:rPr>
                <w:sz w:val="18"/>
              </w:rPr>
            </w:pPr>
            <w:r w:rsidRPr="00E06D5B">
              <w:rPr>
                <w:sz w:val="18"/>
              </w:rPr>
              <w:t>summary</w:t>
            </w:r>
          </w:p>
        </w:tc>
      </w:tr>
      <w:tr w:rsidR="00D71E8E" w14:paraId="71CDEDF6" w14:textId="77777777" w:rsidTr="00E66F34">
        <w:trPr>
          <w:trHeight w:val="2254"/>
        </w:trPr>
        <w:tc>
          <w:tcPr>
            <w:tcW w:w="934" w:type="dxa"/>
          </w:tcPr>
          <w:p w14:paraId="61B85B72" w14:textId="77777777" w:rsidR="00D71E8E" w:rsidRPr="00E66F34" w:rsidRDefault="00D71E8E" w:rsidP="00D71E8E">
            <w:pPr>
              <w:pStyle w:val="TableParagraph"/>
              <w:kinsoku w:val="0"/>
              <w:overflowPunct w:val="0"/>
              <w:rPr>
                <w:rFonts w:ascii="Arial" w:hAnsi="Arial"/>
                <w:b/>
                <w:sz w:val="18"/>
              </w:rPr>
            </w:pPr>
          </w:p>
          <w:p w14:paraId="78991E52" w14:textId="77777777" w:rsidR="00D71E8E" w:rsidRPr="00ED6B8F" w:rsidRDefault="00D71E8E" w:rsidP="00D71E8E">
            <w:pPr>
              <w:pStyle w:val="Body"/>
              <w:ind w:left="0"/>
              <w:rPr>
                <w:sz w:val="18"/>
                <w:szCs w:val="18"/>
              </w:rPr>
            </w:pPr>
            <w:r w:rsidRPr="00ED6B8F">
              <w:rPr>
                <w:b/>
                <w:sz w:val="18"/>
                <w:szCs w:val="18"/>
              </w:rPr>
              <w:t>4a</w:t>
            </w:r>
            <w:r>
              <w:rPr>
                <w:b/>
                <w:bCs/>
                <w:sz w:val="18"/>
                <w:szCs w:val="18"/>
              </w:rPr>
              <w:t xml:space="preserve"> </w:t>
            </w:r>
            <w:r w:rsidRPr="00ED6B8F">
              <w:rPr>
                <w:b/>
                <w:sz w:val="18"/>
                <w:szCs w:val="18"/>
              </w:rPr>
              <w:t>(1)</w:t>
            </w:r>
          </w:p>
        </w:tc>
        <w:tc>
          <w:tcPr>
            <w:tcW w:w="1709" w:type="dxa"/>
          </w:tcPr>
          <w:p w14:paraId="252D1DF0" w14:textId="77777777" w:rsidR="00D71E8E" w:rsidRPr="00ED6B8F" w:rsidRDefault="00D71E8E" w:rsidP="00D71E8E">
            <w:pPr>
              <w:pStyle w:val="Body"/>
              <w:spacing w:before="0" w:after="0" w:line="240" w:lineRule="auto"/>
              <w:ind w:left="0"/>
              <w:rPr>
                <w:sz w:val="18"/>
                <w:szCs w:val="18"/>
              </w:rPr>
            </w:pPr>
            <w:r w:rsidRPr="00ED6B8F">
              <w:rPr>
                <w:sz w:val="18"/>
                <w:szCs w:val="18"/>
              </w:rPr>
              <w:t>Upgrade existing</w:t>
            </w:r>
            <w:r>
              <w:rPr>
                <w:sz w:val="18"/>
                <w:szCs w:val="18"/>
              </w:rPr>
              <w:t xml:space="preserve"> </w:t>
            </w:r>
            <w:r w:rsidRPr="00ED6B8F">
              <w:rPr>
                <w:sz w:val="18"/>
                <w:szCs w:val="18"/>
              </w:rPr>
              <w:t>treatment plant with advanced wetland treatment, maintaining discharge at current location</w:t>
            </w:r>
          </w:p>
        </w:tc>
        <w:tc>
          <w:tcPr>
            <w:tcW w:w="1323" w:type="dxa"/>
          </w:tcPr>
          <w:p w14:paraId="4EE2341D" w14:textId="77777777" w:rsidR="00D71E8E" w:rsidRPr="00E66F34" w:rsidRDefault="00D71E8E" w:rsidP="00A352AD">
            <w:pPr>
              <w:pStyle w:val="TableParagraph"/>
              <w:kinsoku w:val="0"/>
              <w:overflowPunct w:val="0"/>
              <w:jc w:val="center"/>
              <w:rPr>
                <w:rFonts w:ascii="Arial" w:hAnsi="Arial"/>
                <w:sz w:val="18"/>
              </w:rPr>
            </w:pPr>
          </w:p>
          <w:p w14:paraId="56F611A7" w14:textId="77777777" w:rsidR="00D71E8E" w:rsidRPr="00ED6B8F" w:rsidRDefault="005E7EEA" w:rsidP="00A352AD">
            <w:pPr>
              <w:pStyle w:val="Body"/>
              <w:spacing w:before="0" w:after="0"/>
              <w:ind w:left="0"/>
              <w:jc w:val="center"/>
              <w:rPr>
                <w:sz w:val="18"/>
                <w:szCs w:val="18"/>
              </w:rPr>
            </w:pPr>
            <w:r>
              <w:rPr>
                <w:sz w:val="18"/>
                <w:szCs w:val="18"/>
              </w:rPr>
              <w:t>9</w:t>
            </w:r>
          </w:p>
        </w:tc>
        <w:tc>
          <w:tcPr>
            <w:tcW w:w="1323" w:type="dxa"/>
          </w:tcPr>
          <w:p w14:paraId="39101AB2" w14:textId="77777777" w:rsidR="00D71E8E" w:rsidRPr="00E66F34" w:rsidRDefault="00D71E8E" w:rsidP="00A352AD">
            <w:pPr>
              <w:pStyle w:val="TableParagraph"/>
              <w:kinsoku w:val="0"/>
              <w:overflowPunct w:val="0"/>
              <w:jc w:val="center"/>
              <w:rPr>
                <w:rFonts w:ascii="Arial" w:hAnsi="Arial"/>
                <w:sz w:val="18"/>
              </w:rPr>
            </w:pPr>
          </w:p>
          <w:p w14:paraId="39DCEF23" w14:textId="77777777" w:rsidR="00D71E8E" w:rsidRPr="00ED6B8F" w:rsidRDefault="005E7EEA" w:rsidP="00A352AD">
            <w:pPr>
              <w:pStyle w:val="Body"/>
              <w:spacing w:before="0" w:after="0"/>
              <w:ind w:left="0"/>
              <w:jc w:val="center"/>
              <w:rPr>
                <w:sz w:val="18"/>
                <w:szCs w:val="18"/>
              </w:rPr>
            </w:pPr>
            <w:r>
              <w:rPr>
                <w:sz w:val="18"/>
                <w:szCs w:val="18"/>
              </w:rPr>
              <w:t>0.4</w:t>
            </w:r>
          </w:p>
        </w:tc>
        <w:tc>
          <w:tcPr>
            <w:tcW w:w="1324" w:type="dxa"/>
          </w:tcPr>
          <w:p w14:paraId="6BCEEEB3" w14:textId="77777777" w:rsidR="00D71E8E" w:rsidRPr="001005A3" w:rsidRDefault="00D71E8E" w:rsidP="00D71E8E">
            <w:pPr>
              <w:pStyle w:val="TableParagraph"/>
              <w:kinsoku w:val="0"/>
              <w:overflowPunct w:val="0"/>
              <w:rPr>
                <w:b/>
                <w:sz w:val="18"/>
              </w:rPr>
            </w:pPr>
          </w:p>
          <w:p w14:paraId="7CA832D3" w14:textId="77777777" w:rsidR="00D71E8E" w:rsidRPr="00ED6B8F" w:rsidRDefault="00D71E8E" w:rsidP="00D71E8E">
            <w:pPr>
              <w:pStyle w:val="Body"/>
              <w:spacing w:before="0" w:after="0"/>
              <w:ind w:left="0"/>
              <w:rPr>
                <w:sz w:val="18"/>
                <w:szCs w:val="18"/>
              </w:rPr>
            </w:pPr>
            <w:r w:rsidRPr="00ED6B8F">
              <w:rPr>
                <w:sz w:val="18"/>
                <w:szCs w:val="18"/>
              </w:rPr>
              <w:t>Tributary / Hoteo River</w:t>
            </w:r>
          </w:p>
        </w:tc>
        <w:tc>
          <w:tcPr>
            <w:tcW w:w="2383" w:type="dxa"/>
          </w:tcPr>
          <w:p w14:paraId="5BB2B4C6" w14:textId="77777777" w:rsidR="00D71E8E" w:rsidRPr="00ED6B8F" w:rsidRDefault="00D71E8E" w:rsidP="00D71E8E">
            <w:pPr>
              <w:pStyle w:val="TableParagraph"/>
              <w:kinsoku w:val="0"/>
              <w:overflowPunct w:val="0"/>
              <w:ind w:right="96"/>
              <w:rPr>
                <w:rFonts w:ascii="Arial" w:eastAsia="Times New Roman" w:hAnsi="Arial" w:cs="Times New Roman"/>
                <w:sz w:val="18"/>
                <w:szCs w:val="18"/>
                <w:lang w:val="en-AU"/>
              </w:rPr>
            </w:pPr>
            <w:r w:rsidRPr="0064462A">
              <w:rPr>
                <w:rFonts w:ascii="Arial" w:eastAsia="Times New Roman" w:hAnsi="Arial" w:cs="Times New Roman"/>
                <w:sz w:val="18"/>
                <w:szCs w:val="18"/>
                <w:lang w:val="en-AU"/>
              </w:rPr>
              <w:t>Lowest capital cost. Includes land contact in treatment process  options and maintains stream flow in Tributary A.</w:t>
            </w:r>
            <w:r>
              <w:rPr>
                <w:rFonts w:ascii="Arial" w:eastAsia="Times New Roman" w:hAnsi="Arial" w:cs="Times New Roman"/>
                <w:sz w:val="18"/>
                <w:szCs w:val="18"/>
                <w:lang w:val="en-AU"/>
              </w:rPr>
              <w:t xml:space="preserve"> </w:t>
            </w:r>
            <w:r w:rsidRPr="00ED6B8F">
              <w:rPr>
                <w:rFonts w:ascii="Arial" w:eastAsia="Times New Roman" w:hAnsi="Arial" w:cs="Times New Roman"/>
                <w:sz w:val="18"/>
                <w:szCs w:val="18"/>
                <w:lang w:val="en-AU"/>
              </w:rPr>
              <w:t>With inclusion of restoration of Tributary A could have significant environmental benefits.</w:t>
            </w:r>
          </w:p>
        </w:tc>
      </w:tr>
      <w:tr w:rsidR="00D71E8E" w14:paraId="356CB597" w14:textId="77777777" w:rsidTr="00E66F34">
        <w:trPr>
          <w:trHeight w:val="2491"/>
        </w:trPr>
        <w:tc>
          <w:tcPr>
            <w:tcW w:w="934" w:type="dxa"/>
          </w:tcPr>
          <w:p w14:paraId="042EF500" w14:textId="77777777" w:rsidR="00D71E8E" w:rsidRPr="00E66F34" w:rsidRDefault="00D71E8E" w:rsidP="00D71E8E">
            <w:pPr>
              <w:pStyle w:val="TableParagraph"/>
              <w:kinsoku w:val="0"/>
              <w:overflowPunct w:val="0"/>
              <w:rPr>
                <w:rFonts w:ascii="Arial" w:hAnsi="Arial"/>
                <w:b/>
                <w:sz w:val="18"/>
              </w:rPr>
            </w:pPr>
          </w:p>
          <w:p w14:paraId="1879B36E" w14:textId="77777777" w:rsidR="00D71E8E" w:rsidRPr="00ED6B8F" w:rsidRDefault="00D71E8E" w:rsidP="00D71E8E">
            <w:pPr>
              <w:pStyle w:val="Body"/>
              <w:ind w:left="0"/>
              <w:rPr>
                <w:sz w:val="18"/>
                <w:szCs w:val="18"/>
              </w:rPr>
            </w:pPr>
            <w:r w:rsidRPr="00ED6B8F">
              <w:rPr>
                <w:b/>
                <w:sz w:val="18"/>
                <w:szCs w:val="18"/>
              </w:rPr>
              <w:t>4a</w:t>
            </w:r>
            <w:r>
              <w:rPr>
                <w:b/>
                <w:bCs/>
                <w:sz w:val="18"/>
                <w:szCs w:val="18"/>
              </w:rPr>
              <w:t xml:space="preserve"> </w:t>
            </w:r>
            <w:r w:rsidRPr="00ED6B8F">
              <w:rPr>
                <w:b/>
                <w:sz w:val="18"/>
                <w:szCs w:val="18"/>
              </w:rPr>
              <w:t>(2)</w:t>
            </w:r>
          </w:p>
        </w:tc>
        <w:tc>
          <w:tcPr>
            <w:tcW w:w="1709" w:type="dxa"/>
          </w:tcPr>
          <w:p w14:paraId="0FE53FCE" w14:textId="77777777" w:rsidR="00D71E8E" w:rsidRPr="00ED6B8F" w:rsidRDefault="00D71E8E" w:rsidP="00D71E8E">
            <w:pPr>
              <w:pStyle w:val="TableParagraph"/>
              <w:kinsoku w:val="0"/>
              <w:overflowPunct w:val="0"/>
              <w:ind w:right="96"/>
              <w:rPr>
                <w:rFonts w:ascii="Arial" w:eastAsia="Times New Roman" w:hAnsi="Arial" w:cs="Times New Roman"/>
                <w:sz w:val="18"/>
                <w:szCs w:val="18"/>
                <w:lang w:val="en-AU"/>
              </w:rPr>
            </w:pPr>
            <w:r w:rsidRPr="00ED6B8F">
              <w:rPr>
                <w:rFonts w:ascii="Arial" w:eastAsia="Times New Roman" w:hAnsi="Arial" w:cs="Times New Roman"/>
                <w:sz w:val="18"/>
                <w:szCs w:val="18"/>
                <w:lang w:val="en-AU"/>
              </w:rPr>
              <w:t>Upgrade existing treatment plant with advanced treatment process (SBR)</w:t>
            </w:r>
            <w:r>
              <w:rPr>
                <w:rFonts w:ascii="Arial" w:eastAsia="Times New Roman" w:hAnsi="Arial" w:cs="Times New Roman"/>
                <w:sz w:val="18"/>
                <w:szCs w:val="18"/>
                <w:lang w:val="en-AU"/>
              </w:rPr>
              <w:t>.</w:t>
            </w:r>
            <w:r w:rsidRPr="00120410">
              <w:rPr>
                <w:rFonts w:cs="Arial"/>
                <w:sz w:val="18"/>
                <w:szCs w:val="18"/>
              </w:rPr>
              <w:t xml:space="preserve"> </w:t>
            </w:r>
            <w:r w:rsidRPr="00ED6B8F">
              <w:rPr>
                <w:rFonts w:ascii="Arial" w:eastAsia="Times New Roman" w:hAnsi="Arial" w:cs="Times New Roman"/>
                <w:sz w:val="18"/>
                <w:szCs w:val="18"/>
                <w:lang w:val="en-AU"/>
              </w:rPr>
              <w:t>Maintain</w:t>
            </w:r>
            <w:r>
              <w:rPr>
                <w:rFonts w:ascii="Arial" w:eastAsia="Times New Roman" w:hAnsi="Arial" w:cs="Times New Roman"/>
                <w:sz w:val="18"/>
                <w:szCs w:val="18"/>
                <w:lang w:val="en-AU"/>
              </w:rPr>
              <w:t xml:space="preserve"> </w:t>
            </w:r>
            <w:r w:rsidRPr="00ED6B8F">
              <w:rPr>
                <w:rFonts w:ascii="Arial" w:eastAsia="Times New Roman" w:hAnsi="Arial" w:cs="Times New Roman"/>
                <w:sz w:val="18"/>
                <w:szCs w:val="18"/>
                <w:lang w:val="en-AU"/>
              </w:rPr>
              <w:t>discharge at current location</w:t>
            </w:r>
          </w:p>
        </w:tc>
        <w:tc>
          <w:tcPr>
            <w:tcW w:w="1323" w:type="dxa"/>
          </w:tcPr>
          <w:p w14:paraId="68CD8831" w14:textId="77777777" w:rsidR="005E7EEA" w:rsidRPr="00E66F34" w:rsidRDefault="005E7EEA" w:rsidP="00A352AD">
            <w:pPr>
              <w:pStyle w:val="TableParagraph"/>
              <w:kinsoku w:val="0"/>
              <w:overflowPunct w:val="0"/>
              <w:jc w:val="center"/>
              <w:rPr>
                <w:rFonts w:ascii="Arial" w:hAnsi="Arial"/>
                <w:sz w:val="18"/>
              </w:rPr>
            </w:pPr>
          </w:p>
          <w:p w14:paraId="2FEEAF25" w14:textId="77777777" w:rsidR="00D71E8E" w:rsidRPr="00ED6B8F" w:rsidRDefault="005E7EEA" w:rsidP="00A352AD">
            <w:pPr>
              <w:pStyle w:val="Body"/>
              <w:spacing w:before="0" w:after="0"/>
              <w:ind w:left="0"/>
              <w:jc w:val="center"/>
              <w:rPr>
                <w:sz w:val="18"/>
                <w:szCs w:val="18"/>
              </w:rPr>
            </w:pPr>
            <w:r>
              <w:rPr>
                <w:w w:val="95"/>
                <w:sz w:val="18"/>
                <w:szCs w:val="18"/>
              </w:rPr>
              <w:t>16</w:t>
            </w:r>
          </w:p>
        </w:tc>
        <w:tc>
          <w:tcPr>
            <w:tcW w:w="1323" w:type="dxa"/>
          </w:tcPr>
          <w:p w14:paraId="72C1F521" w14:textId="77777777" w:rsidR="00D71E8E" w:rsidRPr="00E66F34" w:rsidRDefault="00D71E8E" w:rsidP="00A352AD">
            <w:pPr>
              <w:pStyle w:val="TableParagraph"/>
              <w:kinsoku w:val="0"/>
              <w:overflowPunct w:val="0"/>
              <w:jc w:val="center"/>
              <w:rPr>
                <w:rFonts w:ascii="Arial" w:hAnsi="Arial"/>
                <w:sz w:val="18"/>
              </w:rPr>
            </w:pPr>
          </w:p>
          <w:p w14:paraId="15E5F943" w14:textId="77777777" w:rsidR="00D71E8E" w:rsidRPr="00ED6B8F" w:rsidRDefault="005E7EEA" w:rsidP="00A352AD">
            <w:pPr>
              <w:pStyle w:val="Body"/>
              <w:spacing w:before="0" w:after="0"/>
              <w:ind w:left="0"/>
              <w:jc w:val="center"/>
              <w:rPr>
                <w:sz w:val="18"/>
                <w:szCs w:val="18"/>
              </w:rPr>
            </w:pPr>
            <w:r>
              <w:rPr>
                <w:sz w:val="18"/>
                <w:szCs w:val="18"/>
              </w:rPr>
              <w:t>0.3</w:t>
            </w:r>
          </w:p>
        </w:tc>
        <w:tc>
          <w:tcPr>
            <w:tcW w:w="1324" w:type="dxa"/>
          </w:tcPr>
          <w:p w14:paraId="32984600" w14:textId="77777777" w:rsidR="00D71E8E" w:rsidRPr="001005A3" w:rsidRDefault="00D71E8E" w:rsidP="00D71E8E">
            <w:pPr>
              <w:pStyle w:val="TableParagraph"/>
              <w:kinsoku w:val="0"/>
              <w:overflowPunct w:val="0"/>
              <w:rPr>
                <w:b/>
                <w:sz w:val="18"/>
              </w:rPr>
            </w:pPr>
          </w:p>
          <w:p w14:paraId="16C22C7E" w14:textId="77777777" w:rsidR="00D71E8E" w:rsidRPr="00ED6B8F" w:rsidRDefault="00D71E8E" w:rsidP="00D71E8E">
            <w:pPr>
              <w:pStyle w:val="Body"/>
              <w:spacing w:before="0" w:after="0"/>
              <w:ind w:left="0"/>
              <w:rPr>
                <w:sz w:val="18"/>
                <w:szCs w:val="18"/>
              </w:rPr>
            </w:pPr>
            <w:r w:rsidRPr="00ED6B8F">
              <w:rPr>
                <w:sz w:val="18"/>
                <w:szCs w:val="18"/>
              </w:rPr>
              <w:t>Tributary / Hoteo River</w:t>
            </w:r>
          </w:p>
        </w:tc>
        <w:tc>
          <w:tcPr>
            <w:tcW w:w="2383" w:type="dxa"/>
          </w:tcPr>
          <w:p w14:paraId="3231A3FB" w14:textId="77777777" w:rsidR="00D71E8E" w:rsidRPr="00ED6B8F" w:rsidRDefault="00D71E8E" w:rsidP="00D71E8E">
            <w:pPr>
              <w:pStyle w:val="TableParagraph"/>
              <w:kinsoku w:val="0"/>
              <w:overflowPunct w:val="0"/>
              <w:ind w:right="197"/>
              <w:rPr>
                <w:rFonts w:ascii="Arial" w:eastAsia="Times New Roman" w:hAnsi="Arial" w:cs="Times New Roman"/>
                <w:sz w:val="18"/>
                <w:szCs w:val="18"/>
                <w:lang w:val="en-AU"/>
              </w:rPr>
            </w:pPr>
            <w:r w:rsidRPr="00ED6B8F">
              <w:rPr>
                <w:rFonts w:ascii="Arial" w:eastAsia="Times New Roman" w:hAnsi="Arial" w:cs="Times New Roman"/>
                <w:sz w:val="18"/>
                <w:szCs w:val="18"/>
                <w:lang w:val="en-AU"/>
              </w:rPr>
              <w:t>One of the lower cost options and maintains stream flow in Tributary A. Proven treatment technology.</w:t>
            </w:r>
            <w:r>
              <w:rPr>
                <w:rFonts w:ascii="Arial" w:eastAsia="Times New Roman" w:hAnsi="Arial" w:cs="Times New Roman"/>
                <w:sz w:val="18"/>
                <w:szCs w:val="18"/>
                <w:lang w:val="en-AU"/>
              </w:rPr>
              <w:t xml:space="preserve"> </w:t>
            </w:r>
            <w:r w:rsidRPr="00ED6B8F">
              <w:rPr>
                <w:rFonts w:ascii="Arial" w:eastAsia="Times New Roman" w:hAnsi="Arial" w:cs="Times New Roman"/>
                <w:sz w:val="18"/>
                <w:szCs w:val="18"/>
                <w:lang w:val="en-AU"/>
              </w:rPr>
              <w:t>With inclusion of restoration of Tributary A could have significant environmental benefits.</w:t>
            </w:r>
          </w:p>
        </w:tc>
      </w:tr>
      <w:tr w:rsidR="00D71E8E" w14:paraId="497BFD35" w14:textId="77777777" w:rsidTr="00E66F34">
        <w:trPr>
          <w:trHeight w:val="2478"/>
        </w:trPr>
        <w:tc>
          <w:tcPr>
            <w:tcW w:w="934" w:type="dxa"/>
          </w:tcPr>
          <w:p w14:paraId="267F40CB" w14:textId="77777777" w:rsidR="00D71E8E" w:rsidRPr="00E66F34" w:rsidRDefault="00D71E8E" w:rsidP="00D71E8E">
            <w:pPr>
              <w:pStyle w:val="TableParagraph"/>
              <w:kinsoku w:val="0"/>
              <w:overflowPunct w:val="0"/>
              <w:rPr>
                <w:rFonts w:ascii="Arial" w:hAnsi="Arial"/>
                <w:b/>
                <w:sz w:val="18"/>
              </w:rPr>
            </w:pPr>
          </w:p>
          <w:p w14:paraId="7AE5648A" w14:textId="77777777" w:rsidR="00D71E8E" w:rsidRPr="00ED6B8F" w:rsidRDefault="00D71E8E" w:rsidP="00D71E8E">
            <w:pPr>
              <w:pStyle w:val="Body"/>
              <w:ind w:left="0"/>
              <w:rPr>
                <w:sz w:val="18"/>
                <w:szCs w:val="18"/>
              </w:rPr>
            </w:pPr>
            <w:r w:rsidRPr="00ED6B8F">
              <w:rPr>
                <w:b/>
                <w:sz w:val="18"/>
                <w:szCs w:val="18"/>
              </w:rPr>
              <w:t>7(a)</w:t>
            </w:r>
          </w:p>
        </w:tc>
        <w:tc>
          <w:tcPr>
            <w:tcW w:w="1709" w:type="dxa"/>
          </w:tcPr>
          <w:p w14:paraId="4D4EF632" w14:textId="77777777" w:rsidR="00D71E8E" w:rsidRPr="00ED6B8F" w:rsidRDefault="00D71E8E" w:rsidP="00D71E8E">
            <w:pPr>
              <w:pStyle w:val="Body"/>
              <w:spacing w:before="0" w:after="0"/>
              <w:ind w:left="0" w:right="96"/>
              <w:rPr>
                <w:sz w:val="18"/>
                <w:szCs w:val="18"/>
              </w:rPr>
            </w:pPr>
            <w:r w:rsidRPr="00ED6B8F">
              <w:rPr>
                <w:sz w:val="18"/>
                <w:szCs w:val="18"/>
              </w:rPr>
              <w:t>Land Disposal (Dual Discharge)</w:t>
            </w:r>
          </w:p>
        </w:tc>
        <w:tc>
          <w:tcPr>
            <w:tcW w:w="1323" w:type="dxa"/>
          </w:tcPr>
          <w:p w14:paraId="6947C3F0" w14:textId="77777777" w:rsidR="00D71E8E" w:rsidRPr="00E66F34" w:rsidRDefault="00D71E8E" w:rsidP="00A352AD">
            <w:pPr>
              <w:pStyle w:val="TableParagraph"/>
              <w:kinsoku w:val="0"/>
              <w:overflowPunct w:val="0"/>
              <w:jc w:val="center"/>
              <w:rPr>
                <w:rFonts w:ascii="Arial" w:hAnsi="Arial"/>
                <w:sz w:val="18"/>
              </w:rPr>
            </w:pPr>
          </w:p>
          <w:p w14:paraId="0134BDFC" w14:textId="77777777" w:rsidR="00D71E8E" w:rsidRPr="00ED6B8F" w:rsidRDefault="005E7EEA" w:rsidP="00A352AD">
            <w:pPr>
              <w:pStyle w:val="Body"/>
              <w:spacing w:before="0" w:after="0"/>
              <w:ind w:left="0"/>
              <w:jc w:val="center"/>
              <w:rPr>
                <w:sz w:val="18"/>
                <w:szCs w:val="18"/>
              </w:rPr>
            </w:pPr>
            <w:r>
              <w:rPr>
                <w:sz w:val="18"/>
                <w:szCs w:val="18"/>
              </w:rPr>
              <w:t>22</w:t>
            </w:r>
          </w:p>
        </w:tc>
        <w:tc>
          <w:tcPr>
            <w:tcW w:w="1323" w:type="dxa"/>
          </w:tcPr>
          <w:p w14:paraId="5F692052" w14:textId="77777777" w:rsidR="00D71E8E" w:rsidRPr="00E66F34" w:rsidRDefault="00D71E8E" w:rsidP="00A352AD">
            <w:pPr>
              <w:pStyle w:val="TableParagraph"/>
              <w:kinsoku w:val="0"/>
              <w:overflowPunct w:val="0"/>
              <w:jc w:val="center"/>
              <w:rPr>
                <w:rFonts w:ascii="Arial" w:hAnsi="Arial"/>
                <w:sz w:val="18"/>
              </w:rPr>
            </w:pPr>
          </w:p>
          <w:p w14:paraId="5F09D755" w14:textId="77777777" w:rsidR="00D71E8E" w:rsidRPr="00ED6B8F" w:rsidRDefault="005E7EEA" w:rsidP="00A352AD">
            <w:pPr>
              <w:pStyle w:val="Body"/>
              <w:spacing w:before="0" w:after="0"/>
              <w:ind w:left="0"/>
              <w:jc w:val="center"/>
              <w:rPr>
                <w:sz w:val="18"/>
                <w:szCs w:val="18"/>
              </w:rPr>
            </w:pPr>
            <w:r>
              <w:rPr>
                <w:sz w:val="18"/>
                <w:szCs w:val="18"/>
              </w:rPr>
              <w:t>0.64</w:t>
            </w:r>
          </w:p>
        </w:tc>
        <w:tc>
          <w:tcPr>
            <w:tcW w:w="1324" w:type="dxa"/>
          </w:tcPr>
          <w:p w14:paraId="1796D29D" w14:textId="77777777" w:rsidR="00D71E8E" w:rsidRPr="001005A3" w:rsidRDefault="00D71E8E" w:rsidP="00D71E8E">
            <w:pPr>
              <w:pStyle w:val="TableParagraph"/>
              <w:kinsoku w:val="0"/>
              <w:overflowPunct w:val="0"/>
              <w:rPr>
                <w:b/>
                <w:sz w:val="18"/>
              </w:rPr>
            </w:pPr>
          </w:p>
          <w:p w14:paraId="101A98BF" w14:textId="77777777" w:rsidR="00D71E8E" w:rsidRPr="00ED6B8F" w:rsidRDefault="00D71E8E" w:rsidP="00D71E8E">
            <w:pPr>
              <w:pStyle w:val="Body"/>
              <w:spacing w:before="0" w:after="0"/>
              <w:ind w:left="0"/>
              <w:rPr>
                <w:sz w:val="18"/>
                <w:szCs w:val="18"/>
              </w:rPr>
            </w:pPr>
            <w:r w:rsidRPr="00ED6B8F">
              <w:rPr>
                <w:sz w:val="18"/>
                <w:szCs w:val="18"/>
              </w:rPr>
              <w:t>Land / Hoteo River</w:t>
            </w:r>
          </w:p>
        </w:tc>
        <w:tc>
          <w:tcPr>
            <w:tcW w:w="2383" w:type="dxa"/>
          </w:tcPr>
          <w:p w14:paraId="67628457" w14:textId="77777777" w:rsidR="00D71E8E" w:rsidRPr="00ED6B8F" w:rsidRDefault="00D71E8E" w:rsidP="00D71E8E">
            <w:pPr>
              <w:pStyle w:val="TableParagraph"/>
              <w:kinsoku w:val="0"/>
              <w:overflowPunct w:val="0"/>
              <w:ind w:right="130"/>
              <w:rPr>
                <w:rFonts w:ascii="Arial" w:eastAsia="Times New Roman" w:hAnsi="Arial" w:cs="Times New Roman"/>
                <w:sz w:val="18"/>
                <w:szCs w:val="18"/>
                <w:lang w:val="en-AU"/>
              </w:rPr>
            </w:pPr>
            <w:r w:rsidRPr="0064462A">
              <w:rPr>
                <w:rFonts w:ascii="Arial" w:eastAsia="Times New Roman" w:hAnsi="Arial" w:cs="Times New Roman"/>
                <w:sz w:val="18"/>
                <w:szCs w:val="18"/>
                <w:lang w:val="en-AU"/>
              </w:rPr>
              <w:t>Includes land disposal for at least some of the year. Only removes discharge from Tributary A during low/no flows.</w:t>
            </w:r>
            <w:r>
              <w:rPr>
                <w:rFonts w:ascii="Arial" w:eastAsia="Times New Roman" w:hAnsi="Arial" w:cs="Times New Roman"/>
                <w:sz w:val="18"/>
                <w:szCs w:val="18"/>
                <w:lang w:val="en-AU"/>
              </w:rPr>
              <w:t xml:space="preserve"> </w:t>
            </w:r>
            <w:r w:rsidRPr="00ED6B8F">
              <w:rPr>
                <w:rFonts w:ascii="Arial" w:eastAsia="Times New Roman" w:hAnsi="Arial" w:cs="Times New Roman"/>
                <w:sz w:val="18"/>
                <w:szCs w:val="18"/>
                <w:lang w:val="en-AU"/>
              </w:rPr>
              <w:t>Potential issues around lack of control over irrigation of Wellsford Golf Course. Could limit irrigation capability.</w:t>
            </w:r>
          </w:p>
        </w:tc>
      </w:tr>
    </w:tbl>
    <w:p w14:paraId="34ADC0E8" w14:textId="77777777" w:rsidR="00CC45BF" w:rsidRPr="00CC45BF" w:rsidRDefault="00CC45BF" w:rsidP="00CC45BF">
      <w:pPr>
        <w:pStyle w:val="Body"/>
        <w:rPr>
          <w:lang w:eastAsia="en-AU"/>
        </w:rPr>
      </w:pPr>
    </w:p>
    <w:p w14:paraId="08CE5848" w14:textId="77777777" w:rsidR="007D5634" w:rsidRDefault="009A061E" w:rsidP="007D5634">
      <w:pPr>
        <w:pStyle w:val="Heading3"/>
        <w:rPr>
          <w:lang w:eastAsia="en-AU"/>
        </w:rPr>
      </w:pPr>
      <w:r>
        <w:rPr>
          <w:lang w:eastAsia="en-AU"/>
        </w:rPr>
        <w:t>Receiving environment</w:t>
      </w:r>
    </w:p>
    <w:p w14:paraId="6F1D6705" w14:textId="77777777" w:rsidR="00D71E8E" w:rsidRPr="002A4025" w:rsidRDefault="00D71E8E" w:rsidP="00D71E8E">
      <w:pPr>
        <w:pStyle w:val="Body"/>
      </w:pPr>
      <w:r w:rsidRPr="002A4025">
        <w:t xml:space="preserve">Wellsford WWTP currently discharges treated wastewater into a tributary of the Hoteo River </w:t>
      </w:r>
      <w:r w:rsidR="00E06D5B" w:rsidRPr="002A4025">
        <w:t>southeast</w:t>
      </w:r>
      <w:r w:rsidRPr="002A4025">
        <w:t xml:space="preserve"> of Wellsford. There are no routine </w:t>
      </w:r>
      <w:r>
        <w:t xml:space="preserve">Regional Council </w:t>
      </w:r>
      <w:r w:rsidRPr="002A4025">
        <w:t>water quality monitoring sites located within the catchment</w:t>
      </w:r>
      <w:r>
        <w:t xml:space="preserve"> (LAWA sites)</w:t>
      </w:r>
      <w:r w:rsidRPr="002A4025">
        <w:t xml:space="preserve">. </w:t>
      </w:r>
    </w:p>
    <w:p w14:paraId="560612BE" w14:textId="77777777" w:rsidR="00D71E8E" w:rsidRPr="002A4025" w:rsidRDefault="00D71E8E" w:rsidP="00D71E8E">
      <w:pPr>
        <w:pStyle w:val="Body"/>
      </w:pPr>
      <w:r w:rsidRPr="002A4025">
        <w:t xml:space="preserve">A Northland Regional Council water quality monitoring site is located in an adjacent catchment with similar properties as the Wellsford WWTP catchment. Monitoring results from 2015 to 2016 show that the adjacent catchment is within the </w:t>
      </w:r>
      <w:r>
        <w:t xml:space="preserve">Attribute A values </w:t>
      </w:r>
      <w:r w:rsidRPr="002A4025">
        <w:t xml:space="preserve">for total oxidised nitrogen, within the </w:t>
      </w:r>
      <w:r>
        <w:t>Attribute B</w:t>
      </w:r>
      <w:r w:rsidRPr="002A4025">
        <w:t xml:space="preserve"> for ammonia and below the </w:t>
      </w:r>
      <w:r>
        <w:t xml:space="preserve">Attribute </w:t>
      </w:r>
      <w:r w:rsidR="009776A1">
        <w:t xml:space="preserve">C </w:t>
      </w:r>
      <w:r w:rsidR="009776A1" w:rsidRPr="002A4025">
        <w:t>for</w:t>
      </w:r>
      <w:r w:rsidRPr="002A4025">
        <w:t xml:space="preserve"> </w:t>
      </w:r>
      <w:r>
        <w:rPr>
          <w:i/>
        </w:rPr>
        <w:t>E.coli</w:t>
      </w:r>
      <w:r w:rsidRPr="002A4025">
        <w:t xml:space="preserve">. Water quality results provided in a report prepared for the resource consent for the Wellsford WWTP  indicate the water quality within the tributary is in the </w:t>
      </w:r>
      <w:r>
        <w:t xml:space="preserve">Attribute </w:t>
      </w:r>
      <w:r w:rsidRPr="002A4025">
        <w:t xml:space="preserve">‘C or D category’ for ammonia, </w:t>
      </w:r>
      <w:r>
        <w:t>Attribute A</w:t>
      </w:r>
      <w:r w:rsidRPr="002A4025">
        <w:t xml:space="preserve"> for total oxidised nitrogen and </w:t>
      </w:r>
      <w:r>
        <w:t xml:space="preserve">Attribute </w:t>
      </w:r>
      <w:r w:rsidRPr="002A4025">
        <w:t xml:space="preserve">D or E for </w:t>
      </w:r>
      <w:r>
        <w:rPr>
          <w:i/>
        </w:rPr>
        <w:t>E.coli</w:t>
      </w:r>
      <w:r w:rsidRPr="002A4025">
        <w:t xml:space="preserve">. </w:t>
      </w:r>
    </w:p>
    <w:p w14:paraId="4209DA77" w14:textId="77777777" w:rsidR="00D71E8E" w:rsidRPr="002A4025" w:rsidRDefault="00D71E8E" w:rsidP="00D71E8E">
      <w:pPr>
        <w:pStyle w:val="Body"/>
      </w:pPr>
      <w:r w:rsidRPr="002A4025">
        <w:lastRenderedPageBreak/>
        <w:t xml:space="preserve">Approximately 94% of land cover within the catchment of the Wellsford WWTP has been categorised as nutrient contributing land. This indicates that there is a </w:t>
      </w:r>
      <w:r w:rsidR="005E7EEA">
        <w:t>large</w:t>
      </w:r>
      <w:r w:rsidRPr="002A4025">
        <w:t xml:space="preserve"> proportion of land within the catchment </w:t>
      </w:r>
      <w:r w:rsidR="005E7EEA">
        <w:t>that</w:t>
      </w:r>
      <w:r w:rsidRPr="002A4025">
        <w:t xml:space="preserve"> could be contributing towards the existing nutrient concentrations within the receiving environment. Further, the WWTP typically contributes approximately 6.1% to the total flow of the receiving environment. This is a </w:t>
      </w:r>
      <w:r w:rsidR="005E7EEA">
        <w:t xml:space="preserve">large </w:t>
      </w:r>
      <w:r w:rsidRPr="002A4025">
        <w:t>(</w:t>
      </w:r>
      <w:r w:rsidR="005E7EEA">
        <w:t>large</w:t>
      </w:r>
      <w:r w:rsidRPr="002A4025">
        <w:t xml:space="preserve"> benefit) water quantity contribution compared to the overall volume of the receiving water body, thus nutrients and other outputs from the WWTP are likely to influence existing nutrient concentrations after reasonable mixing.</w:t>
      </w:r>
    </w:p>
    <w:p w14:paraId="0F0EE019" w14:textId="77777777" w:rsidR="00D71E8E" w:rsidRDefault="00D71E8E" w:rsidP="00D71E8E">
      <w:pPr>
        <w:pStyle w:val="Body"/>
      </w:pPr>
      <w:r w:rsidRPr="002A4025">
        <w:t>An upgrade of the existing Wellsford WWTP to a grade which meets the NPS</w:t>
      </w:r>
      <w:r>
        <w:t xml:space="preserve"> Freshwater Attribute B </w:t>
      </w:r>
      <w:r w:rsidRPr="002A4025">
        <w:t xml:space="preserve">for total oxidised nitrogen, ammonia and </w:t>
      </w:r>
      <w:r w:rsidRPr="006B6FC9">
        <w:rPr>
          <w:i/>
        </w:rPr>
        <w:t xml:space="preserve">E. </w:t>
      </w:r>
      <w:r>
        <w:rPr>
          <w:i/>
        </w:rPr>
        <w:t>C</w:t>
      </w:r>
      <w:r w:rsidRPr="006B6FC9">
        <w:rPr>
          <w:i/>
        </w:rPr>
        <w:t>oli</w:t>
      </w:r>
      <w:r w:rsidRPr="002A4025">
        <w:t xml:space="preserve">. at the end of pipe would likely provide a moderate benefit to the existing water quality of the receiving environment. </w:t>
      </w:r>
    </w:p>
    <w:p w14:paraId="48B7E2E4" w14:textId="77777777" w:rsidR="00D71E8E" w:rsidRPr="002A4025" w:rsidRDefault="00D71E8E" w:rsidP="00D71E8E">
      <w:pPr>
        <w:pStyle w:val="Body"/>
      </w:pPr>
      <w:r w:rsidRPr="002A4025">
        <w:t xml:space="preserve">The moderate benefit is based on a </w:t>
      </w:r>
      <w:r w:rsidR="005E7EEA">
        <w:t>large</w:t>
      </w:r>
      <w:r w:rsidRPr="002A4025">
        <w:t xml:space="preserve"> proportion of nutrient contributing land within the catchment and </w:t>
      </w:r>
      <w:r w:rsidR="005E7EEA">
        <w:t>large</w:t>
      </w:r>
      <w:r w:rsidRPr="005E207C">
        <w:t xml:space="preserve"> </w:t>
      </w:r>
      <w:r w:rsidRPr="002A4025">
        <w:t>water quantity contribution to the receiving environment.</w:t>
      </w:r>
    </w:p>
    <w:p w14:paraId="51882D6D" w14:textId="77777777" w:rsidR="004C7B53" w:rsidRPr="004C7B53" w:rsidRDefault="007D5634" w:rsidP="007D5634">
      <w:pPr>
        <w:pStyle w:val="Heading3"/>
        <w:rPr>
          <w:lang w:eastAsia="en-AU"/>
        </w:rPr>
      </w:pPr>
      <w:r>
        <w:rPr>
          <w:lang w:eastAsia="en-AU"/>
        </w:rPr>
        <w:t xml:space="preserve">Current </w:t>
      </w:r>
      <w:r w:rsidR="003C4B30">
        <w:rPr>
          <w:lang w:eastAsia="en-AU"/>
        </w:rPr>
        <w:t>state</w:t>
      </w:r>
    </w:p>
    <w:p w14:paraId="70439E50" w14:textId="77777777" w:rsidR="00D37179" w:rsidRPr="00D37179" w:rsidRDefault="00D37179" w:rsidP="00D71E8E">
      <w:pPr>
        <w:pStyle w:val="Body"/>
        <w:rPr>
          <w:lang w:eastAsia="en-AU"/>
        </w:rPr>
      </w:pPr>
      <w:r w:rsidRPr="00D37179">
        <w:rPr>
          <w:lang w:eastAsia="en-AU"/>
        </w:rPr>
        <w:t>At the time of drafting this report, the consent, as described, has been granted and the pilot plant is being constructed on site. Once complete, operation of the pilot plant will inform final plant design and enable a fully operational Advanced Wetland Treatment system to be built.</w:t>
      </w:r>
    </w:p>
    <w:p w14:paraId="6D1D5C98" w14:textId="77777777" w:rsidR="00D37179" w:rsidRPr="00C20437" w:rsidRDefault="002A4025" w:rsidP="00C20437">
      <w:pPr>
        <w:pStyle w:val="Heading3"/>
      </w:pPr>
      <w:r w:rsidRPr="00C20437">
        <w:t xml:space="preserve">Case </w:t>
      </w:r>
      <w:r w:rsidR="00D54348" w:rsidRPr="00C20437">
        <w:t xml:space="preserve">study </w:t>
      </w:r>
      <w:r w:rsidRPr="00C20437">
        <w:t xml:space="preserve">3 </w:t>
      </w:r>
      <w:r w:rsidR="003C4B30" w:rsidRPr="00C20437">
        <w:t>relevance</w:t>
      </w:r>
    </w:p>
    <w:p w14:paraId="1A7624E3" w14:textId="77777777" w:rsidR="00D71E8E" w:rsidRPr="004F7469" w:rsidRDefault="00D71E8E" w:rsidP="00D71E8E">
      <w:pPr>
        <w:pStyle w:val="Body"/>
        <w:numPr>
          <w:ilvl w:val="0"/>
          <w:numId w:val="104"/>
        </w:numPr>
      </w:pPr>
      <w:r w:rsidRPr="004F7469">
        <w:t xml:space="preserve">Resource consents – The case study highlights the complexity and timeframes that </w:t>
      </w:r>
      <w:r>
        <w:t>can apply to</w:t>
      </w:r>
      <w:r w:rsidRPr="004F7469">
        <w:t xml:space="preserve"> consent processes </w:t>
      </w:r>
      <w:r>
        <w:t>for WWTPs within smaller communities. Th</w:t>
      </w:r>
      <w:r w:rsidR="00A71ABB">
        <w:t>e</w:t>
      </w:r>
      <w:r w:rsidRPr="004F7469">
        <w:t xml:space="preserve"> re</w:t>
      </w:r>
      <w:r>
        <w:t>-</w:t>
      </w:r>
      <w:r w:rsidRPr="004F7469">
        <w:t>consenting process</w:t>
      </w:r>
      <w:r>
        <w:t>,</w:t>
      </w:r>
      <w:r w:rsidRPr="004F7469">
        <w:t xml:space="preserve"> in this particular instance</w:t>
      </w:r>
      <w:r>
        <w:t>,</w:t>
      </w:r>
      <w:r w:rsidRPr="004F7469">
        <w:t xml:space="preserve"> took almost 18 years from first application to the consent being granted. </w:t>
      </w:r>
      <w:r>
        <w:t>A large part of this delay may have been related to the previous Councils ability to fully fund upgrade costs.</w:t>
      </w:r>
      <w:r w:rsidRPr="004F7469">
        <w:t xml:space="preserve"> Whilst it was not possible to assign a direct cost to this process, due to the longevity, it can only be assumed that it was reasonably significant.</w:t>
      </w:r>
    </w:p>
    <w:p w14:paraId="4171E112" w14:textId="77777777" w:rsidR="00D71E8E" w:rsidRPr="00D46AF3" w:rsidRDefault="00D71E8E" w:rsidP="00D71E8E">
      <w:pPr>
        <w:pStyle w:val="Body"/>
        <w:numPr>
          <w:ilvl w:val="0"/>
          <w:numId w:val="104"/>
        </w:numPr>
      </w:pPr>
      <w:r w:rsidRPr="00D46AF3">
        <w:t>Cost estimates – Watercare has identified upgrade options that range from a capital investment of $9 M</w:t>
      </w:r>
      <w:r w:rsidR="00A71ABB">
        <w:t>illion</w:t>
      </w:r>
      <w:r w:rsidRPr="00D46AF3">
        <w:t xml:space="preserve"> to $ 22 M</w:t>
      </w:r>
      <w:r w:rsidR="00A71ABB">
        <w:t>illion</w:t>
      </w:r>
      <w:r w:rsidRPr="00D46AF3">
        <w:t xml:space="preserve"> to serve a future population equivalent of 5000. </w:t>
      </w:r>
      <w:r w:rsidR="003D4DD8">
        <w:t xml:space="preserve">These cost estimates are a useful reference for this study. </w:t>
      </w:r>
      <w:r w:rsidRPr="00D46AF3">
        <w:t xml:space="preserve">The case study </w:t>
      </w:r>
      <w:r w:rsidR="003D4DD8">
        <w:t xml:space="preserve">also </w:t>
      </w:r>
      <w:r w:rsidRPr="00D46AF3">
        <w:t>highlights a potential lower cost option for councils when undertaking treatment plant upgrades required to achieve enhanced environmental outcomes, whilst managing capital and ongoing operation and maintenance costs. As outlined above</w:t>
      </w:r>
      <w:r w:rsidR="003D4DD8">
        <w:t xml:space="preserve"> the option Watercare has chosen to advance,</w:t>
      </w:r>
      <w:r w:rsidR="00335A40">
        <w:t xml:space="preserve"> </w:t>
      </w:r>
      <w:r w:rsidRPr="00D46AF3">
        <w:t xml:space="preserve">Advanced Wetland Treatment systems are a new technology in New Zealand. </w:t>
      </w:r>
      <w:r w:rsidR="003D4DD8">
        <w:t xml:space="preserve">Capital investment is estimated at $ 9M for this option. </w:t>
      </w:r>
      <w:r w:rsidRPr="00D46AF3">
        <w:t xml:space="preserve">The work that Watercare is undertaking in not only proving its capability, but also constructing a full scale plant, will </w:t>
      </w:r>
      <w:r w:rsidR="005E64C0">
        <w:t xml:space="preserve">provide valuable information to </w:t>
      </w:r>
      <w:r w:rsidRPr="00D46AF3">
        <w:t xml:space="preserve">other wastewater providers </w:t>
      </w:r>
      <w:r w:rsidR="005E64C0">
        <w:t>that are considering adopting a similar approach</w:t>
      </w:r>
      <w:r w:rsidR="009776A1">
        <w:t>.</w:t>
      </w:r>
    </w:p>
    <w:p w14:paraId="48D449C1" w14:textId="77777777" w:rsidR="004F7469" w:rsidRDefault="00D71E8E" w:rsidP="00D71E8E">
      <w:pPr>
        <w:pStyle w:val="Body"/>
        <w:numPr>
          <w:ilvl w:val="0"/>
          <w:numId w:val="104"/>
        </w:numPr>
      </w:pPr>
      <w:r w:rsidRPr="00D46AF3">
        <w:t xml:space="preserve">Receiving environment – An upgrade of the existing Wellsford WWTP to a grade which meets the NPS Freshwater Attribute B for </w:t>
      </w:r>
      <w:r>
        <w:t xml:space="preserve">nitrate, </w:t>
      </w:r>
      <w:r w:rsidRPr="00D46AF3">
        <w:t xml:space="preserve">total oxidised nitrogen, ammonia and </w:t>
      </w:r>
      <w:r w:rsidRPr="00E66F34">
        <w:rPr>
          <w:i/>
        </w:rPr>
        <w:t>E. Coli</w:t>
      </w:r>
      <w:r w:rsidRPr="00D46AF3">
        <w:t>. at the end of pipe w</w:t>
      </w:r>
      <w:r>
        <w:t xml:space="preserve">ill </w:t>
      </w:r>
      <w:r w:rsidRPr="00D46AF3">
        <w:t>likely provide a moderate benefit to the existing water quality of the receiving environment.</w:t>
      </w:r>
    </w:p>
    <w:p w14:paraId="131E3F44" w14:textId="77777777" w:rsidR="00526670" w:rsidRDefault="00526670" w:rsidP="00526670">
      <w:pPr>
        <w:pStyle w:val="Body"/>
      </w:pPr>
    </w:p>
    <w:p w14:paraId="0A6DD87E" w14:textId="77777777" w:rsidR="00526670" w:rsidRDefault="00526670">
      <w:pPr>
        <w:spacing w:after="0"/>
      </w:pPr>
      <w:r>
        <w:br w:type="page"/>
      </w:r>
    </w:p>
    <w:p w14:paraId="33170382" w14:textId="77777777" w:rsidR="007214E3" w:rsidRDefault="007214E3" w:rsidP="00A27F3D">
      <w:pPr>
        <w:pStyle w:val="Heading1"/>
        <w:rPr>
          <w:lang w:eastAsia="en-AU"/>
        </w:rPr>
      </w:pPr>
      <w:bookmarkStart w:id="327" w:name="_Toc516741339"/>
      <w:bookmarkStart w:id="328" w:name="_Toc516840533"/>
      <w:bookmarkStart w:id="329" w:name="_Toc517267843"/>
      <w:bookmarkStart w:id="330" w:name="_Toc517707405"/>
      <w:bookmarkStart w:id="331" w:name="_Toc517787160"/>
      <w:bookmarkStart w:id="332" w:name="_Toc517793859"/>
      <w:bookmarkStart w:id="333" w:name="_Toc518646198"/>
      <w:bookmarkStart w:id="334" w:name="_Toc518653095"/>
      <w:bookmarkStart w:id="335" w:name="_Toc527638651"/>
      <w:r>
        <w:rPr>
          <w:lang w:eastAsia="en-AU"/>
        </w:rPr>
        <w:lastRenderedPageBreak/>
        <w:t xml:space="preserve">Upgrade </w:t>
      </w:r>
      <w:r w:rsidR="00811B63">
        <w:rPr>
          <w:lang w:eastAsia="en-AU"/>
        </w:rPr>
        <w:t xml:space="preserve">cost </w:t>
      </w:r>
      <w:bookmarkEnd w:id="327"/>
      <w:bookmarkEnd w:id="328"/>
      <w:bookmarkEnd w:id="329"/>
      <w:bookmarkEnd w:id="330"/>
      <w:r w:rsidR="00811B63">
        <w:rPr>
          <w:lang w:eastAsia="en-AU"/>
        </w:rPr>
        <w:t>development</w:t>
      </w:r>
      <w:bookmarkEnd w:id="331"/>
      <w:bookmarkEnd w:id="332"/>
      <w:bookmarkEnd w:id="333"/>
      <w:bookmarkEnd w:id="334"/>
      <w:bookmarkEnd w:id="335"/>
    </w:p>
    <w:p w14:paraId="14EE72BD" w14:textId="77777777" w:rsidR="003B65AD" w:rsidRDefault="008C230C" w:rsidP="002C75CD">
      <w:pPr>
        <w:pStyle w:val="Heading2"/>
        <w:rPr>
          <w:lang w:eastAsia="en-AU"/>
        </w:rPr>
      </w:pPr>
      <w:bookmarkStart w:id="336" w:name="_Toc517707406"/>
      <w:bookmarkStart w:id="337" w:name="_Toc517787161"/>
      <w:bookmarkStart w:id="338" w:name="_Toc517793860"/>
      <w:bookmarkStart w:id="339" w:name="_Toc518646199"/>
      <w:bookmarkStart w:id="340" w:name="_Toc518653096"/>
      <w:bookmarkStart w:id="341" w:name="_Toc527638652"/>
      <w:r>
        <w:t xml:space="preserve">Methodology and </w:t>
      </w:r>
      <w:bookmarkEnd w:id="336"/>
      <w:r w:rsidR="00811B63">
        <w:t>assumptions</w:t>
      </w:r>
      <w:bookmarkEnd w:id="337"/>
      <w:bookmarkEnd w:id="338"/>
      <w:bookmarkEnd w:id="339"/>
      <w:bookmarkEnd w:id="340"/>
      <w:bookmarkEnd w:id="341"/>
      <w:r w:rsidR="00811B63">
        <w:rPr>
          <w:lang w:eastAsia="en-AU"/>
        </w:rPr>
        <w:t xml:space="preserve"> </w:t>
      </w:r>
    </w:p>
    <w:p w14:paraId="1AB46E57" w14:textId="77777777" w:rsidR="00FB3C96" w:rsidRDefault="00FB3C96" w:rsidP="00261B3A">
      <w:pPr>
        <w:pStyle w:val="Body"/>
      </w:pPr>
      <w:r>
        <w:rPr>
          <w:lang w:eastAsia="en-AU"/>
        </w:rPr>
        <w:t xml:space="preserve">To assess the cost of upgrades across a significantly large portfolio of plants that </w:t>
      </w:r>
      <w:r w:rsidR="009513D9">
        <w:rPr>
          <w:lang w:eastAsia="en-AU"/>
        </w:rPr>
        <w:t>are</w:t>
      </w:r>
      <w:r w:rsidR="005066BD">
        <w:rPr>
          <w:lang w:eastAsia="en-AU"/>
        </w:rPr>
        <w:t xml:space="preserve"> </w:t>
      </w:r>
      <w:r>
        <w:rPr>
          <w:lang w:eastAsia="en-AU"/>
        </w:rPr>
        <w:t xml:space="preserve">varied in </w:t>
      </w:r>
      <w:r w:rsidR="009513D9">
        <w:rPr>
          <w:lang w:eastAsia="en-AU"/>
        </w:rPr>
        <w:t xml:space="preserve">both </w:t>
      </w:r>
      <w:r>
        <w:rPr>
          <w:lang w:eastAsia="en-AU"/>
        </w:rPr>
        <w:t xml:space="preserve">size and nature, a generic approach </w:t>
      </w:r>
      <w:r w:rsidR="00CC45BF">
        <w:rPr>
          <w:lang w:eastAsia="en-AU"/>
        </w:rPr>
        <w:t>was</w:t>
      </w:r>
      <w:r>
        <w:rPr>
          <w:lang w:eastAsia="en-AU"/>
        </w:rPr>
        <w:t xml:space="preserve"> developed. T</w:t>
      </w:r>
      <w:r w:rsidR="00811B63">
        <w:rPr>
          <w:lang w:eastAsia="en-AU"/>
        </w:rPr>
        <w:t>he</w:t>
      </w:r>
      <w:r>
        <w:rPr>
          <w:lang w:eastAsia="en-AU"/>
        </w:rPr>
        <w:t xml:space="preserve"> project team utilised the extensive knowledge available through </w:t>
      </w:r>
      <w:r w:rsidR="00880B6F">
        <w:rPr>
          <w:lang w:eastAsia="en-AU"/>
        </w:rPr>
        <w:t xml:space="preserve">a database of </w:t>
      </w:r>
      <w:r w:rsidR="00811B63">
        <w:rPr>
          <w:lang w:eastAsia="en-AU"/>
        </w:rPr>
        <w:t xml:space="preserve">WWTP upgrade </w:t>
      </w:r>
      <w:r w:rsidR="00022DC9">
        <w:rPr>
          <w:lang w:eastAsia="en-AU"/>
        </w:rPr>
        <w:t xml:space="preserve">projects </w:t>
      </w:r>
      <w:r w:rsidR="00811B63">
        <w:rPr>
          <w:lang w:eastAsia="en-AU"/>
        </w:rPr>
        <w:t xml:space="preserve">maintained </w:t>
      </w:r>
      <w:r w:rsidR="00022DC9">
        <w:rPr>
          <w:lang w:eastAsia="en-AU"/>
        </w:rPr>
        <w:t xml:space="preserve">by </w:t>
      </w:r>
      <w:r w:rsidR="003B65AD">
        <w:rPr>
          <w:lang w:eastAsia="en-AU"/>
        </w:rPr>
        <w:t>GHD</w:t>
      </w:r>
      <w:r w:rsidR="00D01D39">
        <w:rPr>
          <w:lang w:eastAsia="en-AU"/>
        </w:rPr>
        <w:t>.</w:t>
      </w:r>
      <w:r>
        <w:t xml:space="preserve"> Each quarter, the Plant Cost Index (PCI) </w:t>
      </w:r>
      <w:r w:rsidR="00880B6F">
        <w:t>in this database is</w:t>
      </w:r>
      <w:r>
        <w:t xml:space="preserve"> updated, and the index factor is applied to original costs to provide “Current Costs”. The method of calculating the </w:t>
      </w:r>
      <w:r w:rsidR="00D01D39">
        <w:t>PCI</w:t>
      </w:r>
      <w:r>
        <w:t xml:space="preserve"> is from Brennan DJ &amp; Greenfield PF (</w:t>
      </w:r>
      <w:r w:rsidR="003B65AD">
        <w:t>1994</w:t>
      </w:r>
      <w:r w:rsidR="005429AA">
        <w:t xml:space="preserve">) and </w:t>
      </w:r>
      <w:r w:rsidR="003B65AD">
        <w:t xml:space="preserve">has been </w:t>
      </w:r>
      <w:r w:rsidR="005429AA">
        <w:t xml:space="preserve">further </w:t>
      </w:r>
      <w:r w:rsidR="003B65AD">
        <w:t>developed,</w:t>
      </w:r>
      <w:r>
        <w:t xml:space="preserve"> and updated using </w:t>
      </w:r>
      <w:r w:rsidR="006031B3">
        <w:t xml:space="preserve">data from the </w:t>
      </w:r>
      <w:r>
        <w:t xml:space="preserve">ABS </w:t>
      </w:r>
      <w:r w:rsidR="006031B3">
        <w:t>(Australian Bureau of Statistics)</w:t>
      </w:r>
      <w:r w:rsidR="00D01D39">
        <w:t>.</w:t>
      </w:r>
    </w:p>
    <w:p w14:paraId="16F9C37E" w14:textId="77777777" w:rsidR="00DE0AF9" w:rsidRDefault="00FB3C96" w:rsidP="008324F9">
      <w:pPr>
        <w:pStyle w:val="Body"/>
      </w:pPr>
      <w:r>
        <w:t>Overall, (capital city) construction costs in Australia are comparable to New Zealand construction costs. Arcadis (2017) compared construction costs for 44 cities around the world and ranked Auckland #13 and Melbourne #14. Unit costs in a regional/remote areas are usually higher and this often coincides with smaller plant capacities.</w:t>
      </w:r>
      <w:r w:rsidR="00D01D39">
        <w:t xml:space="preserve"> </w:t>
      </w:r>
      <w:r w:rsidR="00452405">
        <w:t>Use of data from Australia provided a broad</w:t>
      </w:r>
      <w:r w:rsidR="007D2E46">
        <w:t>er</w:t>
      </w:r>
      <w:r w:rsidR="00452405">
        <w:t xml:space="preserve"> range of projects than can be sourced out of New Zealand</w:t>
      </w:r>
      <w:r w:rsidR="005066BD">
        <w:t xml:space="preserve"> where there are limited examples of BNR/MBR type plants constructed</w:t>
      </w:r>
      <w:r w:rsidR="00452405">
        <w:t xml:space="preserve">. </w:t>
      </w:r>
    </w:p>
    <w:p w14:paraId="06CD81FB" w14:textId="77777777" w:rsidR="00FB3C96" w:rsidRDefault="00452405" w:rsidP="008324F9">
      <w:pPr>
        <w:pStyle w:val="Body"/>
      </w:pPr>
      <w:r>
        <w:t xml:space="preserve">Cost curves have been </w:t>
      </w:r>
      <w:r w:rsidR="00DE0AF9">
        <w:t xml:space="preserve">further </w:t>
      </w:r>
      <w:r>
        <w:t xml:space="preserve">validated using case study data and cost </w:t>
      </w:r>
      <w:r w:rsidR="00811B63">
        <w:t xml:space="preserve">estimates </w:t>
      </w:r>
      <w:r>
        <w:t xml:space="preserve">from New Zealand WWTP upgrades.  </w:t>
      </w:r>
    </w:p>
    <w:p w14:paraId="15003F6C" w14:textId="77777777" w:rsidR="003B65AD" w:rsidRDefault="008C230C" w:rsidP="00A27F3D">
      <w:pPr>
        <w:pStyle w:val="Heading2"/>
      </w:pPr>
      <w:bookmarkStart w:id="342" w:name="_Ref517338988"/>
      <w:bookmarkStart w:id="343" w:name="_Toc517707407"/>
      <w:bookmarkStart w:id="344" w:name="_Toc517787162"/>
      <w:bookmarkStart w:id="345" w:name="_Toc517793861"/>
      <w:bookmarkStart w:id="346" w:name="_Toc518646200"/>
      <w:bookmarkStart w:id="347" w:name="_Toc518653097"/>
      <w:bookmarkStart w:id="348" w:name="_Toc527638653"/>
      <w:r>
        <w:rPr>
          <w:lang w:eastAsia="en-AU"/>
        </w:rPr>
        <w:t>Overview</w:t>
      </w:r>
      <w:bookmarkEnd w:id="342"/>
      <w:bookmarkEnd w:id="343"/>
      <w:bookmarkEnd w:id="344"/>
      <w:bookmarkEnd w:id="345"/>
      <w:bookmarkEnd w:id="346"/>
      <w:bookmarkEnd w:id="347"/>
      <w:bookmarkEnd w:id="348"/>
    </w:p>
    <w:p w14:paraId="458DBF6B" w14:textId="77777777" w:rsidR="003B65AD" w:rsidRDefault="008C230C" w:rsidP="008324F9">
      <w:pPr>
        <w:pStyle w:val="Body"/>
      </w:pPr>
      <w:r>
        <w:t xml:space="preserve">To achieve the requirements of the NPS </w:t>
      </w:r>
      <w:r w:rsidR="00022DC9">
        <w:t xml:space="preserve">Freshwater </w:t>
      </w:r>
      <w:r>
        <w:t xml:space="preserve">in the key attributes, a number of </w:t>
      </w:r>
      <w:r w:rsidR="007267E6">
        <w:t xml:space="preserve">possible </w:t>
      </w:r>
      <w:r>
        <w:t xml:space="preserve">treatment processes were assessed. </w:t>
      </w:r>
      <w:r w:rsidR="0016321B">
        <w:t>This assessment look</w:t>
      </w:r>
      <w:r w:rsidR="007267E6">
        <w:t>ed</w:t>
      </w:r>
      <w:r w:rsidR="0016321B">
        <w:t xml:space="preserve"> at the ability </w:t>
      </w:r>
      <w:r w:rsidR="007267E6">
        <w:t>of each type of process upgrade to</w:t>
      </w:r>
      <w:r w:rsidR="0016321B">
        <w:t xml:space="preserve"> understand if it could achieve the outcomes required to meet </w:t>
      </w:r>
      <w:r w:rsidR="009513D9">
        <w:t xml:space="preserve">the </w:t>
      </w:r>
      <w:r w:rsidR="005429AA">
        <w:t xml:space="preserve">Attribute </w:t>
      </w:r>
      <w:r w:rsidR="0016321B">
        <w:t>B state at the point of discharge.</w:t>
      </w:r>
      <w:r w:rsidR="00D01D39">
        <w:t xml:space="preserve"> </w:t>
      </w:r>
    </w:p>
    <w:p w14:paraId="69F533A6" w14:textId="77777777" w:rsidR="00600F5C" w:rsidRDefault="00022DC9" w:rsidP="00B576A2">
      <w:pPr>
        <w:pStyle w:val="Body"/>
      </w:pPr>
      <w:r>
        <w:fldChar w:fldCharType="begin"/>
      </w:r>
      <w:r>
        <w:instrText xml:space="preserve"> REF _Ref516745896 \h </w:instrText>
      </w:r>
      <w:r>
        <w:fldChar w:fldCharType="separate"/>
      </w:r>
      <w:r w:rsidR="002777A8">
        <w:t xml:space="preserve">Table </w:t>
      </w:r>
      <w:r w:rsidR="002777A8">
        <w:rPr>
          <w:noProof/>
        </w:rPr>
        <w:t>13</w:t>
      </w:r>
      <w:r>
        <w:fldChar w:fldCharType="end"/>
      </w:r>
      <w:r>
        <w:t xml:space="preserve"> </w:t>
      </w:r>
      <w:r w:rsidR="00D01D39">
        <w:t xml:space="preserve">following </w:t>
      </w:r>
      <w:r w:rsidR="0016321B">
        <w:t xml:space="preserve">is the output of this assessment and shows that only an upgrade to a Biological </w:t>
      </w:r>
      <w:r w:rsidR="007267E6">
        <w:t>Nutrient</w:t>
      </w:r>
      <w:r w:rsidR="0016321B">
        <w:t xml:space="preserve"> Removal</w:t>
      </w:r>
      <w:r w:rsidR="00C43BB3">
        <w:t xml:space="preserve"> (BNR)</w:t>
      </w:r>
      <w:r w:rsidR="005429AA">
        <w:t xml:space="preserve"> </w:t>
      </w:r>
      <w:r w:rsidR="0016321B">
        <w:t xml:space="preserve"> – Activated Sludge Plant, with </w:t>
      </w:r>
      <w:r w:rsidR="007267E6">
        <w:t>an</w:t>
      </w:r>
      <w:r w:rsidR="0016321B">
        <w:t xml:space="preserve"> Ultra </w:t>
      </w:r>
      <w:r w:rsidR="007267E6">
        <w:t xml:space="preserve">Violet </w:t>
      </w:r>
      <w:r w:rsidR="00266651">
        <w:t>d</w:t>
      </w:r>
      <w:r w:rsidR="007267E6">
        <w:t xml:space="preserve">isinfection would </w:t>
      </w:r>
      <w:r w:rsidR="005066BD">
        <w:t xml:space="preserve">reliably </w:t>
      </w:r>
      <w:r w:rsidR="007267E6">
        <w:t xml:space="preserve">give the outcomes required in all parameters. </w:t>
      </w:r>
      <w:r w:rsidR="00266651">
        <w:t>It should be noted that this table was developed to guide process selection for this study and is indicative only.</w:t>
      </w:r>
    </w:p>
    <w:p w14:paraId="7ECB67F4" w14:textId="77777777" w:rsidR="00C5012C" w:rsidRDefault="00266651" w:rsidP="00D46AF3">
      <w:pPr>
        <w:pStyle w:val="Body"/>
      </w:pPr>
      <w:r>
        <w:t xml:space="preserve">The assessment </w:t>
      </w:r>
      <w:r w:rsidR="007267E6">
        <w:t xml:space="preserve">outcome was carried forward into </w:t>
      </w:r>
      <w:r>
        <w:t>a</w:t>
      </w:r>
      <w:r w:rsidR="007267E6">
        <w:t xml:space="preserve"> cost assessment</w:t>
      </w:r>
      <w:r>
        <w:t xml:space="preserve"> for each WWTP</w:t>
      </w:r>
      <w:r w:rsidR="007267E6">
        <w:t xml:space="preserve"> and used to develop numbers for </w:t>
      </w:r>
      <w:r w:rsidR="009513D9">
        <w:t xml:space="preserve">a </w:t>
      </w:r>
      <w:r w:rsidR="007267E6">
        <w:t>national cost envelope.</w:t>
      </w:r>
    </w:p>
    <w:p w14:paraId="5C5FF71F" w14:textId="77777777" w:rsidR="00526670" w:rsidRDefault="00526670" w:rsidP="00D46AF3">
      <w:pPr>
        <w:pStyle w:val="Body"/>
      </w:pPr>
    </w:p>
    <w:p w14:paraId="68984749" w14:textId="77777777" w:rsidR="00526670" w:rsidRDefault="00526670">
      <w:pPr>
        <w:spacing w:after="0"/>
      </w:pPr>
      <w:r>
        <w:br w:type="page"/>
      </w:r>
    </w:p>
    <w:p w14:paraId="34F3B25B" w14:textId="77777777" w:rsidR="007267E6" w:rsidRDefault="00022DC9" w:rsidP="008324F9">
      <w:pPr>
        <w:pStyle w:val="Caption"/>
        <w:ind w:left="567" w:firstLine="0"/>
      </w:pPr>
      <w:bookmarkStart w:id="349" w:name="_Ref516745896"/>
      <w:bookmarkStart w:id="350" w:name="_Toc516840510"/>
      <w:bookmarkStart w:id="351" w:name="_Toc517707650"/>
      <w:bookmarkStart w:id="352" w:name="_Toc517788323"/>
      <w:bookmarkStart w:id="353" w:name="_Toc517793892"/>
      <w:bookmarkStart w:id="354" w:name="_Toc518042091"/>
      <w:bookmarkStart w:id="355" w:name="_Toc518653129"/>
      <w:bookmarkStart w:id="356" w:name="_Toc521064796"/>
      <w:r>
        <w:lastRenderedPageBreak/>
        <w:t xml:space="preserve">Table </w:t>
      </w:r>
      <w:r w:rsidR="007B3D80">
        <w:rPr>
          <w:noProof/>
        </w:rPr>
        <w:fldChar w:fldCharType="begin"/>
      </w:r>
      <w:r w:rsidR="007B3D80">
        <w:rPr>
          <w:noProof/>
        </w:rPr>
        <w:instrText xml:space="preserve"> SEQ Table \* ARABIC </w:instrText>
      </w:r>
      <w:r w:rsidR="007B3D80">
        <w:rPr>
          <w:noProof/>
        </w:rPr>
        <w:fldChar w:fldCharType="separate"/>
      </w:r>
      <w:r w:rsidR="002777A8">
        <w:rPr>
          <w:noProof/>
        </w:rPr>
        <w:t>13</w:t>
      </w:r>
      <w:r w:rsidR="007B3D80">
        <w:rPr>
          <w:noProof/>
        </w:rPr>
        <w:fldChar w:fldCharType="end"/>
      </w:r>
      <w:bookmarkEnd w:id="349"/>
      <w:r w:rsidR="000001B1">
        <w:rPr>
          <w:noProof/>
        </w:rPr>
        <w:t xml:space="preserve"> </w:t>
      </w:r>
      <w:r>
        <w:t xml:space="preserve"> Assessment of </w:t>
      </w:r>
      <w:r w:rsidR="00266651">
        <w:t xml:space="preserve">treatment process capability </w:t>
      </w:r>
      <w:r>
        <w:t>to meet Attribute B</w:t>
      </w:r>
      <w:bookmarkEnd w:id="350"/>
      <w:bookmarkEnd w:id="351"/>
      <w:bookmarkEnd w:id="352"/>
      <w:bookmarkEnd w:id="353"/>
      <w:bookmarkEnd w:id="354"/>
      <w:bookmarkEnd w:id="355"/>
      <w:bookmarkEnd w:id="356"/>
    </w:p>
    <w:tbl>
      <w:tblPr>
        <w:tblStyle w:val="Table-Style3"/>
        <w:tblW w:w="4692" w:type="pct"/>
        <w:tblInd w:w="557" w:type="dxa"/>
        <w:shd w:val="clear" w:color="000000" w:fill="E7E7E8"/>
        <w:tblLook w:val="04A0" w:firstRow="1" w:lastRow="0" w:firstColumn="1" w:lastColumn="0" w:noHBand="0" w:noVBand="1"/>
      </w:tblPr>
      <w:tblGrid>
        <w:gridCol w:w="2482"/>
        <w:gridCol w:w="1635"/>
        <w:gridCol w:w="1520"/>
        <w:gridCol w:w="1548"/>
        <w:gridCol w:w="1531"/>
      </w:tblGrid>
      <w:tr w:rsidR="0021047A" w:rsidRPr="007267E6" w14:paraId="4AF6FE95" w14:textId="77777777" w:rsidTr="00E06D5B">
        <w:trPr>
          <w:cnfStyle w:val="100000000000" w:firstRow="1" w:lastRow="0" w:firstColumn="0" w:lastColumn="0" w:oddVBand="0" w:evenVBand="0" w:oddHBand="0" w:evenHBand="0" w:firstRowFirstColumn="0" w:firstRowLastColumn="0" w:lastRowFirstColumn="0" w:lastRowLastColumn="0"/>
          <w:trHeight w:val="620"/>
          <w:tblHeader/>
        </w:trPr>
        <w:tc>
          <w:tcPr>
            <w:tcW w:w="1424" w:type="pct"/>
            <w:shd w:val="clear" w:color="000000" w:fill="0065A4"/>
            <w:vAlign w:val="center"/>
            <w:hideMark/>
          </w:tcPr>
          <w:p w14:paraId="040E2A0C" w14:textId="77777777" w:rsidR="008C230C" w:rsidRPr="002F357B" w:rsidRDefault="003023C8" w:rsidP="00E06D5B">
            <w:pPr>
              <w:spacing w:before="45" w:after="30"/>
              <w:rPr>
                <w:szCs w:val="20"/>
              </w:rPr>
            </w:pPr>
            <w:r w:rsidRPr="002F357B">
              <w:rPr>
                <w:szCs w:val="20"/>
              </w:rPr>
              <w:t>Process</w:t>
            </w:r>
          </w:p>
        </w:tc>
        <w:tc>
          <w:tcPr>
            <w:tcW w:w="938" w:type="pct"/>
            <w:shd w:val="clear" w:color="000000" w:fill="0065A4"/>
            <w:hideMark/>
          </w:tcPr>
          <w:p w14:paraId="2E6FD1CC" w14:textId="77777777" w:rsidR="008C230C" w:rsidRPr="002F357B" w:rsidRDefault="008C230C" w:rsidP="00E06D5B">
            <w:pPr>
              <w:spacing w:before="45" w:after="30"/>
              <w:jc w:val="center"/>
              <w:rPr>
                <w:szCs w:val="20"/>
              </w:rPr>
            </w:pPr>
            <w:r w:rsidRPr="002F357B">
              <w:rPr>
                <w:szCs w:val="20"/>
              </w:rPr>
              <w:t xml:space="preserve">E. </w:t>
            </w:r>
            <w:r w:rsidR="00A4721E" w:rsidRPr="002F357B">
              <w:rPr>
                <w:szCs w:val="20"/>
              </w:rPr>
              <w:t>c</w:t>
            </w:r>
            <w:r w:rsidRPr="002F357B">
              <w:rPr>
                <w:szCs w:val="20"/>
              </w:rPr>
              <w:t>oli</w:t>
            </w:r>
          </w:p>
          <w:p w14:paraId="12D044DF" w14:textId="77777777" w:rsidR="008C230C" w:rsidRPr="002F357B" w:rsidRDefault="008C230C" w:rsidP="00E06D5B">
            <w:pPr>
              <w:spacing w:before="45" w:after="30"/>
              <w:jc w:val="center"/>
              <w:rPr>
                <w:szCs w:val="20"/>
              </w:rPr>
            </w:pPr>
            <w:r w:rsidRPr="002F357B">
              <w:rPr>
                <w:szCs w:val="20"/>
              </w:rPr>
              <w:t>(&lt;1,000cfu)</w:t>
            </w:r>
          </w:p>
        </w:tc>
        <w:tc>
          <w:tcPr>
            <w:tcW w:w="872" w:type="pct"/>
            <w:shd w:val="clear" w:color="000000" w:fill="0065A4"/>
            <w:hideMark/>
          </w:tcPr>
          <w:p w14:paraId="5AEED69B" w14:textId="77777777" w:rsidR="008C230C" w:rsidRPr="002F357B" w:rsidRDefault="008C230C" w:rsidP="00E06D5B">
            <w:pPr>
              <w:spacing w:before="45" w:after="30"/>
              <w:jc w:val="center"/>
              <w:rPr>
                <w:szCs w:val="20"/>
              </w:rPr>
            </w:pPr>
            <w:r w:rsidRPr="002F357B">
              <w:rPr>
                <w:szCs w:val="20"/>
              </w:rPr>
              <w:t>Ammonia</w:t>
            </w:r>
          </w:p>
          <w:p w14:paraId="17ABEFF9" w14:textId="77777777" w:rsidR="008C230C" w:rsidRPr="002F357B" w:rsidRDefault="008C230C" w:rsidP="00E06D5B">
            <w:pPr>
              <w:spacing w:before="45" w:after="30"/>
              <w:jc w:val="center"/>
              <w:rPr>
                <w:szCs w:val="20"/>
              </w:rPr>
            </w:pPr>
            <w:r w:rsidRPr="002F357B">
              <w:rPr>
                <w:szCs w:val="20"/>
              </w:rPr>
              <w:t>(&lt;0.4</w:t>
            </w:r>
            <w:r w:rsidR="00DC7964" w:rsidRPr="002F357B">
              <w:rPr>
                <w:szCs w:val="20"/>
              </w:rPr>
              <w:t xml:space="preserve"> </w:t>
            </w:r>
            <w:r w:rsidRPr="002F357B">
              <w:rPr>
                <w:szCs w:val="20"/>
              </w:rPr>
              <w:t>mg/L)</w:t>
            </w:r>
          </w:p>
        </w:tc>
        <w:tc>
          <w:tcPr>
            <w:tcW w:w="888" w:type="pct"/>
            <w:shd w:val="clear" w:color="000000" w:fill="0065A4"/>
            <w:hideMark/>
          </w:tcPr>
          <w:p w14:paraId="3A21DA01" w14:textId="77777777" w:rsidR="008C230C" w:rsidRPr="002F357B" w:rsidRDefault="008C230C" w:rsidP="00E06D5B">
            <w:pPr>
              <w:spacing w:before="45" w:after="30"/>
              <w:jc w:val="center"/>
              <w:rPr>
                <w:szCs w:val="20"/>
              </w:rPr>
            </w:pPr>
            <w:r w:rsidRPr="002F357B">
              <w:rPr>
                <w:szCs w:val="20"/>
              </w:rPr>
              <w:t>Nitrate</w:t>
            </w:r>
          </w:p>
          <w:p w14:paraId="3FB53B32" w14:textId="77777777" w:rsidR="008C230C" w:rsidRPr="002F357B" w:rsidRDefault="008C230C" w:rsidP="00E06D5B">
            <w:pPr>
              <w:spacing w:before="45" w:after="30"/>
              <w:jc w:val="center"/>
              <w:rPr>
                <w:szCs w:val="20"/>
              </w:rPr>
            </w:pPr>
            <w:r w:rsidRPr="002F357B">
              <w:rPr>
                <w:szCs w:val="20"/>
              </w:rPr>
              <w:t>(&lt;3.5</w:t>
            </w:r>
            <w:r w:rsidR="00DC7964" w:rsidRPr="002F357B">
              <w:rPr>
                <w:szCs w:val="20"/>
              </w:rPr>
              <w:t xml:space="preserve"> </w:t>
            </w:r>
            <w:r w:rsidRPr="002F357B">
              <w:rPr>
                <w:szCs w:val="20"/>
              </w:rPr>
              <w:t>mg/L)</w:t>
            </w:r>
          </w:p>
        </w:tc>
        <w:tc>
          <w:tcPr>
            <w:tcW w:w="879" w:type="pct"/>
            <w:shd w:val="clear" w:color="000000" w:fill="0065A4"/>
            <w:hideMark/>
          </w:tcPr>
          <w:p w14:paraId="26ACB70C" w14:textId="77777777" w:rsidR="008C230C" w:rsidRPr="002F357B" w:rsidRDefault="008C230C" w:rsidP="00E06D5B">
            <w:pPr>
              <w:spacing w:before="45" w:after="30"/>
              <w:jc w:val="center"/>
              <w:rPr>
                <w:szCs w:val="20"/>
              </w:rPr>
            </w:pPr>
            <w:r w:rsidRPr="002F357B">
              <w:rPr>
                <w:szCs w:val="20"/>
              </w:rPr>
              <w:t>All 3</w:t>
            </w:r>
          </w:p>
        </w:tc>
      </w:tr>
      <w:tr w:rsidR="0021047A" w:rsidRPr="007267E6" w14:paraId="75103823" w14:textId="77777777" w:rsidTr="00D96F40">
        <w:trPr>
          <w:trHeight w:val="620"/>
        </w:trPr>
        <w:tc>
          <w:tcPr>
            <w:tcW w:w="1424" w:type="pct"/>
            <w:shd w:val="clear" w:color="000000" w:fill="E7E7E8"/>
            <w:hideMark/>
          </w:tcPr>
          <w:p w14:paraId="00916EF4" w14:textId="77777777" w:rsidR="008C230C" w:rsidRPr="002F357B" w:rsidRDefault="008C230C" w:rsidP="005A3CF0">
            <w:pPr>
              <w:spacing w:after="30"/>
              <w:rPr>
                <w:szCs w:val="20"/>
              </w:rPr>
            </w:pPr>
            <w:r w:rsidRPr="002F357B">
              <w:rPr>
                <w:szCs w:val="20"/>
              </w:rPr>
              <w:t>Septic tank</w:t>
            </w:r>
          </w:p>
        </w:tc>
        <w:tc>
          <w:tcPr>
            <w:tcW w:w="938" w:type="pct"/>
            <w:shd w:val="clear" w:color="000000" w:fill="E7E7E8"/>
            <w:hideMark/>
          </w:tcPr>
          <w:p w14:paraId="665A2B6E" w14:textId="77777777" w:rsidR="008C230C" w:rsidRPr="002F357B" w:rsidRDefault="008C230C" w:rsidP="008324F9">
            <w:pPr>
              <w:spacing w:after="30"/>
              <w:jc w:val="center"/>
              <w:rPr>
                <w:szCs w:val="20"/>
              </w:rPr>
            </w:pPr>
            <w:r w:rsidRPr="002F357B">
              <w:rPr>
                <w:szCs w:val="20"/>
              </w:rPr>
              <w:t>No</w:t>
            </w:r>
          </w:p>
        </w:tc>
        <w:tc>
          <w:tcPr>
            <w:tcW w:w="872" w:type="pct"/>
            <w:shd w:val="clear" w:color="000000" w:fill="E7E7E8"/>
            <w:hideMark/>
          </w:tcPr>
          <w:p w14:paraId="2C40FBEC" w14:textId="77777777" w:rsidR="008C230C" w:rsidRPr="002F357B" w:rsidRDefault="008C230C" w:rsidP="008324F9">
            <w:pPr>
              <w:spacing w:after="30"/>
              <w:jc w:val="center"/>
              <w:rPr>
                <w:szCs w:val="20"/>
              </w:rPr>
            </w:pPr>
            <w:r w:rsidRPr="002F357B">
              <w:rPr>
                <w:szCs w:val="20"/>
              </w:rPr>
              <w:t>No</w:t>
            </w:r>
          </w:p>
        </w:tc>
        <w:tc>
          <w:tcPr>
            <w:tcW w:w="888" w:type="pct"/>
            <w:shd w:val="clear" w:color="000000" w:fill="E7E7E8"/>
            <w:hideMark/>
          </w:tcPr>
          <w:p w14:paraId="540D4D52" w14:textId="77777777" w:rsidR="008C230C" w:rsidRPr="002F357B" w:rsidRDefault="008C230C" w:rsidP="008324F9">
            <w:pPr>
              <w:spacing w:after="30"/>
              <w:jc w:val="center"/>
              <w:rPr>
                <w:szCs w:val="20"/>
              </w:rPr>
            </w:pPr>
            <w:r w:rsidRPr="002F357B">
              <w:rPr>
                <w:szCs w:val="20"/>
              </w:rPr>
              <w:t>Yes</w:t>
            </w:r>
          </w:p>
        </w:tc>
        <w:tc>
          <w:tcPr>
            <w:tcW w:w="879" w:type="pct"/>
            <w:shd w:val="clear" w:color="000000" w:fill="E7E7E8"/>
            <w:hideMark/>
          </w:tcPr>
          <w:p w14:paraId="1D5C32A9" w14:textId="77777777" w:rsidR="008C230C" w:rsidRPr="002F357B" w:rsidRDefault="008C230C" w:rsidP="008324F9">
            <w:pPr>
              <w:spacing w:after="30"/>
              <w:jc w:val="center"/>
              <w:rPr>
                <w:szCs w:val="20"/>
              </w:rPr>
            </w:pPr>
            <w:r w:rsidRPr="002F357B">
              <w:rPr>
                <w:szCs w:val="20"/>
              </w:rPr>
              <w:t>No</w:t>
            </w:r>
          </w:p>
        </w:tc>
      </w:tr>
      <w:tr w:rsidR="0021047A" w:rsidRPr="007267E6" w14:paraId="0375A461" w14:textId="77777777" w:rsidTr="00D96F40">
        <w:trPr>
          <w:trHeight w:val="620"/>
        </w:trPr>
        <w:tc>
          <w:tcPr>
            <w:tcW w:w="1424" w:type="pct"/>
            <w:shd w:val="clear" w:color="000000" w:fill="E7E7E8"/>
            <w:hideMark/>
          </w:tcPr>
          <w:p w14:paraId="0A468024" w14:textId="77777777" w:rsidR="008C230C" w:rsidRPr="003D4DD8" w:rsidRDefault="008C230C" w:rsidP="00D46AF3">
            <w:pPr>
              <w:spacing w:after="30"/>
              <w:rPr>
                <w:szCs w:val="20"/>
                <w:lang w:val="fr-FR"/>
              </w:rPr>
            </w:pPr>
            <w:r w:rsidRPr="003D4DD8">
              <w:rPr>
                <w:szCs w:val="20"/>
                <w:lang w:val="fr-FR"/>
              </w:rPr>
              <w:t xml:space="preserve">Oxidation </w:t>
            </w:r>
            <w:r w:rsidR="007D2E46" w:rsidRPr="003D4DD8">
              <w:rPr>
                <w:szCs w:val="20"/>
                <w:lang w:val="fr-FR"/>
              </w:rPr>
              <w:t xml:space="preserve">pond </w:t>
            </w:r>
            <w:r w:rsidRPr="003D4DD8">
              <w:rPr>
                <w:szCs w:val="20"/>
                <w:lang w:val="fr-FR"/>
              </w:rPr>
              <w:t xml:space="preserve">/ </w:t>
            </w:r>
            <w:r w:rsidR="00266651" w:rsidRPr="003D4DD8">
              <w:rPr>
                <w:szCs w:val="20"/>
                <w:lang w:val="fr-FR"/>
              </w:rPr>
              <w:t>w</w:t>
            </w:r>
            <w:r w:rsidR="007D2E46" w:rsidRPr="003D4DD8">
              <w:rPr>
                <w:szCs w:val="20"/>
                <w:lang w:val="fr-FR"/>
              </w:rPr>
              <w:t>aste stabilisation pond</w:t>
            </w:r>
          </w:p>
        </w:tc>
        <w:tc>
          <w:tcPr>
            <w:tcW w:w="938" w:type="pct"/>
            <w:shd w:val="clear" w:color="000000" w:fill="E7E7E8"/>
            <w:hideMark/>
          </w:tcPr>
          <w:p w14:paraId="4DAEAE6F" w14:textId="77777777" w:rsidR="008C230C" w:rsidRPr="002F357B" w:rsidRDefault="008C230C" w:rsidP="008324F9">
            <w:pPr>
              <w:spacing w:after="30"/>
              <w:jc w:val="center"/>
              <w:rPr>
                <w:szCs w:val="20"/>
              </w:rPr>
            </w:pPr>
            <w:r w:rsidRPr="002F357B">
              <w:rPr>
                <w:szCs w:val="20"/>
              </w:rPr>
              <w:t>No</w:t>
            </w:r>
          </w:p>
        </w:tc>
        <w:tc>
          <w:tcPr>
            <w:tcW w:w="872" w:type="pct"/>
            <w:shd w:val="clear" w:color="000000" w:fill="E7E7E8"/>
            <w:hideMark/>
          </w:tcPr>
          <w:p w14:paraId="4166AB7F" w14:textId="77777777" w:rsidR="008C230C" w:rsidRPr="002F357B" w:rsidRDefault="008C230C" w:rsidP="008324F9">
            <w:pPr>
              <w:spacing w:after="30"/>
              <w:jc w:val="center"/>
              <w:rPr>
                <w:szCs w:val="20"/>
              </w:rPr>
            </w:pPr>
            <w:r w:rsidRPr="002F357B">
              <w:rPr>
                <w:szCs w:val="20"/>
              </w:rPr>
              <w:t>No</w:t>
            </w:r>
          </w:p>
        </w:tc>
        <w:tc>
          <w:tcPr>
            <w:tcW w:w="888" w:type="pct"/>
            <w:shd w:val="clear" w:color="000000" w:fill="E7E7E8"/>
            <w:hideMark/>
          </w:tcPr>
          <w:p w14:paraId="1ACDF271" w14:textId="77777777" w:rsidR="008C230C" w:rsidRPr="002F357B" w:rsidRDefault="008C230C" w:rsidP="008324F9">
            <w:pPr>
              <w:spacing w:after="30"/>
              <w:jc w:val="center"/>
              <w:rPr>
                <w:szCs w:val="20"/>
              </w:rPr>
            </w:pPr>
            <w:r w:rsidRPr="002F357B">
              <w:rPr>
                <w:szCs w:val="20"/>
              </w:rPr>
              <w:t>Yes</w:t>
            </w:r>
          </w:p>
        </w:tc>
        <w:tc>
          <w:tcPr>
            <w:tcW w:w="879" w:type="pct"/>
            <w:shd w:val="clear" w:color="000000" w:fill="E7E7E8"/>
            <w:hideMark/>
          </w:tcPr>
          <w:p w14:paraId="69DAA194" w14:textId="77777777" w:rsidR="008C230C" w:rsidRPr="002F357B" w:rsidRDefault="008C230C" w:rsidP="008324F9">
            <w:pPr>
              <w:spacing w:after="30"/>
              <w:jc w:val="center"/>
              <w:rPr>
                <w:szCs w:val="20"/>
              </w:rPr>
            </w:pPr>
            <w:r w:rsidRPr="002F357B">
              <w:rPr>
                <w:szCs w:val="20"/>
              </w:rPr>
              <w:t>No</w:t>
            </w:r>
          </w:p>
        </w:tc>
      </w:tr>
      <w:tr w:rsidR="0021047A" w:rsidRPr="007267E6" w14:paraId="40F02CDF" w14:textId="77777777" w:rsidTr="00D96F40">
        <w:trPr>
          <w:trHeight w:val="620"/>
        </w:trPr>
        <w:tc>
          <w:tcPr>
            <w:tcW w:w="1424" w:type="pct"/>
            <w:shd w:val="clear" w:color="000000" w:fill="E7E7E8"/>
            <w:hideMark/>
          </w:tcPr>
          <w:p w14:paraId="532FC925" w14:textId="77777777" w:rsidR="008C230C" w:rsidRPr="002F357B" w:rsidRDefault="008C230C" w:rsidP="00D46AF3">
            <w:pPr>
              <w:spacing w:after="30"/>
              <w:rPr>
                <w:szCs w:val="20"/>
              </w:rPr>
            </w:pPr>
            <w:r w:rsidRPr="002F357B">
              <w:rPr>
                <w:szCs w:val="20"/>
              </w:rPr>
              <w:t xml:space="preserve">Modified </w:t>
            </w:r>
            <w:r w:rsidR="007D2E46" w:rsidRPr="002F357B">
              <w:rPr>
                <w:szCs w:val="20"/>
              </w:rPr>
              <w:t>waste stabilisation pond</w:t>
            </w:r>
          </w:p>
        </w:tc>
        <w:tc>
          <w:tcPr>
            <w:tcW w:w="938" w:type="pct"/>
            <w:shd w:val="clear" w:color="000000" w:fill="E7E7E8"/>
            <w:hideMark/>
          </w:tcPr>
          <w:p w14:paraId="6B447B36" w14:textId="77777777" w:rsidR="008C230C" w:rsidRPr="002F357B" w:rsidRDefault="008C230C" w:rsidP="008324F9">
            <w:pPr>
              <w:spacing w:after="30"/>
              <w:jc w:val="center"/>
              <w:rPr>
                <w:szCs w:val="20"/>
              </w:rPr>
            </w:pPr>
            <w:r w:rsidRPr="002F357B">
              <w:rPr>
                <w:szCs w:val="20"/>
              </w:rPr>
              <w:t>No</w:t>
            </w:r>
          </w:p>
        </w:tc>
        <w:tc>
          <w:tcPr>
            <w:tcW w:w="872" w:type="pct"/>
            <w:shd w:val="clear" w:color="000000" w:fill="E7E7E8"/>
            <w:hideMark/>
          </w:tcPr>
          <w:p w14:paraId="3D37C09A" w14:textId="77777777" w:rsidR="008C230C" w:rsidRPr="002F357B" w:rsidRDefault="008C230C" w:rsidP="008324F9">
            <w:pPr>
              <w:spacing w:after="30"/>
              <w:jc w:val="center"/>
              <w:rPr>
                <w:szCs w:val="20"/>
              </w:rPr>
            </w:pPr>
            <w:r w:rsidRPr="002F357B">
              <w:rPr>
                <w:szCs w:val="20"/>
              </w:rPr>
              <w:t>No</w:t>
            </w:r>
          </w:p>
        </w:tc>
        <w:tc>
          <w:tcPr>
            <w:tcW w:w="888" w:type="pct"/>
            <w:shd w:val="clear" w:color="000000" w:fill="E7E7E8"/>
            <w:hideMark/>
          </w:tcPr>
          <w:p w14:paraId="1EE4A2B3" w14:textId="77777777" w:rsidR="008C230C" w:rsidRPr="002F357B" w:rsidRDefault="008C230C" w:rsidP="008324F9">
            <w:pPr>
              <w:spacing w:after="30"/>
              <w:jc w:val="center"/>
              <w:rPr>
                <w:szCs w:val="20"/>
              </w:rPr>
            </w:pPr>
            <w:r w:rsidRPr="002F357B">
              <w:rPr>
                <w:szCs w:val="20"/>
              </w:rPr>
              <w:t>Yes</w:t>
            </w:r>
          </w:p>
        </w:tc>
        <w:tc>
          <w:tcPr>
            <w:tcW w:w="879" w:type="pct"/>
            <w:shd w:val="clear" w:color="000000" w:fill="E7E7E8"/>
            <w:hideMark/>
          </w:tcPr>
          <w:p w14:paraId="44425CD5" w14:textId="77777777" w:rsidR="008C230C" w:rsidRPr="002F357B" w:rsidRDefault="008C230C" w:rsidP="008324F9">
            <w:pPr>
              <w:spacing w:after="30"/>
              <w:jc w:val="center"/>
              <w:rPr>
                <w:szCs w:val="20"/>
              </w:rPr>
            </w:pPr>
            <w:r w:rsidRPr="002F357B">
              <w:rPr>
                <w:szCs w:val="20"/>
              </w:rPr>
              <w:t>No</w:t>
            </w:r>
          </w:p>
        </w:tc>
      </w:tr>
      <w:tr w:rsidR="0021047A" w:rsidRPr="007267E6" w14:paraId="7AA9CDC1" w14:textId="77777777" w:rsidTr="00D96F40">
        <w:trPr>
          <w:trHeight w:val="620"/>
        </w:trPr>
        <w:tc>
          <w:tcPr>
            <w:tcW w:w="1424" w:type="pct"/>
            <w:shd w:val="clear" w:color="000000" w:fill="E7E7E8"/>
            <w:hideMark/>
          </w:tcPr>
          <w:p w14:paraId="58F64A84" w14:textId="77777777" w:rsidR="008C230C" w:rsidRPr="002F357B" w:rsidRDefault="008C230C" w:rsidP="00D46AF3">
            <w:pPr>
              <w:spacing w:after="30"/>
              <w:rPr>
                <w:szCs w:val="20"/>
              </w:rPr>
            </w:pPr>
            <w:r w:rsidRPr="002F357B">
              <w:rPr>
                <w:szCs w:val="20"/>
              </w:rPr>
              <w:t xml:space="preserve">Trickling filter / </w:t>
            </w:r>
            <w:r w:rsidR="007D2E46" w:rsidRPr="002F357B">
              <w:rPr>
                <w:szCs w:val="20"/>
              </w:rPr>
              <w:t xml:space="preserve">Rotating </w:t>
            </w:r>
            <w:r w:rsidR="00266651" w:rsidRPr="002F357B">
              <w:rPr>
                <w:szCs w:val="20"/>
              </w:rPr>
              <w:t>b</w:t>
            </w:r>
            <w:r w:rsidR="007D2E46" w:rsidRPr="002F357B">
              <w:rPr>
                <w:szCs w:val="20"/>
              </w:rPr>
              <w:t xml:space="preserve">iological </w:t>
            </w:r>
            <w:r w:rsidR="00266651" w:rsidRPr="002F357B">
              <w:rPr>
                <w:szCs w:val="20"/>
              </w:rPr>
              <w:t>c</w:t>
            </w:r>
            <w:r w:rsidR="007D2E46" w:rsidRPr="002F357B">
              <w:rPr>
                <w:szCs w:val="20"/>
              </w:rPr>
              <w:t>ontactors</w:t>
            </w:r>
          </w:p>
        </w:tc>
        <w:tc>
          <w:tcPr>
            <w:tcW w:w="938" w:type="pct"/>
            <w:shd w:val="clear" w:color="000000" w:fill="E7E7E8"/>
            <w:hideMark/>
          </w:tcPr>
          <w:p w14:paraId="7B958C2E" w14:textId="77777777" w:rsidR="008C230C" w:rsidRPr="002F357B" w:rsidRDefault="008C230C" w:rsidP="008324F9">
            <w:pPr>
              <w:spacing w:after="30"/>
              <w:jc w:val="center"/>
              <w:rPr>
                <w:szCs w:val="20"/>
              </w:rPr>
            </w:pPr>
            <w:r w:rsidRPr="002F357B">
              <w:rPr>
                <w:szCs w:val="20"/>
              </w:rPr>
              <w:t>No</w:t>
            </w:r>
          </w:p>
        </w:tc>
        <w:tc>
          <w:tcPr>
            <w:tcW w:w="872" w:type="pct"/>
            <w:shd w:val="clear" w:color="000000" w:fill="E7E7E8"/>
            <w:hideMark/>
          </w:tcPr>
          <w:p w14:paraId="332FC5EF" w14:textId="77777777" w:rsidR="008C230C" w:rsidRPr="002F357B" w:rsidRDefault="008C230C" w:rsidP="008324F9">
            <w:pPr>
              <w:spacing w:after="30"/>
              <w:jc w:val="center"/>
              <w:rPr>
                <w:szCs w:val="20"/>
              </w:rPr>
            </w:pPr>
            <w:r w:rsidRPr="002F357B">
              <w:rPr>
                <w:szCs w:val="20"/>
              </w:rPr>
              <w:t>No</w:t>
            </w:r>
          </w:p>
        </w:tc>
        <w:tc>
          <w:tcPr>
            <w:tcW w:w="888" w:type="pct"/>
            <w:shd w:val="clear" w:color="000000" w:fill="E7E7E8"/>
            <w:hideMark/>
          </w:tcPr>
          <w:p w14:paraId="4AC93A04" w14:textId="77777777" w:rsidR="008C230C" w:rsidRPr="002F357B" w:rsidRDefault="008C230C" w:rsidP="008324F9">
            <w:pPr>
              <w:spacing w:after="30"/>
              <w:jc w:val="center"/>
              <w:rPr>
                <w:szCs w:val="20"/>
              </w:rPr>
            </w:pPr>
            <w:r w:rsidRPr="002F357B">
              <w:rPr>
                <w:szCs w:val="20"/>
              </w:rPr>
              <w:t>Yes</w:t>
            </w:r>
          </w:p>
        </w:tc>
        <w:tc>
          <w:tcPr>
            <w:tcW w:w="879" w:type="pct"/>
            <w:shd w:val="clear" w:color="000000" w:fill="E7E7E8"/>
            <w:hideMark/>
          </w:tcPr>
          <w:p w14:paraId="24C37D47" w14:textId="77777777" w:rsidR="008C230C" w:rsidRPr="002F357B" w:rsidRDefault="008C230C" w:rsidP="008324F9">
            <w:pPr>
              <w:spacing w:after="30"/>
              <w:jc w:val="center"/>
              <w:rPr>
                <w:szCs w:val="20"/>
              </w:rPr>
            </w:pPr>
            <w:r w:rsidRPr="002F357B">
              <w:rPr>
                <w:szCs w:val="20"/>
              </w:rPr>
              <w:t>No</w:t>
            </w:r>
          </w:p>
        </w:tc>
      </w:tr>
      <w:tr w:rsidR="0021047A" w:rsidRPr="007267E6" w14:paraId="7D0EFAC8" w14:textId="77777777" w:rsidTr="00D96F40">
        <w:trPr>
          <w:trHeight w:val="620"/>
        </w:trPr>
        <w:tc>
          <w:tcPr>
            <w:tcW w:w="1424" w:type="pct"/>
            <w:shd w:val="clear" w:color="000000" w:fill="E7E7E8"/>
            <w:hideMark/>
          </w:tcPr>
          <w:p w14:paraId="5F475175" w14:textId="77777777" w:rsidR="008C230C" w:rsidRPr="002F357B" w:rsidRDefault="007D2E46" w:rsidP="00D46AF3">
            <w:pPr>
              <w:spacing w:after="30"/>
              <w:rPr>
                <w:szCs w:val="20"/>
              </w:rPr>
            </w:pPr>
            <w:r w:rsidRPr="002F357B">
              <w:rPr>
                <w:szCs w:val="20"/>
              </w:rPr>
              <w:t xml:space="preserve">Submerged </w:t>
            </w:r>
            <w:r w:rsidR="00266651" w:rsidRPr="002F357B">
              <w:rPr>
                <w:szCs w:val="20"/>
              </w:rPr>
              <w:t>a</w:t>
            </w:r>
            <w:r w:rsidRPr="002F357B">
              <w:rPr>
                <w:szCs w:val="20"/>
              </w:rPr>
              <w:t xml:space="preserve">erated </w:t>
            </w:r>
            <w:r w:rsidR="00266651" w:rsidRPr="002F357B">
              <w:rPr>
                <w:szCs w:val="20"/>
              </w:rPr>
              <w:t>f</w:t>
            </w:r>
            <w:r w:rsidRPr="002F357B">
              <w:rPr>
                <w:szCs w:val="20"/>
              </w:rPr>
              <w:t>ilter</w:t>
            </w:r>
            <w:r w:rsidR="008C230C" w:rsidRPr="002F357B">
              <w:rPr>
                <w:szCs w:val="20"/>
              </w:rPr>
              <w:t>, recirculating filters</w:t>
            </w:r>
          </w:p>
        </w:tc>
        <w:tc>
          <w:tcPr>
            <w:tcW w:w="938" w:type="pct"/>
            <w:shd w:val="clear" w:color="000000" w:fill="E7E7E8"/>
            <w:hideMark/>
          </w:tcPr>
          <w:p w14:paraId="4E0CE85E" w14:textId="77777777" w:rsidR="008C230C" w:rsidRPr="002F357B" w:rsidRDefault="008C230C" w:rsidP="008324F9">
            <w:pPr>
              <w:spacing w:after="30"/>
              <w:jc w:val="center"/>
              <w:rPr>
                <w:szCs w:val="20"/>
              </w:rPr>
            </w:pPr>
            <w:r w:rsidRPr="002F357B">
              <w:rPr>
                <w:szCs w:val="20"/>
              </w:rPr>
              <w:t>No</w:t>
            </w:r>
          </w:p>
        </w:tc>
        <w:tc>
          <w:tcPr>
            <w:tcW w:w="872" w:type="pct"/>
            <w:shd w:val="clear" w:color="000000" w:fill="E7E7E8"/>
            <w:hideMark/>
          </w:tcPr>
          <w:p w14:paraId="603B4972" w14:textId="77777777" w:rsidR="008C230C" w:rsidRPr="002F357B" w:rsidRDefault="008C230C" w:rsidP="008324F9">
            <w:pPr>
              <w:spacing w:after="30"/>
              <w:jc w:val="center"/>
              <w:rPr>
                <w:szCs w:val="20"/>
              </w:rPr>
            </w:pPr>
            <w:r w:rsidRPr="002F357B">
              <w:rPr>
                <w:szCs w:val="20"/>
              </w:rPr>
              <w:t>No</w:t>
            </w:r>
          </w:p>
        </w:tc>
        <w:tc>
          <w:tcPr>
            <w:tcW w:w="888" w:type="pct"/>
            <w:shd w:val="clear" w:color="000000" w:fill="E7E7E8"/>
            <w:hideMark/>
          </w:tcPr>
          <w:p w14:paraId="5D7D7873" w14:textId="77777777" w:rsidR="008C230C" w:rsidRPr="002F357B" w:rsidRDefault="008C230C" w:rsidP="008324F9">
            <w:pPr>
              <w:spacing w:after="30"/>
              <w:jc w:val="center"/>
              <w:rPr>
                <w:szCs w:val="20"/>
              </w:rPr>
            </w:pPr>
            <w:r w:rsidRPr="002F357B">
              <w:rPr>
                <w:szCs w:val="20"/>
              </w:rPr>
              <w:t>No</w:t>
            </w:r>
          </w:p>
        </w:tc>
        <w:tc>
          <w:tcPr>
            <w:tcW w:w="879" w:type="pct"/>
            <w:shd w:val="clear" w:color="000000" w:fill="E7E7E8"/>
            <w:hideMark/>
          </w:tcPr>
          <w:p w14:paraId="3182AC0B" w14:textId="77777777" w:rsidR="008C230C" w:rsidRPr="002F357B" w:rsidRDefault="008C230C" w:rsidP="008324F9">
            <w:pPr>
              <w:spacing w:after="30"/>
              <w:jc w:val="center"/>
              <w:rPr>
                <w:szCs w:val="20"/>
              </w:rPr>
            </w:pPr>
            <w:r w:rsidRPr="002F357B">
              <w:rPr>
                <w:szCs w:val="20"/>
              </w:rPr>
              <w:t>No</w:t>
            </w:r>
          </w:p>
        </w:tc>
      </w:tr>
      <w:tr w:rsidR="0021047A" w:rsidRPr="007267E6" w14:paraId="31F2FDFC" w14:textId="77777777" w:rsidTr="00D96F40">
        <w:trPr>
          <w:trHeight w:val="620"/>
        </w:trPr>
        <w:tc>
          <w:tcPr>
            <w:tcW w:w="1424" w:type="pct"/>
            <w:shd w:val="clear" w:color="000000" w:fill="E7E7E8"/>
            <w:hideMark/>
          </w:tcPr>
          <w:p w14:paraId="42B7D43A" w14:textId="77777777" w:rsidR="008C230C" w:rsidRPr="002F357B" w:rsidRDefault="008C230C" w:rsidP="00261B3A">
            <w:pPr>
              <w:spacing w:after="30"/>
              <w:rPr>
                <w:szCs w:val="20"/>
              </w:rPr>
            </w:pPr>
            <w:r w:rsidRPr="002F357B">
              <w:rPr>
                <w:szCs w:val="20"/>
              </w:rPr>
              <w:t xml:space="preserve">Activated </w:t>
            </w:r>
            <w:r w:rsidR="00DE0AF9" w:rsidRPr="002F357B">
              <w:rPr>
                <w:szCs w:val="20"/>
              </w:rPr>
              <w:t xml:space="preserve">Sludge  </w:t>
            </w:r>
          </w:p>
        </w:tc>
        <w:tc>
          <w:tcPr>
            <w:tcW w:w="938" w:type="pct"/>
            <w:shd w:val="clear" w:color="000000" w:fill="E7E7E8"/>
            <w:hideMark/>
          </w:tcPr>
          <w:p w14:paraId="21557B6E" w14:textId="77777777" w:rsidR="008C230C" w:rsidRPr="002F357B" w:rsidRDefault="008C230C" w:rsidP="008324F9">
            <w:pPr>
              <w:spacing w:after="30"/>
              <w:jc w:val="center"/>
              <w:rPr>
                <w:szCs w:val="20"/>
              </w:rPr>
            </w:pPr>
            <w:r w:rsidRPr="002F357B">
              <w:rPr>
                <w:szCs w:val="20"/>
              </w:rPr>
              <w:t>No</w:t>
            </w:r>
          </w:p>
        </w:tc>
        <w:tc>
          <w:tcPr>
            <w:tcW w:w="872" w:type="pct"/>
            <w:shd w:val="clear" w:color="000000" w:fill="E7E7E8"/>
            <w:hideMark/>
          </w:tcPr>
          <w:p w14:paraId="676CF3F0" w14:textId="77777777" w:rsidR="008C230C" w:rsidRPr="002F357B" w:rsidRDefault="008C230C" w:rsidP="008324F9">
            <w:pPr>
              <w:spacing w:after="30"/>
              <w:jc w:val="center"/>
              <w:rPr>
                <w:szCs w:val="20"/>
              </w:rPr>
            </w:pPr>
            <w:r w:rsidRPr="002F357B">
              <w:rPr>
                <w:szCs w:val="20"/>
              </w:rPr>
              <w:t>Yes</w:t>
            </w:r>
          </w:p>
        </w:tc>
        <w:tc>
          <w:tcPr>
            <w:tcW w:w="888" w:type="pct"/>
            <w:shd w:val="clear" w:color="000000" w:fill="E7E7E8"/>
            <w:hideMark/>
          </w:tcPr>
          <w:p w14:paraId="59D73B3E" w14:textId="77777777" w:rsidR="008C230C" w:rsidRPr="002F357B" w:rsidRDefault="008C230C" w:rsidP="008324F9">
            <w:pPr>
              <w:spacing w:after="30"/>
              <w:jc w:val="center"/>
              <w:rPr>
                <w:szCs w:val="20"/>
              </w:rPr>
            </w:pPr>
            <w:r w:rsidRPr="002F357B">
              <w:rPr>
                <w:szCs w:val="20"/>
              </w:rPr>
              <w:t>No</w:t>
            </w:r>
          </w:p>
        </w:tc>
        <w:tc>
          <w:tcPr>
            <w:tcW w:w="879" w:type="pct"/>
            <w:shd w:val="clear" w:color="000000" w:fill="E7E7E8"/>
            <w:hideMark/>
          </w:tcPr>
          <w:p w14:paraId="3108996F" w14:textId="77777777" w:rsidR="008C230C" w:rsidRPr="002F357B" w:rsidRDefault="008C230C" w:rsidP="008324F9">
            <w:pPr>
              <w:spacing w:after="30"/>
              <w:jc w:val="center"/>
              <w:rPr>
                <w:szCs w:val="20"/>
              </w:rPr>
            </w:pPr>
            <w:r w:rsidRPr="002F357B">
              <w:rPr>
                <w:szCs w:val="20"/>
              </w:rPr>
              <w:t>No</w:t>
            </w:r>
          </w:p>
        </w:tc>
      </w:tr>
      <w:tr w:rsidR="0021047A" w:rsidRPr="007267E6" w14:paraId="5893ADCE" w14:textId="77777777" w:rsidTr="00D96F40">
        <w:trPr>
          <w:trHeight w:val="620"/>
        </w:trPr>
        <w:tc>
          <w:tcPr>
            <w:tcW w:w="1424" w:type="pct"/>
            <w:shd w:val="clear" w:color="000000" w:fill="E7E7E8"/>
            <w:hideMark/>
          </w:tcPr>
          <w:p w14:paraId="52066B09" w14:textId="77777777" w:rsidR="008C230C" w:rsidRPr="002F357B" w:rsidRDefault="00C43BB3" w:rsidP="00D46AF3">
            <w:pPr>
              <w:spacing w:after="30"/>
              <w:rPr>
                <w:szCs w:val="20"/>
              </w:rPr>
            </w:pPr>
            <w:r w:rsidRPr="002F357B">
              <w:rPr>
                <w:szCs w:val="20"/>
              </w:rPr>
              <w:t>BNR</w:t>
            </w:r>
            <w:r w:rsidR="00266651" w:rsidRPr="002F357B">
              <w:rPr>
                <w:szCs w:val="20"/>
              </w:rPr>
              <w:t xml:space="preserve">  – Activated Sludge Plant </w:t>
            </w:r>
          </w:p>
        </w:tc>
        <w:tc>
          <w:tcPr>
            <w:tcW w:w="938" w:type="pct"/>
            <w:shd w:val="clear" w:color="000000" w:fill="E7E7E8"/>
            <w:hideMark/>
          </w:tcPr>
          <w:p w14:paraId="5B4524D7" w14:textId="77777777" w:rsidR="008C230C" w:rsidRPr="002F357B" w:rsidRDefault="008C230C" w:rsidP="008324F9">
            <w:pPr>
              <w:spacing w:after="30"/>
              <w:jc w:val="center"/>
              <w:rPr>
                <w:szCs w:val="20"/>
              </w:rPr>
            </w:pPr>
            <w:r w:rsidRPr="002F357B">
              <w:rPr>
                <w:szCs w:val="20"/>
              </w:rPr>
              <w:t>No</w:t>
            </w:r>
          </w:p>
        </w:tc>
        <w:tc>
          <w:tcPr>
            <w:tcW w:w="872" w:type="pct"/>
            <w:shd w:val="clear" w:color="000000" w:fill="E7E7E8"/>
            <w:hideMark/>
          </w:tcPr>
          <w:p w14:paraId="06A32D84" w14:textId="77777777" w:rsidR="008C230C" w:rsidRPr="002F357B" w:rsidRDefault="008C230C" w:rsidP="008324F9">
            <w:pPr>
              <w:spacing w:after="30"/>
              <w:jc w:val="center"/>
              <w:rPr>
                <w:szCs w:val="20"/>
              </w:rPr>
            </w:pPr>
            <w:r w:rsidRPr="002F357B">
              <w:rPr>
                <w:szCs w:val="20"/>
              </w:rPr>
              <w:t>Yes</w:t>
            </w:r>
          </w:p>
        </w:tc>
        <w:tc>
          <w:tcPr>
            <w:tcW w:w="888" w:type="pct"/>
            <w:shd w:val="clear" w:color="000000" w:fill="E7E7E8"/>
            <w:hideMark/>
          </w:tcPr>
          <w:p w14:paraId="3D15D986" w14:textId="77777777" w:rsidR="008C230C" w:rsidRPr="002F357B" w:rsidRDefault="008C230C" w:rsidP="008324F9">
            <w:pPr>
              <w:spacing w:after="30"/>
              <w:jc w:val="center"/>
              <w:rPr>
                <w:szCs w:val="20"/>
              </w:rPr>
            </w:pPr>
            <w:r w:rsidRPr="002F357B">
              <w:rPr>
                <w:szCs w:val="20"/>
              </w:rPr>
              <w:t>Yes</w:t>
            </w:r>
          </w:p>
        </w:tc>
        <w:tc>
          <w:tcPr>
            <w:tcW w:w="879" w:type="pct"/>
            <w:shd w:val="clear" w:color="000000" w:fill="E7E7E8"/>
            <w:hideMark/>
          </w:tcPr>
          <w:p w14:paraId="0A46C8D8" w14:textId="77777777" w:rsidR="008C230C" w:rsidRPr="002F357B" w:rsidRDefault="008C230C" w:rsidP="008324F9">
            <w:pPr>
              <w:spacing w:after="30"/>
              <w:jc w:val="center"/>
              <w:rPr>
                <w:szCs w:val="20"/>
              </w:rPr>
            </w:pPr>
            <w:r w:rsidRPr="002F357B">
              <w:rPr>
                <w:szCs w:val="20"/>
              </w:rPr>
              <w:t>No</w:t>
            </w:r>
          </w:p>
        </w:tc>
      </w:tr>
      <w:tr w:rsidR="0021047A" w:rsidRPr="007267E6" w14:paraId="68F017BA" w14:textId="77777777" w:rsidTr="00D96F40">
        <w:trPr>
          <w:trHeight w:val="620"/>
        </w:trPr>
        <w:tc>
          <w:tcPr>
            <w:tcW w:w="1424" w:type="pct"/>
            <w:shd w:val="clear" w:color="000000" w:fill="E7E7E8"/>
            <w:hideMark/>
          </w:tcPr>
          <w:p w14:paraId="347F9F8A" w14:textId="77777777" w:rsidR="008C230C" w:rsidRPr="002F357B" w:rsidRDefault="008C230C" w:rsidP="00D46AF3">
            <w:pPr>
              <w:spacing w:after="30"/>
              <w:rPr>
                <w:szCs w:val="20"/>
              </w:rPr>
            </w:pPr>
            <w:r w:rsidRPr="002F357B">
              <w:rPr>
                <w:szCs w:val="20"/>
              </w:rPr>
              <w:t xml:space="preserve">+ </w:t>
            </w:r>
            <w:r w:rsidR="00266651" w:rsidRPr="002F357B">
              <w:rPr>
                <w:szCs w:val="20"/>
              </w:rPr>
              <w:t xml:space="preserve">Ultra Violet </w:t>
            </w:r>
            <w:r w:rsidRPr="002F357B">
              <w:rPr>
                <w:szCs w:val="20"/>
              </w:rPr>
              <w:t>Disinfection</w:t>
            </w:r>
          </w:p>
        </w:tc>
        <w:tc>
          <w:tcPr>
            <w:tcW w:w="938" w:type="pct"/>
            <w:shd w:val="clear" w:color="000000" w:fill="E7E7E8"/>
            <w:hideMark/>
          </w:tcPr>
          <w:p w14:paraId="1F183399" w14:textId="77777777" w:rsidR="008C230C" w:rsidRPr="002F357B" w:rsidRDefault="008C230C" w:rsidP="00022DC9">
            <w:pPr>
              <w:spacing w:after="0"/>
              <w:jc w:val="center"/>
              <w:rPr>
                <w:szCs w:val="20"/>
              </w:rPr>
            </w:pPr>
            <w:r w:rsidRPr="002F357B">
              <w:rPr>
                <w:szCs w:val="20"/>
              </w:rPr>
              <w:t>Yes</w:t>
            </w:r>
          </w:p>
        </w:tc>
        <w:tc>
          <w:tcPr>
            <w:tcW w:w="872" w:type="pct"/>
            <w:shd w:val="clear" w:color="000000" w:fill="E7E7E8"/>
            <w:hideMark/>
          </w:tcPr>
          <w:p w14:paraId="7E802C7A" w14:textId="77777777" w:rsidR="008C230C" w:rsidRPr="002F357B" w:rsidRDefault="008C230C" w:rsidP="008324F9">
            <w:pPr>
              <w:spacing w:after="0"/>
              <w:jc w:val="center"/>
              <w:rPr>
                <w:szCs w:val="20"/>
              </w:rPr>
            </w:pPr>
            <w:r w:rsidRPr="002F357B">
              <w:rPr>
                <w:szCs w:val="20"/>
              </w:rPr>
              <w:t>-</w:t>
            </w:r>
          </w:p>
        </w:tc>
        <w:tc>
          <w:tcPr>
            <w:tcW w:w="888" w:type="pct"/>
            <w:shd w:val="clear" w:color="000000" w:fill="E7E7E8"/>
            <w:hideMark/>
          </w:tcPr>
          <w:p w14:paraId="1637317E" w14:textId="77777777" w:rsidR="008C230C" w:rsidRPr="002F357B" w:rsidRDefault="008C230C" w:rsidP="008324F9">
            <w:pPr>
              <w:spacing w:after="0"/>
              <w:jc w:val="center"/>
              <w:rPr>
                <w:szCs w:val="20"/>
              </w:rPr>
            </w:pPr>
            <w:r w:rsidRPr="002F357B">
              <w:rPr>
                <w:szCs w:val="20"/>
              </w:rPr>
              <w:t>-</w:t>
            </w:r>
          </w:p>
        </w:tc>
        <w:tc>
          <w:tcPr>
            <w:tcW w:w="879" w:type="pct"/>
            <w:shd w:val="clear" w:color="000000" w:fill="E7E7E8"/>
            <w:hideMark/>
          </w:tcPr>
          <w:p w14:paraId="5E727B46" w14:textId="77777777" w:rsidR="008C230C" w:rsidRPr="002F357B" w:rsidRDefault="008C230C" w:rsidP="008324F9">
            <w:pPr>
              <w:spacing w:after="0"/>
              <w:jc w:val="center"/>
              <w:rPr>
                <w:szCs w:val="20"/>
              </w:rPr>
            </w:pPr>
            <w:r w:rsidRPr="002F357B">
              <w:rPr>
                <w:szCs w:val="20"/>
              </w:rPr>
              <w:t>-</w:t>
            </w:r>
          </w:p>
        </w:tc>
      </w:tr>
      <w:tr w:rsidR="0021047A" w:rsidRPr="007267E6" w14:paraId="341798F9" w14:textId="77777777" w:rsidTr="00D96F40">
        <w:trPr>
          <w:trHeight w:val="620"/>
        </w:trPr>
        <w:tc>
          <w:tcPr>
            <w:tcW w:w="1424" w:type="pct"/>
            <w:shd w:val="clear" w:color="000000" w:fill="E7E7E8"/>
            <w:hideMark/>
          </w:tcPr>
          <w:p w14:paraId="5DCB189B" w14:textId="77777777" w:rsidR="008C230C" w:rsidRPr="003D4DD8" w:rsidRDefault="00266651" w:rsidP="00D46AF3">
            <w:pPr>
              <w:spacing w:after="30"/>
              <w:rPr>
                <w:szCs w:val="20"/>
                <w:lang w:val="fr-FR"/>
              </w:rPr>
            </w:pPr>
            <w:r w:rsidRPr="003D4DD8">
              <w:rPr>
                <w:szCs w:val="20"/>
                <w:lang w:val="fr-FR"/>
              </w:rPr>
              <w:t xml:space="preserve">Waste stabilisation pond + Ultra Violet </w:t>
            </w:r>
          </w:p>
        </w:tc>
        <w:tc>
          <w:tcPr>
            <w:tcW w:w="938" w:type="pct"/>
            <w:shd w:val="clear" w:color="000000" w:fill="E7E7E8"/>
            <w:hideMark/>
          </w:tcPr>
          <w:p w14:paraId="537BCA93" w14:textId="77777777" w:rsidR="008C230C" w:rsidRPr="002F357B" w:rsidRDefault="008C230C" w:rsidP="008324F9">
            <w:pPr>
              <w:spacing w:after="30"/>
              <w:jc w:val="center"/>
              <w:rPr>
                <w:szCs w:val="20"/>
              </w:rPr>
            </w:pPr>
            <w:r w:rsidRPr="002F357B">
              <w:rPr>
                <w:szCs w:val="20"/>
              </w:rPr>
              <w:t>Yes</w:t>
            </w:r>
          </w:p>
        </w:tc>
        <w:tc>
          <w:tcPr>
            <w:tcW w:w="872" w:type="pct"/>
            <w:shd w:val="clear" w:color="000000" w:fill="E7E7E8"/>
            <w:hideMark/>
          </w:tcPr>
          <w:p w14:paraId="4F174231" w14:textId="77777777" w:rsidR="008C230C" w:rsidRPr="002F357B" w:rsidRDefault="008C230C" w:rsidP="008324F9">
            <w:pPr>
              <w:spacing w:after="30"/>
              <w:jc w:val="center"/>
              <w:rPr>
                <w:szCs w:val="20"/>
              </w:rPr>
            </w:pPr>
            <w:r w:rsidRPr="002F357B">
              <w:rPr>
                <w:szCs w:val="20"/>
              </w:rPr>
              <w:t>No</w:t>
            </w:r>
          </w:p>
        </w:tc>
        <w:tc>
          <w:tcPr>
            <w:tcW w:w="888" w:type="pct"/>
            <w:shd w:val="clear" w:color="000000" w:fill="E7E7E8"/>
            <w:hideMark/>
          </w:tcPr>
          <w:p w14:paraId="4A533501" w14:textId="77777777" w:rsidR="008C230C" w:rsidRPr="002F357B" w:rsidRDefault="008C230C" w:rsidP="008324F9">
            <w:pPr>
              <w:spacing w:after="30"/>
              <w:jc w:val="center"/>
              <w:rPr>
                <w:szCs w:val="20"/>
              </w:rPr>
            </w:pPr>
            <w:r w:rsidRPr="002F357B">
              <w:rPr>
                <w:szCs w:val="20"/>
              </w:rPr>
              <w:t>Yes</w:t>
            </w:r>
          </w:p>
        </w:tc>
        <w:tc>
          <w:tcPr>
            <w:tcW w:w="879" w:type="pct"/>
            <w:shd w:val="clear" w:color="000000" w:fill="E7E7E8"/>
            <w:hideMark/>
          </w:tcPr>
          <w:p w14:paraId="75255415" w14:textId="77777777" w:rsidR="008C230C" w:rsidRPr="002F357B" w:rsidRDefault="008C230C" w:rsidP="008324F9">
            <w:pPr>
              <w:spacing w:after="30"/>
              <w:jc w:val="center"/>
              <w:rPr>
                <w:szCs w:val="20"/>
              </w:rPr>
            </w:pPr>
            <w:r w:rsidRPr="002F357B">
              <w:rPr>
                <w:szCs w:val="20"/>
              </w:rPr>
              <w:t>No</w:t>
            </w:r>
          </w:p>
        </w:tc>
      </w:tr>
      <w:tr w:rsidR="0021047A" w:rsidRPr="007267E6" w14:paraId="468BCB5E" w14:textId="77777777" w:rsidTr="00D96F40">
        <w:trPr>
          <w:trHeight w:val="620"/>
        </w:trPr>
        <w:tc>
          <w:tcPr>
            <w:tcW w:w="1424" w:type="pct"/>
            <w:shd w:val="clear" w:color="000000" w:fill="E7E7E8"/>
            <w:hideMark/>
          </w:tcPr>
          <w:p w14:paraId="08545F27" w14:textId="77777777" w:rsidR="008C230C" w:rsidRPr="002F357B" w:rsidRDefault="00C43BB3" w:rsidP="00D46AF3">
            <w:pPr>
              <w:spacing w:after="30"/>
              <w:rPr>
                <w:szCs w:val="20"/>
              </w:rPr>
            </w:pPr>
            <w:r w:rsidRPr="002F357B">
              <w:rPr>
                <w:szCs w:val="20"/>
              </w:rPr>
              <w:t>BNR</w:t>
            </w:r>
            <w:r w:rsidR="00266651" w:rsidRPr="002F357B">
              <w:rPr>
                <w:szCs w:val="20"/>
              </w:rPr>
              <w:t xml:space="preserve">  – Activated Sludge Plant </w:t>
            </w:r>
            <w:r w:rsidR="008C230C" w:rsidRPr="002F357B">
              <w:rPr>
                <w:szCs w:val="20"/>
              </w:rPr>
              <w:t xml:space="preserve">+ </w:t>
            </w:r>
            <w:r w:rsidR="00266651" w:rsidRPr="002F357B">
              <w:rPr>
                <w:szCs w:val="20"/>
              </w:rPr>
              <w:t>Ultra Violet</w:t>
            </w:r>
          </w:p>
        </w:tc>
        <w:tc>
          <w:tcPr>
            <w:tcW w:w="938" w:type="pct"/>
            <w:shd w:val="clear" w:color="000000" w:fill="E7E7E8"/>
            <w:hideMark/>
          </w:tcPr>
          <w:p w14:paraId="27D314B7" w14:textId="77777777" w:rsidR="008C230C" w:rsidRPr="002F357B" w:rsidRDefault="008C230C" w:rsidP="008324F9">
            <w:pPr>
              <w:spacing w:after="30"/>
              <w:jc w:val="center"/>
              <w:rPr>
                <w:szCs w:val="20"/>
              </w:rPr>
            </w:pPr>
            <w:r w:rsidRPr="002F357B">
              <w:rPr>
                <w:szCs w:val="20"/>
              </w:rPr>
              <w:t>Yes</w:t>
            </w:r>
          </w:p>
        </w:tc>
        <w:tc>
          <w:tcPr>
            <w:tcW w:w="872" w:type="pct"/>
            <w:shd w:val="clear" w:color="000000" w:fill="E7E7E8"/>
            <w:hideMark/>
          </w:tcPr>
          <w:p w14:paraId="67CE7723" w14:textId="77777777" w:rsidR="008C230C" w:rsidRPr="002F357B" w:rsidRDefault="008C230C" w:rsidP="008324F9">
            <w:pPr>
              <w:spacing w:after="30"/>
              <w:jc w:val="center"/>
              <w:rPr>
                <w:szCs w:val="20"/>
              </w:rPr>
            </w:pPr>
            <w:r w:rsidRPr="002F357B">
              <w:rPr>
                <w:rFonts w:cs="Arial"/>
                <w:color w:val="000000"/>
                <w:kern w:val="24"/>
                <w:szCs w:val="20"/>
                <w:lang w:val="en-NZ" w:eastAsia="en-NZ"/>
              </w:rPr>
              <w:t>Yes</w:t>
            </w:r>
          </w:p>
        </w:tc>
        <w:tc>
          <w:tcPr>
            <w:tcW w:w="888" w:type="pct"/>
            <w:shd w:val="clear" w:color="000000" w:fill="E7E7E8"/>
            <w:hideMark/>
          </w:tcPr>
          <w:p w14:paraId="76BD5E91" w14:textId="77777777" w:rsidR="008C230C" w:rsidRPr="002F357B" w:rsidRDefault="008C230C" w:rsidP="008324F9">
            <w:pPr>
              <w:spacing w:after="30"/>
              <w:jc w:val="center"/>
              <w:rPr>
                <w:szCs w:val="20"/>
              </w:rPr>
            </w:pPr>
            <w:r w:rsidRPr="002F357B">
              <w:rPr>
                <w:szCs w:val="20"/>
              </w:rPr>
              <w:t>Yes</w:t>
            </w:r>
          </w:p>
        </w:tc>
        <w:tc>
          <w:tcPr>
            <w:tcW w:w="879" w:type="pct"/>
            <w:shd w:val="clear" w:color="000000" w:fill="E7E7E8"/>
            <w:hideMark/>
          </w:tcPr>
          <w:p w14:paraId="59E1CD3F" w14:textId="77777777" w:rsidR="008C230C" w:rsidRPr="002F357B" w:rsidRDefault="008C230C" w:rsidP="008324F9">
            <w:pPr>
              <w:spacing w:after="30"/>
              <w:jc w:val="center"/>
              <w:rPr>
                <w:szCs w:val="20"/>
              </w:rPr>
            </w:pPr>
            <w:r w:rsidRPr="002F357B">
              <w:rPr>
                <w:szCs w:val="20"/>
              </w:rPr>
              <w:t>Yes</w:t>
            </w:r>
          </w:p>
        </w:tc>
      </w:tr>
    </w:tbl>
    <w:p w14:paraId="7C05BB0C" w14:textId="77777777" w:rsidR="00793C94" w:rsidRPr="002C75CD" w:rsidRDefault="00D01D39" w:rsidP="00793C94">
      <w:pPr>
        <w:pStyle w:val="Body"/>
        <w:rPr>
          <w:i/>
          <w:sz w:val="18"/>
          <w:szCs w:val="18"/>
        </w:rPr>
      </w:pPr>
      <w:r w:rsidRPr="00A27F3D">
        <w:rPr>
          <w:i/>
          <w:sz w:val="18"/>
          <w:szCs w:val="18"/>
        </w:rPr>
        <w:t>N</w:t>
      </w:r>
      <w:r w:rsidRPr="002C75CD">
        <w:rPr>
          <w:i/>
          <w:sz w:val="18"/>
          <w:szCs w:val="18"/>
        </w:rPr>
        <w:t>otes:</w:t>
      </w:r>
    </w:p>
    <w:p w14:paraId="02E5BCC4" w14:textId="77777777" w:rsidR="00D01D39" w:rsidRPr="00A27F3D" w:rsidRDefault="00D01D39" w:rsidP="00A27F3D">
      <w:pPr>
        <w:pStyle w:val="Body"/>
        <w:numPr>
          <w:ilvl w:val="0"/>
          <w:numId w:val="79"/>
        </w:numPr>
        <w:rPr>
          <w:i/>
          <w:sz w:val="16"/>
          <w:szCs w:val="16"/>
        </w:rPr>
      </w:pPr>
      <w:r w:rsidRPr="002C75CD">
        <w:rPr>
          <w:i/>
          <w:sz w:val="16"/>
          <w:szCs w:val="16"/>
        </w:rPr>
        <w:t>This table has been developed</w:t>
      </w:r>
      <w:r w:rsidR="00452405">
        <w:rPr>
          <w:i/>
          <w:sz w:val="16"/>
          <w:szCs w:val="16"/>
        </w:rPr>
        <w:t xml:space="preserve"> by TWWS</w:t>
      </w:r>
      <w:r w:rsidRPr="00A27F3D">
        <w:rPr>
          <w:i/>
          <w:sz w:val="16"/>
          <w:szCs w:val="16"/>
        </w:rPr>
        <w:t xml:space="preserve"> to guide process selection for this study and is indicative only. Process capability and reliability is not g</w:t>
      </w:r>
      <w:r w:rsidRPr="002C75CD">
        <w:rPr>
          <w:i/>
          <w:sz w:val="16"/>
          <w:szCs w:val="16"/>
        </w:rPr>
        <w:t>uaranteed in all cases</w:t>
      </w:r>
      <w:r>
        <w:rPr>
          <w:i/>
          <w:sz w:val="16"/>
          <w:szCs w:val="16"/>
        </w:rPr>
        <w:t xml:space="preserve"> and site specific constraints may apply</w:t>
      </w:r>
    </w:p>
    <w:p w14:paraId="428752FD" w14:textId="77777777" w:rsidR="00D01D39" w:rsidRPr="002C75CD" w:rsidRDefault="00D01D39" w:rsidP="002C75CD">
      <w:pPr>
        <w:pStyle w:val="Body"/>
        <w:numPr>
          <w:ilvl w:val="0"/>
          <w:numId w:val="79"/>
        </w:numPr>
        <w:rPr>
          <w:i/>
          <w:sz w:val="16"/>
          <w:szCs w:val="16"/>
        </w:rPr>
      </w:pPr>
      <w:r w:rsidRPr="002C75CD">
        <w:rPr>
          <w:i/>
          <w:sz w:val="16"/>
          <w:szCs w:val="16"/>
        </w:rPr>
        <w:t>WSP followed by only U</w:t>
      </w:r>
      <w:r w:rsidR="005066BD">
        <w:rPr>
          <w:i/>
          <w:sz w:val="16"/>
          <w:szCs w:val="16"/>
        </w:rPr>
        <w:t xml:space="preserve">ltra Violet </w:t>
      </w:r>
      <w:r w:rsidRPr="002C75CD">
        <w:rPr>
          <w:i/>
          <w:sz w:val="16"/>
          <w:szCs w:val="16"/>
        </w:rPr>
        <w:t xml:space="preserve">could be problematic and is typically not </w:t>
      </w:r>
      <w:r w:rsidR="009776A1" w:rsidRPr="002C75CD">
        <w:rPr>
          <w:i/>
          <w:sz w:val="16"/>
          <w:szCs w:val="16"/>
        </w:rPr>
        <w:t>recommended,</w:t>
      </w:r>
      <w:r w:rsidRPr="002C75CD">
        <w:rPr>
          <w:i/>
          <w:sz w:val="16"/>
          <w:szCs w:val="16"/>
        </w:rPr>
        <w:t xml:space="preserve"> as there may be issues with algae impacting on the performance and operation of the </w:t>
      </w:r>
      <w:r w:rsidR="005066BD" w:rsidRPr="002C75CD">
        <w:rPr>
          <w:i/>
          <w:sz w:val="16"/>
          <w:szCs w:val="16"/>
        </w:rPr>
        <w:t>U</w:t>
      </w:r>
      <w:r w:rsidR="005066BD">
        <w:rPr>
          <w:i/>
          <w:sz w:val="16"/>
          <w:szCs w:val="16"/>
        </w:rPr>
        <w:t>ltra Violet</w:t>
      </w:r>
      <w:r w:rsidRPr="002C75CD">
        <w:rPr>
          <w:i/>
          <w:sz w:val="16"/>
          <w:szCs w:val="16"/>
        </w:rPr>
        <w:t>.</w:t>
      </w:r>
    </w:p>
    <w:p w14:paraId="5C879F0F" w14:textId="77777777" w:rsidR="00D01D39" w:rsidRDefault="00D01D39" w:rsidP="00793C94">
      <w:pPr>
        <w:pStyle w:val="Body"/>
      </w:pPr>
    </w:p>
    <w:p w14:paraId="59EDE98D" w14:textId="77777777" w:rsidR="007119DC" w:rsidRDefault="004F51E5" w:rsidP="00D46AF3">
      <w:pPr>
        <w:pStyle w:val="Body"/>
      </w:pPr>
      <w:r>
        <w:fldChar w:fldCharType="begin"/>
      </w:r>
      <w:r>
        <w:instrText xml:space="preserve"> REF _Ref518659751 \h </w:instrText>
      </w:r>
      <w:r>
        <w:fldChar w:fldCharType="separate"/>
      </w:r>
      <w:r w:rsidR="002777A8">
        <w:t xml:space="preserve">Figure </w:t>
      </w:r>
      <w:r w:rsidR="002777A8">
        <w:rPr>
          <w:noProof/>
        </w:rPr>
        <w:t>11</w:t>
      </w:r>
      <w:r>
        <w:fldChar w:fldCharType="end"/>
      </w:r>
      <w:r w:rsidR="00793C94">
        <w:t xml:space="preserve"> and </w:t>
      </w:r>
      <w:r w:rsidR="00793C94">
        <w:fldChar w:fldCharType="begin"/>
      </w:r>
      <w:r w:rsidR="00793C94">
        <w:instrText xml:space="preserve"> REF _Ref516829297 \h </w:instrText>
      </w:r>
      <w:r w:rsidR="00793C94">
        <w:fldChar w:fldCharType="separate"/>
      </w:r>
      <w:r w:rsidR="002777A8">
        <w:t xml:space="preserve">Figure </w:t>
      </w:r>
      <w:r w:rsidR="002777A8">
        <w:rPr>
          <w:noProof/>
        </w:rPr>
        <w:t>12</w:t>
      </w:r>
      <w:r w:rsidR="00793C94">
        <w:fldChar w:fldCharType="end"/>
      </w:r>
      <w:r w:rsidR="00793C94">
        <w:t xml:space="preserve"> </w:t>
      </w:r>
      <w:r w:rsidR="00B75250">
        <w:t>show data from</w:t>
      </w:r>
      <w:r w:rsidR="00226939">
        <w:t xml:space="preserve"> the </w:t>
      </w:r>
      <w:r w:rsidR="0000197F">
        <w:t xml:space="preserve">cost database for </w:t>
      </w:r>
      <w:r w:rsidR="00266651">
        <w:t>Membrane Bioreactor (commonly called MBR plants)</w:t>
      </w:r>
      <w:r w:rsidR="0000197F">
        <w:t xml:space="preserve">, </w:t>
      </w:r>
      <w:r w:rsidR="009776A1">
        <w:t>BNR</w:t>
      </w:r>
      <w:r w:rsidR="009776A1" w:rsidRPr="00266651">
        <w:t xml:space="preserve"> –</w:t>
      </w:r>
      <w:r w:rsidR="00266651" w:rsidRPr="00266651">
        <w:t xml:space="preserve"> Activated Sludge </w:t>
      </w:r>
      <w:r w:rsidR="00266651">
        <w:t>p</w:t>
      </w:r>
      <w:r w:rsidR="00266651" w:rsidRPr="00266651">
        <w:t>lant</w:t>
      </w:r>
      <w:r w:rsidR="00266651">
        <w:t xml:space="preserve">s </w:t>
      </w:r>
      <w:r w:rsidR="00226939">
        <w:t xml:space="preserve">and </w:t>
      </w:r>
      <w:r w:rsidR="005066BD">
        <w:t>Ultra Violet</w:t>
      </w:r>
      <w:r w:rsidR="00266651">
        <w:t xml:space="preserve"> plants</w:t>
      </w:r>
      <w:r w:rsidR="00B75250">
        <w:t xml:space="preserve">. </w:t>
      </w:r>
    </w:p>
    <w:p w14:paraId="17259DAB" w14:textId="77777777" w:rsidR="007119DC" w:rsidRDefault="00B75250" w:rsidP="00D46AF3">
      <w:pPr>
        <w:pStyle w:val="Body"/>
      </w:pPr>
      <w:r>
        <w:t xml:space="preserve">Corresponding best-fit curves used as the basis for developing cost curves in section </w:t>
      </w:r>
      <w:r>
        <w:fldChar w:fldCharType="begin"/>
      </w:r>
      <w:r>
        <w:instrText xml:space="preserve"> REF _Ref516840549 \n \h </w:instrText>
      </w:r>
      <w:r>
        <w:fldChar w:fldCharType="separate"/>
      </w:r>
      <w:r w:rsidR="002777A8">
        <w:t>6.3</w:t>
      </w:r>
      <w:r>
        <w:fldChar w:fldCharType="end"/>
      </w:r>
      <w:r>
        <w:t xml:space="preserve"> are included. </w:t>
      </w:r>
    </w:p>
    <w:p w14:paraId="191E5BA0" w14:textId="77777777" w:rsidR="007267E6" w:rsidRDefault="00B75250" w:rsidP="00D46AF3">
      <w:pPr>
        <w:pStyle w:val="Body"/>
      </w:pPr>
      <w:r>
        <w:t xml:space="preserve">For smaller plants (discharges &lt; 5,000 </w:t>
      </w:r>
      <w:r w:rsidRPr="00B75250">
        <w:t>m</w:t>
      </w:r>
      <w:r w:rsidRPr="00B75250">
        <w:rPr>
          <w:vertAlign w:val="superscript"/>
        </w:rPr>
        <w:t>3</w:t>
      </w:r>
      <w:r>
        <w:t>/d) the cost curves are based on MBR plant price indices</w:t>
      </w:r>
      <w:r w:rsidR="00811B63">
        <w:t>.</w:t>
      </w:r>
      <w:r>
        <w:t xml:space="preserve"> </w:t>
      </w:r>
      <w:r w:rsidR="00226939">
        <w:t xml:space="preserve">The development of these cost curves allows a simple process to be employed to understand the total </w:t>
      </w:r>
      <w:r w:rsidR="00423413">
        <w:t xml:space="preserve">potential </w:t>
      </w:r>
      <w:r w:rsidR="00226939">
        <w:t>upgrade cost for plants across the country.</w:t>
      </w:r>
      <w:r w:rsidR="00423413">
        <w:t xml:space="preserve"> </w:t>
      </w:r>
    </w:p>
    <w:p w14:paraId="3CADCCF0" w14:textId="77777777" w:rsidR="003567E2" w:rsidRDefault="00B75250" w:rsidP="00423413">
      <w:pPr>
        <w:pStyle w:val="Body"/>
      </w:pPr>
      <w:r>
        <w:t>The</w:t>
      </w:r>
      <w:r w:rsidR="00226939">
        <w:t xml:space="preserve"> curves are based on utilising flow data to determine upgrade costs. </w:t>
      </w:r>
      <w:r w:rsidR="003567E2">
        <w:t>The following flow types are used to determine capacity requirements for WWTPs:</w:t>
      </w:r>
    </w:p>
    <w:p w14:paraId="729BD56C" w14:textId="77777777" w:rsidR="003567E2" w:rsidRDefault="003567E2" w:rsidP="00E66F34">
      <w:pPr>
        <w:pStyle w:val="Body"/>
        <w:numPr>
          <w:ilvl w:val="0"/>
          <w:numId w:val="105"/>
        </w:numPr>
      </w:pPr>
      <w:r w:rsidRPr="003567E2">
        <w:t>The Average Dry Weather Flow</w:t>
      </w:r>
      <w:r>
        <w:t xml:space="preserve"> (ADWF)</w:t>
      </w:r>
      <w:r w:rsidRPr="003567E2">
        <w:t xml:space="preserve"> is the average daily rate of wastewater that needs to be collected and treated in a WWTP, usually with an allowance also for groundwater infiltration. </w:t>
      </w:r>
    </w:p>
    <w:p w14:paraId="5F577FF3" w14:textId="77777777" w:rsidR="003567E2" w:rsidRDefault="003567E2" w:rsidP="00E66F34">
      <w:pPr>
        <w:pStyle w:val="Body"/>
        <w:numPr>
          <w:ilvl w:val="0"/>
          <w:numId w:val="105"/>
        </w:numPr>
      </w:pPr>
      <w:r w:rsidRPr="003567E2">
        <w:t>The Peak Wet Weather Flow</w:t>
      </w:r>
      <w:r>
        <w:t xml:space="preserve"> (PWWF)</w:t>
      </w:r>
      <w:r w:rsidRPr="003567E2">
        <w:t xml:space="preserve"> is the peak inflow rate that expected by a plant allowing for stormwater infiltration during high flow periods. For this study Peak Wet Weather Flow is taken as 5× Average Dry Weather Flow</w:t>
      </w:r>
      <w:r w:rsidR="007119DC">
        <w:t>.</w:t>
      </w:r>
    </w:p>
    <w:p w14:paraId="3AD486E3" w14:textId="77777777" w:rsidR="003567E2" w:rsidRDefault="003567E2" w:rsidP="00D46AF3">
      <w:pPr>
        <w:pStyle w:val="Body"/>
      </w:pPr>
      <w:r>
        <w:lastRenderedPageBreak/>
        <w:t>The</w:t>
      </w:r>
      <w:r w:rsidR="00793C94">
        <w:t xml:space="preserve"> </w:t>
      </w:r>
      <w:r w:rsidR="00452405">
        <w:t xml:space="preserve">Average </w:t>
      </w:r>
      <w:r w:rsidR="00793C94">
        <w:t xml:space="preserve">Dry Weather Flow </w:t>
      </w:r>
      <w:r>
        <w:t>is used to estimate capacity</w:t>
      </w:r>
      <w:r w:rsidR="00B75250">
        <w:t xml:space="preserve"> for the </w:t>
      </w:r>
      <w:r w:rsidR="00C43BB3">
        <w:t>BNR</w:t>
      </w:r>
      <w:r w:rsidR="00266651">
        <w:t xml:space="preserve"> </w:t>
      </w:r>
      <w:r w:rsidR="00266651" w:rsidRPr="00266651">
        <w:t xml:space="preserve">– Activated Sludge </w:t>
      </w:r>
      <w:r w:rsidR="00B75250">
        <w:t>and MBR plants</w:t>
      </w:r>
      <w:r>
        <w:t>,</w:t>
      </w:r>
      <w:r w:rsidR="00B75250">
        <w:t xml:space="preserve"> and Peak Wet</w:t>
      </w:r>
      <w:r w:rsidR="00ED1871">
        <w:t xml:space="preserve"> Weather Flow </w:t>
      </w:r>
      <w:r>
        <w:t>is used</w:t>
      </w:r>
      <w:r w:rsidR="00ED1871">
        <w:t xml:space="preserve"> for the </w:t>
      </w:r>
      <w:r w:rsidR="00266651">
        <w:t xml:space="preserve">Ultra Violet </w:t>
      </w:r>
      <w:r w:rsidR="00ED1871">
        <w:t>plants</w:t>
      </w:r>
      <w:r w:rsidR="00793C94">
        <w:t>.</w:t>
      </w:r>
      <w:r w:rsidR="00452405">
        <w:t xml:space="preserve"> </w:t>
      </w:r>
      <w:r>
        <w:t>Flow rates are calculated based on population estimates.</w:t>
      </w:r>
    </w:p>
    <w:p w14:paraId="064784BD" w14:textId="77777777" w:rsidR="00E06D5B" w:rsidRDefault="00E06D5B" w:rsidP="00D46AF3">
      <w:pPr>
        <w:pStyle w:val="Body"/>
      </w:pPr>
    </w:p>
    <w:p w14:paraId="00BC0B13" w14:textId="77777777" w:rsidR="00DE0AF9" w:rsidRDefault="00DE0AF9" w:rsidP="00D46AF3">
      <w:pPr>
        <w:pStyle w:val="Body"/>
      </w:pPr>
    </w:p>
    <w:p w14:paraId="49018529" w14:textId="77777777" w:rsidR="00DE0AF9" w:rsidRDefault="000C7B06" w:rsidP="00D46AF3">
      <w:pPr>
        <w:pStyle w:val="Body"/>
      </w:pPr>
      <w:r w:rsidRPr="000C7B06">
        <w:rPr>
          <w:noProof/>
          <w:lang w:val="en-NZ" w:eastAsia="en-NZ"/>
        </w:rPr>
        <w:drawing>
          <wp:inline distT="0" distB="0" distL="0" distR="0" wp14:anchorId="1FAB54F6" wp14:editId="0AE72D33">
            <wp:extent cx="5400000" cy="287619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00" cy="2876190"/>
                    </a:xfrm>
                    <a:prstGeom prst="rect">
                      <a:avLst/>
                    </a:prstGeom>
                  </pic:spPr>
                </pic:pic>
              </a:graphicData>
            </a:graphic>
          </wp:inline>
        </w:drawing>
      </w:r>
    </w:p>
    <w:p w14:paraId="5A5E44A5" w14:textId="77777777" w:rsidR="00DE0AF9" w:rsidRDefault="00DE0AF9" w:rsidP="00DE0AF9">
      <w:pPr>
        <w:pStyle w:val="Caption"/>
      </w:pPr>
      <w:bookmarkStart w:id="357" w:name="_Ref518659751"/>
      <w:bookmarkStart w:id="358" w:name="_Toc518653148"/>
      <w:bookmarkStart w:id="359" w:name="_Toc521064816"/>
      <w:r>
        <w:t xml:space="preserve">Figure </w:t>
      </w:r>
      <w:r w:rsidR="007B3D80">
        <w:rPr>
          <w:noProof/>
        </w:rPr>
        <w:fldChar w:fldCharType="begin"/>
      </w:r>
      <w:r w:rsidR="007B3D80">
        <w:rPr>
          <w:noProof/>
        </w:rPr>
        <w:instrText xml:space="preserve"> SEQ Figure \* ARABIC </w:instrText>
      </w:r>
      <w:r w:rsidR="007B3D80">
        <w:rPr>
          <w:noProof/>
        </w:rPr>
        <w:fldChar w:fldCharType="separate"/>
      </w:r>
      <w:r w:rsidR="002777A8">
        <w:rPr>
          <w:noProof/>
        </w:rPr>
        <w:t>11</w:t>
      </w:r>
      <w:r w:rsidR="007B3D80">
        <w:rPr>
          <w:noProof/>
        </w:rPr>
        <w:fldChar w:fldCharType="end"/>
      </w:r>
      <w:bookmarkEnd w:id="357"/>
      <w:r>
        <w:t xml:space="preserve">  BNR – Activated Sludge cost nomograph</w:t>
      </w:r>
      <w:bookmarkEnd w:id="358"/>
      <w:bookmarkEnd w:id="359"/>
    </w:p>
    <w:p w14:paraId="6D7C4F92" w14:textId="77777777" w:rsidR="00DE0AF9" w:rsidRDefault="00DE0AF9" w:rsidP="00D46AF3">
      <w:pPr>
        <w:pStyle w:val="Body"/>
      </w:pPr>
    </w:p>
    <w:p w14:paraId="550587E1" w14:textId="77777777" w:rsidR="007267E6" w:rsidRDefault="007267E6" w:rsidP="008C230C">
      <w:pPr>
        <w:pStyle w:val="Body"/>
        <w:keepNext/>
      </w:pPr>
    </w:p>
    <w:p w14:paraId="503A9589" w14:textId="77777777" w:rsidR="007267E6" w:rsidRDefault="000C7B06" w:rsidP="008C230C">
      <w:pPr>
        <w:pStyle w:val="Body"/>
        <w:keepNext/>
      </w:pPr>
      <w:r w:rsidRPr="000C7B06">
        <w:rPr>
          <w:noProof/>
          <w:lang w:val="en-NZ" w:eastAsia="en-NZ"/>
        </w:rPr>
        <w:drawing>
          <wp:inline distT="0" distB="0" distL="0" distR="0" wp14:anchorId="61BDAA1C" wp14:editId="4433D0EF">
            <wp:extent cx="5400000" cy="25238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0000" cy="2523809"/>
                    </a:xfrm>
                    <a:prstGeom prst="rect">
                      <a:avLst/>
                    </a:prstGeom>
                  </pic:spPr>
                </pic:pic>
              </a:graphicData>
            </a:graphic>
          </wp:inline>
        </w:drawing>
      </w:r>
    </w:p>
    <w:p w14:paraId="72877797" w14:textId="77777777" w:rsidR="00226939" w:rsidRDefault="00226939" w:rsidP="008324F9">
      <w:pPr>
        <w:pStyle w:val="Caption"/>
      </w:pPr>
      <w:bookmarkStart w:id="360" w:name="_Ref516829297"/>
      <w:bookmarkStart w:id="361" w:name="_Toc517788309"/>
      <w:bookmarkStart w:id="362" w:name="_Toc516840501"/>
      <w:bookmarkStart w:id="363" w:name="_Toc517707453"/>
      <w:bookmarkStart w:id="364" w:name="_Toc517793908"/>
      <w:bookmarkStart w:id="365" w:name="_Toc518653149"/>
      <w:bookmarkStart w:id="366" w:name="_Toc521064817"/>
      <w:r>
        <w:t xml:space="preserve">Figure </w:t>
      </w:r>
      <w:r w:rsidR="007B3D80">
        <w:rPr>
          <w:noProof/>
        </w:rPr>
        <w:fldChar w:fldCharType="begin"/>
      </w:r>
      <w:r w:rsidR="007B3D80">
        <w:rPr>
          <w:noProof/>
        </w:rPr>
        <w:instrText xml:space="preserve"> SEQ Figure \* ARABIC </w:instrText>
      </w:r>
      <w:r w:rsidR="007B3D80">
        <w:rPr>
          <w:noProof/>
        </w:rPr>
        <w:fldChar w:fldCharType="separate"/>
      </w:r>
      <w:r w:rsidR="002777A8">
        <w:rPr>
          <w:noProof/>
        </w:rPr>
        <w:t>12</w:t>
      </w:r>
      <w:r w:rsidR="007B3D80">
        <w:rPr>
          <w:noProof/>
        </w:rPr>
        <w:fldChar w:fldCharType="end"/>
      </w:r>
      <w:bookmarkEnd w:id="360"/>
      <w:r w:rsidR="000001B1">
        <w:t xml:space="preserve">  </w:t>
      </w:r>
      <w:r w:rsidR="00C43BB3">
        <w:t xml:space="preserve">Ultra Violet </w:t>
      </w:r>
      <w:r w:rsidR="002C3FCF">
        <w:t xml:space="preserve">cost </w:t>
      </w:r>
      <w:bookmarkEnd w:id="361"/>
      <w:r w:rsidR="002C3FCF">
        <w:t>n</w:t>
      </w:r>
      <w:r w:rsidR="002C3FCF" w:rsidRPr="00A87363">
        <w:t>omograph</w:t>
      </w:r>
      <w:bookmarkEnd w:id="362"/>
      <w:bookmarkEnd w:id="363"/>
      <w:bookmarkEnd w:id="364"/>
      <w:bookmarkEnd w:id="365"/>
      <w:bookmarkEnd w:id="366"/>
    </w:p>
    <w:p w14:paraId="5203DF5B" w14:textId="77777777" w:rsidR="00526670" w:rsidRDefault="00526670" w:rsidP="00526670">
      <w:pPr>
        <w:pStyle w:val="Body"/>
      </w:pPr>
    </w:p>
    <w:p w14:paraId="799C7781" w14:textId="77777777" w:rsidR="00526670" w:rsidRDefault="00526670" w:rsidP="00526670">
      <w:pPr>
        <w:pStyle w:val="Body"/>
      </w:pPr>
    </w:p>
    <w:p w14:paraId="02A17AB7" w14:textId="77777777" w:rsidR="00526670" w:rsidRPr="00526670" w:rsidRDefault="00526670" w:rsidP="00526670">
      <w:pPr>
        <w:pStyle w:val="Body"/>
      </w:pPr>
    </w:p>
    <w:p w14:paraId="07ED72B6" w14:textId="77777777" w:rsidR="00ED1871" w:rsidRPr="006B6FC9" w:rsidRDefault="00ED1871" w:rsidP="00C30AC3">
      <w:pPr>
        <w:pStyle w:val="Heading4"/>
      </w:pPr>
      <w:r w:rsidRPr="006B6FC9">
        <w:lastRenderedPageBreak/>
        <w:t xml:space="preserve">Small scale </w:t>
      </w:r>
      <w:r w:rsidR="00167502">
        <w:t>BNR</w:t>
      </w:r>
      <w:r w:rsidR="007119DC" w:rsidRPr="006B6FC9">
        <w:t xml:space="preserve"> </w:t>
      </w:r>
      <w:r w:rsidRPr="006B6FC9">
        <w:t>process limitations</w:t>
      </w:r>
    </w:p>
    <w:p w14:paraId="3B565463" w14:textId="77777777" w:rsidR="00167502" w:rsidRPr="006B6FC9" w:rsidRDefault="00025A76" w:rsidP="00D46AF3">
      <w:pPr>
        <w:pStyle w:val="Body"/>
      </w:pPr>
      <w:r>
        <w:t>Based on guidance</w:t>
      </w:r>
      <w:r w:rsidR="0074061A">
        <w:rPr>
          <w:rStyle w:val="FootnoteReference"/>
        </w:rPr>
        <w:footnoteReference w:id="6"/>
      </w:r>
      <w:r>
        <w:t xml:space="preserve"> f</w:t>
      </w:r>
      <w:r w:rsidR="00ED1871" w:rsidRPr="006B6FC9">
        <w:t xml:space="preserve">or small package treatment plants (less than around 375 kL/d) nutrient release limits should be based upon the performance capabilities of the package plant, best practice environmental management and limits required for sustainable disposal. </w:t>
      </w:r>
    </w:p>
    <w:p w14:paraId="0C341BB4" w14:textId="77777777" w:rsidR="00ED1871" w:rsidRPr="006B6FC9" w:rsidRDefault="00ED1871" w:rsidP="00261B3A">
      <w:pPr>
        <w:pStyle w:val="Body"/>
      </w:pPr>
      <w:r w:rsidRPr="006B6FC9">
        <w:t>Package treatment plants are often serviced on a routine basis (quarterly is common) and do not have skilled staff permanently managing them. It is</w:t>
      </w:r>
      <w:r w:rsidR="00167502">
        <w:t xml:space="preserve"> thus</w:t>
      </w:r>
      <w:r w:rsidRPr="006B6FC9">
        <w:t xml:space="preserve"> important to note that many package plants available are not capable of achieving a high standard of nutrient reduction </w:t>
      </w:r>
      <w:r w:rsidR="009776A1" w:rsidRPr="006B6FC9">
        <w:t>consistently;</w:t>
      </w:r>
      <w:r w:rsidRPr="006B6FC9">
        <w:t xml:space="preserve"> however, this may be adequate in the context of the receiving environment and method of disposal of wastewater. </w:t>
      </w:r>
    </w:p>
    <w:p w14:paraId="46176FBA" w14:textId="77777777" w:rsidR="00ED1871" w:rsidRPr="006B6FC9" w:rsidRDefault="00ED1871" w:rsidP="00261B3A">
      <w:pPr>
        <w:pStyle w:val="Body"/>
      </w:pPr>
      <w:r w:rsidRPr="006B6FC9">
        <w:t xml:space="preserve">Many municipal </w:t>
      </w:r>
      <w:r w:rsidR="00F86F7E">
        <w:t>WWTPs</w:t>
      </w:r>
      <w:r w:rsidRPr="006B6FC9">
        <w:t xml:space="preserve"> are of a small size and may service small populations without any foreseeable growth. When these plants are managed by large councils it is reasonable to expect that standards of maintenance and operation will be high. </w:t>
      </w:r>
      <w:r w:rsidR="00167502">
        <w:t xml:space="preserve">However as discussed in section </w:t>
      </w:r>
      <w:r w:rsidR="00167502">
        <w:fldChar w:fldCharType="begin"/>
      </w:r>
      <w:r w:rsidR="00167502">
        <w:instrText xml:space="preserve"> REF _Ref518651171 \n \h </w:instrText>
      </w:r>
      <w:r w:rsidR="00167502">
        <w:fldChar w:fldCharType="separate"/>
      </w:r>
      <w:r w:rsidR="002777A8">
        <w:t>8.8</w:t>
      </w:r>
      <w:r w:rsidR="00167502">
        <w:fldChar w:fldCharType="end"/>
      </w:r>
      <w:r w:rsidR="00167502">
        <w:t xml:space="preserve"> a key concern from the industry is that i</w:t>
      </w:r>
      <w:r w:rsidRPr="006B6FC9">
        <w:t xml:space="preserve">nstallation of better treatment technology can be beyond the capacity of many small communities, both in terms of initial capital investment and ongoing operational expertise. </w:t>
      </w:r>
    </w:p>
    <w:p w14:paraId="0C261A46" w14:textId="77777777" w:rsidR="001B2F1A" w:rsidRDefault="00ED1871" w:rsidP="00526670">
      <w:pPr>
        <w:pStyle w:val="Body"/>
        <w:rPr>
          <w:rFonts w:ascii="Arial Black" w:hAnsi="Arial Black" w:cs="Arial"/>
          <w:bCs/>
          <w:szCs w:val="26"/>
          <w:lang w:eastAsia="en-AU"/>
        </w:rPr>
      </w:pPr>
      <w:r w:rsidRPr="006B6FC9">
        <w:t xml:space="preserve">For the purposes of this study, it is assumed small plants (less than 375 kL/d) will not be upgraded to a </w:t>
      </w:r>
      <w:r w:rsidR="00C43BB3">
        <w:t>BNR</w:t>
      </w:r>
      <w:r w:rsidR="007119DC">
        <w:t xml:space="preserve"> </w:t>
      </w:r>
      <w:r w:rsidRPr="006B6FC9">
        <w:t>standard.</w:t>
      </w:r>
      <w:r w:rsidRPr="002C74B3">
        <w:t xml:space="preserve">  </w:t>
      </w:r>
      <w:bookmarkStart w:id="367" w:name="_Ref516732415"/>
    </w:p>
    <w:p w14:paraId="2CCAB1E5" w14:textId="77777777" w:rsidR="0025769B" w:rsidRDefault="0025769B" w:rsidP="00A27F3D">
      <w:pPr>
        <w:pStyle w:val="Heading2"/>
        <w:rPr>
          <w:lang w:eastAsia="en-AU"/>
        </w:rPr>
      </w:pPr>
      <w:bookmarkStart w:id="368" w:name="_Ref516840549"/>
      <w:bookmarkStart w:id="369" w:name="_Toc517707408"/>
      <w:bookmarkStart w:id="370" w:name="_Toc517787163"/>
      <w:bookmarkStart w:id="371" w:name="_Toc517793862"/>
      <w:bookmarkStart w:id="372" w:name="_Toc518646201"/>
      <w:bookmarkStart w:id="373" w:name="_Toc518653098"/>
      <w:bookmarkStart w:id="374" w:name="_Toc527638654"/>
      <w:r>
        <w:rPr>
          <w:lang w:eastAsia="en-AU"/>
        </w:rPr>
        <w:t>Cost curves</w:t>
      </w:r>
      <w:bookmarkEnd w:id="367"/>
      <w:bookmarkEnd w:id="368"/>
      <w:bookmarkEnd w:id="369"/>
      <w:bookmarkEnd w:id="370"/>
      <w:bookmarkEnd w:id="371"/>
      <w:bookmarkEnd w:id="372"/>
      <w:bookmarkEnd w:id="373"/>
      <w:bookmarkEnd w:id="374"/>
    </w:p>
    <w:p w14:paraId="77175616" w14:textId="77777777" w:rsidR="0025769B" w:rsidRDefault="0025769B" w:rsidP="0025769B">
      <w:pPr>
        <w:pStyle w:val="Body"/>
        <w:rPr>
          <w:lang w:eastAsia="en-AU"/>
        </w:rPr>
      </w:pPr>
      <w:r>
        <w:rPr>
          <w:lang w:eastAsia="en-AU"/>
        </w:rPr>
        <w:t xml:space="preserve">The following cost curves </w:t>
      </w:r>
      <w:r w:rsidR="00C43BB3">
        <w:rPr>
          <w:lang w:eastAsia="en-AU"/>
        </w:rPr>
        <w:t>were</w:t>
      </w:r>
      <w:r>
        <w:rPr>
          <w:lang w:eastAsia="en-AU"/>
        </w:rPr>
        <w:t xml:space="preserve"> </w:t>
      </w:r>
      <w:r w:rsidR="00ED6FC8">
        <w:rPr>
          <w:lang w:eastAsia="en-AU"/>
        </w:rPr>
        <w:t>developed from the nomographs presented in section </w:t>
      </w:r>
      <w:r w:rsidR="00ED6FC8">
        <w:rPr>
          <w:lang w:eastAsia="en-AU"/>
        </w:rPr>
        <w:fldChar w:fldCharType="begin"/>
      </w:r>
      <w:r w:rsidR="00ED6FC8">
        <w:rPr>
          <w:lang w:eastAsia="en-AU"/>
        </w:rPr>
        <w:instrText xml:space="preserve"> REF _Ref517338988 \n \h </w:instrText>
      </w:r>
      <w:r w:rsidR="00ED6FC8">
        <w:rPr>
          <w:lang w:eastAsia="en-AU"/>
        </w:rPr>
      </w:r>
      <w:r w:rsidR="00ED6FC8">
        <w:rPr>
          <w:lang w:eastAsia="en-AU"/>
        </w:rPr>
        <w:fldChar w:fldCharType="separate"/>
      </w:r>
      <w:r w:rsidR="002777A8">
        <w:rPr>
          <w:lang w:eastAsia="en-AU"/>
        </w:rPr>
        <w:t>6.2</w:t>
      </w:r>
      <w:r w:rsidR="00ED6FC8">
        <w:rPr>
          <w:lang w:eastAsia="en-AU"/>
        </w:rPr>
        <w:fldChar w:fldCharType="end"/>
      </w:r>
      <w:r w:rsidR="00862F64">
        <w:rPr>
          <w:lang w:eastAsia="en-AU"/>
        </w:rPr>
        <w:t>:</w:t>
      </w:r>
    </w:p>
    <w:p w14:paraId="554E7729" w14:textId="77777777" w:rsidR="0025769B" w:rsidRPr="002C75CD" w:rsidRDefault="0025769B" w:rsidP="0025769B">
      <w:pPr>
        <w:pStyle w:val="Body"/>
        <w:rPr>
          <w:b/>
          <w:lang w:eastAsia="en-AU"/>
        </w:rPr>
      </w:pPr>
      <w:r w:rsidRPr="00A27F3D">
        <w:rPr>
          <w:b/>
          <w:lang w:eastAsia="en-AU"/>
        </w:rPr>
        <w:t>Standalone U</w:t>
      </w:r>
      <w:r w:rsidR="005066BD">
        <w:rPr>
          <w:b/>
          <w:lang w:eastAsia="en-AU"/>
        </w:rPr>
        <w:t xml:space="preserve">ltra </w:t>
      </w:r>
      <w:r w:rsidRPr="00A27F3D">
        <w:rPr>
          <w:b/>
          <w:lang w:eastAsia="en-AU"/>
        </w:rPr>
        <w:t>V</w:t>
      </w:r>
      <w:r w:rsidR="005066BD">
        <w:rPr>
          <w:b/>
          <w:lang w:eastAsia="en-AU"/>
        </w:rPr>
        <w:t>iolet</w:t>
      </w:r>
      <w:r w:rsidRPr="00A27F3D">
        <w:rPr>
          <w:b/>
          <w:lang w:eastAsia="en-AU"/>
        </w:rPr>
        <w:t xml:space="preserve"> upgrade</w:t>
      </w:r>
      <w:r w:rsidR="00297770" w:rsidRPr="002C75CD">
        <w:rPr>
          <w:b/>
          <w:lang w:eastAsia="en-AU"/>
        </w:rPr>
        <w:t>:</w:t>
      </w:r>
    </w:p>
    <w:tbl>
      <w:tblPr>
        <w:tblStyle w:val="CoverTable"/>
        <w:tblW w:w="8487" w:type="dxa"/>
        <w:tblLook w:val="04A0" w:firstRow="1" w:lastRow="0" w:firstColumn="1" w:lastColumn="0" w:noHBand="0" w:noVBand="1"/>
      </w:tblPr>
      <w:tblGrid>
        <w:gridCol w:w="7370"/>
        <w:gridCol w:w="1117"/>
      </w:tblGrid>
      <w:tr w:rsidR="0025769B" w14:paraId="6DD0F0AD" w14:textId="77777777" w:rsidTr="00E66F34">
        <w:tc>
          <w:tcPr>
            <w:tcW w:w="7370" w:type="dxa"/>
          </w:tcPr>
          <w:p w14:paraId="3E3E52C3" w14:textId="77777777" w:rsidR="0025769B" w:rsidRDefault="008B514E">
            <w:pPr>
              <w:pStyle w:val="Body"/>
              <w:spacing w:before="45" w:after="91"/>
              <w:ind w:left="0"/>
              <w:rPr>
                <w:lang w:eastAsia="en-AU"/>
              </w:rPr>
            </w:pPr>
            <m:oMathPara>
              <m:oMath>
                <m:sSub>
                  <m:sSubPr>
                    <m:ctrlPr>
                      <w:rPr>
                        <w:rFonts w:ascii="Cambria Math" w:hAnsi="Cambria Math"/>
                        <w:i/>
                        <w:lang w:eastAsia="en-AU"/>
                      </w:rPr>
                    </m:ctrlPr>
                  </m:sSubPr>
                  <m:e>
                    <m:r>
                      <w:rPr>
                        <w:rFonts w:ascii="Cambria Math" w:hAnsi="Cambria Math"/>
                        <w:lang w:eastAsia="en-AU"/>
                      </w:rPr>
                      <m:t>UV</m:t>
                    </m:r>
                  </m:e>
                  <m:sub>
                    <m:r>
                      <w:rPr>
                        <w:rFonts w:ascii="Cambria Math" w:hAnsi="Cambria Math"/>
                        <w:lang w:eastAsia="en-AU"/>
                      </w:rPr>
                      <m:t>Cost</m:t>
                    </m:r>
                  </m:sub>
                </m:sSub>
                <m:r>
                  <w:rPr>
                    <w:rFonts w:ascii="Cambria Math" w:hAnsi="Cambria Math"/>
                    <w:lang w:eastAsia="en-AU"/>
                  </w:rPr>
                  <m:t xml:space="preserve">= 1,000 E I </m:t>
                </m:r>
                <m:sSup>
                  <m:sSupPr>
                    <m:ctrlPr>
                      <w:rPr>
                        <w:rFonts w:ascii="Cambria Math" w:hAnsi="Cambria Math"/>
                        <w:i/>
                        <w:lang w:eastAsia="en-AU"/>
                      </w:rPr>
                    </m:ctrlPr>
                  </m:sSupPr>
                  <m:e>
                    <m:sSub>
                      <m:sSubPr>
                        <m:ctrlPr>
                          <w:rPr>
                            <w:rFonts w:ascii="Cambria Math" w:hAnsi="Cambria Math"/>
                            <w:i/>
                            <w:lang w:eastAsia="en-AU"/>
                          </w:rPr>
                        </m:ctrlPr>
                      </m:sSubPr>
                      <m:e>
                        <m:r>
                          <w:rPr>
                            <w:rFonts w:ascii="Cambria Math" w:hAnsi="Cambria Math"/>
                            <w:lang w:eastAsia="en-AU"/>
                          </w:rPr>
                          <m:t>Q</m:t>
                        </m:r>
                      </m:e>
                      <m:sub>
                        <m:r>
                          <w:rPr>
                            <w:rFonts w:ascii="Cambria Math" w:hAnsi="Cambria Math"/>
                            <w:lang w:eastAsia="en-AU"/>
                          </w:rPr>
                          <m:t>Avg</m:t>
                        </m:r>
                      </m:sub>
                    </m:sSub>
                  </m:e>
                  <m:sup>
                    <m:r>
                      <w:rPr>
                        <w:rFonts w:ascii="Cambria Math" w:hAnsi="Cambria Math"/>
                        <w:lang w:eastAsia="en-AU"/>
                      </w:rPr>
                      <m:t>0.74</m:t>
                    </m:r>
                  </m:sup>
                </m:sSup>
              </m:oMath>
            </m:oMathPara>
          </w:p>
        </w:tc>
        <w:tc>
          <w:tcPr>
            <w:tcW w:w="1117" w:type="dxa"/>
          </w:tcPr>
          <w:p w14:paraId="49982BB1" w14:textId="77777777" w:rsidR="0025769B" w:rsidRDefault="0025769B" w:rsidP="000001B1">
            <w:pPr>
              <w:pStyle w:val="Body"/>
              <w:spacing w:before="45" w:after="91"/>
              <w:ind w:left="0"/>
              <w:rPr>
                <w:lang w:eastAsia="en-AU"/>
              </w:rPr>
            </w:pPr>
            <w:r>
              <w:rPr>
                <w:lang w:eastAsia="en-AU"/>
              </w:rPr>
              <w:t xml:space="preserve">(Eq. </w:t>
            </w:r>
            <w:r w:rsidR="000001B1">
              <w:rPr>
                <w:lang w:eastAsia="en-AU"/>
              </w:rPr>
              <w:t>2</w:t>
            </w:r>
            <w:r>
              <w:rPr>
                <w:lang w:eastAsia="en-AU"/>
              </w:rPr>
              <w:t>)</w:t>
            </w:r>
          </w:p>
        </w:tc>
      </w:tr>
    </w:tbl>
    <w:p w14:paraId="03AE12B7" w14:textId="77777777" w:rsidR="0025769B" w:rsidRPr="0025769B" w:rsidRDefault="0025769B" w:rsidP="0025769B">
      <w:pPr>
        <w:pStyle w:val="Body"/>
        <w:rPr>
          <w:lang w:eastAsia="en-AU"/>
        </w:rPr>
      </w:pPr>
      <w:r>
        <w:rPr>
          <w:lang w:eastAsia="en-AU"/>
        </w:rPr>
        <w:t xml:space="preserve">Where </w:t>
      </w:r>
      <w:r>
        <w:rPr>
          <w:i/>
          <w:lang w:eastAsia="en-AU"/>
        </w:rPr>
        <w:t>Q</w:t>
      </w:r>
      <w:r>
        <w:rPr>
          <w:i/>
          <w:vertAlign w:val="subscript"/>
          <w:lang w:eastAsia="en-AU"/>
        </w:rPr>
        <w:t>Avg</w:t>
      </w:r>
      <w:r>
        <w:rPr>
          <w:lang w:eastAsia="en-AU"/>
        </w:rPr>
        <w:t xml:space="preserve"> is the mean discharge rate in m</w:t>
      </w:r>
      <w:r>
        <w:rPr>
          <w:vertAlign w:val="superscript"/>
          <w:lang w:eastAsia="en-AU"/>
        </w:rPr>
        <w:t>3</w:t>
      </w:r>
      <w:r>
        <w:rPr>
          <w:lang w:eastAsia="en-AU"/>
        </w:rPr>
        <w:t>/</w:t>
      </w:r>
      <w:r w:rsidR="00B6547A">
        <w:rPr>
          <w:lang w:eastAsia="en-AU"/>
        </w:rPr>
        <w:t>d</w:t>
      </w:r>
      <w:r w:rsidR="00F62330">
        <w:rPr>
          <w:lang w:eastAsia="en-AU"/>
        </w:rPr>
        <w:t>,</w:t>
      </w:r>
      <w:r w:rsidR="00792A12">
        <w:rPr>
          <w:lang w:eastAsia="en-AU"/>
        </w:rPr>
        <w:t xml:space="preserve"> </w:t>
      </w:r>
      <w:r w:rsidR="00792A12">
        <w:rPr>
          <w:i/>
          <w:lang w:eastAsia="en-AU"/>
        </w:rPr>
        <w:t>E</w:t>
      </w:r>
      <w:r w:rsidR="00792A12">
        <w:rPr>
          <w:lang w:eastAsia="en-AU"/>
        </w:rPr>
        <w:t xml:space="preserve"> is a cost index taken as 1.10 to represent a conversion from AUD to NZD</w:t>
      </w:r>
      <w:r w:rsidR="00F62330">
        <w:rPr>
          <w:lang w:eastAsia="en-AU"/>
        </w:rPr>
        <w:t xml:space="preserve"> and </w:t>
      </w:r>
      <w:r w:rsidR="00F62330">
        <w:rPr>
          <w:i/>
          <w:lang w:eastAsia="en-AU"/>
        </w:rPr>
        <w:t>I</w:t>
      </w:r>
      <w:r w:rsidR="00F62330">
        <w:rPr>
          <w:lang w:eastAsia="en-AU"/>
        </w:rPr>
        <w:t xml:space="preserve"> is a markup index of 1.</w:t>
      </w:r>
      <w:r w:rsidR="00ED6FC8">
        <w:rPr>
          <w:lang w:eastAsia="en-AU"/>
        </w:rPr>
        <w:t>5 (description below)</w:t>
      </w:r>
      <w:r w:rsidR="00F62330">
        <w:rPr>
          <w:lang w:eastAsia="en-AU"/>
        </w:rPr>
        <w:t>.</w:t>
      </w:r>
    </w:p>
    <w:p w14:paraId="48109F51" w14:textId="77777777" w:rsidR="0025769B" w:rsidRPr="002C75CD" w:rsidRDefault="0025769B" w:rsidP="0025769B">
      <w:pPr>
        <w:pStyle w:val="Body"/>
        <w:rPr>
          <w:b/>
          <w:lang w:eastAsia="en-AU"/>
        </w:rPr>
      </w:pPr>
      <w:r w:rsidRPr="00A27F3D">
        <w:rPr>
          <w:b/>
          <w:lang w:eastAsia="en-AU"/>
        </w:rPr>
        <w:t>Activated Sludge</w:t>
      </w:r>
      <w:r w:rsidR="00297770" w:rsidRPr="002C75CD">
        <w:rPr>
          <w:b/>
          <w:lang w:eastAsia="en-AU"/>
        </w:rPr>
        <w:t>:</w:t>
      </w:r>
    </w:p>
    <w:tbl>
      <w:tblPr>
        <w:tblStyle w:val="CoverTable"/>
        <w:tblW w:w="8487" w:type="dxa"/>
        <w:tblLook w:val="04A0" w:firstRow="1" w:lastRow="0" w:firstColumn="1" w:lastColumn="0" w:noHBand="0" w:noVBand="1"/>
      </w:tblPr>
      <w:tblGrid>
        <w:gridCol w:w="7370"/>
        <w:gridCol w:w="1117"/>
      </w:tblGrid>
      <w:tr w:rsidR="0025769B" w14:paraId="2E93FA68" w14:textId="77777777" w:rsidTr="00E66F34">
        <w:tc>
          <w:tcPr>
            <w:tcW w:w="7370" w:type="dxa"/>
          </w:tcPr>
          <w:p w14:paraId="40BCC00A" w14:textId="77777777" w:rsidR="0025769B" w:rsidRDefault="008B514E" w:rsidP="00DC038D">
            <w:pPr>
              <w:pStyle w:val="Body"/>
              <w:spacing w:before="45" w:after="91"/>
              <w:ind w:left="0"/>
              <w:rPr>
                <w:lang w:eastAsia="en-AU"/>
              </w:rPr>
            </w:pPr>
            <m:oMathPara>
              <m:oMath>
                <m:sSub>
                  <m:sSubPr>
                    <m:ctrlPr>
                      <w:rPr>
                        <w:rFonts w:ascii="Cambria Math" w:hAnsi="Cambria Math"/>
                        <w:i/>
                        <w:lang w:eastAsia="en-AU"/>
                      </w:rPr>
                    </m:ctrlPr>
                  </m:sSubPr>
                  <m:e>
                    <m:r>
                      <w:rPr>
                        <w:rFonts w:ascii="Cambria Math" w:hAnsi="Cambria Math"/>
                        <w:lang w:eastAsia="en-AU"/>
                      </w:rPr>
                      <m:t>AS</m:t>
                    </m:r>
                  </m:e>
                  <m:sub>
                    <m:r>
                      <w:rPr>
                        <w:rFonts w:ascii="Cambria Math" w:hAnsi="Cambria Math"/>
                        <w:lang w:eastAsia="en-AU"/>
                      </w:rPr>
                      <m:t>Cost</m:t>
                    </m:r>
                  </m:sub>
                </m:sSub>
                <m:r>
                  <w:rPr>
                    <w:rFonts w:ascii="Cambria Math" w:hAnsi="Cambria Math"/>
                    <w:lang w:eastAsia="en-AU"/>
                  </w:rPr>
                  <m:t xml:space="preserve">= </m:t>
                </m:r>
                <m:sSub>
                  <m:sSubPr>
                    <m:ctrlPr>
                      <w:rPr>
                        <w:rFonts w:ascii="Cambria Math" w:hAnsi="Cambria Math"/>
                        <w:i/>
                        <w:lang w:eastAsia="en-AU"/>
                      </w:rPr>
                    </m:ctrlPr>
                  </m:sSubPr>
                  <m:e>
                    <m:r>
                      <w:rPr>
                        <w:rFonts w:ascii="Cambria Math" w:hAnsi="Cambria Math"/>
                        <w:lang w:eastAsia="en-AU"/>
                      </w:rPr>
                      <m:t>0.8 BNR</m:t>
                    </m:r>
                  </m:e>
                  <m:sub>
                    <m:r>
                      <w:rPr>
                        <w:rFonts w:ascii="Cambria Math" w:hAnsi="Cambria Math"/>
                        <w:lang w:eastAsia="en-AU"/>
                      </w:rPr>
                      <m:t>Cost</m:t>
                    </m:r>
                  </m:sub>
                </m:sSub>
              </m:oMath>
            </m:oMathPara>
          </w:p>
        </w:tc>
        <w:tc>
          <w:tcPr>
            <w:tcW w:w="1117" w:type="dxa"/>
          </w:tcPr>
          <w:p w14:paraId="569F0BC9" w14:textId="77777777" w:rsidR="0025769B" w:rsidRDefault="0025769B" w:rsidP="000001B1">
            <w:pPr>
              <w:pStyle w:val="Body"/>
              <w:spacing w:before="45" w:after="91"/>
              <w:ind w:left="0"/>
              <w:rPr>
                <w:lang w:eastAsia="en-AU"/>
              </w:rPr>
            </w:pPr>
            <w:r>
              <w:rPr>
                <w:lang w:eastAsia="en-AU"/>
              </w:rPr>
              <w:t>(Eq</w:t>
            </w:r>
            <w:r w:rsidR="000001B1">
              <w:rPr>
                <w:lang w:eastAsia="en-AU"/>
              </w:rPr>
              <w:t>. 3</w:t>
            </w:r>
            <w:r>
              <w:rPr>
                <w:lang w:eastAsia="en-AU"/>
              </w:rPr>
              <w:t>)</w:t>
            </w:r>
          </w:p>
        </w:tc>
      </w:tr>
    </w:tbl>
    <w:p w14:paraId="7DFA4031" w14:textId="77777777" w:rsidR="0025769B" w:rsidRDefault="00DC7964" w:rsidP="0025769B">
      <w:pPr>
        <w:pStyle w:val="Body"/>
        <w:rPr>
          <w:lang w:eastAsia="en-AU"/>
        </w:rPr>
      </w:pPr>
      <w:r>
        <w:rPr>
          <w:lang w:eastAsia="en-AU"/>
        </w:rPr>
        <w:t xml:space="preserve">It was assumed </w:t>
      </w:r>
      <w:r w:rsidR="00F86F7E">
        <w:rPr>
          <w:lang w:eastAsia="en-AU"/>
        </w:rPr>
        <w:t>that</w:t>
      </w:r>
      <w:r>
        <w:rPr>
          <w:lang w:eastAsia="en-AU"/>
        </w:rPr>
        <w:t xml:space="preserve"> the cost of an activated sludge upgrade is 20% less than the cost of a </w:t>
      </w:r>
      <w:r w:rsidR="00C43BB3">
        <w:rPr>
          <w:lang w:eastAsia="en-AU"/>
        </w:rPr>
        <w:t>BNR</w:t>
      </w:r>
      <w:r w:rsidR="00C43BB3" w:rsidRPr="00C43BB3" w:rsidDel="00C43BB3">
        <w:rPr>
          <w:lang w:eastAsia="en-AU"/>
        </w:rPr>
        <w:t xml:space="preserve"> </w:t>
      </w:r>
      <w:r>
        <w:rPr>
          <w:lang w:eastAsia="en-AU"/>
        </w:rPr>
        <w:t xml:space="preserve">upgrade. </w:t>
      </w:r>
      <w:r w:rsidR="006031B3" w:rsidRPr="006031B3">
        <w:rPr>
          <w:lang w:eastAsia="en-AU"/>
        </w:rPr>
        <w:t xml:space="preserve">For </w:t>
      </w:r>
      <w:r>
        <w:rPr>
          <w:lang w:eastAsia="en-AU"/>
        </w:rPr>
        <w:t xml:space="preserve">larger </w:t>
      </w:r>
      <w:r w:rsidR="006031B3" w:rsidRPr="006031B3">
        <w:rPr>
          <w:lang w:eastAsia="en-AU"/>
        </w:rPr>
        <w:t>plant upgrades</w:t>
      </w:r>
      <w:r>
        <w:rPr>
          <w:lang w:eastAsia="en-AU"/>
        </w:rPr>
        <w:t xml:space="preserve"> (greater than 5 ML/d)</w:t>
      </w:r>
      <w:r w:rsidR="006031B3" w:rsidRPr="006031B3">
        <w:rPr>
          <w:lang w:eastAsia="en-AU"/>
        </w:rPr>
        <w:t xml:space="preserve">, the relative cost </w:t>
      </w:r>
      <w:r>
        <w:rPr>
          <w:lang w:eastAsia="en-AU"/>
        </w:rPr>
        <w:t xml:space="preserve">difference is expected to be less than 20%. For smaller plant upgrades </w:t>
      </w:r>
      <w:r w:rsidR="006031B3" w:rsidRPr="006031B3">
        <w:rPr>
          <w:lang w:eastAsia="en-AU"/>
        </w:rPr>
        <w:t xml:space="preserve">(less than around 0.5 ML/d to 1 ML/d) </w:t>
      </w:r>
      <w:r w:rsidR="00C43BB3">
        <w:rPr>
          <w:lang w:eastAsia="en-AU"/>
        </w:rPr>
        <w:t>BNR</w:t>
      </w:r>
      <w:r w:rsidR="00C43BB3" w:rsidRPr="00C43BB3" w:rsidDel="00C43BB3">
        <w:rPr>
          <w:lang w:eastAsia="en-AU"/>
        </w:rPr>
        <w:t xml:space="preserve"> </w:t>
      </w:r>
      <w:r>
        <w:rPr>
          <w:lang w:eastAsia="en-AU"/>
        </w:rPr>
        <w:t xml:space="preserve">upgrade costs may be up to </w:t>
      </w:r>
      <w:r w:rsidR="006031B3" w:rsidRPr="006031B3">
        <w:rPr>
          <w:lang w:eastAsia="en-AU"/>
        </w:rPr>
        <w:t xml:space="preserve">100% higher than standard Activated Sludge </w:t>
      </w:r>
      <w:r>
        <w:rPr>
          <w:lang w:eastAsia="en-AU"/>
        </w:rPr>
        <w:t>upgrades</w:t>
      </w:r>
      <w:r w:rsidR="006031B3" w:rsidRPr="006031B3">
        <w:rPr>
          <w:lang w:eastAsia="en-AU"/>
        </w:rPr>
        <w:t xml:space="preserve">. </w:t>
      </w:r>
    </w:p>
    <w:p w14:paraId="047DA4E5" w14:textId="77777777" w:rsidR="0025769B" w:rsidRPr="002C75CD" w:rsidRDefault="0025769B" w:rsidP="0025769B">
      <w:pPr>
        <w:pStyle w:val="Body"/>
        <w:rPr>
          <w:b/>
          <w:lang w:eastAsia="en-AU"/>
        </w:rPr>
      </w:pPr>
      <w:r w:rsidRPr="00A27F3D">
        <w:rPr>
          <w:b/>
          <w:lang w:eastAsia="en-AU"/>
        </w:rPr>
        <w:t>Biological Nutrient Reactor</w:t>
      </w:r>
      <w:r w:rsidR="00F95C89" w:rsidRPr="002C75CD">
        <w:rPr>
          <w:b/>
          <w:lang w:eastAsia="en-AU"/>
        </w:rPr>
        <w:t xml:space="preserve"> with Activate Sludge (BNR-AS)</w:t>
      </w:r>
      <w:r w:rsidRPr="002C75CD">
        <w:rPr>
          <w:b/>
          <w:lang w:eastAsia="en-AU"/>
        </w:rPr>
        <w:t xml:space="preserve"> upgrade</w:t>
      </w:r>
      <w:r w:rsidR="00297770" w:rsidRPr="002C75CD">
        <w:rPr>
          <w:b/>
          <w:lang w:eastAsia="en-AU"/>
        </w:rPr>
        <w:t>:</w:t>
      </w:r>
    </w:p>
    <w:tbl>
      <w:tblPr>
        <w:tblStyle w:val="CoverTable"/>
        <w:tblW w:w="8487" w:type="dxa"/>
        <w:tblLook w:val="04A0" w:firstRow="1" w:lastRow="0" w:firstColumn="1" w:lastColumn="0" w:noHBand="0" w:noVBand="1"/>
      </w:tblPr>
      <w:tblGrid>
        <w:gridCol w:w="7370"/>
        <w:gridCol w:w="1117"/>
      </w:tblGrid>
      <w:tr w:rsidR="0025769B" w14:paraId="430C933F" w14:textId="77777777" w:rsidTr="00E66F34">
        <w:tc>
          <w:tcPr>
            <w:tcW w:w="7370" w:type="dxa"/>
          </w:tcPr>
          <w:p w14:paraId="632B99DD" w14:textId="77777777" w:rsidR="0025769B" w:rsidRDefault="008B514E" w:rsidP="00DC038D">
            <w:pPr>
              <w:pStyle w:val="Body"/>
              <w:spacing w:before="45" w:after="91"/>
              <w:ind w:left="0"/>
              <w:rPr>
                <w:lang w:eastAsia="en-AU"/>
              </w:rPr>
            </w:pPr>
            <m:oMathPara>
              <m:oMath>
                <m:sSub>
                  <m:sSubPr>
                    <m:ctrlPr>
                      <w:rPr>
                        <w:rFonts w:ascii="Cambria Math" w:hAnsi="Cambria Math"/>
                        <w:i/>
                        <w:lang w:eastAsia="en-AU"/>
                      </w:rPr>
                    </m:ctrlPr>
                  </m:sSubPr>
                  <m:e>
                    <m:r>
                      <w:rPr>
                        <w:rFonts w:ascii="Cambria Math" w:hAnsi="Cambria Math"/>
                        <w:lang w:eastAsia="en-AU"/>
                      </w:rPr>
                      <m:t>BNR</m:t>
                    </m:r>
                  </m:e>
                  <m:sub>
                    <m:r>
                      <w:rPr>
                        <w:rFonts w:ascii="Cambria Math" w:hAnsi="Cambria Math"/>
                        <w:lang w:eastAsia="en-AU"/>
                      </w:rPr>
                      <m:t>Cost</m:t>
                    </m:r>
                  </m:sub>
                </m:sSub>
                <m:r>
                  <w:rPr>
                    <w:rFonts w:ascii="Cambria Math" w:hAnsi="Cambria Math"/>
                    <w:lang w:eastAsia="en-AU"/>
                  </w:rPr>
                  <m:t xml:space="preserve">= </m:t>
                </m:r>
                <m:d>
                  <m:dPr>
                    <m:begChr m:val="{"/>
                    <m:endChr m:val=""/>
                    <m:ctrlPr>
                      <w:rPr>
                        <w:rFonts w:ascii="Cambria Math" w:hAnsi="Cambria Math"/>
                        <w:i/>
                        <w:lang w:eastAsia="en-AU"/>
                      </w:rPr>
                    </m:ctrlPr>
                  </m:dPr>
                  <m:e>
                    <m:m>
                      <m:mPr>
                        <m:mcs>
                          <m:mc>
                            <m:mcPr>
                              <m:count m:val="2"/>
                              <m:mcJc m:val="center"/>
                            </m:mcPr>
                          </m:mc>
                        </m:mcs>
                        <m:ctrlPr>
                          <w:rPr>
                            <w:rFonts w:ascii="Cambria Math" w:hAnsi="Cambria Math"/>
                            <w:i/>
                            <w:lang w:eastAsia="en-AU"/>
                          </w:rPr>
                        </m:ctrlPr>
                      </m:mPr>
                      <m:mr>
                        <m:e>
                          <m:r>
                            <w:rPr>
                              <w:rFonts w:ascii="Cambria Math" w:hAnsi="Cambria Math"/>
                              <w:lang w:eastAsia="en-AU"/>
                            </w:rPr>
                            <m:t>195×</m:t>
                          </m:r>
                          <m:sSup>
                            <m:sSupPr>
                              <m:ctrlPr>
                                <w:rPr>
                                  <w:rFonts w:ascii="Cambria Math" w:hAnsi="Cambria Math"/>
                                  <w:i/>
                                  <w:lang w:eastAsia="en-AU"/>
                                </w:rPr>
                              </m:ctrlPr>
                            </m:sSupPr>
                            <m:e>
                              <m:r>
                                <w:rPr>
                                  <w:rFonts w:ascii="Cambria Math" w:hAnsi="Cambria Math"/>
                                  <w:lang w:eastAsia="en-AU"/>
                                </w:rPr>
                                <m:t>10</m:t>
                              </m:r>
                            </m:e>
                            <m:sup>
                              <m:r>
                                <w:rPr>
                                  <w:rFonts w:ascii="Cambria Math" w:hAnsi="Cambria Math"/>
                                  <w:lang w:eastAsia="en-AU"/>
                                </w:rPr>
                                <m:t>3</m:t>
                              </m:r>
                            </m:sup>
                          </m:sSup>
                          <m:r>
                            <w:rPr>
                              <w:rFonts w:ascii="Cambria Math" w:hAnsi="Cambria Math"/>
                              <w:lang w:eastAsia="en-AU"/>
                            </w:rPr>
                            <m:t xml:space="preserve"> E</m:t>
                          </m:r>
                          <m:sSup>
                            <m:sSupPr>
                              <m:ctrlPr>
                                <w:rPr>
                                  <w:rFonts w:ascii="Cambria Math" w:hAnsi="Cambria Math"/>
                                  <w:i/>
                                  <w:lang w:eastAsia="en-AU"/>
                                </w:rPr>
                              </m:ctrlPr>
                            </m:sSupPr>
                            <m:e>
                              <m:sSub>
                                <m:sSubPr>
                                  <m:ctrlPr>
                                    <w:rPr>
                                      <w:rFonts w:ascii="Cambria Math" w:hAnsi="Cambria Math"/>
                                      <w:i/>
                                      <w:lang w:eastAsia="en-AU"/>
                                    </w:rPr>
                                  </m:ctrlPr>
                                </m:sSubPr>
                                <m:e>
                                  <m:r>
                                    <w:rPr>
                                      <w:rFonts w:ascii="Cambria Math" w:hAnsi="Cambria Math"/>
                                      <w:lang w:eastAsia="en-AU"/>
                                    </w:rPr>
                                    <m:t xml:space="preserve"> I </m:t>
                                  </m:r>
                                  <m:sSub>
                                    <m:sSubPr>
                                      <m:ctrlPr>
                                        <w:rPr>
                                          <w:rFonts w:ascii="Cambria Math" w:hAnsi="Cambria Math"/>
                                          <w:i/>
                                          <w:lang w:eastAsia="en-AU"/>
                                        </w:rPr>
                                      </m:ctrlPr>
                                    </m:sSubPr>
                                    <m:e>
                                      <m:r>
                                        <w:rPr>
                                          <w:rFonts w:ascii="Cambria Math" w:hAnsi="Cambria Math"/>
                                          <w:lang w:eastAsia="en-AU"/>
                                        </w:rPr>
                                        <m:t>R</m:t>
                                      </m:r>
                                    </m:e>
                                    <m:sub>
                                      <m:r>
                                        <w:rPr>
                                          <w:rFonts w:ascii="Cambria Math" w:hAnsi="Cambria Math"/>
                                          <w:lang w:eastAsia="en-AU"/>
                                        </w:rPr>
                                        <m:t>UV</m:t>
                                      </m:r>
                                    </m:sub>
                                  </m:sSub>
                                  <m:r>
                                    <w:rPr>
                                      <w:rFonts w:ascii="Cambria Math" w:hAnsi="Cambria Math"/>
                                      <w:lang w:eastAsia="en-AU"/>
                                    </w:rPr>
                                    <m:t xml:space="preserve"> Q</m:t>
                                  </m:r>
                                </m:e>
                                <m:sub>
                                  <m:r>
                                    <w:rPr>
                                      <w:rFonts w:ascii="Cambria Math" w:hAnsi="Cambria Math"/>
                                      <w:lang w:eastAsia="en-AU"/>
                                    </w:rPr>
                                    <m:t>Avg</m:t>
                                  </m:r>
                                </m:sub>
                              </m:sSub>
                            </m:e>
                            <m:sup>
                              <m:r>
                                <w:rPr>
                                  <w:rFonts w:ascii="Cambria Math" w:hAnsi="Cambria Math"/>
                                  <w:lang w:eastAsia="en-AU"/>
                                </w:rPr>
                                <m:t>0.56</m:t>
                              </m:r>
                            </m:sup>
                          </m:sSup>
                          <m:r>
                            <w:rPr>
                              <w:rFonts w:ascii="Cambria Math" w:hAnsi="Cambria Math"/>
                              <w:lang w:eastAsia="en-AU"/>
                            </w:rPr>
                            <m:t>,</m:t>
                          </m:r>
                        </m:e>
                        <m:e>
                          <m:sSub>
                            <m:sSubPr>
                              <m:ctrlPr>
                                <w:rPr>
                                  <w:rFonts w:ascii="Cambria Math" w:hAnsi="Cambria Math"/>
                                  <w:i/>
                                  <w:lang w:eastAsia="en-AU"/>
                                </w:rPr>
                              </m:ctrlPr>
                            </m:sSubPr>
                            <m:e>
                              <m:r>
                                <w:rPr>
                                  <w:rFonts w:ascii="Cambria Math" w:hAnsi="Cambria Math"/>
                                  <w:lang w:eastAsia="en-AU"/>
                                </w:rPr>
                                <m:t xml:space="preserve"> Q</m:t>
                              </m:r>
                            </m:e>
                            <m:sub>
                              <m:r>
                                <w:rPr>
                                  <w:rFonts w:ascii="Cambria Math" w:hAnsi="Cambria Math"/>
                                  <w:lang w:eastAsia="en-AU"/>
                                </w:rPr>
                                <m:t>Avg</m:t>
                              </m:r>
                            </m:sub>
                          </m:sSub>
                          <m:r>
                            <w:rPr>
                              <w:rFonts w:ascii="Cambria Math" w:hAnsi="Cambria Math"/>
                              <w:lang w:eastAsia="en-AU"/>
                            </w:rPr>
                            <m:t xml:space="preserve">&lt;5,000 </m:t>
                          </m:r>
                          <m:f>
                            <m:fPr>
                              <m:type m:val="lin"/>
                              <m:ctrlPr>
                                <w:rPr>
                                  <w:rFonts w:ascii="Cambria Math" w:hAnsi="Cambria Math"/>
                                  <w:i/>
                                  <w:lang w:eastAsia="en-AU"/>
                                </w:rPr>
                              </m:ctrlPr>
                            </m:fPr>
                            <m:num>
                              <m:sSup>
                                <m:sSupPr>
                                  <m:ctrlPr>
                                    <w:rPr>
                                      <w:rFonts w:ascii="Cambria Math" w:hAnsi="Cambria Math"/>
                                      <w:i/>
                                      <w:lang w:eastAsia="en-AU"/>
                                    </w:rPr>
                                  </m:ctrlPr>
                                </m:sSupPr>
                                <m:e>
                                  <m:r>
                                    <w:rPr>
                                      <w:rFonts w:ascii="Cambria Math" w:hAnsi="Cambria Math"/>
                                      <w:lang w:eastAsia="en-AU"/>
                                    </w:rPr>
                                    <m:t>m</m:t>
                                  </m:r>
                                </m:e>
                                <m:sup>
                                  <m:r>
                                    <w:rPr>
                                      <w:rFonts w:ascii="Cambria Math" w:hAnsi="Cambria Math"/>
                                      <w:lang w:eastAsia="en-AU"/>
                                    </w:rPr>
                                    <m:t>3</m:t>
                                  </m:r>
                                </m:sup>
                              </m:sSup>
                            </m:num>
                            <m:den>
                              <m:r>
                                <w:rPr>
                                  <w:rFonts w:ascii="Cambria Math" w:hAnsi="Cambria Math"/>
                                  <w:lang w:eastAsia="en-AU"/>
                                </w:rPr>
                                <m:t>d</m:t>
                              </m:r>
                            </m:den>
                          </m:f>
                        </m:e>
                      </m:mr>
                      <m:mr>
                        <m:e>
                          <m:r>
                            <w:rPr>
                              <w:rFonts w:ascii="Cambria Math" w:hAnsi="Cambria Math"/>
                              <w:lang w:eastAsia="en-AU"/>
                            </w:rPr>
                            <m:t>76×</m:t>
                          </m:r>
                          <m:sSup>
                            <m:sSupPr>
                              <m:ctrlPr>
                                <w:rPr>
                                  <w:rFonts w:ascii="Cambria Math" w:hAnsi="Cambria Math"/>
                                  <w:i/>
                                  <w:lang w:eastAsia="en-AU"/>
                                </w:rPr>
                              </m:ctrlPr>
                            </m:sSupPr>
                            <m:e>
                              <m:r>
                                <w:rPr>
                                  <w:rFonts w:ascii="Cambria Math" w:hAnsi="Cambria Math"/>
                                  <w:lang w:eastAsia="en-AU"/>
                                </w:rPr>
                                <m:t>10</m:t>
                              </m:r>
                            </m:e>
                            <m:sup>
                              <m:r>
                                <w:rPr>
                                  <w:rFonts w:ascii="Cambria Math" w:hAnsi="Cambria Math"/>
                                  <w:lang w:eastAsia="en-AU"/>
                                </w:rPr>
                                <m:t>3</m:t>
                              </m:r>
                            </m:sup>
                          </m:sSup>
                          <m:r>
                            <w:rPr>
                              <w:rFonts w:ascii="Cambria Math" w:hAnsi="Cambria Math"/>
                              <w:lang w:eastAsia="en-AU"/>
                            </w:rPr>
                            <m:t xml:space="preserve"> E I </m:t>
                          </m:r>
                          <m:sSub>
                            <m:sSubPr>
                              <m:ctrlPr>
                                <w:rPr>
                                  <w:rFonts w:ascii="Cambria Math" w:hAnsi="Cambria Math"/>
                                  <w:i/>
                                  <w:lang w:eastAsia="en-AU"/>
                                </w:rPr>
                              </m:ctrlPr>
                            </m:sSubPr>
                            <m:e>
                              <m:r>
                                <w:rPr>
                                  <w:rFonts w:ascii="Cambria Math" w:hAnsi="Cambria Math"/>
                                  <w:lang w:eastAsia="en-AU"/>
                                </w:rPr>
                                <m:t>R</m:t>
                              </m:r>
                            </m:e>
                            <m:sub>
                              <m:r>
                                <w:rPr>
                                  <w:rFonts w:ascii="Cambria Math" w:hAnsi="Cambria Math"/>
                                  <w:lang w:eastAsia="en-AU"/>
                                </w:rPr>
                                <m:t>UV</m:t>
                              </m:r>
                            </m:sub>
                          </m:sSub>
                          <m:r>
                            <w:rPr>
                              <w:rFonts w:ascii="Cambria Math" w:hAnsi="Cambria Math"/>
                              <w:lang w:eastAsia="en-AU"/>
                            </w:rPr>
                            <m:t xml:space="preserve"> </m:t>
                          </m:r>
                          <m:sSup>
                            <m:sSupPr>
                              <m:ctrlPr>
                                <w:rPr>
                                  <w:rFonts w:ascii="Cambria Math" w:hAnsi="Cambria Math"/>
                                  <w:i/>
                                  <w:lang w:eastAsia="en-AU"/>
                                </w:rPr>
                              </m:ctrlPr>
                            </m:sSupPr>
                            <m:e>
                              <m:sSub>
                                <m:sSubPr>
                                  <m:ctrlPr>
                                    <w:rPr>
                                      <w:rFonts w:ascii="Cambria Math" w:hAnsi="Cambria Math"/>
                                      <w:i/>
                                      <w:lang w:eastAsia="en-AU"/>
                                    </w:rPr>
                                  </m:ctrlPr>
                                </m:sSubPr>
                                <m:e>
                                  <m:r>
                                    <w:rPr>
                                      <w:rFonts w:ascii="Cambria Math" w:hAnsi="Cambria Math"/>
                                      <w:lang w:eastAsia="en-AU"/>
                                    </w:rPr>
                                    <m:t>Q</m:t>
                                  </m:r>
                                </m:e>
                                <m:sub>
                                  <m:r>
                                    <w:rPr>
                                      <w:rFonts w:ascii="Cambria Math" w:hAnsi="Cambria Math"/>
                                      <w:lang w:eastAsia="en-AU"/>
                                    </w:rPr>
                                    <m:t>Avg</m:t>
                                  </m:r>
                                </m:sub>
                              </m:sSub>
                            </m:e>
                            <m:sup>
                              <m:r>
                                <w:rPr>
                                  <w:rFonts w:ascii="Cambria Math" w:hAnsi="Cambria Math"/>
                                  <w:lang w:eastAsia="en-AU"/>
                                </w:rPr>
                                <m:t>0.68</m:t>
                              </m:r>
                            </m:sup>
                          </m:sSup>
                          <m:r>
                            <w:rPr>
                              <w:rFonts w:ascii="Cambria Math" w:hAnsi="Cambria Math"/>
                              <w:lang w:eastAsia="en-AU"/>
                            </w:rPr>
                            <m:t>,</m:t>
                          </m:r>
                        </m:e>
                        <m:e>
                          <m:sSub>
                            <m:sSubPr>
                              <m:ctrlPr>
                                <w:rPr>
                                  <w:rFonts w:ascii="Cambria Math" w:hAnsi="Cambria Math"/>
                                  <w:i/>
                                  <w:lang w:eastAsia="en-AU"/>
                                </w:rPr>
                              </m:ctrlPr>
                            </m:sSubPr>
                            <m:e>
                              <m:r>
                                <w:rPr>
                                  <w:rFonts w:ascii="Cambria Math" w:hAnsi="Cambria Math"/>
                                  <w:lang w:eastAsia="en-AU"/>
                                </w:rPr>
                                <m:t xml:space="preserve"> Q</m:t>
                              </m:r>
                            </m:e>
                            <m:sub>
                              <m:r>
                                <w:rPr>
                                  <w:rFonts w:ascii="Cambria Math" w:hAnsi="Cambria Math"/>
                                  <w:lang w:eastAsia="en-AU"/>
                                </w:rPr>
                                <m:t>Avg</m:t>
                              </m:r>
                            </m:sub>
                          </m:sSub>
                          <m:r>
                            <w:rPr>
                              <w:rFonts w:ascii="Cambria Math" w:hAnsi="Cambria Math"/>
                              <w:lang w:eastAsia="en-AU"/>
                            </w:rPr>
                            <m:t xml:space="preserve">≥5,000 </m:t>
                          </m:r>
                          <m:f>
                            <m:fPr>
                              <m:type m:val="lin"/>
                              <m:ctrlPr>
                                <w:rPr>
                                  <w:rFonts w:ascii="Cambria Math" w:hAnsi="Cambria Math"/>
                                  <w:i/>
                                  <w:lang w:eastAsia="en-AU"/>
                                </w:rPr>
                              </m:ctrlPr>
                            </m:fPr>
                            <m:num>
                              <m:sSup>
                                <m:sSupPr>
                                  <m:ctrlPr>
                                    <w:rPr>
                                      <w:rFonts w:ascii="Cambria Math" w:hAnsi="Cambria Math"/>
                                      <w:i/>
                                      <w:lang w:eastAsia="en-AU"/>
                                    </w:rPr>
                                  </m:ctrlPr>
                                </m:sSupPr>
                                <m:e>
                                  <m:r>
                                    <w:rPr>
                                      <w:rFonts w:ascii="Cambria Math" w:hAnsi="Cambria Math"/>
                                      <w:lang w:eastAsia="en-AU"/>
                                    </w:rPr>
                                    <m:t>m</m:t>
                                  </m:r>
                                </m:e>
                                <m:sup>
                                  <m:r>
                                    <w:rPr>
                                      <w:rFonts w:ascii="Cambria Math" w:hAnsi="Cambria Math"/>
                                      <w:lang w:eastAsia="en-AU"/>
                                    </w:rPr>
                                    <m:t>3</m:t>
                                  </m:r>
                                </m:sup>
                              </m:sSup>
                            </m:num>
                            <m:den>
                              <m:r>
                                <w:rPr>
                                  <w:rFonts w:ascii="Cambria Math" w:hAnsi="Cambria Math"/>
                                  <w:lang w:eastAsia="en-AU"/>
                                </w:rPr>
                                <m:t>d</m:t>
                              </m:r>
                            </m:den>
                          </m:f>
                        </m:e>
                      </m:mr>
                    </m:m>
                  </m:e>
                </m:d>
              </m:oMath>
            </m:oMathPara>
          </w:p>
        </w:tc>
        <w:tc>
          <w:tcPr>
            <w:tcW w:w="1117" w:type="dxa"/>
          </w:tcPr>
          <w:p w14:paraId="643792EE" w14:textId="77777777" w:rsidR="0025769B" w:rsidRDefault="0025769B" w:rsidP="000001B1">
            <w:pPr>
              <w:pStyle w:val="Body"/>
              <w:spacing w:before="45" w:after="91"/>
              <w:ind w:left="0"/>
              <w:rPr>
                <w:lang w:eastAsia="en-AU"/>
              </w:rPr>
            </w:pPr>
            <w:r>
              <w:rPr>
                <w:lang w:eastAsia="en-AU"/>
              </w:rPr>
              <w:t xml:space="preserve">(Eq. </w:t>
            </w:r>
            <w:r w:rsidR="000001B1">
              <w:rPr>
                <w:lang w:eastAsia="en-AU"/>
              </w:rPr>
              <w:t>4</w:t>
            </w:r>
            <w:r>
              <w:rPr>
                <w:lang w:eastAsia="en-AU"/>
              </w:rPr>
              <w:t>)</w:t>
            </w:r>
          </w:p>
        </w:tc>
      </w:tr>
    </w:tbl>
    <w:p w14:paraId="5479A91C" w14:textId="77777777" w:rsidR="00F86F7E" w:rsidRDefault="0025769B" w:rsidP="00DC7964">
      <w:pPr>
        <w:pStyle w:val="Body"/>
        <w:rPr>
          <w:lang w:eastAsia="en-AU"/>
        </w:rPr>
      </w:pPr>
      <w:r>
        <w:rPr>
          <w:lang w:eastAsia="en-AU"/>
        </w:rPr>
        <w:t xml:space="preserve">Where </w:t>
      </w:r>
      <w:r>
        <w:rPr>
          <w:i/>
          <w:lang w:eastAsia="en-AU"/>
        </w:rPr>
        <w:t>R</w:t>
      </w:r>
      <w:r w:rsidRPr="0079472E">
        <w:rPr>
          <w:i/>
          <w:vertAlign w:val="subscript"/>
          <w:lang w:eastAsia="en-AU"/>
        </w:rPr>
        <w:t>UV</w:t>
      </w:r>
      <w:r>
        <w:rPr>
          <w:lang w:eastAsia="en-AU"/>
        </w:rPr>
        <w:t xml:space="preserve"> is a cost reduction factor of 0.</w:t>
      </w:r>
      <w:r w:rsidR="00801985">
        <w:rPr>
          <w:lang w:eastAsia="en-AU"/>
        </w:rPr>
        <w:t xml:space="preserve">97 </w:t>
      </w:r>
      <w:r>
        <w:rPr>
          <w:lang w:eastAsia="en-AU"/>
        </w:rPr>
        <w:t>where UV is not required and 1.0 where UV is included in the costing.</w:t>
      </w:r>
      <w:r w:rsidR="00DC7964">
        <w:rPr>
          <w:lang w:eastAsia="en-AU"/>
        </w:rPr>
        <w:t xml:space="preserve"> </w:t>
      </w:r>
    </w:p>
    <w:p w14:paraId="5A596D1D" w14:textId="77777777" w:rsidR="00DC7964" w:rsidRDefault="00DC7964" w:rsidP="00DC7964">
      <w:pPr>
        <w:pStyle w:val="Body"/>
        <w:rPr>
          <w:lang w:eastAsia="en-AU"/>
        </w:rPr>
      </w:pPr>
      <w:r>
        <w:rPr>
          <w:lang w:eastAsia="en-AU"/>
        </w:rPr>
        <w:t xml:space="preserve">The cost curve for </w:t>
      </w:r>
      <w:r w:rsidR="004301FA">
        <w:rPr>
          <w:lang w:eastAsia="en-AU"/>
        </w:rPr>
        <w:t>plants discharging</w:t>
      </w:r>
      <w:r>
        <w:rPr>
          <w:lang w:eastAsia="en-AU"/>
        </w:rPr>
        <w:t xml:space="preserve"> &lt;</w:t>
      </w:r>
      <w:r w:rsidR="004301FA">
        <w:rPr>
          <w:lang w:eastAsia="en-AU"/>
        </w:rPr>
        <w:t> </w:t>
      </w:r>
      <w:r>
        <w:rPr>
          <w:lang w:eastAsia="en-AU"/>
        </w:rPr>
        <w:t>5,000</w:t>
      </w:r>
      <w:r w:rsidR="004301FA">
        <w:rPr>
          <w:lang w:eastAsia="en-AU"/>
        </w:rPr>
        <w:t> </w:t>
      </w:r>
      <w:r>
        <w:rPr>
          <w:lang w:eastAsia="en-AU"/>
        </w:rPr>
        <w:t>m</w:t>
      </w:r>
      <w:r w:rsidRPr="00DA0652">
        <w:rPr>
          <w:vertAlign w:val="superscript"/>
          <w:lang w:eastAsia="en-AU"/>
        </w:rPr>
        <w:t>3</w:t>
      </w:r>
      <w:r>
        <w:rPr>
          <w:lang w:eastAsia="en-AU"/>
        </w:rPr>
        <w:t>/d is based on MBR technology</w:t>
      </w:r>
      <w:r w:rsidR="004301FA">
        <w:rPr>
          <w:lang w:eastAsia="en-AU"/>
        </w:rPr>
        <w:t>. It is assumed that small plants (discharge &lt; 375 m</w:t>
      </w:r>
      <w:r w:rsidR="004301FA" w:rsidRPr="00DA0652">
        <w:rPr>
          <w:vertAlign w:val="superscript"/>
          <w:lang w:eastAsia="en-AU"/>
        </w:rPr>
        <w:t>3</w:t>
      </w:r>
      <w:r w:rsidR="004301FA">
        <w:rPr>
          <w:lang w:eastAsia="en-AU"/>
        </w:rPr>
        <w:t xml:space="preserve">/d) will be upgraded to activated sludge processes and not full </w:t>
      </w:r>
      <w:r w:rsidR="00C43BB3">
        <w:rPr>
          <w:lang w:eastAsia="en-AU"/>
        </w:rPr>
        <w:t>BNR</w:t>
      </w:r>
      <w:r w:rsidR="00C43BB3" w:rsidRPr="00C43BB3" w:rsidDel="00C43BB3">
        <w:rPr>
          <w:lang w:eastAsia="en-AU"/>
        </w:rPr>
        <w:t xml:space="preserve"> </w:t>
      </w:r>
      <w:r w:rsidR="004301FA">
        <w:rPr>
          <w:lang w:eastAsia="en-AU"/>
        </w:rPr>
        <w:t>specification.</w:t>
      </w:r>
      <w:r w:rsidR="009C114B">
        <w:rPr>
          <w:lang w:eastAsia="en-AU"/>
        </w:rPr>
        <w:t xml:space="preserve"> Where existing activated sludge processes are to be upgrade</w:t>
      </w:r>
      <w:r w:rsidR="00147F96">
        <w:rPr>
          <w:lang w:eastAsia="en-AU"/>
        </w:rPr>
        <w:t>d</w:t>
      </w:r>
      <w:r w:rsidR="009C114B">
        <w:rPr>
          <w:lang w:eastAsia="en-AU"/>
        </w:rPr>
        <w:t xml:space="preserve"> to BNR or MBR technology it is assumed that the upgrade costs will be </w:t>
      </w:r>
      <w:r w:rsidR="00147F96">
        <w:rPr>
          <w:lang w:eastAsia="en-AU"/>
        </w:rPr>
        <w:t>25% of the complete cost.</w:t>
      </w:r>
    </w:p>
    <w:p w14:paraId="33BBD87D" w14:textId="77777777" w:rsidR="00ED6FC8" w:rsidRDefault="00ED6FC8" w:rsidP="00A27F3D">
      <w:pPr>
        <w:pStyle w:val="Heading3"/>
        <w:rPr>
          <w:lang w:eastAsia="en-AU"/>
        </w:rPr>
      </w:pPr>
      <w:r>
        <w:rPr>
          <w:lang w:eastAsia="en-AU"/>
        </w:rPr>
        <w:lastRenderedPageBreak/>
        <w:t xml:space="preserve">Standard </w:t>
      </w:r>
      <w:r w:rsidR="00F86F7E">
        <w:rPr>
          <w:lang w:eastAsia="en-AU"/>
        </w:rPr>
        <w:t>markups</w:t>
      </w:r>
    </w:p>
    <w:p w14:paraId="486CFCEA" w14:textId="77777777" w:rsidR="00ED6FC8" w:rsidRDefault="006F7A33" w:rsidP="0025769B">
      <w:pPr>
        <w:pStyle w:val="Body"/>
        <w:rPr>
          <w:lang w:eastAsia="en-AU"/>
        </w:rPr>
      </w:pPr>
      <w:r>
        <w:rPr>
          <w:lang w:eastAsia="en-AU"/>
        </w:rPr>
        <w:t xml:space="preserve">The cost curves represented by Equations 2-4 </w:t>
      </w:r>
      <w:r w:rsidR="00323E85">
        <w:rPr>
          <w:lang w:eastAsia="en-AU"/>
        </w:rPr>
        <w:t xml:space="preserve">are developed from a cost </w:t>
      </w:r>
      <w:r w:rsidR="00E06D5B">
        <w:rPr>
          <w:lang w:eastAsia="en-AU"/>
        </w:rPr>
        <w:t>database that</w:t>
      </w:r>
      <w:r w:rsidR="00323E85">
        <w:rPr>
          <w:lang w:eastAsia="en-AU"/>
        </w:rPr>
        <w:t xml:space="preserve"> typically </w:t>
      </w:r>
      <w:r w:rsidR="00F21EF3">
        <w:rPr>
          <w:lang w:eastAsia="en-AU"/>
        </w:rPr>
        <w:t>represents</w:t>
      </w:r>
      <w:r>
        <w:rPr>
          <w:lang w:eastAsia="en-AU"/>
        </w:rPr>
        <w:t xml:space="preserve"> </w:t>
      </w:r>
      <w:r w:rsidR="00F21EF3">
        <w:rPr>
          <w:lang w:eastAsia="en-AU"/>
        </w:rPr>
        <w:t>tendered construction prices</w:t>
      </w:r>
      <w:r w:rsidR="00E328E9">
        <w:rPr>
          <w:lang w:eastAsia="en-AU"/>
        </w:rPr>
        <w:t>.</w:t>
      </w:r>
      <w:r w:rsidR="00F62330">
        <w:rPr>
          <w:lang w:eastAsia="en-AU"/>
        </w:rPr>
        <w:t xml:space="preserve"> Considering the project scopes listed within the database a markup</w:t>
      </w:r>
      <w:r w:rsidR="00C66FAC">
        <w:rPr>
          <w:lang w:eastAsia="en-AU"/>
        </w:rPr>
        <w:t xml:space="preserve"> index (</w:t>
      </w:r>
      <w:r w:rsidR="00C66FAC">
        <w:rPr>
          <w:i/>
          <w:lang w:eastAsia="en-AU"/>
        </w:rPr>
        <w:t>I</w:t>
      </w:r>
      <w:r w:rsidR="00C66FAC">
        <w:rPr>
          <w:lang w:eastAsia="en-AU"/>
        </w:rPr>
        <w:t>) is applied to</w:t>
      </w:r>
      <w:r w:rsidR="00323E85">
        <w:rPr>
          <w:lang w:eastAsia="en-AU"/>
        </w:rPr>
        <w:t xml:space="preserve"> all upgrades</w:t>
      </w:r>
      <w:r w:rsidR="00C66FAC">
        <w:rPr>
          <w:lang w:eastAsia="en-AU"/>
        </w:rPr>
        <w:t>. This includes</w:t>
      </w:r>
      <w:r w:rsidR="00ED6FC8">
        <w:rPr>
          <w:lang w:eastAsia="en-AU"/>
        </w:rPr>
        <w:t>:</w:t>
      </w:r>
    </w:p>
    <w:p w14:paraId="182F7E1E" w14:textId="77777777" w:rsidR="00ED6FC8" w:rsidRDefault="00ED6FC8" w:rsidP="00DA0652">
      <w:pPr>
        <w:pStyle w:val="Body"/>
        <w:numPr>
          <w:ilvl w:val="0"/>
          <w:numId w:val="77"/>
        </w:numPr>
        <w:rPr>
          <w:lang w:eastAsia="en-AU"/>
        </w:rPr>
      </w:pPr>
      <w:r>
        <w:rPr>
          <w:lang w:eastAsia="en-AU"/>
        </w:rPr>
        <w:t>Markups of 10% for design services.</w:t>
      </w:r>
    </w:p>
    <w:p w14:paraId="710607F5" w14:textId="77777777" w:rsidR="00ED6FC8" w:rsidRDefault="00ED6FC8" w:rsidP="00DA0652">
      <w:pPr>
        <w:pStyle w:val="Body"/>
        <w:numPr>
          <w:ilvl w:val="0"/>
          <w:numId w:val="77"/>
        </w:numPr>
        <w:rPr>
          <w:lang w:eastAsia="en-AU"/>
        </w:rPr>
      </w:pPr>
      <w:r>
        <w:rPr>
          <w:lang w:eastAsia="en-AU"/>
        </w:rPr>
        <w:t>A</w:t>
      </w:r>
      <w:r w:rsidR="00323E85">
        <w:rPr>
          <w:lang w:eastAsia="en-AU"/>
        </w:rPr>
        <w:t xml:space="preserve">n allowance of 20% for civil, mechanical and electrical works not </w:t>
      </w:r>
      <w:r w:rsidR="00C66FAC">
        <w:rPr>
          <w:lang w:eastAsia="en-AU"/>
        </w:rPr>
        <w:t>represented</w:t>
      </w:r>
      <w:r w:rsidR="00323E85">
        <w:rPr>
          <w:lang w:eastAsia="en-AU"/>
        </w:rPr>
        <w:t xml:space="preserve"> in </w:t>
      </w:r>
      <w:r>
        <w:rPr>
          <w:lang w:eastAsia="en-AU"/>
        </w:rPr>
        <w:t>the nomographs.</w:t>
      </w:r>
    </w:p>
    <w:p w14:paraId="0F6C31A6" w14:textId="77777777" w:rsidR="0025769B" w:rsidRDefault="00ED6FC8" w:rsidP="00DA0652">
      <w:pPr>
        <w:pStyle w:val="Body"/>
        <w:numPr>
          <w:ilvl w:val="0"/>
          <w:numId w:val="77"/>
        </w:numPr>
        <w:rPr>
          <w:lang w:eastAsia="en-AU"/>
        </w:rPr>
      </w:pPr>
      <w:r>
        <w:rPr>
          <w:lang w:eastAsia="en-AU"/>
        </w:rPr>
        <w:t>A</w:t>
      </w:r>
      <w:r w:rsidR="00E328E9">
        <w:rPr>
          <w:lang w:eastAsia="en-AU"/>
        </w:rPr>
        <w:t xml:space="preserve"> contingency of 20% to represent </w:t>
      </w:r>
      <w:r w:rsidR="00763D1E">
        <w:rPr>
          <w:lang w:eastAsia="en-AU"/>
        </w:rPr>
        <w:t xml:space="preserve">potential </w:t>
      </w:r>
      <w:r w:rsidR="00E06D5B">
        <w:rPr>
          <w:lang w:eastAsia="en-AU"/>
        </w:rPr>
        <w:t>site-specific</w:t>
      </w:r>
      <w:r w:rsidR="00763D1E">
        <w:rPr>
          <w:lang w:eastAsia="en-AU"/>
        </w:rPr>
        <w:t xml:space="preserve"> </w:t>
      </w:r>
      <w:r w:rsidR="00E328E9">
        <w:rPr>
          <w:lang w:eastAsia="en-AU"/>
        </w:rPr>
        <w:t>additional expenses</w:t>
      </w:r>
      <w:r w:rsidR="00775C3C">
        <w:rPr>
          <w:lang w:eastAsia="en-AU"/>
        </w:rPr>
        <w:t>.</w:t>
      </w:r>
    </w:p>
    <w:p w14:paraId="44B97982" w14:textId="77777777" w:rsidR="00600F5C" w:rsidRDefault="00600F5C" w:rsidP="00600F5C">
      <w:pPr>
        <w:pStyle w:val="Heading3"/>
        <w:rPr>
          <w:lang w:eastAsia="en-AU"/>
        </w:rPr>
      </w:pPr>
      <w:bookmarkStart w:id="375" w:name="_Ref520969006"/>
      <w:r>
        <w:rPr>
          <w:lang w:eastAsia="en-AU"/>
        </w:rPr>
        <w:t xml:space="preserve">Resource </w:t>
      </w:r>
      <w:r w:rsidR="00F86F7E">
        <w:rPr>
          <w:lang w:eastAsia="en-AU"/>
        </w:rPr>
        <w:t>consents</w:t>
      </w:r>
      <w:bookmarkEnd w:id="375"/>
    </w:p>
    <w:p w14:paraId="1A773FA7" w14:textId="77777777" w:rsidR="00600F5C" w:rsidRPr="00600F5C" w:rsidRDefault="00600F5C" w:rsidP="00600F5C">
      <w:pPr>
        <w:pStyle w:val="Body"/>
        <w:rPr>
          <w:lang w:eastAsia="en-AU"/>
        </w:rPr>
      </w:pPr>
      <w:r>
        <w:rPr>
          <w:lang w:eastAsia="en-AU"/>
        </w:rPr>
        <w:t xml:space="preserve">It can be a costly and time consuming process to obtain consents for either a WWTP resource consent renewal or new consents to permit a change in a treatment process. Often councils will combine consent amendments with providing for changes needed to better service the community e.g. increasing plant capacity and thus the rate of discharge to be permitted. A change to </w:t>
      </w:r>
      <w:r w:rsidR="005876DE">
        <w:rPr>
          <w:lang w:eastAsia="en-AU"/>
        </w:rPr>
        <w:t>the process may require new consents e.g. for disposal of bio-solids</w:t>
      </w:r>
      <w:r>
        <w:rPr>
          <w:lang w:eastAsia="en-AU"/>
        </w:rPr>
        <w:t xml:space="preserve">.   </w:t>
      </w:r>
    </w:p>
    <w:p w14:paraId="6BD1B1D2" w14:textId="77777777" w:rsidR="004A2EF7" w:rsidRDefault="00763D1E" w:rsidP="0025769B">
      <w:pPr>
        <w:pStyle w:val="Body"/>
        <w:rPr>
          <w:lang w:eastAsia="en-AU"/>
        </w:rPr>
      </w:pPr>
      <w:r>
        <w:rPr>
          <w:lang w:eastAsia="en-AU"/>
        </w:rPr>
        <w:t xml:space="preserve">Cost associated with gaining required </w:t>
      </w:r>
      <w:r w:rsidR="00F86F7E">
        <w:rPr>
          <w:lang w:eastAsia="en-AU"/>
        </w:rPr>
        <w:t>resource</w:t>
      </w:r>
      <w:r w:rsidDel="00F86F7E">
        <w:rPr>
          <w:lang w:eastAsia="en-AU"/>
        </w:rPr>
        <w:t xml:space="preserve"> </w:t>
      </w:r>
      <w:r w:rsidR="00F86F7E">
        <w:rPr>
          <w:lang w:eastAsia="en-AU"/>
        </w:rPr>
        <w:t>consents</w:t>
      </w:r>
      <w:r>
        <w:rPr>
          <w:lang w:eastAsia="en-AU"/>
        </w:rPr>
        <w:t xml:space="preserve"> to facilitate a pla</w:t>
      </w:r>
      <w:r w:rsidR="009F5541">
        <w:rPr>
          <w:lang w:eastAsia="en-AU"/>
        </w:rPr>
        <w:t>n</w:t>
      </w:r>
      <w:r>
        <w:rPr>
          <w:lang w:eastAsia="en-AU"/>
        </w:rPr>
        <w:t>t upgrade</w:t>
      </w:r>
      <w:r w:rsidR="004A2EF7">
        <w:rPr>
          <w:lang w:eastAsia="en-AU"/>
        </w:rPr>
        <w:t xml:space="preserve"> have not been included in the cost curves</w:t>
      </w:r>
      <w:r>
        <w:rPr>
          <w:lang w:eastAsia="en-AU"/>
        </w:rPr>
        <w:t>;</w:t>
      </w:r>
      <w:r w:rsidR="004A2EF7">
        <w:rPr>
          <w:lang w:eastAsia="en-AU"/>
        </w:rPr>
        <w:t xml:space="preserve"> these are added separately as an assumed fixed expense based on plant size as shown in </w:t>
      </w:r>
      <w:r w:rsidR="00323E85">
        <w:rPr>
          <w:lang w:eastAsia="en-AU"/>
        </w:rPr>
        <w:fldChar w:fldCharType="begin"/>
      </w:r>
      <w:r w:rsidR="00323E85">
        <w:rPr>
          <w:lang w:eastAsia="en-AU"/>
        </w:rPr>
        <w:instrText xml:space="preserve"> REF _Ref517268378 \h </w:instrText>
      </w:r>
      <w:r w:rsidR="00323E85">
        <w:rPr>
          <w:lang w:eastAsia="en-AU"/>
        </w:rPr>
      </w:r>
      <w:r w:rsidR="00323E85">
        <w:rPr>
          <w:lang w:eastAsia="en-AU"/>
        </w:rPr>
        <w:fldChar w:fldCharType="separate"/>
      </w:r>
      <w:r w:rsidR="002777A8">
        <w:t xml:space="preserve">Table </w:t>
      </w:r>
      <w:r w:rsidR="002777A8">
        <w:rPr>
          <w:noProof/>
        </w:rPr>
        <w:t>14</w:t>
      </w:r>
      <w:r w:rsidR="00323E85">
        <w:rPr>
          <w:lang w:eastAsia="en-AU"/>
        </w:rPr>
        <w:fldChar w:fldCharType="end"/>
      </w:r>
      <w:r w:rsidR="00323E85">
        <w:rPr>
          <w:lang w:eastAsia="en-AU"/>
        </w:rPr>
        <w:t xml:space="preserve">. Consenting costs are not included for upgrades that only consider adding </w:t>
      </w:r>
      <w:r w:rsidR="00C43BB3">
        <w:rPr>
          <w:lang w:eastAsia="en-AU"/>
        </w:rPr>
        <w:t xml:space="preserve">Ultra Violet treatment </w:t>
      </w:r>
      <w:r w:rsidR="00323E85">
        <w:rPr>
          <w:lang w:eastAsia="en-AU"/>
        </w:rPr>
        <w:t xml:space="preserve">to an existing plant. </w:t>
      </w:r>
    </w:p>
    <w:p w14:paraId="669FC26B" w14:textId="77777777" w:rsidR="004A2EF7" w:rsidRDefault="004A2EF7" w:rsidP="00526670">
      <w:pPr>
        <w:pStyle w:val="Caption"/>
      </w:pPr>
      <w:bookmarkStart w:id="376" w:name="_Ref517268378"/>
      <w:bookmarkStart w:id="377" w:name="_Toc517707651"/>
      <w:bookmarkStart w:id="378" w:name="_Toc517788324"/>
      <w:bookmarkStart w:id="379" w:name="_Toc517793893"/>
      <w:bookmarkStart w:id="380" w:name="_Toc518042092"/>
      <w:bookmarkStart w:id="381" w:name="_Ref518627817"/>
      <w:bookmarkStart w:id="382" w:name="_Toc518653130"/>
      <w:bookmarkStart w:id="383" w:name="_Toc521064797"/>
      <w:r>
        <w:t xml:space="preserve">Table </w:t>
      </w:r>
      <w:r w:rsidR="007B3D80">
        <w:rPr>
          <w:noProof/>
        </w:rPr>
        <w:fldChar w:fldCharType="begin"/>
      </w:r>
      <w:r w:rsidR="007B3D80">
        <w:rPr>
          <w:noProof/>
        </w:rPr>
        <w:instrText xml:space="preserve"> SEQ Table \* ARABIC </w:instrText>
      </w:r>
      <w:r w:rsidR="007B3D80">
        <w:rPr>
          <w:noProof/>
        </w:rPr>
        <w:fldChar w:fldCharType="separate"/>
      </w:r>
      <w:r w:rsidR="002777A8">
        <w:rPr>
          <w:noProof/>
        </w:rPr>
        <w:t>14</w:t>
      </w:r>
      <w:r w:rsidR="007B3D80">
        <w:rPr>
          <w:noProof/>
        </w:rPr>
        <w:fldChar w:fldCharType="end"/>
      </w:r>
      <w:bookmarkEnd w:id="376"/>
      <w:r>
        <w:t xml:space="preserve">  </w:t>
      </w:r>
      <w:r w:rsidRPr="00526670">
        <w:t>Assumed</w:t>
      </w:r>
      <w:r>
        <w:t xml:space="preserve"> </w:t>
      </w:r>
      <w:r w:rsidR="00F86F7E">
        <w:t>consenting costs</w:t>
      </w:r>
      <w:bookmarkEnd w:id="377"/>
      <w:bookmarkEnd w:id="378"/>
      <w:bookmarkEnd w:id="379"/>
      <w:bookmarkEnd w:id="380"/>
      <w:bookmarkEnd w:id="381"/>
      <w:bookmarkEnd w:id="382"/>
      <w:bookmarkEnd w:id="383"/>
    </w:p>
    <w:tbl>
      <w:tblPr>
        <w:tblStyle w:val="Table-Style3"/>
        <w:tblW w:w="0" w:type="auto"/>
        <w:jc w:val="center"/>
        <w:tblInd w:w="0" w:type="dxa"/>
        <w:tblLook w:val="04A0" w:firstRow="1" w:lastRow="0" w:firstColumn="1" w:lastColumn="0" w:noHBand="0" w:noVBand="1"/>
      </w:tblPr>
      <w:tblGrid>
        <w:gridCol w:w="2451"/>
        <w:gridCol w:w="2596"/>
      </w:tblGrid>
      <w:tr w:rsidR="004A2EF7" w14:paraId="5137AEBF" w14:textId="77777777" w:rsidTr="00E06D5B">
        <w:trPr>
          <w:cnfStyle w:val="100000000000" w:firstRow="1" w:lastRow="0" w:firstColumn="0" w:lastColumn="0" w:oddVBand="0" w:evenVBand="0" w:oddHBand="0" w:evenHBand="0" w:firstRowFirstColumn="0" w:firstRowLastColumn="0" w:lastRowFirstColumn="0" w:lastRowLastColumn="0"/>
          <w:jc w:val="center"/>
        </w:trPr>
        <w:tc>
          <w:tcPr>
            <w:tcW w:w="0" w:type="auto"/>
            <w:vAlign w:val="center"/>
          </w:tcPr>
          <w:p w14:paraId="19F269C0" w14:textId="77777777" w:rsidR="004A2EF7" w:rsidRDefault="004A2EF7" w:rsidP="00710D71">
            <w:pPr>
              <w:pStyle w:val="Body"/>
              <w:ind w:left="0"/>
              <w:rPr>
                <w:lang w:eastAsia="en-AU"/>
              </w:rPr>
            </w:pPr>
            <w:r>
              <w:rPr>
                <w:lang w:eastAsia="en-AU"/>
              </w:rPr>
              <w:t xml:space="preserve">WWTP </w:t>
            </w:r>
            <w:r w:rsidR="00710D71">
              <w:rPr>
                <w:lang w:eastAsia="en-AU"/>
              </w:rPr>
              <w:t>c</w:t>
            </w:r>
            <w:r>
              <w:rPr>
                <w:lang w:eastAsia="en-AU"/>
              </w:rPr>
              <w:t>ize (</w:t>
            </w:r>
            <w:r w:rsidR="00710D71">
              <w:rPr>
                <w:lang w:eastAsia="en-AU"/>
              </w:rPr>
              <w:t>p</w:t>
            </w:r>
            <w:r>
              <w:rPr>
                <w:lang w:eastAsia="en-AU"/>
              </w:rPr>
              <w:t>opulation)</w:t>
            </w:r>
          </w:p>
        </w:tc>
        <w:tc>
          <w:tcPr>
            <w:tcW w:w="0" w:type="auto"/>
          </w:tcPr>
          <w:p w14:paraId="03CFAD4A" w14:textId="77777777" w:rsidR="004A2EF7" w:rsidRDefault="004A2EF7" w:rsidP="00710D71">
            <w:pPr>
              <w:pStyle w:val="Body"/>
              <w:ind w:left="0"/>
              <w:jc w:val="center"/>
              <w:rPr>
                <w:lang w:eastAsia="en-AU"/>
              </w:rPr>
            </w:pPr>
            <w:r>
              <w:rPr>
                <w:lang w:eastAsia="en-AU"/>
              </w:rPr>
              <w:t xml:space="preserve">Assumed </w:t>
            </w:r>
            <w:r w:rsidR="00710D71">
              <w:rPr>
                <w:lang w:eastAsia="en-AU"/>
              </w:rPr>
              <w:t>c</w:t>
            </w:r>
            <w:r>
              <w:rPr>
                <w:lang w:eastAsia="en-AU"/>
              </w:rPr>
              <w:t xml:space="preserve">onsenting </w:t>
            </w:r>
            <w:r w:rsidR="00710D71">
              <w:rPr>
                <w:lang w:eastAsia="en-AU"/>
              </w:rPr>
              <w:t>c</w:t>
            </w:r>
            <w:r>
              <w:rPr>
                <w:lang w:eastAsia="en-AU"/>
              </w:rPr>
              <w:t>osts</w:t>
            </w:r>
          </w:p>
        </w:tc>
      </w:tr>
      <w:tr w:rsidR="004A2EF7" w14:paraId="4E06EB38" w14:textId="77777777" w:rsidTr="00E66F34">
        <w:trPr>
          <w:jc w:val="center"/>
        </w:trPr>
        <w:tc>
          <w:tcPr>
            <w:tcW w:w="0" w:type="auto"/>
          </w:tcPr>
          <w:p w14:paraId="6037BE6F" w14:textId="77777777" w:rsidR="004A2EF7" w:rsidRDefault="004A2EF7" w:rsidP="0025769B">
            <w:pPr>
              <w:pStyle w:val="Body"/>
              <w:ind w:left="0"/>
              <w:rPr>
                <w:lang w:eastAsia="en-AU"/>
              </w:rPr>
            </w:pPr>
            <w:r>
              <w:rPr>
                <w:lang w:eastAsia="en-AU"/>
              </w:rPr>
              <w:t>Large (&gt;10,000)</w:t>
            </w:r>
          </w:p>
        </w:tc>
        <w:tc>
          <w:tcPr>
            <w:tcW w:w="0" w:type="auto"/>
          </w:tcPr>
          <w:p w14:paraId="55919B7D" w14:textId="77777777" w:rsidR="004A2EF7" w:rsidRDefault="004A2EF7" w:rsidP="00A27F3D">
            <w:pPr>
              <w:pStyle w:val="Body"/>
              <w:ind w:left="0"/>
              <w:jc w:val="center"/>
              <w:rPr>
                <w:lang w:eastAsia="en-AU"/>
              </w:rPr>
            </w:pPr>
            <w:r>
              <w:rPr>
                <w:lang w:eastAsia="en-AU"/>
              </w:rPr>
              <w:t>$ 1,000,000</w:t>
            </w:r>
          </w:p>
        </w:tc>
      </w:tr>
      <w:tr w:rsidR="004A2EF7" w14:paraId="121AD3B6" w14:textId="77777777" w:rsidTr="00E66F34">
        <w:trPr>
          <w:jc w:val="center"/>
        </w:trPr>
        <w:tc>
          <w:tcPr>
            <w:tcW w:w="0" w:type="auto"/>
          </w:tcPr>
          <w:p w14:paraId="7A7A90E4" w14:textId="77777777" w:rsidR="004A2EF7" w:rsidRDefault="004A2EF7">
            <w:pPr>
              <w:pStyle w:val="Body"/>
              <w:ind w:left="0"/>
              <w:rPr>
                <w:lang w:eastAsia="en-AU"/>
              </w:rPr>
            </w:pPr>
            <w:r>
              <w:rPr>
                <w:lang w:eastAsia="en-AU"/>
              </w:rPr>
              <w:t>Medium (5,001 – 10,000)</w:t>
            </w:r>
          </w:p>
        </w:tc>
        <w:tc>
          <w:tcPr>
            <w:tcW w:w="0" w:type="auto"/>
          </w:tcPr>
          <w:p w14:paraId="4B157AF5" w14:textId="77777777" w:rsidR="004A2EF7" w:rsidRDefault="004A2EF7" w:rsidP="00A27F3D">
            <w:pPr>
              <w:pStyle w:val="Body"/>
              <w:ind w:left="0"/>
              <w:jc w:val="center"/>
              <w:rPr>
                <w:lang w:eastAsia="en-AU"/>
              </w:rPr>
            </w:pPr>
            <w:r>
              <w:rPr>
                <w:lang w:eastAsia="en-AU"/>
              </w:rPr>
              <w:t>$ 500,000</w:t>
            </w:r>
          </w:p>
        </w:tc>
      </w:tr>
      <w:tr w:rsidR="004A2EF7" w14:paraId="2FBD20DD" w14:textId="77777777" w:rsidTr="00E66F34">
        <w:trPr>
          <w:jc w:val="center"/>
        </w:trPr>
        <w:tc>
          <w:tcPr>
            <w:tcW w:w="0" w:type="auto"/>
          </w:tcPr>
          <w:p w14:paraId="2A38A444" w14:textId="77777777" w:rsidR="004A2EF7" w:rsidRDefault="004A2EF7">
            <w:pPr>
              <w:pStyle w:val="Body"/>
              <w:ind w:left="0"/>
              <w:rPr>
                <w:lang w:eastAsia="en-AU"/>
              </w:rPr>
            </w:pPr>
            <w:r>
              <w:rPr>
                <w:lang w:eastAsia="en-AU"/>
              </w:rPr>
              <w:t>Minor (501 – 5,000)</w:t>
            </w:r>
          </w:p>
        </w:tc>
        <w:tc>
          <w:tcPr>
            <w:tcW w:w="0" w:type="auto"/>
          </w:tcPr>
          <w:p w14:paraId="5A02928D" w14:textId="77777777" w:rsidR="004A2EF7" w:rsidRDefault="004A2EF7" w:rsidP="00A27F3D">
            <w:pPr>
              <w:pStyle w:val="Body"/>
              <w:ind w:left="0"/>
              <w:jc w:val="center"/>
              <w:rPr>
                <w:lang w:eastAsia="en-AU"/>
              </w:rPr>
            </w:pPr>
            <w:r>
              <w:rPr>
                <w:lang w:eastAsia="en-AU"/>
              </w:rPr>
              <w:t>$ 250,000</w:t>
            </w:r>
          </w:p>
        </w:tc>
      </w:tr>
      <w:tr w:rsidR="004A2EF7" w14:paraId="249B1024" w14:textId="77777777" w:rsidTr="00E66F34">
        <w:trPr>
          <w:jc w:val="center"/>
        </w:trPr>
        <w:tc>
          <w:tcPr>
            <w:tcW w:w="0" w:type="auto"/>
          </w:tcPr>
          <w:p w14:paraId="05A27882" w14:textId="77777777" w:rsidR="004A2EF7" w:rsidRDefault="004A2EF7" w:rsidP="0025769B">
            <w:pPr>
              <w:pStyle w:val="Body"/>
              <w:ind w:left="0"/>
              <w:rPr>
                <w:lang w:eastAsia="en-AU"/>
              </w:rPr>
            </w:pPr>
            <w:r>
              <w:rPr>
                <w:lang w:eastAsia="en-AU"/>
              </w:rPr>
              <w:t>Small (&lt;</w:t>
            </w:r>
            <w:r w:rsidR="008F6995">
              <w:rPr>
                <w:lang w:eastAsia="en-AU"/>
              </w:rPr>
              <w:t>501</w:t>
            </w:r>
            <w:r>
              <w:rPr>
                <w:lang w:eastAsia="en-AU"/>
              </w:rPr>
              <w:t>)</w:t>
            </w:r>
          </w:p>
        </w:tc>
        <w:tc>
          <w:tcPr>
            <w:tcW w:w="0" w:type="auto"/>
          </w:tcPr>
          <w:p w14:paraId="44F5CBDF" w14:textId="77777777" w:rsidR="004A2EF7" w:rsidRDefault="004A2EF7" w:rsidP="00A27F3D">
            <w:pPr>
              <w:pStyle w:val="Body"/>
              <w:ind w:left="0"/>
              <w:jc w:val="center"/>
              <w:rPr>
                <w:lang w:eastAsia="en-AU"/>
              </w:rPr>
            </w:pPr>
            <w:r>
              <w:rPr>
                <w:lang w:eastAsia="en-AU"/>
              </w:rPr>
              <w:t>$ 100,000</w:t>
            </w:r>
          </w:p>
        </w:tc>
      </w:tr>
    </w:tbl>
    <w:p w14:paraId="6BC6FEA8" w14:textId="77777777" w:rsidR="004A2EF7" w:rsidRDefault="004A2EF7" w:rsidP="0025769B">
      <w:pPr>
        <w:pStyle w:val="Body"/>
        <w:rPr>
          <w:highlight w:val="yellow"/>
        </w:rPr>
      </w:pPr>
    </w:p>
    <w:p w14:paraId="4C245B1B" w14:textId="77777777" w:rsidR="00261B3A" w:rsidRDefault="00C43BB3" w:rsidP="00D46AF3">
      <w:pPr>
        <w:pStyle w:val="Body"/>
        <w:rPr>
          <w:lang w:eastAsia="en-AU"/>
        </w:rPr>
      </w:pPr>
      <w:r w:rsidRPr="00E66F34">
        <w:rPr>
          <w:lang w:eastAsia="en-AU"/>
        </w:rPr>
        <w:t xml:space="preserve">The values listed in </w:t>
      </w:r>
      <w:r w:rsidRPr="00E66F34">
        <w:rPr>
          <w:lang w:eastAsia="en-AU"/>
        </w:rPr>
        <w:fldChar w:fldCharType="begin"/>
      </w:r>
      <w:r w:rsidRPr="00E66F34">
        <w:rPr>
          <w:lang w:eastAsia="en-AU"/>
        </w:rPr>
        <w:instrText xml:space="preserve"> REF _Ref517268378 \h </w:instrText>
      </w:r>
      <w:r>
        <w:rPr>
          <w:lang w:eastAsia="en-AU"/>
        </w:rPr>
        <w:instrText xml:space="preserve"> \* MERGEFORMAT </w:instrText>
      </w:r>
      <w:r w:rsidRPr="00E66F34">
        <w:rPr>
          <w:lang w:eastAsia="en-AU"/>
        </w:rPr>
      </w:r>
      <w:r w:rsidRPr="00E66F34">
        <w:rPr>
          <w:lang w:eastAsia="en-AU"/>
        </w:rPr>
        <w:fldChar w:fldCharType="separate"/>
      </w:r>
      <w:r w:rsidR="002777A8">
        <w:rPr>
          <w:lang w:eastAsia="en-AU"/>
        </w:rPr>
        <w:t>Table 14</w:t>
      </w:r>
      <w:r w:rsidRPr="00E66F34">
        <w:rPr>
          <w:lang w:eastAsia="en-AU"/>
        </w:rPr>
        <w:fldChar w:fldCharType="end"/>
      </w:r>
      <w:r w:rsidRPr="00E66F34">
        <w:rPr>
          <w:lang w:eastAsia="en-AU"/>
        </w:rPr>
        <w:t xml:space="preserve"> combine a number of costs associated with the resource conse</w:t>
      </w:r>
      <w:r>
        <w:rPr>
          <w:lang w:eastAsia="en-AU"/>
        </w:rPr>
        <w:t>n</w:t>
      </w:r>
      <w:r w:rsidRPr="00E66F34">
        <w:rPr>
          <w:lang w:eastAsia="en-AU"/>
        </w:rPr>
        <w:t>ting process</w:t>
      </w:r>
      <w:r>
        <w:rPr>
          <w:lang w:eastAsia="en-AU"/>
        </w:rPr>
        <w:t xml:space="preserve"> </w:t>
      </w:r>
      <w:r w:rsidR="0070422B">
        <w:rPr>
          <w:lang w:eastAsia="en-AU"/>
        </w:rPr>
        <w:t xml:space="preserve">and exclude </w:t>
      </w:r>
      <w:r>
        <w:rPr>
          <w:lang w:eastAsia="en-AU"/>
        </w:rPr>
        <w:t>design</w:t>
      </w:r>
      <w:r w:rsidR="00A64EB1" w:rsidRPr="00D46AF3">
        <w:rPr>
          <w:lang w:eastAsia="en-AU"/>
        </w:rPr>
        <w:t>.</w:t>
      </w:r>
      <w:r w:rsidR="0070422B">
        <w:rPr>
          <w:lang w:eastAsia="en-AU"/>
        </w:rPr>
        <w:t xml:space="preserve"> </w:t>
      </w:r>
    </w:p>
    <w:p w14:paraId="29C80030" w14:textId="77777777" w:rsidR="00C43BB3" w:rsidRDefault="009776A1" w:rsidP="00D46AF3">
      <w:pPr>
        <w:pStyle w:val="Body"/>
        <w:rPr>
          <w:lang w:eastAsia="en-AU"/>
        </w:rPr>
      </w:pPr>
      <w:r>
        <w:rPr>
          <w:lang w:eastAsia="en-AU"/>
        </w:rPr>
        <w:t>T</w:t>
      </w:r>
      <w:r w:rsidRPr="00E66F34">
        <w:rPr>
          <w:lang w:eastAsia="en-AU"/>
        </w:rPr>
        <w:t>ypical</w:t>
      </w:r>
      <w:r>
        <w:rPr>
          <w:lang w:eastAsia="en-AU"/>
        </w:rPr>
        <w:t>ly,</w:t>
      </w:r>
      <w:r w:rsidR="00C43BB3">
        <w:rPr>
          <w:lang w:eastAsia="en-AU"/>
        </w:rPr>
        <w:t xml:space="preserve"> to gain a resource consent for a WWTP</w:t>
      </w:r>
      <w:r w:rsidR="0070422B">
        <w:rPr>
          <w:lang w:eastAsia="en-AU"/>
        </w:rPr>
        <w:t xml:space="preserve"> discharge</w:t>
      </w:r>
      <w:r w:rsidR="00C43BB3">
        <w:rPr>
          <w:lang w:eastAsia="en-AU"/>
        </w:rPr>
        <w:t xml:space="preserve"> the following costs apply: </w:t>
      </w:r>
    </w:p>
    <w:p w14:paraId="78BC020F" w14:textId="77777777" w:rsidR="00C43BB3" w:rsidRPr="00D46AF3" w:rsidRDefault="00C43BB3" w:rsidP="00E66F34">
      <w:pPr>
        <w:pStyle w:val="Bullet"/>
        <w:numPr>
          <w:ilvl w:val="0"/>
          <w:numId w:val="63"/>
        </w:numPr>
        <w:tabs>
          <w:tab w:val="clear" w:pos="1134"/>
        </w:tabs>
        <w:spacing w:before="0" w:after="100"/>
      </w:pPr>
      <w:r w:rsidRPr="00D46AF3">
        <w:t xml:space="preserve">Legal fees </w:t>
      </w:r>
    </w:p>
    <w:p w14:paraId="5FA7E45F" w14:textId="77777777" w:rsidR="00C43BB3" w:rsidRDefault="007C3728" w:rsidP="00E66F34">
      <w:pPr>
        <w:pStyle w:val="Bullet"/>
        <w:numPr>
          <w:ilvl w:val="0"/>
          <w:numId w:val="63"/>
        </w:numPr>
        <w:tabs>
          <w:tab w:val="clear" w:pos="1134"/>
        </w:tabs>
        <w:spacing w:before="0" w:after="100"/>
      </w:pPr>
      <w:r w:rsidRPr="00D46AF3">
        <w:t xml:space="preserve">Commission of technical consultant to undertake </w:t>
      </w:r>
      <w:r w:rsidR="00A64EB1" w:rsidRPr="00D46AF3">
        <w:t>studie</w:t>
      </w:r>
      <w:r w:rsidRPr="00D46AF3">
        <w:t>s</w:t>
      </w:r>
      <w:r w:rsidR="00A64EB1">
        <w:t xml:space="preserve"> </w:t>
      </w:r>
      <w:r w:rsidRPr="00D46AF3">
        <w:t>in support of an Assessment of Env</w:t>
      </w:r>
      <w:r w:rsidR="00A64EB1" w:rsidRPr="00D46AF3">
        <w:t>iron</w:t>
      </w:r>
      <w:r w:rsidRPr="00D46AF3">
        <w:t>mental Effects (e.g</w:t>
      </w:r>
      <w:r w:rsidR="00A64EB1">
        <w:t>.</w:t>
      </w:r>
      <w:r w:rsidRPr="00D46AF3">
        <w:t xml:space="preserve"> </w:t>
      </w:r>
      <w:r w:rsidR="00A64EB1">
        <w:t xml:space="preserve">planning, </w:t>
      </w:r>
      <w:r w:rsidRPr="00D46AF3">
        <w:t xml:space="preserve">air quality, traffic management, </w:t>
      </w:r>
      <w:r w:rsidR="00A64EB1">
        <w:t xml:space="preserve">ecology </w:t>
      </w:r>
      <w:r w:rsidR="009776A1">
        <w:t>etc.</w:t>
      </w:r>
      <w:r w:rsidR="00A64EB1">
        <w:t>)</w:t>
      </w:r>
    </w:p>
    <w:p w14:paraId="46F0F225" w14:textId="77777777" w:rsidR="00A64EB1" w:rsidRDefault="00A64EB1" w:rsidP="00E66F34">
      <w:pPr>
        <w:pStyle w:val="Bullet"/>
        <w:numPr>
          <w:ilvl w:val="0"/>
          <w:numId w:val="63"/>
        </w:numPr>
        <w:tabs>
          <w:tab w:val="clear" w:pos="1134"/>
        </w:tabs>
        <w:spacing w:before="0" w:after="100"/>
      </w:pPr>
      <w:r>
        <w:t>Hearing costs ( consultant evidence preparation and presentation)</w:t>
      </w:r>
    </w:p>
    <w:p w14:paraId="248642EB" w14:textId="77777777" w:rsidR="00A64EB1" w:rsidRDefault="00A64EB1" w:rsidP="00E66F34">
      <w:pPr>
        <w:pStyle w:val="Bullet"/>
        <w:numPr>
          <w:ilvl w:val="0"/>
          <w:numId w:val="63"/>
        </w:numPr>
        <w:tabs>
          <w:tab w:val="clear" w:pos="1134"/>
        </w:tabs>
        <w:spacing w:before="0" w:after="100"/>
      </w:pPr>
      <w:r>
        <w:t>Regional Council processing fees which may include payment for independent technical reviewers appointed by the regional and or district council</w:t>
      </w:r>
    </w:p>
    <w:p w14:paraId="4DC2042B" w14:textId="77777777" w:rsidR="00A64EB1" w:rsidRDefault="00A64EB1" w:rsidP="00E66F34">
      <w:pPr>
        <w:pStyle w:val="Bullet"/>
        <w:numPr>
          <w:ilvl w:val="0"/>
          <w:numId w:val="63"/>
        </w:numPr>
        <w:tabs>
          <w:tab w:val="clear" w:pos="1134"/>
        </w:tabs>
        <w:spacing w:before="0" w:after="100"/>
      </w:pPr>
      <w:r>
        <w:t>Consultation costs (community meetings, consultation documents)</w:t>
      </w:r>
    </w:p>
    <w:p w14:paraId="2726B473" w14:textId="77777777" w:rsidR="00A64EB1" w:rsidRPr="00E66F34" w:rsidRDefault="00A64EB1" w:rsidP="00E66F34">
      <w:pPr>
        <w:pStyle w:val="Bullet"/>
        <w:numPr>
          <w:ilvl w:val="0"/>
          <w:numId w:val="63"/>
        </w:numPr>
        <w:tabs>
          <w:tab w:val="clear" w:pos="1134"/>
        </w:tabs>
        <w:spacing w:before="0" w:after="100"/>
      </w:pPr>
      <w:r>
        <w:t>Internal staff costs to manage and support the consenting process.</w:t>
      </w:r>
    </w:p>
    <w:p w14:paraId="12E5568E" w14:textId="77777777" w:rsidR="00A64EB1" w:rsidRDefault="00A64EB1" w:rsidP="00261B3A">
      <w:pPr>
        <w:pStyle w:val="Body"/>
        <w:rPr>
          <w:lang w:eastAsia="en-AU"/>
        </w:rPr>
      </w:pPr>
      <w:r w:rsidRPr="00E66F34">
        <w:rPr>
          <w:lang w:eastAsia="en-AU"/>
        </w:rPr>
        <w:t>The values in Table 15 have been adopted in this study to recognise that there is a cost to gaining resource consents. In practise there will be con</w:t>
      </w:r>
      <w:r w:rsidR="002D53FE">
        <w:rPr>
          <w:lang w:eastAsia="en-AU"/>
        </w:rPr>
        <w:t>siderable</w:t>
      </w:r>
      <w:r w:rsidRPr="00E66F34">
        <w:rPr>
          <w:lang w:eastAsia="en-AU"/>
        </w:rPr>
        <w:t xml:space="preserve"> vari</w:t>
      </w:r>
      <w:r w:rsidR="002D53FE">
        <w:rPr>
          <w:lang w:eastAsia="en-AU"/>
        </w:rPr>
        <w:t>ation between projects</w:t>
      </w:r>
      <w:r w:rsidRPr="00E66F34">
        <w:rPr>
          <w:lang w:eastAsia="en-AU"/>
        </w:rPr>
        <w:t xml:space="preserve"> depending on the complexity of an application and also whether there are any </w:t>
      </w:r>
      <w:r w:rsidR="002D53FE">
        <w:rPr>
          <w:lang w:eastAsia="en-AU"/>
        </w:rPr>
        <w:t>particular</w:t>
      </w:r>
      <w:r w:rsidRPr="00E66F34">
        <w:rPr>
          <w:lang w:eastAsia="en-AU"/>
        </w:rPr>
        <w:t xml:space="preserve"> points of disagreement between the applicant</w:t>
      </w:r>
      <w:r w:rsidR="0070422B">
        <w:rPr>
          <w:lang w:eastAsia="en-AU"/>
        </w:rPr>
        <w:t>, community</w:t>
      </w:r>
      <w:r w:rsidRPr="00E66F34">
        <w:rPr>
          <w:lang w:eastAsia="en-AU"/>
        </w:rPr>
        <w:t xml:space="preserve"> and regulator.</w:t>
      </w:r>
    </w:p>
    <w:p w14:paraId="03363099" w14:textId="77777777" w:rsidR="00B06AA9" w:rsidRPr="00B06AA9" w:rsidRDefault="00B06AA9" w:rsidP="00B06AA9">
      <w:pPr>
        <w:pStyle w:val="Heading2"/>
      </w:pPr>
      <w:bookmarkStart w:id="384" w:name="_Toc518644118"/>
      <w:bookmarkStart w:id="385" w:name="_Toc518645627"/>
      <w:bookmarkStart w:id="386" w:name="_Toc518645701"/>
      <w:bookmarkStart w:id="387" w:name="_Toc518645775"/>
      <w:bookmarkStart w:id="388" w:name="_Toc518645899"/>
      <w:bookmarkStart w:id="389" w:name="_Toc518646128"/>
      <w:bookmarkStart w:id="390" w:name="_Toc518646202"/>
      <w:bookmarkStart w:id="391" w:name="_Toc518644119"/>
      <w:bookmarkStart w:id="392" w:name="_Toc518645628"/>
      <w:bookmarkStart w:id="393" w:name="_Toc518645702"/>
      <w:bookmarkStart w:id="394" w:name="_Toc518645776"/>
      <w:bookmarkStart w:id="395" w:name="_Toc518645900"/>
      <w:bookmarkStart w:id="396" w:name="_Toc518646129"/>
      <w:bookmarkStart w:id="397" w:name="_Toc518646203"/>
      <w:bookmarkStart w:id="398" w:name="_Toc517707410"/>
      <w:bookmarkStart w:id="399" w:name="_Toc517787164"/>
      <w:bookmarkStart w:id="400" w:name="_Toc517793863"/>
      <w:bookmarkStart w:id="401" w:name="_Toc518646204"/>
      <w:bookmarkStart w:id="402" w:name="_Toc518653099"/>
      <w:bookmarkStart w:id="403" w:name="_Toc527638655"/>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r w:rsidRPr="00B06AA9">
        <w:lastRenderedPageBreak/>
        <w:t xml:space="preserve">Operation and </w:t>
      </w:r>
      <w:bookmarkEnd w:id="398"/>
      <w:r w:rsidR="00F86F7E">
        <w:t>m</w:t>
      </w:r>
      <w:r w:rsidR="00F86F7E" w:rsidRPr="00B06AA9">
        <w:t>aintenance</w:t>
      </w:r>
      <w:bookmarkEnd w:id="399"/>
      <w:bookmarkEnd w:id="400"/>
      <w:bookmarkEnd w:id="401"/>
      <w:bookmarkEnd w:id="402"/>
      <w:bookmarkEnd w:id="403"/>
    </w:p>
    <w:p w14:paraId="50F31B19" w14:textId="77777777" w:rsidR="003B65AD" w:rsidRPr="00B06AA9" w:rsidRDefault="003B65AD" w:rsidP="003B65AD">
      <w:pPr>
        <w:pStyle w:val="Body"/>
      </w:pPr>
      <w:r w:rsidRPr="00B06AA9">
        <w:t>Operation and maintenance (O&amp;M) cost</w:t>
      </w:r>
      <w:r w:rsidR="00B06AA9" w:rsidRPr="00B06AA9">
        <w:t>s</w:t>
      </w:r>
      <w:r w:rsidRPr="00B06AA9">
        <w:t xml:space="preserve"> typically </w:t>
      </w:r>
      <w:r w:rsidR="00B06AA9" w:rsidRPr="00B06AA9">
        <w:t>include</w:t>
      </w:r>
      <w:r w:rsidRPr="00B06AA9">
        <w:t xml:space="preserve"> the following:</w:t>
      </w:r>
    </w:p>
    <w:p w14:paraId="19636CCC" w14:textId="77777777" w:rsidR="003B65AD" w:rsidRPr="00B06AA9" w:rsidRDefault="003B65AD" w:rsidP="00FE4F59">
      <w:pPr>
        <w:pStyle w:val="Bullet"/>
        <w:numPr>
          <w:ilvl w:val="0"/>
          <w:numId w:val="63"/>
        </w:numPr>
        <w:tabs>
          <w:tab w:val="clear" w:pos="1134"/>
        </w:tabs>
        <w:spacing w:before="0" w:after="100"/>
      </w:pPr>
      <w:r w:rsidRPr="00B06AA9">
        <w:t xml:space="preserve">Power </w:t>
      </w:r>
    </w:p>
    <w:p w14:paraId="16518902" w14:textId="77777777" w:rsidR="003B65AD" w:rsidRPr="00B06AA9" w:rsidRDefault="003B65AD" w:rsidP="00FE4F59">
      <w:pPr>
        <w:pStyle w:val="Bullet"/>
        <w:numPr>
          <w:ilvl w:val="0"/>
          <w:numId w:val="63"/>
        </w:numPr>
        <w:tabs>
          <w:tab w:val="clear" w:pos="1134"/>
        </w:tabs>
        <w:spacing w:before="0" w:after="100"/>
      </w:pPr>
      <w:r w:rsidRPr="00B06AA9">
        <w:t xml:space="preserve">Chemicals/Cleaning agents </w:t>
      </w:r>
    </w:p>
    <w:p w14:paraId="5101BC5C" w14:textId="77777777" w:rsidR="003B65AD" w:rsidRPr="00B06AA9" w:rsidRDefault="003B65AD" w:rsidP="00FE4F59">
      <w:pPr>
        <w:pStyle w:val="Bullet"/>
        <w:numPr>
          <w:ilvl w:val="0"/>
          <w:numId w:val="63"/>
        </w:numPr>
        <w:tabs>
          <w:tab w:val="clear" w:pos="1134"/>
        </w:tabs>
        <w:spacing w:before="0" w:after="100"/>
      </w:pPr>
      <w:r w:rsidRPr="00B06AA9">
        <w:t>Membrane replacement (if required)</w:t>
      </w:r>
    </w:p>
    <w:p w14:paraId="4AA3FCD3" w14:textId="77777777" w:rsidR="003B65AD" w:rsidRPr="00B06AA9" w:rsidRDefault="003B65AD" w:rsidP="00FE4F59">
      <w:pPr>
        <w:pStyle w:val="Bullet"/>
        <w:numPr>
          <w:ilvl w:val="0"/>
          <w:numId w:val="63"/>
        </w:numPr>
        <w:tabs>
          <w:tab w:val="clear" w:pos="1134"/>
        </w:tabs>
        <w:spacing w:before="0" w:after="100"/>
      </w:pPr>
      <w:r w:rsidRPr="00B06AA9">
        <w:t xml:space="preserve">Biosolids disposal </w:t>
      </w:r>
    </w:p>
    <w:p w14:paraId="1026F79B" w14:textId="77777777" w:rsidR="003B65AD" w:rsidRPr="00B06AA9" w:rsidRDefault="003B65AD" w:rsidP="00FE4F59">
      <w:pPr>
        <w:pStyle w:val="Bullet"/>
        <w:numPr>
          <w:ilvl w:val="0"/>
          <w:numId w:val="63"/>
        </w:numPr>
        <w:tabs>
          <w:tab w:val="clear" w:pos="1134"/>
        </w:tabs>
        <w:spacing w:before="0" w:after="100"/>
      </w:pPr>
      <w:r w:rsidRPr="00B06AA9">
        <w:t xml:space="preserve">Maintenance (civil structures, mechanical and electrical)  </w:t>
      </w:r>
    </w:p>
    <w:p w14:paraId="41F5BDB1" w14:textId="77777777" w:rsidR="003B65AD" w:rsidRPr="00B06AA9" w:rsidRDefault="003B65AD" w:rsidP="00FE4F59">
      <w:pPr>
        <w:pStyle w:val="Bullet"/>
        <w:numPr>
          <w:ilvl w:val="0"/>
          <w:numId w:val="63"/>
        </w:numPr>
        <w:tabs>
          <w:tab w:val="clear" w:pos="1134"/>
        </w:tabs>
        <w:spacing w:before="0" w:after="100"/>
      </w:pPr>
      <w:r w:rsidRPr="00B06AA9">
        <w:t xml:space="preserve">Operator input and labour </w:t>
      </w:r>
    </w:p>
    <w:p w14:paraId="0B7AF49D" w14:textId="77777777" w:rsidR="003B65AD" w:rsidRDefault="003B65AD" w:rsidP="00FE4F59">
      <w:pPr>
        <w:pStyle w:val="Bullet"/>
        <w:numPr>
          <w:ilvl w:val="0"/>
          <w:numId w:val="63"/>
        </w:numPr>
        <w:tabs>
          <w:tab w:val="clear" w:pos="1134"/>
        </w:tabs>
        <w:spacing w:before="0" w:after="100"/>
      </w:pPr>
      <w:r w:rsidRPr="00B06AA9">
        <w:t xml:space="preserve">Testing and analysis </w:t>
      </w:r>
    </w:p>
    <w:p w14:paraId="0706DF30" w14:textId="77777777" w:rsidR="00B52A53" w:rsidRDefault="00EA65AE" w:rsidP="00261B3A">
      <w:pPr>
        <w:pStyle w:val="Bullet"/>
        <w:numPr>
          <w:ilvl w:val="0"/>
          <w:numId w:val="0"/>
        </w:numPr>
        <w:spacing w:after="100"/>
        <w:ind w:left="567"/>
      </w:pPr>
      <w:r>
        <w:t xml:space="preserve">Upgraded from a </w:t>
      </w:r>
      <w:r w:rsidR="0070422B">
        <w:t xml:space="preserve">waste stabilisation pond </w:t>
      </w:r>
      <w:r>
        <w:t xml:space="preserve">to a MBR/BNR introduces a number of additional costs. </w:t>
      </w:r>
      <w:r w:rsidR="00B52A53" w:rsidRPr="00B52A53">
        <w:t>Based on examples provided to GHD the cost increase can be in the order of a multiplier of 2.5.</w:t>
      </w:r>
    </w:p>
    <w:p w14:paraId="2DACF819" w14:textId="77777777" w:rsidR="00B52A53" w:rsidRDefault="0070422B" w:rsidP="00261B3A">
      <w:pPr>
        <w:pStyle w:val="Bullet"/>
        <w:numPr>
          <w:ilvl w:val="0"/>
          <w:numId w:val="0"/>
        </w:numPr>
        <w:spacing w:after="100"/>
        <w:ind w:left="567"/>
      </w:pPr>
      <w:r>
        <w:t xml:space="preserve">Rates used in the study are derived from plants operating in New Zealand. </w:t>
      </w:r>
      <w:r w:rsidR="00B52A53">
        <w:t>Study assumptions include:</w:t>
      </w:r>
    </w:p>
    <w:p w14:paraId="5FB6B1BE" w14:textId="77777777" w:rsidR="00B52A53" w:rsidRDefault="00163DB3" w:rsidP="00AE663D">
      <w:pPr>
        <w:pStyle w:val="Bullet"/>
        <w:numPr>
          <w:ilvl w:val="0"/>
          <w:numId w:val="63"/>
        </w:numPr>
        <w:tabs>
          <w:tab w:val="clear" w:pos="1134"/>
        </w:tabs>
        <w:spacing w:before="0" w:after="100"/>
      </w:pPr>
      <w:r>
        <w:t>The</w:t>
      </w:r>
      <w:r w:rsidR="00380087">
        <w:t xml:space="preserve"> increased</w:t>
      </w:r>
      <w:r>
        <w:t xml:space="preserve"> cost of operating the upgraded plants is assumed to be $0.82 per m</w:t>
      </w:r>
      <w:r>
        <w:rPr>
          <w:vertAlign w:val="superscript"/>
        </w:rPr>
        <w:t>3</w:t>
      </w:r>
      <w:r>
        <w:t xml:space="preserve">. </w:t>
      </w:r>
    </w:p>
    <w:p w14:paraId="7ECDBDFB" w14:textId="77777777" w:rsidR="00B52A53" w:rsidRDefault="00163DB3">
      <w:pPr>
        <w:pStyle w:val="Bullet"/>
        <w:numPr>
          <w:ilvl w:val="0"/>
          <w:numId w:val="63"/>
        </w:numPr>
        <w:tabs>
          <w:tab w:val="clear" w:pos="1134"/>
        </w:tabs>
        <w:spacing w:before="0" w:after="100"/>
      </w:pPr>
      <w:r>
        <w:t>This is based on</w:t>
      </w:r>
      <w:r w:rsidR="00380087">
        <w:t xml:space="preserve"> increased</w:t>
      </w:r>
      <w:r>
        <w:t xml:space="preserve"> plant operational costs of $0.71 per m</w:t>
      </w:r>
      <w:r>
        <w:rPr>
          <w:vertAlign w:val="superscript"/>
        </w:rPr>
        <w:t>3</w:t>
      </w:r>
      <w:r>
        <w:t xml:space="preserve"> and solids disposal rates of $93 per tonne. </w:t>
      </w:r>
    </w:p>
    <w:p w14:paraId="35FE3EF8" w14:textId="77777777" w:rsidR="0070422B" w:rsidRDefault="00163DB3" w:rsidP="00D46AF3">
      <w:pPr>
        <w:pStyle w:val="Bullet"/>
        <w:numPr>
          <w:ilvl w:val="0"/>
          <w:numId w:val="63"/>
        </w:numPr>
        <w:tabs>
          <w:tab w:val="clear" w:pos="1134"/>
        </w:tabs>
        <w:spacing w:before="0" w:after="100"/>
      </w:pPr>
      <w:r>
        <w:t>It is assumed that sludge is produced at a rate of 1 m</w:t>
      </w:r>
      <w:r>
        <w:rPr>
          <w:vertAlign w:val="superscript"/>
        </w:rPr>
        <w:t>3</w:t>
      </w:r>
      <w:r>
        <w:t xml:space="preserve"> per 1,233 m</w:t>
      </w:r>
      <w:r>
        <w:rPr>
          <w:vertAlign w:val="superscript"/>
        </w:rPr>
        <w:t>3</w:t>
      </w:r>
      <w:r w:rsidRPr="00AE663D">
        <w:rPr>
          <w:vertAlign w:val="superscript"/>
        </w:rPr>
        <w:t xml:space="preserve"> </w:t>
      </w:r>
      <w:r>
        <w:t>of wastewater and has a density of 1.4 tonnes/m</w:t>
      </w:r>
      <w:r>
        <w:rPr>
          <w:vertAlign w:val="superscript"/>
        </w:rPr>
        <w:t>3</w:t>
      </w:r>
      <w:r>
        <w:t>.</w:t>
      </w:r>
    </w:p>
    <w:p w14:paraId="75C28270" w14:textId="77777777" w:rsidR="00380087" w:rsidRDefault="00380087" w:rsidP="00A352AD">
      <w:pPr>
        <w:pStyle w:val="Body"/>
      </w:pPr>
      <w:r>
        <w:t>These increased operational costs are applied as a mean rate across all plant upgrades, with 25% of this value being applied to the upgrades of existing activated sludge</w:t>
      </w:r>
      <w:r w:rsidR="00A3552F">
        <w:t xml:space="preserve"> processes where </w:t>
      </w:r>
      <w:r w:rsidR="0044652B">
        <w:t>applicable</w:t>
      </w:r>
      <w:r w:rsidR="00A3552F">
        <w:t>. In</w:t>
      </w:r>
      <w:r>
        <w:t xml:space="preserve"> </w:t>
      </w:r>
      <w:r w:rsidR="00A3552F">
        <w:t>recognising</w:t>
      </w:r>
      <w:r>
        <w:t xml:space="preserve"> that the operational costs of existing plant</w:t>
      </w:r>
      <w:r w:rsidR="005066BD">
        <w:t>s</w:t>
      </w:r>
      <w:r>
        <w:t xml:space="preserve"> vary significantly due to factors including</w:t>
      </w:r>
      <w:r w:rsidR="00A3552F">
        <w:t xml:space="preserve"> size, location and specific treatment types, a mean value approach is taken here to avoid implying undue accuracy.</w:t>
      </w:r>
    </w:p>
    <w:p w14:paraId="4212F46E" w14:textId="77777777" w:rsidR="00EA65AE" w:rsidRDefault="00EA65AE" w:rsidP="00EA65AE">
      <w:pPr>
        <w:pStyle w:val="Heading2"/>
      </w:pPr>
      <w:bookmarkStart w:id="404" w:name="_Toc518644121"/>
      <w:bookmarkStart w:id="405" w:name="_Toc518645630"/>
      <w:bookmarkStart w:id="406" w:name="_Toc518645704"/>
      <w:bookmarkStart w:id="407" w:name="_Toc518645778"/>
      <w:bookmarkStart w:id="408" w:name="_Toc518645902"/>
      <w:bookmarkStart w:id="409" w:name="_Toc518646131"/>
      <w:bookmarkStart w:id="410" w:name="_Toc518646205"/>
      <w:bookmarkStart w:id="411" w:name="_Toc518644122"/>
      <w:bookmarkStart w:id="412" w:name="_Toc518645631"/>
      <w:bookmarkStart w:id="413" w:name="_Toc518645705"/>
      <w:bookmarkStart w:id="414" w:name="_Toc518645779"/>
      <w:bookmarkStart w:id="415" w:name="_Toc518645903"/>
      <w:bookmarkStart w:id="416" w:name="_Toc518646132"/>
      <w:bookmarkStart w:id="417" w:name="_Toc518646206"/>
      <w:bookmarkStart w:id="418" w:name="_Toc517787165"/>
      <w:bookmarkStart w:id="419" w:name="_Toc517793864"/>
      <w:bookmarkStart w:id="420" w:name="_Toc518646207"/>
      <w:bookmarkStart w:id="421" w:name="_Toc518653100"/>
      <w:bookmarkStart w:id="422" w:name="_Toc527638656"/>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r>
        <w:t>Limitations</w:t>
      </w:r>
      <w:bookmarkEnd w:id="418"/>
      <w:bookmarkEnd w:id="419"/>
      <w:bookmarkEnd w:id="420"/>
      <w:bookmarkEnd w:id="421"/>
      <w:bookmarkEnd w:id="422"/>
    </w:p>
    <w:p w14:paraId="6C37EF75" w14:textId="77777777" w:rsidR="00EA65AE" w:rsidRDefault="00EA65AE" w:rsidP="00D46AF3">
      <w:pPr>
        <w:pStyle w:val="Body"/>
      </w:pPr>
      <w:r w:rsidRPr="000F41DF">
        <w:t xml:space="preserve">The cost estimates presented in this section have been developed solely for the purpose of </w:t>
      </w:r>
      <w:r>
        <w:t>evaluating potential order of magnitude capital costs for widespread treatment augmentation</w:t>
      </w:r>
      <w:r w:rsidRPr="000F41DF">
        <w:t>.  They are sufficiently accurate to serve this purpose.  They cannot be used for budget</w:t>
      </w:r>
      <w:r w:rsidR="00F86F7E">
        <w:t xml:space="preserve"> </w:t>
      </w:r>
      <w:r w:rsidRPr="000F41DF">
        <w:t xml:space="preserve">setting purposes as </w:t>
      </w:r>
      <w:r>
        <w:t xml:space="preserve">site specific considerations have not been investigated and the </w:t>
      </w:r>
      <w:r w:rsidRPr="000F41DF">
        <w:t xml:space="preserve">works </w:t>
      </w:r>
      <w:r>
        <w:t xml:space="preserve">have </w:t>
      </w:r>
      <w:r w:rsidRPr="000F41DF">
        <w:t xml:space="preserve">not </w:t>
      </w:r>
      <w:r>
        <w:t xml:space="preserve">been </w:t>
      </w:r>
      <w:r w:rsidRPr="000F41DF">
        <w:t>fully scoped.  A functional design is recommended if a budget estimate is required.</w:t>
      </w:r>
    </w:p>
    <w:p w14:paraId="38EA50FE" w14:textId="77777777" w:rsidR="00E629D2" w:rsidRDefault="00E629D2" w:rsidP="00D46AF3">
      <w:pPr>
        <w:pStyle w:val="Body"/>
      </w:pPr>
    </w:p>
    <w:p w14:paraId="1031F2EC" w14:textId="77777777" w:rsidR="00E629D2" w:rsidRDefault="00E629D2">
      <w:pPr>
        <w:spacing w:after="0"/>
      </w:pPr>
      <w:r>
        <w:br w:type="page"/>
      </w:r>
    </w:p>
    <w:p w14:paraId="6741089F" w14:textId="77777777" w:rsidR="007A7882" w:rsidRDefault="007A7882" w:rsidP="007A7882">
      <w:pPr>
        <w:pStyle w:val="Heading1"/>
        <w:rPr>
          <w:lang w:eastAsia="en-AU"/>
        </w:rPr>
      </w:pPr>
      <w:bookmarkStart w:id="423" w:name="_Toc518644124"/>
      <w:bookmarkStart w:id="424" w:name="_Toc518645633"/>
      <w:bookmarkStart w:id="425" w:name="_Toc518645707"/>
      <w:bookmarkStart w:id="426" w:name="_Toc518645781"/>
      <w:bookmarkStart w:id="427" w:name="_Toc518645905"/>
      <w:bookmarkStart w:id="428" w:name="_Toc518646134"/>
      <w:bookmarkStart w:id="429" w:name="_Toc518646208"/>
      <w:bookmarkStart w:id="430" w:name="_Toc516741340"/>
      <w:bookmarkStart w:id="431" w:name="_Toc516840534"/>
      <w:bookmarkStart w:id="432" w:name="_Toc517267844"/>
      <w:bookmarkStart w:id="433" w:name="_Toc517707411"/>
      <w:bookmarkStart w:id="434" w:name="_Toc517787166"/>
      <w:bookmarkStart w:id="435" w:name="_Toc517793865"/>
      <w:bookmarkStart w:id="436" w:name="_Toc518646209"/>
      <w:bookmarkStart w:id="437" w:name="_Toc518653101"/>
      <w:bookmarkStart w:id="438" w:name="_Toc527638657"/>
      <w:bookmarkEnd w:id="423"/>
      <w:bookmarkEnd w:id="424"/>
      <w:bookmarkEnd w:id="425"/>
      <w:bookmarkEnd w:id="426"/>
      <w:bookmarkEnd w:id="427"/>
      <w:bookmarkEnd w:id="428"/>
      <w:bookmarkEnd w:id="429"/>
      <w:r>
        <w:rPr>
          <w:lang w:eastAsia="en-AU"/>
        </w:rPr>
        <w:lastRenderedPageBreak/>
        <w:t>Results</w:t>
      </w:r>
      <w:bookmarkEnd w:id="430"/>
      <w:bookmarkEnd w:id="431"/>
      <w:bookmarkEnd w:id="432"/>
      <w:bookmarkEnd w:id="433"/>
      <w:bookmarkEnd w:id="434"/>
      <w:bookmarkEnd w:id="435"/>
      <w:bookmarkEnd w:id="436"/>
      <w:bookmarkEnd w:id="437"/>
      <w:bookmarkEnd w:id="438"/>
    </w:p>
    <w:p w14:paraId="44F4A124" w14:textId="77777777" w:rsidR="007A7882" w:rsidRDefault="007A7882" w:rsidP="007A7882">
      <w:pPr>
        <w:pStyle w:val="Heading2"/>
        <w:rPr>
          <w:lang w:eastAsia="en-AU"/>
        </w:rPr>
      </w:pPr>
      <w:bookmarkStart w:id="439" w:name="_Toc518644126"/>
      <w:bookmarkStart w:id="440" w:name="_Toc518645635"/>
      <w:bookmarkStart w:id="441" w:name="_Toc518645709"/>
      <w:bookmarkStart w:id="442" w:name="_Toc518645783"/>
      <w:bookmarkStart w:id="443" w:name="_Toc518645907"/>
      <w:bookmarkStart w:id="444" w:name="_Toc518646136"/>
      <w:bookmarkStart w:id="445" w:name="_Toc518646210"/>
      <w:bookmarkStart w:id="446" w:name="_Toc518644127"/>
      <w:bookmarkStart w:id="447" w:name="_Toc518645636"/>
      <w:bookmarkStart w:id="448" w:name="_Toc518645710"/>
      <w:bookmarkStart w:id="449" w:name="_Toc518645784"/>
      <w:bookmarkStart w:id="450" w:name="_Toc518645908"/>
      <w:bookmarkStart w:id="451" w:name="_Toc518646137"/>
      <w:bookmarkStart w:id="452" w:name="_Toc518646211"/>
      <w:bookmarkStart w:id="453" w:name="_Toc518644128"/>
      <w:bookmarkStart w:id="454" w:name="_Toc518645637"/>
      <w:bookmarkStart w:id="455" w:name="_Toc518645711"/>
      <w:bookmarkStart w:id="456" w:name="_Toc518645785"/>
      <w:bookmarkStart w:id="457" w:name="_Toc518645909"/>
      <w:bookmarkStart w:id="458" w:name="_Toc518646138"/>
      <w:bookmarkStart w:id="459" w:name="_Toc518646212"/>
      <w:bookmarkStart w:id="460" w:name="_Toc518644129"/>
      <w:bookmarkStart w:id="461" w:name="_Toc518645638"/>
      <w:bookmarkStart w:id="462" w:name="_Toc518645712"/>
      <w:bookmarkStart w:id="463" w:name="_Toc518645786"/>
      <w:bookmarkStart w:id="464" w:name="_Toc518645910"/>
      <w:bookmarkStart w:id="465" w:name="_Toc518646139"/>
      <w:bookmarkStart w:id="466" w:name="_Toc518646213"/>
      <w:bookmarkStart w:id="467" w:name="_Toc518644130"/>
      <w:bookmarkStart w:id="468" w:name="_Toc518645639"/>
      <w:bookmarkStart w:id="469" w:name="_Toc518645713"/>
      <w:bookmarkStart w:id="470" w:name="_Toc518645787"/>
      <w:bookmarkStart w:id="471" w:name="_Toc518645911"/>
      <w:bookmarkStart w:id="472" w:name="_Toc518646140"/>
      <w:bookmarkStart w:id="473" w:name="_Toc518646214"/>
      <w:bookmarkStart w:id="474" w:name="_Toc518644131"/>
      <w:bookmarkStart w:id="475" w:name="_Toc518645640"/>
      <w:bookmarkStart w:id="476" w:name="_Toc518645714"/>
      <w:bookmarkStart w:id="477" w:name="_Toc518645788"/>
      <w:bookmarkStart w:id="478" w:name="_Toc518645912"/>
      <w:bookmarkStart w:id="479" w:name="_Toc518646141"/>
      <w:bookmarkStart w:id="480" w:name="_Toc518646215"/>
      <w:bookmarkStart w:id="481" w:name="_Toc518644132"/>
      <w:bookmarkStart w:id="482" w:name="_Toc518645641"/>
      <w:bookmarkStart w:id="483" w:name="_Toc518645715"/>
      <w:bookmarkStart w:id="484" w:name="_Toc518645789"/>
      <w:bookmarkStart w:id="485" w:name="_Toc518645913"/>
      <w:bookmarkStart w:id="486" w:name="_Toc518646142"/>
      <w:bookmarkStart w:id="487" w:name="_Toc518646216"/>
      <w:bookmarkStart w:id="488" w:name="_Toc518644133"/>
      <w:bookmarkStart w:id="489" w:name="_Toc518645642"/>
      <w:bookmarkStart w:id="490" w:name="_Toc518645716"/>
      <w:bookmarkStart w:id="491" w:name="_Toc518645790"/>
      <w:bookmarkStart w:id="492" w:name="_Toc518645914"/>
      <w:bookmarkStart w:id="493" w:name="_Toc518646143"/>
      <w:bookmarkStart w:id="494" w:name="_Toc518646217"/>
      <w:bookmarkStart w:id="495" w:name="_Toc518644134"/>
      <w:bookmarkStart w:id="496" w:name="_Toc518645643"/>
      <w:bookmarkStart w:id="497" w:name="_Toc518645717"/>
      <w:bookmarkStart w:id="498" w:name="_Toc518645791"/>
      <w:bookmarkStart w:id="499" w:name="_Toc518645915"/>
      <w:bookmarkStart w:id="500" w:name="_Toc518646144"/>
      <w:bookmarkStart w:id="501" w:name="_Toc518646218"/>
      <w:bookmarkStart w:id="502" w:name="_Toc518644135"/>
      <w:bookmarkStart w:id="503" w:name="_Toc518645644"/>
      <w:bookmarkStart w:id="504" w:name="_Toc518645718"/>
      <w:bookmarkStart w:id="505" w:name="_Toc518645792"/>
      <w:bookmarkStart w:id="506" w:name="_Toc518645916"/>
      <w:bookmarkStart w:id="507" w:name="_Toc518646145"/>
      <w:bookmarkStart w:id="508" w:name="_Toc518646219"/>
      <w:bookmarkStart w:id="509" w:name="_Toc518644144"/>
      <w:bookmarkStart w:id="510" w:name="_Toc518645653"/>
      <w:bookmarkStart w:id="511" w:name="_Toc518645727"/>
      <w:bookmarkStart w:id="512" w:name="_Toc518645801"/>
      <w:bookmarkStart w:id="513" w:name="_Toc518645925"/>
      <w:bookmarkStart w:id="514" w:name="_Toc518646154"/>
      <w:bookmarkStart w:id="515" w:name="_Toc518646228"/>
      <w:bookmarkStart w:id="516" w:name="_Toc518644145"/>
      <w:bookmarkStart w:id="517" w:name="_Toc518645654"/>
      <w:bookmarkStart w:id="518" w:name="_Toc518645728"/>
      <w:bookmarkStart w:id="519" w:name="_Toc518645802"/>
      <w:bookmarkStart w:id="520" w:name="_Toc518645926"/>
      <w:bookmarkStart w:id="521" w:name="_Toc518646155"/>
      <w:bookmarkStart w:id="522" w:name="_Toc518646229"/>
      <w:bookmarkStart w:id="523" w:name="_Toc518644146"/>
      <w:bookmarkStart w:id="524" w:name="_Toc518645655"/>
      <w:bookmarkStart w:id="525" w:name="_Toc518645729"/>
      <w:bookmarkStart w:id="526" w:name="_Toc518645803"/>
      <w:bookmarkStart w:id="527" w:name="_Toc518645927"/>
      <w:bookmarkStart w:id="528" w:name="_Toc518646156"/>
      <w:bookmarkStart w:id="529" w:name="_Toc518646230"/>
      <w:bookmarkStart w:id="530" w:name="_Toc518644147"/>
      <w:bookmarkStart w:id="531" w:name="_Toc518645656"/>
      <w:bookmarkStart w:id="532" w:name="_Toc518645730"/>
      <w:bookmarkStart w:id="533" w:name="_Toc518645804"/>
      <w:bookmarkStart w:id="534" w:name="_Toc518645928"/>
      <w:bookmarkStart w:id="535" w:name="_Toc518646157"/>
      <w:bookmarkStart w:id="536" w:name="_Toc518646231"/>
      <w:bookmarkStart w:id="537" w:name="_Toc518644148"/>
      <w:bookmarkStart w:id="538" w:name="_Toc518645657"/>
      <w:bookmarkStart w:id="539" w:name="_Toc518645731"/>
      <w:bookmarkStart w:id="540" w:name="_Toc518645805"/>
      <w:bookmarkStart w:id="541" w:name="_Toc518645929"/>
      <w:bookmarkStart w:id="542" w:name="_Toc518646158"/>
      <w:bookmarkStart w:id="543" w:name="_Toc518646232"/>
      <w:bookmarkStart w:id="544" w:name="_Toc518644149"/>
      <w:bookmarkStart w:id="545" w:name="_Toc518645658"/>
      <w:bookmarkStart w:id="546" w:name="_Toc518645732"/>
      <w:bookmarkStart w:id="547" w:name="_Toc518645806"/>
      <w:bookmarkStart w:id="548" w:name="_Toc518645930"/>
      <w:bookmarkStart w:id="549" w:name="_Toc518646159"/>
      <w:bookmarkStart w:id="550" w:name="_Toc518646233"/>
      <w:bookmarkStart w:id="551" w:name="_Toc516741342"/>
      <w:bookmarkStart w:id="552" w:name="_Toc516840536"/>
      <w:bookmarkStart w:id="553" w:name="_Toc517267846"/>
      <w:bookmarkStart w:id="554" w:name="_Toc517707413"/>
      <w:bookmarkStart w:id="555" w:name="_Toc517787168"/>
      <w:bookmarkStart w:id="556" w:name="_Toc517793867"/>
      <w:bookmarkStart w:id="557" w:name="_Toc518646234"/>
      <w:bookmarkStart w:id="558" w:name="_Toc518653102"/>
      <w:bookmarkStart w:id="559" w:name="_Toc52763865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r>
        <w:rPr>
          <w:lang w:eastAsia="en-AU"/>
        </w:rPr>
        <w:t xml:space="preserve">Compliance with </w:t>
      </w:r>
      <w:r w:rsidR="00671E5C">
        <w:rPr>
          <w:lang w:eastAsia="en-AU"/>
        </w:rPr>
        <w:t>N</w:t>
      </w:r>
      <w:r>
        <w:rPr>
          <w:lang w:eastAsia="en-AU"/>
        </w:rPr>
        <w:t xml:space="preserve">PS Freshwater </w:t>
      </w:r>
      <w:bookmarkEnd w:id="551"/>
      <w:bookmarkEnd w:id="552"/>
      <w:bookmarkEnd w:id="553"/>
      <w:bookmarkEnd w:id="554"/>
      <w:r w:rsidR="008709C2">
        <w:rPr>
          <w:lang w:eastAsia="en-AU"/>
        </w:rPr>
        <w:t>standards</w:t>
      </w:r>
      <w:bookmarkEnd w:id="555"/>
      <w:bookmarkEnd w:id="556"/>
      <w:bookmarkEnd w:id="557"/>
      <w:bookmarkEnd w:id="558"/>
      <w:bookmarkEnd w:id="559"/>
    </w:p>
    <w:p w14:paraId="77D6B2B3" w14:textId="77777777" w:rsidR="00207882" w:rsidRDefault="002E6C6A" w:rsidP="00B4618E">
      <w:pPr>
        <w:pStyle w:val="Body"/>
        <w:rPr>
          <w:lang w:eastAsia="en-AU"/>
        </w:rPr>
      </w:pPr>
      <w:r>
        <w:rPr>
          <w:lang w:eastAsia="en-AU"/>
        </w:rPr>
        <w:t xml:space="preserve">The primary objective of this study is to determine the costs of upgrading WWTPs to improve water quality in freshwater environments. The NPS </w:t>
      </w:r>
      <w:r w:rsidR="007C204D">
        <w:rPr>
          <w:lang w:eastAsia="en-AU"/>
        </w:rPr>
        <w:t>F</w:t>
      </w:r>
      <w:r>
        <w:rPr>
          <w:lang w:eastAsia="en-AU"/>
        </w:rPr>
        <w:t xml:space="preserve">reshwater </w:t>
      </w:r>
      <w:r w:rsidR="007C204D">
        <w:rPr>
          <w:lang w:eastAsia="en-AU"/>
        </w:rPr>
        <w:t xml:space="preserve">Attribute </w:t>
      </w:r>
      <w:r>
        <w:rPr>
          <w:lang w:eastAsia="en-AU"/>
        </w:rPr>
        <w:t xml:space="preserve">B has been set as a target and the basis of the assessment through considering the objectives of the NPS and the technology available for upgrading WWTPs. </w:t>
      </w:r>
    </w:p>
    <w:p w14:paraId="029267F4" w14:textId="77777777" w:rsidR="007C204D" w:rsidRDefault="009F6ADB" w:rsidP="00B4618E">
      <w:pPr>
        <w:pStyle w:val="Body"/>
        <w:rPr>
          <w:lang w:eastAsia="en-AU"/>
        </w:rPr>
      </w:pPr>
      <w:r>
        <w:rPr>
          <w:lang w:eastAsia="en-AU"/>
        </w:rPr>
        <w:t>R</w:t>
      </w:r>
      <w:r w:rsidR="00207882">
        <w:rPr>
          <w:lang w:eastAsia="en-AU"/>
        </w:rPr>
        <w:t>esults in this section are presented via a primary assessment consider</w:t>
      </w:r>
      <w:r>
        <w:rPr>
          <w:lang w:eastAsia="en-AU"/>
        </w:rPr>
        <w:t>ing</w:t>
      </w:r>
      <w:r w:rsidR="00207882">
        <w:rPr>
          <w:lang w:eastAsia="en-AU"/>
        </w:rPr>
        <w:t xml:space="preserve"> the costs associated with achieving the NPS </w:t>
      </w:r>
      <w:r w:rsidR="007C204D">
        <w:rPr>
          <w:lang w:eastAsia="en-AU"/>
        </w:rPr>
        <w:t>F</w:t>
      </w:r>
      <w:r w:rsidR="00207882">
        <w:rPr>
          <w:lang w:eastAsia="en-AU"/>
        </w:rPr>
        <w:t xml:space="preserve">reshwater B </w:t>
      </w:r>
      <w:r w:rsidR="007C204D">
        <w:rPr>
          <w:lang w:eastAsia="en-AU"/>
        </w:rPr>
        <w:t>attributes</w:t>
      </w:r>
      <w:r w:rsidR="00207882">
        <w:rPr>
          <w:lang w:eastAsia="en-AU"/>
        </w:rPr>
        <w:t xml:space="preserve"> </w:t>
      </w:r>
      <w:r w:rsidR="007C204D">
        <w:rPr>
          <w:lang w:eastAsia="en-AU"/>
        </w:rPr>
        <w:t>in</w:t>
      </w:r>
      <w:r w:rsidR="00207882">
        <w:rPr>
          <w:lang w:eastAsia="en-AU"/>
        </w:rPr>
        <w:t xml:space="preserve"> the discharge of each WWTP. </w:t>
      </w:r>
    </w:p>
    <w:p w14:paraId="45AAB6E9" w14:textId="77777777" w:rsidR="00B4618E" w:rsidRPr="00B4618E" w:rsidRDefault="00207882" w:rsidP="00B4618E">
      <w:pPr>
        <w:pStyle w:val="Body"/>
        <w:rPr>
          <w:lang w:eastAsia="en-AU"/>
        </w:rPr>
      </w:pPr>
      <w:r>
        <w:rPr>
          <w:lang w:eastAsia="en-AU"/>
        </w:rPr>
        <w:t>Two supplementary assessments are included to provide further insight</w:t>
      </w:r>
      <w:r w:rsidR="00D90FD2">
        <w:rPr>
          <w:lang w:eastAsia="en-AU"/>
        </w:rPr>
        <w:t xml:space="preserve">.  </w:t>
      </w:r>
      <w:r w:rsidR="0044652B">
        <w:rPr>
          <w:lang w:eastAsia="en-AU"/>
        </w:rPr>
        <w:t>The first</w:t>
      </w:r>
      <w:r>
        <w:rPr>
          <w:lang w:eastAsia="en-AU"/>
        </w:rPr>
        <w:t xml:space="preserve"> </w:t>
      </w:r>
      <w:r w:rsidR="00D90FD2">
        <w:rPr>
          <w:lang w:eastAsia="en-AU"/>
        </w:rPr>
        <w:t xml:space="preserve">is the sensitivity analysis described in section 4, which </w:t>
      </w:r>
      <w:r>
        <w:rPr>
          <w:lang w:eastAsia="en-AU"/>
        </w:rPr>
        <w:t>breaks down upgrade costs by the contribution that each WWTP has on the immediate receiving environment</w:t>
      </w:r>
      <w:r w:rsidR="00D90FD2">
        <w:rPr>
          <w:lang w:eastAsia="en-AU"/>
        </w:rPr>
        <w:t>.  T</w:t>
      </w:r>
      <w:r>
        <w:rPr>
          <w:lang w:eastAsia="en-AU"/>
        </w:rPr>
        <w:t>he second considers upgrade costs</w:t>
      </w:r>
      <w:r w:rsidR="00D90FD2">
        <w:rPr>
          <w:lang w:eastAsia="en-AU"/>
        </w:rPr>
        <w:t xml:space="preserve"> only</w:t>
      </w:r>
      <w:r>
        <w:rPr>
          <w:lang w:eastAsia="en-AU"/>
        </w:rPr>
        <w:t xml:space="preserve"> for </w:t>
      </w:r>
      <w:r w:rsidR="00D90FD2">
        <w:rPr>
          <w:lang w:eastAsia="en-AU"/>
        </w:rPr>
        <w:t xml:space="preserve">those </w:t>
      </w:r>
      <w:r>
        <w:rPr>
          <w:lang w:eastAsia="en-AU"/>
        </w:rPr>
        <w:t>WWTP</w:t>
      </w:r>
      <w:r w:rsidR="00D90FD2">
        <w:rPr>
          <w:lang w:eastAsia="en-AU"/>
        </w:rPr>
        <w:t>s which discharge to</w:t>
      </w:r>
      <w:r>
        <w:rPr>
          <w:lang w:eastAsia="en-AU"/>
        </w:rPr>
        <w:t xml:space="preserve"> catchments </w:t>
      </w:r>
      <w:r w:rsidR="00D90FD2">
        <w:rPr>
          <w:lang w:eastAsia="en-AU"/>
        </w:rPr>
        <w:t xml:space="preserve">where the </w:t>
      </w:r>
      <w:r>
        <w:rPr>
          <w:lang w:eastAsia="en-AU"/>
        </w:rPr>
        <w:t>water quality</w:t>
      </w:r>
      <w:r w:rsidR="00D90FD2">
        <w:rPr>
          <w:lang w:eastAsia="en-AU"/>
        </w:rPr>
        <w:t xml:space="preserve"> is</w:t>
      </w:r>
      <w:r>
        <w:rPr>
          <w:lang w:eastAsia="en-AU"/>
        </w:rPr>
        <w:t xml:space="preserve"> below the B standard.</w:t>
      </w:r>
    </w:p>
    <w:p w14:paraId="4137D61F" w14:textId="77777777" w:rsidR="00671E5C" w:rsidRDefault="00B4618E" w:rsidP="00671E5C">
      <w:pPr>
        <w:pStyle w:val="Heading3"/>
        <w:rPr>
          <w:lang w:eastAsia="en-AU"/>
        </w:rPr>
      </w:pPr>
      <w:bookmarkStart w:id="560" w:name="_Ref518641001"/>
      <w:r>
        <w:rPr>
          <w:lang w:eastAsia="en-AU"/>
        </w:rPr>
        <w:t xml:space="preserve">Primary assessment - </w:t>
      </w:r>
      <w:r w:rsidR="008709C2">
        <w:rPr>
          <w:lang w:eastAsia="en-AU"/>
        </w:rPr>
        <w:t>WWTP</w:t>
      </w:r>
      <w:r>
        <w:rPr>
          <w:lang w:eastAsia="en-AU"/>
        </w:rPr>
        <w:t xml:space="preserve"> discharge to meet</w:t>
      </w:r>
      <w:r w:rsidRPr="00B4618E">
        <w:rPr>
          <w:lang w:eastAsia="en-AU"/>
        </w:rPr>
        <w:t xml:space="preserve"> </w:t>
      </w:r>
      <w:r>
        <w:rPr>
          <w:lang w:eastAsia="en-AU"/>
        </w:rPr>
        <w:t>Attribute B</w:t>
      </w:r>
      <w:bookmarkEnd w:id="560"/>
    </w:p>
    <w:p w14:paraId="161E4D10" w14:textId="77777777" w:rsidR="0045399B" w:rsidRDefault="0045399B" w:rsidP="0045399B">
      <w:pPr>
        <w:pStyle w:val="Body"/>
        <w:rPr>
          <w:lang w:eastAsia="en-AU"/>
        </w:rPr>
      </w:pPr>
      <w:r>
        <w:rPr>
          <w:lang w:eastAsia="en-AU"/>
        </w:rPr>
        <w:fldChar w:fldCharType="begin"/>
      </w:r>
      <w:r>
        <w:rPr>
          <w:lang w:eastAsia="en-AU"/>
        </w:rPr>
        <w:instrText xml:space="preserve"> REF _Ref518635913 \h </w:instrText>
      </w:r>
      <w:r>
        <w:rPr>
          <w:lang w:eastAsia="en-AU"/>
        </w:rPr>
      </w:r>
      <w:r>
        <w:rPr>
          <w:lang w:eastAsia="en-AU"/>
        </w:rPr>
        <w:fldChar w:fldCharType="separate"/>
      </w:r>
      <w:r w:rsidR="002777A8">
        <w:t xml:space="preserve">Table </w:t>
      </w:r>
      <w:r w:rsidR="002777A8">
        <w:rPr>
          <w:noProof/>
        </w:rPr>
        <w:t>15</w:t>
      </w:r>
      <w:r>
        <w:rPr>
          <w:lang w:eastAsia="en-AU"/>
        </w:rPr>
        <w:fldChar w:fldCharType="end"/>
      </w:r>
      <w:r>
        <w:rPr>
          <w:lang w:eastAsia="en-AU"/>
        </w:rPr>
        <w:t xml:space="preserve"> provides a summary of the estimated upgrade costs for New Zealand WWTP discharges to meet the Attribute B target of the NPS Freshwater at the plant</w:t>
      </w:r>
      <w:r w:rsidR="00E629D2">
        <w:rPr>
          <w:lang w:eastAsia="en-AU"/>
        </w:rPr>
        <w:t xml:space="preserve"> by considering ‘best practice’ upgrades</w:t>
      </w:r>
      <w:r w:rsidDel="00935653">
        <w:rPr>
          <w:lang w:eastAsia="en-AU"/>
        </w:rPr>
        <w:t>.</w:t>
      </w:r>
      <w:r>
        <w:rPr>
          <w:lang w:eastAsia="en-AU"/>
        </w:rPr>
        <w:t xml:space="preserve"> </w:t>
      </w:r>
    </w:p>
    <w:p w14:paraId="237F2493" w14:textId="77777777" w:rsidR="00392773" w:rsidRDefault="00392773" w:rsidP="00A352AD">
      <w:pPr>
        <w:pStyle w:val="Body"/>
        <w:rPr>
          <w:lang w:eastAsia="en-AU"/>
        </w:rPr>
      </w:pPr>
      <w:r>
        <w:rPr>
          <w:lang w:eastAsia="en-AU"/>
        </w:rPr>
        <w:t>The costs are categorised by WWTP sized (based on contributing population) and estimates of probable capital and operating costs are given</w:t>
      </w:r>
      <w:r w:rsidR="006606E3">
        <w:rPr>
          <w:lang w:eastAsia="en-AU"/>
        </w:rPr>
        <w:t>. These are cost increases over and above current asset capital value and current operational expenses</w:t>
      </w:r>
      <w:r>
        <w:rPr>
          <w:lang w:eastAsia="en-AU"/>
        </w:rPr>
        <w:t>.</w:t>
      </w:r>
      <w:r w:rsidR="008F6995">
        <w:rPr>
          <w:lang w:eastAsia="en-AU"/>
        </w:rPr>
        <w:t xml:space="preserve"> It is important to note that these are the costs to improve the </w:t>
      </w:r>
      <w:r w:rsidR="0004039D">
        <w:rPr>
          <w:lang w:eastAsia="en-AU"/>
        </w:rPr>
        <w:t xml:space="preserve">quality of discharge from WWTPs and do not consider </w:t>
      </w:r>
      <w:r w:rsidR="001D4F16">
        <w:rPr>
          <w:lang w:eastAsia="en-AU"/>
        </w:rPr>
        <w:t>other factors such as the contribution the WWTP makes to overall receiving water quality.</w:t>
      </w:r>
    </w:p>
    <w:p w14:paraId="5FAAD2FF" w14:textId="77777777" w:rsidR="007D5382" w:rsidRDefault="00392773" w:rsidP="008C546C">
      <w:pPr>
        <w:pStyle w:val="Body"/>
        <w:rPr>
          <w:lang w:eastAsia="en-AU"/>
        </w:rPr>
      </w:pPr>
      <w:r>
        <w:rPr>
          <w:lang w:eastAsia="en-AU"/>
        </w:rPr>
        <w:t>To meet th</w:t>
      </w:r>
      <w:r w:rsidR="00086601">
        <w:rPr>
          <w:lang w:eastAsia="en-AU"/>
        </w:rPr>
        <w:t>e B attribute</w:t>
      </w:r>
      <w:r>
        <w:rPr>
          <w:lang w:eastAsia="en-AU"/>
        </w:rPr>
        <w:t xml:space="preserve"> target it is estimated that 145 WWTPs will require upgrades.</w:t>
      </w:r>
      <w:r w:rsidR="007D5382">
        <w:rPr>
          <w:lang w:eastAsia="en-AU"/>
        </w:rPr>
        <w:t xml:space="preserve"> The total capital investment to achieve this target is estimated to be between $1.4 and $2.1 Billion, with an annualised cost of $150 to $220 Million.</w:t>
      </w:r>
    </w:p>
    <w:p w14:paraId="376D784C" w14:textId="77777777" w:rsidR="00BE766D" w:rsidRDefault="00392773" w:rsidP="00F71F8D">
      <w:pPr>
        <w:pStyle w:val="Body"/>
        <w:rPr>
          <w:lang w:eastAsia="en-AU"/>
        </w:rPr>
      </w:pPr>
      <w:r>
        <w:rPr>
          <w:lang w:eastAsia="en-AU"/>
        </w:rPr>
        <w:t xml:space="preserve"> </w:t>
      </w:r>
      <w:r w:rsidR="00D90FD2" w:rsidRPr="00EA1311">
        <w:t>Of the WWTPs</w:t>
      </w:r>
      <w:r w:rsidR="00D90FD2">
        <w:t xml:space="preserve"> discharging to fresh water that require upgrading</w:t>
      </w:r>
      <w:r w:rsidR="00D90FD2" w:rsidRPr="00EA1311">
        <w:t>, 84% are servicing minor</w:t>
      </w:r>
      <w:r w:rsidR="00D90FD2">
        <w:t xml:space="preserve"> (&lt;5001 people)</w:t>
      </w:r>
      <w:r w:rsidR="00D90FD2" w:rsidRPr="00EA1311">
        <w:t xml:space="preserve"> or small populations (&lt;501 people). The annual cost impact of the WWTP upgrades is greatest for the small communities (&lt;501 people) at approximately $3,576 for each affected household</w:t>
      </w:r>
      <w:r w:rsidR="00D90FD2">
        <w:t>.  T</w:t>
      </w:r>
      <w:r w:rsidR="00D90FD2" w:rsidRPr="00EA1311">
        <w:t>he average annual cost impact is $1,138 per affected household. The higher cost for the small communities represents the</w:t>
      </w:r>
      <w:r w:rsidR="00D90FD2">
        <w:t xml:space="preserve"> impact that sharing the cost of upgrades has on a smaller number of affected households.</w:t>
      </w:r>
      <w:r w:rsidR="00D90FD2" w:rsidRPr="00EA1311">
        <w:t xml:space="preserve"> </w:t>
      </w:r>
      <w:r w:rsidR="00D90FD2">
        <w:t xml:space="preserve"> </w:t>
      </w:r>
      <w:r w:rsidR="00D90FD2">
        <w:rPr>
          <w:lang w:eastAsia="en-AU"/>
        </w:rPr>
        <w:t>The annual cost impact is based on an interest rate of 6% per annum and repayment term of 25 years, plus the increase in annual operation expense associated with the upgrades</w:t>
      </w:r>
      <w:r w:rsidR="00D90FD2">
        <w:rPr>
          <w:rStyle w:val="FootnoteReference"/>
          <w:lang w:eastAsia="en-AU"/>
        </w:rPr>
        <w:footnoteReference w:id="7"/>
      </w:r>
      <w:r w:rsidR="00D90FD2">
        <w:rPr>
          <w:lang w:eastAsia="en-AU"/>
        </w:rPr>
        <w:t>. The annual cost impact per household affected assumes that the costs associated with a WWTP upgrade will be meet by the households contributing to that plant.</w:t>
      </w:r>
    </w:p>
    <w:p w14:paraId="6AFB4925" w14:textId="77777777" w:rsidR="008F6995" w:rsidRDefault="0045399B" w:rsidP="00F71F8D">
      <w:pPr>
        <w:pStyle w:val="Body"/>
        <w:rPr>
          <w:lang w:eastAsia="en-AU"/>
        </w:rPr>
      </w:pPr>
      <w:r>
        <w:rPr>
          <w:lang w:eastAsia="en-AU"/>
        </w:rPr>
        <w:fldChar w:fldCharType="begin"/>
      </w:r>
      <w:r>
        <w:rPr>
          <w:lang w:eastAsia="en-AU"/>
        </w:rPr>
        <w:instrText xml:space="preserve"> REF _Ref518635955 \h </w:instrText>
      </w:r>
      <w:r>
        <w:rPr>
          <w:lang w:eastAsia="en-AU"/>
        </w:rPr>
      </w:r>
      <w:r>
        <w:rPr>
          <w:lang w:eastAsia="en-AU"/>
        </w:rPr>
        <w:fldChar w:fldCharType="separate"/>
      </w:r>
      <w:r w:rsidR="002777A8">
        <w:t xml:space="preserve">Table </w:t>
      </w:r>
      <w:r w:rsidR="002777A8">
        <w:rPr>
          <w:noProof/>
        </w:rPr>
        <w:t>16</w:t>
      </w:r>
      <w:r>
        <w:rPr>
          <w:lang w:eastAsia="en-AU"/>
        </w:rPr>
        <w:fldChar w:fldCharType="end"/>
      </w:r>
      <w:r w:rsidR="0004039D">
        <w:rPr>
          <w:lang w:eastAsia="en-AU"/>
        </w:rPr>
        <w:t xml:space="preserve"> presents the cost breakdown on a regional basis</w:t>
      </w:r>
      <w:r w:rsidR="007D5382">
        <w:rPr>
          <w:lang w:eastAsia="en-AU"/>
        </w:rPr>
        <w:t xml:space="preserve">. High household costs are estimated for the Taranaki and West Coast regions. These cases are highlighted by the small average size of the WWTPs and the high per capita discharge rates, indicating further analysis or investment in the networks could prove beneficial </w:t>
      </w:r>
      <w:r w:rsidR="00780390">
        <w:rPr>
          <w:lang w:eastAsia="en-AU"/>
        </w:rPr>
        <w:t>in conjunction with WWTP upgrades.</w:t>
      </w:r>
    </w:p>
    <w:p w14:paraId="453200C2" w14:textId="77777777" w:rsidR="00B9334B" w:rsidRDefault="00B9334B" w:rsidP="00F71F8D">
      <w:pPr>
        <w:pStyle w:val="Body"/>
        <w:ind w:left="0"/>
        <w:rPr>
          <w:lang w:eastAsia="en-AU"/>
        </w:rPr>
      </w:pPr>
    </w:p>
    <w:p w14:paraId="2A53F71B" w14:textId="77777777" w:rsidR="00F26929" w:rsidRDefault="00F26929" w:rsidP="00F26929">
      <w:pPr>
        <w:pStyle w:val="Body"/>
        <w:rPr>
          <w:lang w:eastAsia="en-AU"/>
        </w:rPr>
      </w:pPr>
    </w:p>
    <w:p w14:paraId="723B9E79" w14:textId="77777777" w:rsidR="009F5541" w:rsidRDefault="009F5541" w:rsidP="008C546C">
      <w:pPr>
        <w:pStyle w:val="Body"/>
        <w:rPr>
          <w:lang w:eastAsia="en-AU"/>
        </w:rPr>
        <w:sectPr w:rsidR="009F5541" w:rsidSect="00E65B15">
          <w:pgSz w:w="11907" w:h="16839" w:code="9"/>
          <w:pgMar w:top="1134" w:right="1134" w:bottom="1134" w:left="1701" w:header="181" w:footer="227" w:gutter="0"/>
          <w:cols w:space="340"/>
          <w:docGrid w:linePitch="360"/>
        </w:sectPr>
      </w:pPr>
      <w:bookmarkStart w:id="561" w:name="_Ref517698787"/>
    </w:p>
    <w:p w14:paraId="743B75B9" w14:textId="77777777" w:rsidR="0045399B" w:rsidRDefault="0045399B" w:rsidP="0045399B">
      <w:pPr>
        <w:pStyle w:val="Caption"/>
      </w:pPr>
      <w:bookmarkStart w:id="562" w:name="_Ref518635913"/>
      <w:bookmarkStart w:id="563" w:name="_Toc518653131"/>
      <w:bookmarkStart w:id="564" w:name="_Toc521064798"/>
      <w:r>
        <w:lastRenderedPageBreak/>
        <w:t xml:space="preserve">Table </w:t>
      </w:r>
      <w:r w:rsidR="007B3D80">
        <w:rPr>
          <w:noProof/>
        </w:rPr>
        <w:fldChar w:fldCharType="begin"/>
      </w:r>
      <w:r w:rsidR="007B3D80">
        <w:rPr>
          <w:noProof/>
        </w:rPr>
        <w:instrText xml:space="preserve"> SEQ Table \* ARABIC </w:instrText>
      </w:r>
      <w:r w:rsidR="007B3D80">
        <w:rPr>
          <w:noProof/>
        </w:rPr>
        <w:fldChar w:fldCharType="separate"/>
      </w:r>
      <w:r w:rsidR="002777A8">
        <w:rPr>
          <w:noProof/>
        </w:rPr>
        <w:t>15</w:t>
      </w:r>
      <w:r w:rsidR="007B3D80">
        <w:rPr>
          <w:noProof/>
        </w:rPr>
        <w:fldChar w:fldCharType="end"/>
      </w:r>
      <w:bookmarkEnd w:id="562"/>
      <w:r w:rsidRPr="007C6DD5">
        <w:t xml:space="preserve">  </w:t>
      </w:r>
      <w:r w:rsidRPr="00375F61">
        <w:t xml:space="preserve">Summary of WWTP upgrade costs to meet B Attribute target of NPS Freshwater at the WWTP by </w:t>
      </w:r>
      <w:r>
        <w:t>WWTP Size</w:t>
      </w:r>
      <w:bookmarkEnd w:id="563"/>
      <w:bookmarkEnd w:id="564"/>
    </w:p>
    <w:tbl>
      <w:tblPr>
        <w:tblW w:w="12474" w:type="dxa"/>
        <w:jc w:val="center"/>
        <w:tblLook w:val="04A0" w:firstRow="1" w:lastRow="0" w:firstColumn="1" w:lastColumn="0" w:noHBand="0" w:noVBand="1"/>
      </w:tblPr>
      <w:tblGrid>
        <w:gridCol w:w="2268"/>
        <w:gridCol w:w="1247"/>
        <w:gridCol w:w="1247"/>
        <w:gridCol w:w="1928"/>
        <w:gridCol w:w="1928"/>
        <w:gridCol w:w="1928"/>
        <w:gridCol w:w="1928"/>
      </w:tblGrid>
      <w:tr w:rsidR="00B9334B" w:rsidRPr="00D201C9" w14:paraId="6C7E9905" w14:textId="77777777" w:rsidTr="00E06D5B">
        <w:trPr>
          <w:trHeight w:val="1017"/>
          <w:jc w:val="center"/>
        </w:trPr>
        <w:tc>
          <w:tcPr>
            <w:tcW w:w="2268" w:type="dxa"/>
            <w:tcBorders>
              <w:top w:val="nil"/>
              <w:left w:val="nil"/>
              <w:bottom w:val="nil"/>
              <w:right w:val="single" w:sz="8" w:space="0" w:color="FFFFFF"/>
            </w:tcBorders>
            <w:shd w:val="clear" w:color="000000" w:fill="00599C"/>
            <w:noWrap/>
            <w:vAlign w:val="center"/>
            <w:hideMark/>
          </w:tcPr>
          <w:p w14:paraId="28203E75" w14:textId="77777777" w:rsidR="00B9334B" w:rsidRPr="002F357B" w:rsidRDefault="00B9334B" w:rsidP="007A37B6">
            <w:pPr>
              <w:spacing w:after="0"/>
              <w:rPr>
                <w:rFonts w:cs="Arial"/>
                <w:color w:val="FFFFFF"/>
                <w:szCs w:val="20"/>
                <w:lang w:val="en-NZ" w:eastAsia="en-NZ"/>
              </w:rPr>
            </w:pPr>
            <w:r w:rsidRPr="002F357B">
              <w:rPr>
                <w:rFonts w:cs="Arial"/>
                <w:color w:val="FFFFFF"/>
                <w:szCs w:val="20"/>
                <w:lang w:val="en-NZ" w:eastAsia="en-NZ"/>
              </w:rPr>
              <w:t>WWTP Size (Population)</w:t>
            </w:r>
          </w:p>
        </w:tc>
        <w:tc>
          <w:tcPr>
            <w:tcW w:w="1247" w:type="dxa"/>
            <w:tcBorders>
              <w:top w:val="nil"/>
              <w:left w:val="nil"/>
              <w:bottom w:val="nil"/>
              <w:right w:val="single" w:sz="8" w:space="0" w:color="FFFFFF"/>
            </w:tcBorders>
            <w:shd w:val="clear" w:color="000000" w:fill="00599C"/>
            <w:noWrap/>
            <w:hideMark/>
          </w:tcPr>
          <w:p w14:paraId="7808D8E8" w14:textId="77777777" w:rsidR="00B9334B" w:rsidRPr="002F357B" w:rsidRDefault="00B9334B" w:rsidP="00E06D5B">
            <w:pPr>
              <w:pStyle w:val="Body"/>
              <w:ind w:left="0"/>
              <w:jc w:val="center"/>
              <w:rPr>
                <w:rFonts w:cs="Arial"/>
                <w:color w:val="FFFFFF"/>
                <w:szCs w:val="20"/>
                <w:lang w:val="en-NZ" w:eastAsia="en-NZ"/>
              </w:rPr>
            </w:pPr>
            <w:r w:rsidRPr="00E06D5B">
              <w:rPr>
                <w:color w:val="FFFFFF"/>
                <w:lang w:eastAsia="en-AU"/>
              </w:rPr>
              <w:t xml:space="preserve">No. WWTPs </w:t>
            </w:r>
            <w:r w:rsidR="00BE766D" w:rsidRPr="00E06D5B">
              <w:rPr>
                <w:color w:val="FFFFFF"/>
                <w:lang w:eastAsia="en-AU"/>
              </w:rPr>
              <w:t>affected</w:t>
            </w:r>
          </w:p>
        </w:tc>
        <w:tc>
          <w:tcPr>
            <w:tcW w:w="1247" w:type="dxa"/>
            <w:tcBorders>
              <w:top w:val="nil"/>
              <w:left w:val="nil"/>
              <w:bottom w:val="nil"/>
              <w:right w:val="single" w:sz="8" w:space="0" w:color="FFFFFF"/>
            </w:tcBorders>
            <w:shd w:val="clear" w:color="000000" w:fill="00599C"/>
            <w:noWrap/>
            <w:hideMark/>
          </w:tcPr>
          <w:p w14:paraId="06762449" w14:textId="77777777" w:rsidR="00B9334B" w:rsidRPr="00E06D5B" w:rsidRDefault="00B9334B" w:rsidP="00E06D5B">
            <w:pPr>
              <w:pStyle w:val="Body"/>
              <w:ind w:left="0"/>
              <w:jc w:val="center"/>
              <w:rPr>
                <w:color w:val="FFFFFF"/>
                <w:lang w:eastAsia="en-AU"/>
              </w:rPr>
            </w:pPr>
            <w:r w:rsidRPr="00E06D5B">
              <w:rPr>
                <w:color w:val="FFFFFF"/>
                <w:lang w:eastAsia="en-AU"/>
              </w:rPr>
              <w:t xml:space="preserve">Population </w:t>
            </w:r>
            <w:r w:rsidR="00BE766D" w:rsidRPr="00E06D5B">
              <w:rPr>
                <w:color w:val="FFFFFF"/>
                <w:lang w:eastAsia="en-AU"/>
              </w:rPr>
              <w:t>affected</w:t>
            </w:r>
          </w:p>
        </w:tc>
        <w:tc>
          <w:tcPr>
            <w:tcW w:w="1928" w:type="dxa"/>
            <w:tcBorders>
              <w:top w:val="nil"/>
              <w:left w:val="nil"/>
              <w:bottom w:val="nil"/>
              <w:right w:val="single" w:sz="8" w:space="0" w:color="FFFFFF"/>
            </w:tcBorders>
            <w:shd w:val="clear" w:color="000000" w:fill="00599C"/>
            <w:noWrap/>
            <w:hideMark/>
          </w:tcPr>
          <w:p w14:paraId="7D5ABC7D" w14:textId="77777777" w:rsidR="00B9334B" w:rsidRPr="00E06D5B" w:rsidRDefault="00B9334B" w:rsidP="00E06D5B">
            <w:pPr>
              <w:pStyle w:val="Body"/>
              <w:ind w:left="0"/>
              <w:jc w:val="center"/>
              <w:rPr>
                <w:color w:val="FFFFFF"/>
                <w:lang w:eastAsia="en-AU"/>
              </w:rPr>
            </w:pPr>
            <w:r w:rsidRPr="00E06D5B">
              <w:rPr>
                <w:color w:val="FFFFFF"/>
                <w:lang w:eastAsia="en-AU"/>
              </w:rPr>
              <w:t xml:space="preserve">Estimate of </w:t>
            </w:r>
            <w:r w:rsidR="00BE766D" w:rsidRPr="00E06D5B">
              <w:rPr>
                <w:color w:val="FFFFFF"/>
                <w:lang w:eastAsia="en-AU"/>
              </w:rPr>
              <w:t>probable capital cost</w:t>
            </w:r>
            <w:r w:rsidR="00E06D5B">
              <w:rPr>
                <w:color w:val="FFFFFF"/>
                <w:lang w:eastAsia="en-AU"/>
              </w:rPr>
              <w:t xml:space="preserve"> </w:t>
            </w:r>
            <w:r w:rsidRPr="00E06D5B">
              <w:rPr>
                <w:color w:val="FFFFFF"/>
                <w:lang w:eastAsia="en-AU"/>
              </w:rPr>
              <w:t>($M</w:t>
            </w:r>
            <w:r w:rsidR="00BE766D" w:rsidRPr="00E06D5B">
              <w:rPr>
                <w:color w:val="FFFFFF"/>
                <w:lang w:eastAsia="en-AU"/>
              </w:rPr>
              <w:t>illion</w:t>
            </w:r>
            <w:r w:rsidRPr="00E06D5B">
              <w:rPr>
                <w:color w:val="FFFFFF"/>
                <w:lang w:eastAsia="en-AU"/>
              </w:rPr>
              <w:t>)</w:t>
            </w:r>
          </w:p>
        </w:tc>
        <w:tc>
          <w:tcPr>
            <w:tcW w:w="1928" w:type="dxa"/>
            <w:tcBorders>
              <w:top w:val="nil"/>
              <w:left w:val="nil"/>
              <w:bottom w:val="nil"/>
              <w:right w:val="single" w:sz="8" w:space="0" w:color="FFFFFF"/>
            </w:tcBorders>
            <w:shd w:val="clear" w:color="000000" w:fill="00599C"/>
            <w:noWrap/>
            <w:hideMark/>
          </w:tcPr>
          <w:p w14:paraId="1CFDFB8D" w14:textId="77777777" w:rsidR="00B9334B" w:rsidRPr="00E06D5B" w:rsidRDefault="00B9334B" w:rsidP="00E06D5B">
            <w:pPr>
              <w:pStyle w:val="Body"/>
              <w:ind w:left="0"/>
              <w:jc w:val="center"/>
              <w:rPr>
                <w:color w:val="FFFFFF"/>
                <w:lang w:eastAsia="en-AU"/>
              </w:rPr>
            </w:pPr>
            <w:r w:rsidRPr="00E06D5B">
              <w:rPr>
                <w:color w:val="FFFFFF"/>
                <w:lang w:eastAsia="en-AU"/>
              </w:rPr>
              <w:t xml:space="preserve">Estimate of </w:t>
            </w:r>
            <w:r w:rsidR="00BE766D" w:rsidRPr="00E06D5B">
              <w:rPr>
                <w:color w:val="FFFFFF"/>
                <w:lang w:eastAsia="en-AU"/>
              </w:rPr>
              <w:t xml:space="preserve">probable operating cost </w:t>
            </w:r>
            <w:r w:rsidRPr="00E06D5B">
              <w:rPr>
                <w:color w:val="FFFFFF"/>
                <w:lang w:eastAsia="en-AU"/>
              </w:rPr>
              <w:t>($M</w:t>
            </w:r>
            <w:r w:rsidR="00BE766D" w:rsidRPr="00E06D5B">
              <w:rPr>
                <w:color w:val="FFFFFF"/>
                <w:lang w:eastAsia="en-AU"/>
              </w:rPr>
              <w:t>illion</w:t>
            </w:r>
            <w:r w:rsidRPr="00E06D5B">
              <w:rPr>
                <w:color w:val="FFFFFF"/>
                <w:lang w:eastAsia="en-AU"/>
              </w:rPr>
              <w:t>/year)</w:t>
            </w:r>
          </w:p>
        </w:tc>
        <w:tc>
          <w:tcPr>
            <w:tcW w:w="1928" w:type="dxa"/>
            <w:tcBorders>
              <w:top w:val="nil"/>
              <w:left w:val="nil"/>
              <w:bottom w:val="nil"/>
              <w:right w:val="single" w:sz="8" w:space="0" w:color="FFFFFF"/>
            </w:tcBorders>
            <w:shd w:val="clear" w:color="000000" w:fill="00599C"/>
            <w:noWrap/>
            <w:hideMark/>
          </w:tcPr>
          <w:p w14:paraId="56A81887" w14:textId="77777777" w:rsidR="00B9334B" w:rsidRPr="00E06D5B" w:rsidRDefault="00B9334B" w:rsidP="00E06D5B">
            <w:pPr>
              <w:pStyle w:val="Body"/>
              <w:ind w:left="0"/>
              <w:jc w:val="center"/>
              <w:rPr>
                <w:color w:val="FFFFFF"/>
                <w:lang w:eastAsia="en-AU"/>
              </w:rPr>
            </w:pPr>
            <w:r w:rsidRPr="00E06D5B">
              <w:rPr>
                <w:color w:val="FFFFFF"/>
                <w:lang w:eastAsia="en-AU"/>
              </w:rPr>
              <w:t xml:space="preserve">Estimate of </w:t>
            </w:r>
            <w:r w:rsidR="00BE766D" w:rsidRPr="00E06D5B">
              <w:rPr>
                <w:color w:val="FFFFFF"/>
                <w:lang w:eastAsia="en-AU"/>
              </w:rPr>
              <w:t xml:space="preserve">annual cost impact </w:t>
            </w:r>
            <w:r w:rsidRPr="00E06D5B">
              <w:rPr>
                <w:color w:val="FFFFFF"/>
                <w:lang w:eastAsia="en-AU"/>
              </w:rPr>
              <w:t>($M</w:t>
            </w:r>
            <w:r w:rsidR="00BE766D" w:rsidRPr="00E06D5B">
              <w:rPr>
                <w:color w:val="FFFFFF"/>
                <w:lang w:eastAsia="en-AU"/>
              </w:rPr>
              <w:t>illion</w:t>
            </w:r>
            <w:r w:rsidRPr="00E06D5B">
              <w:rPr>
                <w:color w:val="FFFFFF"/>
                <w:lang w:eastAsia="en-AU"/>
              </w:rPr>
              <w:t>/year)</w:t>
            </w:r>
          </w:p>
        </w:tc>
        <w:tc>
          <w:tcPr>
            <w:tcW w:w="1928" w:type="dxa"/>
            <w:tcBorders>
              <w:top w:val="nil"/>
              <w:left w:val="nil"/>
              <w:bottom w:val="nil"/>
              <w:right w:val="single" w:sz="8" w:space="0" w:color="FFFFFF"/>
            </w:tcBorders>
            <w:shd w:val="clear" w:color="000000" w:fill="00599C"/>
            <w:noWrap/>
            <w:hideMark/>
          </w:tcPr>
          <w:p w14:paraId="09C1D7C0" w14:textId="77777777" w:rsidR="00B9334B" w:rsidRPr="00E06D5B" w:rsidRDefault="00B9334B" w:rsidP="00E06D5B">
            <w:pPr>
              <w:pStyle w:val="Body"/>
              <w:ind w:left="0"/>
              <w:jc w:val="center"/>
              <w:rPr>
                <w:color w:val="FFFFFF"/>
                <w:lang w:eastAsia="en-AU"/>
              </w:rPr>
            </w:pPr>
            <w:r w:rsidRPr="00E06D5B">
              <w:rPr>
                <w:color w:val="FFFFFF"/>
                <w:lang w:eastAsia="en-AU"/>
              </w:rPr>
              <w:t xml:space="preserve">Annual </w:t>
            </w:r>
            <w:r w:rsidR="00BE766D" w:rsidRPr="00E06D5B">
              <w:rPr>
                <w:color w:val="FFFFFF"/>
                <w:lang w:eastAsia="en-AU"/>
              </w:rPr>
              <w:t xml:space="preserve">cost impact </w:t>
            </w:r>
            <w:r w:rsidRPr="00E06D5B">
              <w:rPr>
                <w:color w:val="FFFFFF"/>
                <w:lang w:eastAsia="en-AU"/>
              </w:rPr>
              <w:t xml:space="preserve">per </w:t>
            </w:r>
            <w:r w:rsidR="00BE766D" w:rsidRPr="00E06D5B">
              <w:rPr>
                <w:color w:val="FFFFFF"/>
                <w:lang w:eastAsia="en-AU"/>
              </w:rPr>
              <w:t xml:space="preserve">household affected </w:t>
            </w:r>
            <w:r w:rsidRPr="00E06D5B">
              <w:rPr>
                <w:color w:val="FFFFFF"/>
                <w:lang w:eastAsia="en-AU"/>
              </w:rPr>
              <w:t>($/year)</w:t>
            </w:r>
          </w:p>
        </w:tc>
      </w:tr>
      <w:tr w:rsidR="00B9334B" w:rsidRPr="00D201C9" w14:paraId="1C1A5FF7" w14:textId="77777777" w:rsidTr="00E66F34">
        <w:trPr>
          <w:trHeight w:val="315"/>
          <w:jc w:val="center"/>
        </w:trPr>
        <w:tc>
          <w:tcPr>
            <w:tcW w:w="2268" w:type="dxa"/>
            <w:tcBorders>
              <w:top w:val="single" w:sz="8" w:space="0" w:color="FFFFFF"/>
              <w:left w:val="single" w:sz="8" w:space="0" w:color="FFFFFF"/>
              <w:bottom w:val="single" w:sz="8" w:space="0" w:color="FFFFFF"/>
              <w:right w:val="single" w:sz="8" w:space="0" w:color="FFFFFF"/>
            </w:tcBorders>
            <w:shd w:val="clear" w:color="000000" w:fill="E7E7E8"/>
            <w:noWrap/>
            <w:vAlign w:val="center"/>
            <w:hideMark/>
          </w:tcPr>
          <w:p w14:paraId="4FC13E77" w14:textId="77777777" w:rsidR="00B9334B" w:rsidRPr="002F357B" w:rsidRDefault="00B9334B" w:rsidP="007A37B6">
            <w:pPr>
              <w:spacing w:after="0"/>
              <w:rPr>
                <w:rFonts w:cs="Arial"/>
                <w:color w:val="000000"/>
                <w:szCs w:val="20"/>
                <w:lang w:val="en-NZ" w:eastAsia="en-NZ"/>
              </w:rPr>
            </w:pPr>
            <w:r w:rsidRPr="002F357B">
              <w:rPr>
                <w:rFonts w:cs="Arial"/>
                <w:color w:val="000000"/>
                <w:szCs w:val="20"/>
                <w:lang w:val="en-NZ" w:eastAsia="en-NZ"/>
              </w:rPr>
              <w:t>Large (&gt;10,000)</w:t>
            </w:r>
          </w:p>
        </w:tc>
        <w:tc>
          <w:tcPr>
            <w:tcW w:w="1247" w:type="dxa"/>
            <w:tcBorders>
              <w:top w:val="single" w:sz="8" w:space="0" w:color="FFFFFF"/>
              <w:left w:val="nil"/>
              <w:bottom w:val="single" w:sz="8" w:space="0" w:color="FFFFFF"/>
              <w:right w:val="single" w:sz="8" w:space="0" w:color="FFFFFF"/>
            </w:tcBorders>
            <w:shd w:val="clear" w:color="000000" w:fill="E7E7E8"/>
            <w:noWrap/>
            <w:vAlign w:val="center"/>
            <w:hideMark/>
          </w:tcPr>
          <w:p w14:paraId="4386396A" w14:textId="77777777" w:rsidR="00B9334B" w:rsidRPr="002F357B" w:rsidRDefault="00CC08F3" w:rsidP="00122690">
            <w:pPr>
              <w:spacing w:after="0"/>
              <w:jc w:val="center"/>
              <w:rPr>
                <w:rFonts w:cs="Arial"/>
                <w:color w:val="000000"/>
                <w:szCs w:val="20"/>
                <w:lang w:val="en-NZ" w:eastAsia="en-NZ"/>
              </w:rPr>
            </w:pPr>
            <w:r w:rsidRPr="002F357B">
              <w:rPr>
                <w:rFonts w:cs="Arial"/>
                <w:color w:val="000000"/>
                <w:szCs w:val="20"/>
              </w:rPr>
              <w:t>6</w:t>
            </w:r>
          </w:p>
        </w:tc>
        <w:tc>
          <w:tcPr>
            <w:tcW w:w="1247" w:type="dxa"/>
            <w:tcBorders>
              <w:top w:val="single" w:sz="8" w:space="0" w:color="FFFFFF"/>
              <w:left w:val="nil"/>
              <w:bottom w:val="single" w:sz="8" w:space="0" w:color="FFFFFF"/>
              <w:right w:val="single" w:sz="8" w:space="0" w:color="FFFFFF"/>
            </w:tcBorders>
            <w:shd w:val="clear" w:color="000000" w:fill="E7E7E8"/>
            <w:noWrap/>
            <w:vAlign w:val="center"/>
            <w:hideMark/>
          </w:tcPr>
          <w:p w14:paraId="0F557DB7" w14:textId="77777777" w:rsidR="00B9334B" w:rsidRPr="002F357B" w:rsidRDefault="00CC08F3" w:rsidP="000A39D8">
            <w:pPr>
              <w:spacing w:after="0"/>
              <w:jc w:val="center"/>
              <w:rPr>
                <w:rFonts w:cs="Arial"/>
                <w:color w:val="000000"/>
                <w:szCs w:val="20"/>
                <w:lang w:val="en-NZ" w:eastAsia="en-NZ"/>
              </w:rPr>
            </w:pPr>
            <w:r w:rsidRPr="002F357B">
              <w:rPr>
                <w:rFonts w:cs="Arial"/>
                <w:color w:val="000000"/>
                <w:szCs w:val="20"/>
              </w:rPr>
              <w:t>177,690</w:t>
            </w:r>
          </w:p>
        </w:tc>
        <w:tc>
          <w:tcPr>
            <w:tcW w:w="1928" w:type="dxa"/>
            <w:tcBorders>
              <w:top w:val="single" w:sz="8" w:space="0" w:color="FFFFFF"/>
              <w:left w:val="nil"/>
              <w:bottom w:val="single" w:sz="8" w:space="0" w:color="FFFFFF"/>
              <w:right w:val="single" w:sz="8" w:space="0" w:color="FFFFFF"/>
            </w:tcBorders>
            <w:shd w:val="clear" w:color="000000" w:fill="E7E7E8"/>
            <w:noWrap/>
            <w:vAlign w:val="center"/>
            <w:hideMark/>
          </w:tcPr>
          <w:p w14:paraId="5DC47FAA" w14:textId="77777777" w:rsidR="00B9334B" w:rsidRPr="002F357B" w:rsidRDefault="00B9334B" w:rsidP="000A39D8">
            <w:pPr>
              <w:spacing w:after="0"/>
              <w:jc w:val="center"/>
              <w:rPr>
                <w:rFonts w:cs="Arial"/>
                <w:color w:val="000000"/>
                <w:szCs w:val="20"/>
                <w:lang w:val="en-NZ" w:eastAsia="en-NZ"/>
              </w:rPr>
            </w:pPr>
            <w:r w:rsidRPr="002F357B">
              <w:rPr>
                <w:rFonts w:cs="Arial"/>
                <w:color w:val="000000"/>
                <w:szCs w:val="20"/>
                <w:lang w:val="en-NZ" w:eastAsia="en-NZ"/>
              </w:rPr>
              <w:t>$290 - $430</w:t>
            </w:r>
          </w:p>
        </w:tc>
        <w:tc>
          <w:tcPr>
            <w:tcW w:w="1928" w:type="dxa"/>
            <w:tcBorders>
              <w:top w:val="single" w:sz="8" w:space="0" w:color="FFFFFF"/>
              <w:left w:val="nil"/>
              <w:bottom w:val="single" w:sz="8" w:space="0" w:color="FFFFFF"/>
              <w:right w:val="single" w:sz="8" w:space="0" w:color="FFFFFF"/>
            </w:tcBorders>
            <w:shd w:val="clear" w:color="000000" w:fill="E7E7E8"/>
            <w:noWrap/>
            <w:vAlign w:val="center"/>
            <w:hideMark/>
          </w:tcPr>
          <w:p w14:paraId="566280B6" w14:textId="77777777" w:rsidR="00B9334B" w:rsidRPr="002F357B" w:rsidRDefault="00CC08F3" w:rsidP="000A39D8">
            <w:pPr>
              <w:spacing w:after="0"/>
              <w:jc w:val="center"/>
              <w:rPr>
                <w:rFonts w:cs="Arial"/>
                <w:color w:val="000000"/>
                <w:szCs w:val="20"/>
                <w:lang w:val="en-NZ" w:eastAsia="en-NZ"/>
              </w:rPr>
            </w:pPr>
            <w:r w:rsidRPr="002F357B">
              <w:rPr>
                <w:rFonts w:cs="Arial"/>
                <w:color w:val="000000"/>
                <w:szCs w:val="20"/>
              </w:rPr>
              <w:t>$15 - $23</w:t>
            </w:r>
          </w:p>
        </w:tc>
        <w:tc>
          <w:tcPr>
            <w:tcW w:w="1928" w:type="dxa"/>
            <w:tcBorders>
              <w:top w:val="single" w:sz="8" w:space="0" w:color="FFFFFF"/>
              <w:left w:val="nil"/>
              <w:bottom w:val="single" w:sz="8" w:space="0" w:color="FFFFFF"/>
              <w:right w:val="single" w:sz="8" w:space="0" w:color="FFFFFF"/>
            </w:tcBorders>
            <w:shd w:val="clear" w:color="000000" w:fill="E7E7E8"/>
            <w:noWrap/>
            <w:vAlign w:val="center"/>
            <w:hideMark/>
          </w:tcPr>
          <w:p w14:paraId="1BF0ABCC" w14:textId="77777777" w:rsidR="00B9334B" w:rsidRPr="002F357B" w:rsidRDefault="00CC08F3" w:rsidP="000A39D8">
            <w:pPr>
              <w:spacing w:after="0"/>
              <w:jc w:val="center"/>
              <w:rPr>
                <w:rFonts w:cs="Arial"/>
                <w:color w:val="000000"/>
                <w:szCs w:val="20"/>
                <w:lang w:val="en-NZ" w:eastAsia="en-NZ"/>
              </w:rPr>
            </w:pPr>
            <w:r w:rsidRPr="002F357B">
              <w:rPr>
                <w:rFonts w:cs="Arial"/>
                <w:color w:val="000000"/>
                <w:szCs w:val="20"/>
              </w:rPr>
              <w:t>$38 - $57</w:t>
            </w:r>
          </w:p>
        </w:tc>
        <w:tc>
          <w:tcPr>
            <w:tcW w:w="1928" w:type="dxa"/>
            <w:tcBorders>
              <w:top w:val="single" w:sz="8" w:space="0" w:color="FFFFFF"/>
              <w:left w:val="nil"/>
              <w:bottom w:val="single" w:sz="8" w:space="0" w:color="FFFFFF"/>
              <w:right w:val="single" w:sz="8" w:space="0" w:color="FFFFFF"/>
            </w:tcBorders>
            <w:shd w:val="clear" w:color="000000" w:fill="E7E7E8"/>
            <w:noWrap/>
            <w:vAlign w:val="center"/>
            <w:hideMark/>
          </w:tcPr>
          <w:p w14:paraId="7AFB773D" w14:textId="77777777" w:rsidR="00B9334B" w:rsidRPr="002F357B" w:rsidRDefault="00B9334B" w:rsidP="000A39D8">
            <w:pPr>
              <w:spacing w:after="0"/>
              <w:jc w:val="center"/>
              <w:rPr>
                <w:rFonts w:cs="Arial"/>
                <w:color w:val="000000"/>
                <w:szCs w:val="20"/>
                <w:lang w:val="en-NZ" w:eastAsia="en-NZ"/>
              </w:rPr>
            </w:pPr>
            <w:r w:rsidRPr="002F357B">
              <w:rPr>
                <w:rFonts w:cs="Arial"/>
                <w:color w:val="000000"/>
                <w:szCs w:val="20"/>
              </w:rPr>
              <w:t>$</w:t>
            </w:r>
            <w:r w:rsidR="00CC08F3" w:rsidRPr="002F357B">
              <w:rPr>
                <w:rFonts w:cs="Arial"/>
                <w:color w:val="000000"/>
                <w:szCs w:val="20"/>
              </w:rPr>
              <w:t>716</w:t>
            </w:r>
          </w:p>
        </w:tc>
      </w:tr>
      <w:tr w:rsidR="00B9334B" w:rsidRPr="00D201C9" w14:paraId="53631138" w14:textId="77777777" w:rsidTr="00E66F34">
        <w:trPr>
          <w:trHeight w:val="315"/>
          <w:jc w:val="center"/>
        </w:trPr>
        <w:tc>
          <w:tcPr>
            <w:tcW w:w="2268" w:type="dxa"/>
            <w:tcBorders>
              <w:top w:val="nil"/>
              <w:left w:val="single" w:sz="8" w:space="0" w:color="FFFFFF"/>
              <w:bottom w:val="single" w:sz="8" w:space="0" w:color="FFFFFF"/>
              <w:right w:val="single" w:sz="8" w:space="0" w:color="FFFFFF"/>
            </w:tcBorders>
            <w:shd w:val="clear" w:color="000000" w:fill="E7E7E8"/>
            <w:noWrap/>
            <w:vAlign w:val="center"/>
            <w:hideMark/>
          </w:tcPr>
          <w:p w14:paraId="3AE0437F" w14:textId="77777777" w:rsidR="00B9334B" w:rsidRPr="002F357B" w:rsidRDefault="00B9334B" w:rsidP="007A37B6">
            <w:pPr>
              <w:spacing w:after="0"/>
              <w:rPr>
                <w:rFonts w:cs="Arial"/>
                <w:color w:val="000000"/>
                <w:szCs w:val="20"/>
                <w:lang w:val="en-NZ" w:eastAsia="en-NZ"/>
              </w:rPr>
            </w:pPr>
            <w:r w:rsidRPr="002F357B">
              <w:rPr>
                <w:rFonts w:cs="Arial"/>
                <w:color w:val="000000"/>
                <w:szCs w:val="20"/>
                <w:lang w:val="en-NZ" w:eastAsia="en-NZ"/>
              </w:rPr>
              <w:t>Medium (5,001 – 10,000)</w:t>
            </w:r>
          </w:p>
        </w:tc>
        <w:tc>
          <w:tcPr>
            <w:tcW w:w="1247" w:type="dxa"/>
            <w:tcBorders>
              <w:top w:val="nil"/>
              <w:left w:val="nil"/>
              <w:bottom w:val="single" w:sz="8" w:space="0" w:color="FFFFFF"/>
              <w:right w:val="single" w:sz="8" w:space="0" w:color="FFFFFF"/>
            </w:tcBorders>
            <w:shd w:val="clear" w:color="000000" w:fill="E7E7E8"/>
            <w:noWrap/>
            <w:vAlign w:val="center"/>
            <w:hideMark/>
          </w:tcPr>
          <w:p w14:paraId="488A44E4" w14:textId="77777777" w:rsidR="00B9334B" w:rsidRPr="002F357B" w:rsidRDefault="00CC08F3" w:rsidP="00122690">
            <w:pPr>
              <w:spacing w:after="0"/>
              <w:jc w:val="center"/>
              <w:rPr>
                <w:rFonts w:cs="Arial"/>
                <w:color w:val="000000"/>
                <w:szCs w:val="20"/>
                <w:lang w:val="en-NZ" w:eastAsia="en-NZ"/>
              </w:rPr>
            </w:pPr>
            <w:r w:rsidRPr="002F357B">
              <w:rPr>
                <w:rFonts w:cs="Arial"/>
                <w:color w:val="000000"/>
                <w:szCs w:val="20"/>
              </w:rPr>
              <w:t>17</w:t>
            </w:r>
          </w:p>
        </w:tc>
        <w:tc>
          <w:tcPr>
            <w:tcW w:w="1247" w:type="dxa"/>
            <w:tcBorders>
              <w:top w:val="nil"/>
              <w:left w:val="nil"/>
              <w:bottom w:val="single" w:sz="8" w:space="0" w:color="FFFFFF"/>
              <w:right w:val="single" w:sz="8" w:space="0" w:color="FFFFFF"/>
            </w:tcBorders>
            <w:shd w:val="clear" w:color="000000" w:fill="E7E7E8"/>
            <w:noWrap/>
            <w:vAlign w:val="center"/>
            <w:hideMark/>
          </w:tcPr>
          <w:p w14:paraId="7B81ABED" w14:textId="77777777" w:rsidR="00B9334B" w:rsidRPr="002F357B" w:rsidRDefault="00CC08F3" w:rsidP="000A39D8">
            <w:pPr>
              <w:spacing w:after="0"/>
              <w:jc w:val="center"/>
              <w:rPr>
                <w:rFonts w:cs="Arial"/>
                <w:color w:val="000000"/>
                <w:szCs w:val="20"/>
                <w:lang w:val="en-NZ" w:eastAsia="en-NZ"/>
              </w:rPr>
            </w:pPr>
            <w:r w:rsidRPr="002F357B">
              <w:rPr>
                <w:rFonts w:cs="Arial"/>
                <w:color w:val="000000"/>
                <w:szCs w:val="20"/>
              </w:rPr>
              <w:t>111,490</w:t>
            </w:r>
          </w:p>
        </w:tc>
        <w:tc>
          <w:tcPr>
            <w:tcW w:w="1928" w:type="dxa"/>
            <w:tcBorders>
              <w:top w:val="nil"/>
              <w:left w:val="nil"/>
              <w:bottom w:val="single" w:sz="8" w:space="0" w:color="FFFFFF"/>
              <w:right w:val="single" w:sz="8" w:space="0" w:color="FFFFFF"/>
            </w:tcBorders>
            <w:shd w:val="clear" w:color="000000" w:fill="E7E7E8"/>
            <w:noWrap/>
            <w:vAlign w:val="center"/>
            <w:hideMark/>
          </w:tcPr>
          <w:p w14:paraId="38AD9FC7" w14:textId="77777777" w:rsidR="00B9334B" w:rsidRPr="002F357B" w:rsidRDefault="00B9334B" w:rsidP="000A39D8">
            <w:pPr>
              <w:spacing w:after="0"/>
              <w:jc w:val="center"/>
              <w:rPr>
                <w:rFonts w:cs="Arial"/>
                <w:color w:val="000000"/>
                <w:szCs w:val="20"/>
                <w:lang w:val="en-NZ" w:eastAsia="en-NZ"/>
              </w:rPr>
            </w:pPr>
            <w:r w:rsidRPr="002F357B">
              <w:rPr>
                <w:rFonts w:cs="Arial"/>
                <w:color w:val="000000"/>
                <w:szCs w:val="20"/>
                <w:lang w:val="en-NZ" w:eastAsia="en-NZ"/>
              </w:rPr>
              <w:t>$330 - $500</w:t>
            </w:r>
          </w:p>
        </w:tc>
        <w:tc>
          <w:tcPr>
            <w:tcW w:w="1928" w:type="dxa"/>
            <w:tcBorders>
              <w:top w:val="nil"/>
              <w:left w:val="nil"/>
              <w:bottom w:val="single" w:sz="8" w:space="0" w:color="FFFFFF"/>
              <w:right w:val="single" w:sz="8" w:space="0" w:color="FFFFFF"/>
            </w:tcBorders>
            <w:shd w:val="clear" w:color="000000" w:fill="E7E7E8"/>
            <w:noWrap/>
            <w:vAlign w:val="center"/>
            <w:hideMark/>
          </w:tcPr>
          <w:p w14:paraId="77D778B8" w14:textId="77777777" w:rsidR="00B9334B" w:rsidRPr="002F357B" w:rsidRDefault="00CC08F3" w:rsidP="000A39D8">
            <w:pPr>
              <w:spacing w:after="0"/>
              <w:jc w:val="center"/>
              <w:rPr>
                <w:rFonts w:cs="Arial"/>
                <w:color w:val="000000"/>
                <w:szCs w:val="20"/>
                <w:lang w:val="en-NZ" w:eastAsia="en-NZ"/>
              </w:rPr>
            </w:pPr>
            <w:r w:rsidRPr="002F357B">
              <w:rPr>
                <w:rFonts w:cs="Arial"/>
                <w:color w:val="000000"/>
                <w:szCs w:val="20"/>
              </w:rPr>
              <w:t>$11 - $16</w:t>
            </w:r>
          </w:p>
        </w:tc>
        <w:tc>
          <w:tcPr>
            <w:tcW w:w="1928" w:type="dxa"/>
            <w:tcBorders>
              <w:top w:val="nil"/>
              <w:left w:val="nil"/>
              <w:bottom w:val="single" w:sz="8" w:space="0" w:color="FFFFFF"/>
              <w:right w:val="single" w:sz="8" w:space="0" w:color="FFFFFF"/>
            </w:tcBorders>
            <w:shd w:val="clear" w:color="000000" w:fill="E7E7E8"/>
            <w:noWrap/>
            <w:vAlign w:val="center"/>
            <w:hideMark/>
          </w:tcPr>
          <w:p w14:paraId="203F2C79" w14:textId="77777777" w:rsidR="00B9334B" w:rsidRPr="002F357B" w:rsidRDefault="00CC08F3" w:rsidP="000A39D8">
            <w:pPr>
              <w:spacing w:after="0"/>
              <w:jc w:val="center"/>
              <w:rPr>
                <w:rFonts w:cs="Arial"/>
                <w:color w:val="000000"/>
                <w:szCs w:val="20"/>
                <w:lang w:val="en-NZ" w:eastAsia="en-NZ"/>
              </w:rPr>
            </w:pPr>
            <w:r w:rsidRPr="002F357B">
              <w:rPr>
                <w:rFonts w:cs="Arial"/>
                <w:color w:val="000000"/>
                <w:szCs w:val="20"/>
              </w:rPr>
              <w:t>$37 - $55</w:t>
            </w:r>
          </w:p>
        </w:tc>
        <w:tc>
          <w:tcPr>
            <w:tcW w:w="1928" w:type="dxa"/>
            <w:tcBorders>
              <w:top w:val="nil"/>
              <w:left w:val="nil"/>
              <w:bottom w:val="single" w:sz="8" w:space="0" w:color="FFFFFF"/>
              <w:right w:val="single" w:sz="8" w:space="0" w:color="FFFFFF"/>
            </w:tcBorders>
            <w:shd w:val="clear" w:color="000000" w:fill="E7E7E8"/>
            <w:noWrap/>
            <w:vAlign w:val="center"/>
            <w:hideMark/>
          </w:tcPr>
          <w:p w14:paraId="3299DA93" w14:textId="77777777" w:rsidR="00B9334B" w:rsidRPr="002F357B" w:rsidRDefault="00B9334B" w:rsidP="000A39D8">
            <w:pPr>
              <w:spacing w:after="0"/>
              <w:jc w:val="center"/>
              <w:rPr>
                <w:rFonts w:cs="Arial"/>
                <w:color w:val="000000"/>
                <w:szCs w:val="20"/>
                <w:lang w:val="en-NZ" w:eastAsia="en-NZ"/>
              </w:rPr>
            </w:pPr>
            <w:r w:rsidRPr="002F357B">
              <w:rPr>
                <w:rFonts w:cs="Arial"/>
                <w:color w:val="000000"/>
                <w:szCs w:val="20"/>
              </w:rPr>
              <w:t>$1,</w:t>
            </w:r>
            <w:r w:rsidR="00CC08F3" w:rsidRPr="002F357B">
              <w:rPr>
                <w:rFonts w:cs="Arial"/>
                <w:color w:val="000000"/>
                <w:szCs w:val="20"/>
              </w:rPr>
              <w:t>106</w:t>
            </w:r>
          </w:p>
        </w:tc>
      </w:tr>
      <w:tr w:rsidR="00B9334B" w:rsidRPr="00D201C9" w14:paraId="1857FD58" w14:textId="77777777" w:rsidTr="00E66F34">
        <w:trPr>
          <w:trHeight w:val="315"/>
          <w:jc w:val="center"/>
        </w:trPr>
        <w:tc>
          <w:tcPr>
            <w:tcW w:w="2268" w:type="dxa"/>
            <w:tcBorders>
              <w:top w:val="nil"/>
              <w:left w:val="single" w:sz="8" w:space="0" w:color="FFFFFF"/>
              <w:bottom w:val="single" w:sz="8" w:space="0" w:color="FFFFFF"/>
              <w:right w:val="single" w:sz="8" w:space="0" w:color="FFFFFF"/>
            </w:tcBorders>
            <w:shd w:val="clear" w:color="000000" w:fill="E7E7E8"/>
            <w:noWrap/>
            <w:vAlign w:val="center"/>
            <w:hideMark/>
          </w:tcPr>
          <w:p w14:paraId="1A9866B1" w14:textId="77777777" w:rsidR="00B9334B" w:rsidRPr="002F357B" w:rsidRDefault="00B9334B" w:rsidP="007A37B6">
            <w:pPr>
              <w:spacing w:after="0"/>
              <w:rPr>
                <w:rFonts w:cs="Arial"/>
                <w:color w:val="000000"/>
                <w:szCs w:val="20"/>
                <w:lang w:val="en-NZ" w:eastAsia="en-NZ"/>
              </w:rPr>
            </w:pPr>
            <w:r w:rsidRPr="002F357B">
              <w:rPr>
                <w:rFonts w:cs="Arial"/>
                <w:color w:val="000000"/>
                <w:szCs w:val="20"/>
                <w:lang w:val="en-NZ" w:eastAsia="en-NZ"/>
              </w:rPr>
              <w:t>Minor (501 – 5,000)</w:t>
            </w:r>
          </w:p>
        </w:tc>
        <w:tc>
          <w:tcPr>
            <w:tcW w:w="1247" w:type="dxa"/>
            <w:tcBorders>
              <w:top w:val="nil"/>
              <w:left w:val="nil"/>
              <w:bottom w:val="single" w:sz="8" w:space="0" w:color="FFFFFF"/>
              <w:right w:val="single" w:sz="8" w:space="0" w:color="FFFFFF"/>
            </w:tcBorders>
            <w:shd w:val="clear" w:color="000000" w:fill="E7E7E8"/>
            <w:noWrap/>
            <w:vAlign w:val="center"/>
            <w:hideMark/>
          </w:tcPr>
          <w:p w14:paraId="63A84381" w14:textId="77777777" w:rsidR="00B9334B" w:rsidRPr="002F357B" w:rsidRDefault="00CC08F3" w:rsidP="00122690">
            <w:pPr>
              <w:spacing w:after="0"/>
              <w:jc w:val="center"/>
              <w:rPr>
                <w:rFonts w:cs="Arial"/>
                <w:color w:val="000000"/>
                <w:szCs w:val="20"/>
                <w:lang w:val="en-NZ" w:eastAsia="en-NZ"/>
              </w:rPr>
            </w:pPr>
            <w:r w:rsidRPr="002F357B">
              <w:rPr>
                <w:rFonts w:cs="Arial"/>
                <w:color w:val="000000"/>
                <w:szCs w:val="20"/>
              </w:rPr>
              <w:t>71</w:t>
            </w:r>
          </w:p>
        </w:tc>
        <w:tc>
          <w:tcPr>
            <w:tcW w:w="1247" w:type="dxa"/>
            <w:tcBorders>
              <w:top w:val="nil"/>
              <w:left w:val="nil"/>
              <w:bottom w:val="single" w:sz="8" w:space="0" w:color="FFFFFF"/>
              <w:right w:val="single" w:sz="8" w:space="0" w:color="FFFFFF"/>
            </w:tcBorders>
            <w:shd w:val="clear" w:color="000000" w:fill="E7E7E8"/>
            <w:noWrap/>
            <w:vAlign w:val="center"/>
            <w:hideMark/>
          </w:tcPr>
          <w:p w14:paraId="49329656" w14:textId="77777777" w:rsidR="00B9334B" w:rsidRPr="002F357B" w:rsidRDefault="00CC08F3" w:rsidP="000A39D8">
            <w:pPr>
              <w:spacing w:after="0"/>
              <w:jc w:val="center"/>
              <w:rPr>
                <w:rFonts w:cs="Arial"/>
                <w:color w:val="000000"/>
                <w:szCs w:val="20"/>
                <w:lang w:val="en-NZ" w:eastAsia="en-NZ"/>
              </w:rPr>
            </w:pPr>
            <w:r w:rsidRPr="002F357B">
              <w:rPr>
                <w:rFonts w:cs="Arial"/>
                <w:color w:val="000000"/>
                <w:szCs w:val="20"/>
              </w:rPr>
              <w:t>133,520</w:t>
            </w:r>
          </w:p>
        </w:tc>
        <w:tc>
          <w:tcPr>
            <w:tcW w:w="1928" w:type="dxa"/>
            <w:tcBorders>
              <w:top w:val="nil"/>
              <w:left w:val="nil"/>
              <w:bottom w:val="single" w:sz="8" w:space="0" w:color="FFFFFF"/>
              <w:right w:val="single" w:sz="8" w:space="0" w:color="FFFFFF"/>
            </w:tcBorders>
            <w:shd w:val="clear" w:color="000000" w:fill="E7E7E8"/>
            <w:noWrap/>
            <w:vAlign w:val="center"/>
            <w:hideMark/>
          </w:tcPr>
          <w:p w14:paraId="34BE3F5A" w14:textId="77777777" w:rsidR="00B9334B" w:rsidRPr="002F357B" w:rsidRDefault="00B9334B" w:rsidP="000A39D8">
            <w:pPr>
              <w:spacing w:after="0"/>
              <w:jc w:val="center"/>
              <w:rPr>
                <w:rFonts w:cs="Arial"/>
                <w:color w:val="000000"/>
                <w:szCs w:val="20"/>
                <w:lang w:val="en-NZ" w:eastAsia="en-NZ"/>
              </w:rPr>
            </w:pPr>
            <w:r w:rsidRPr="002F357B">
              <w:rPr>
                <w:rFonts w:cs="Arial"/>
                <w:color w:val="000000"/>
                <w:szCs w:val="20"/>
                <w:lang w:val="en-NZ" w:eastAsia="en-NZ"/>
              </w:rPr>
              <w:t>$610 - $910</w:t>
            </w:r>
          </w:p>
        </w:tc>
        <w:tc>
          <w:tcPr>
            <w:tcW w:w="1928" w:type="dxa"/>
            <w:tcBorders>
              <w:top w:val="nil"/>
              <w:left w:val="nil"/>
              <w:bottom w:val="single" w:sz="8" w:space="0" w:color="FFFFFF"/>
              <w:right w:val="single" w:sz="8" w:space="0" w:color="FFFFFF"/>
            </w:tcBorders>
            <w:shd w:val="clear" w:color="000000" w:fill="E7E7E8"/>
            <w:noWrap/>
            <w:vAlign w:val="center"/>
            <w:hideMark/>
          </w:tcPr>
          <w:p w14:paraId="01913EEF" w14:textId="77777777" w:rsidR="00B9334B" w:rsidRPr="002F357B" w:rsidRDefault="00CC08F3" w:rsidP="000A39D8">
            <w:pPr>
              <w:spacing w:after="0"/>
              <w:jc w:val="center"/>
              <w:rPr>
                <w:rFonts w:cs="Arial"/>
                <w:color w:val="000000"/>
                <w:szCs w:val="20"/>
                <w:lang w:val="en-NZ" w:eastAsia="en-NZ"/>
              </w:rPr>
            </w:pPr>
            <w:r w:rsidRPr="002F357B">
              <w:rPr>
                <w:rFonts w:cs="Arial"/>
                <w:color w:val="000000"/>
                <w:szCs w:val="20"/>
              </w:rPr>
              <w:t>$12 - $17</w:t>
            </w:r>
          </w:p>
        </w:tc>
        <w:tc>
          <w:tcPr>
            <w:tcW w:w="1928" w:type="dxa"/>
            <w:tcBorders>
              <w:top w:val="nil"/>
              <w:left w:val="nil"/>
              <w:bottom w:val="single" w:sz="8" w:space="0" w:color="FFFFFF"/>
              <w:right w:val="single" w:sz="8" w:space="0" w:color="FFFFFF"/>
            </w:tcBorders>
            <w:shd w:val="clear" w:color="000000" w:fill="E7E7E8"/>
            <w:noWrap/>
            <w:vAlign w:val="center"/>
            <w:hideMark/>
          </w:tcPr>
          <w:p w14:paraId="3C280521" w14:textId="77777777" w:rsidR="00B9334B" w:rsidRPr="002F357B" w:rsidRDefault="00CC08F3" w:rsidP="000A39D8">
            <w:pPr>
              <w:spacing w:after="0"/>
              <w:jc w:val="center"/>
              <w:rPr>
                <w:rFonts w:cs="Arial"/>
                <w:color w:val="000000"/>
                <w:szCs w:val="20"/>
                <w:lang w:val="en-NZ" w:eastAsia="en-NZ"/>
              </w:rPr>
            </w:pPr>
            <w:r w:rsidRPr="002F357B">
              <w:rPr>
                <w:rFonts w:cs="Arial"/>
                <w:color w:val="000000"/>
                <w:szCs w:val="20"/>
              </w:rPr>
              <w:t>$59 - $89</w:t>
            </w:r>
          </w:p>
        </w:tc>
        <w:tc>
          <w:tcPr>
            <w:tcW w:w="1928" w:type="dxa"/>
            <w:tcBorders>
              <w:top w:val="nil"/>
              <w:left w:val="nil"/>
              <w:bottom w:val="single" w:sz="8" w:space="0" w:color="FFFFFF"/>
              <w:right w:val="single" w:sz="8" w:space="0" w:color="FFFFFF"/>
            </w:tcBorders>
            <w:shd w:val="clear" w:color="000000" w:fill="E7E7E8"/>
            <w:noWrap/>
            <w:vAlign w:val="center"/>
            <w:hideMark/>
          </w:tcPr>
          <w:p w14:paraId="6659A691" w14:textId="77777777" w:rsidR="00B9334B" w:rsidRPr="002F357B" w:rsidRDefault="00B9334B" w:rsidP="000A39D8">
            <w:pPr>
              <w:spacing w:after="0"/>
              <w:jc w:val="center"/>
              <w:rPr>
                <w:rFonts w:cs="Arial"/>
                <w:color w:val="000000"/>
                <w:szCs w:val="20"/>
                <w:lang w:val="en-NZ" w:eastAsia="en-NZ"/>
              </w:rPr>
            </w:pPr>
            <w:r w:rsidRPr="002F357B">
              <w:rPr>
                <w:rFonts w:cs="Arial"/>
                <w:color w:val="000000"/>
                <w:szCs w:val="20"/>
              </w:rPr>
              <w:t>$1,</w:t>
            </w:r>
            <w:r w:rsidR="00CC08F3" w:rsidRPr="002F357B">
              <w:rPr>
                <w:rFonts w:cs="Arial"/>
                <w:color w:val="000000"/>
                <w:szCs w:val="20"/>
              </w:rPr>
              <w:t>496</w:t>
            </w:r>
          </w:p>
        </w:tc>
      </w:tr>
      <w:tr w:rsidR="00B9334B" w:rsidRPr="00D201C9" w14:paraId="251F3B59" w14:textId="77777777" w:rsidTr="00E66F34">
        <w:trPr>
          <w:trHeight w:val="315"/>
          <w:jc w:val="center"/>
        </w:trPr>
        <w:tc>
          <w:tcPr>
            <w:tcW w:w="2268" w:type="dxa"/>
            <w:tcBorders>
              <w:top w:val="nil"/>
              <w:left w:val="single" w:sz="8" w:space="0" w:color="FFFFFF"/>
              <w:bottom w:val="single" w:sz="8" w:space="0" w:color="FFFFFF"/>
              <w:right w:val="single" w:sz="8" w:space="0" w:color="FFFFFF"/>
            </w:tcBorders>
            <w:shd w:val="clear" w:color="000000" w:fill="E7E7E8"/>
            <w:noWrap/>
            <w:vAlign w:val="center"/>
            <w:hideMark/>
          </w:tcPr>
          <w:p w14:paraId="029EC555" w14:textId="77777777" w:rsidR="00B9334B" w:rsidRPr="002F357B" w:rsidRDefault="00B9334B" w:rsidP="007A37B6">
            <w:pPr>
              <w:spacing w:after="0"/>
              <w:rPr>
                <w:rFonts w:cs="Arial"/>
                <w:color w:val="000000"/>
                <w:szCs w:val="20"/>
                <w:lang w:val="en-NZ" w:eastAsia="en-NZ"/>
              </w:rPr>
            </w:pPr>
            <w:r w:rsidRPr="002F357B">
              <w:rPr>
                <w:rFonts w:cs="Arial"/>
                <w:color w:val="000000"/>
                <w:szCs w:val="20"/>
                <w:lang w:val="en-NZ" w:eastAsia="en-NZ"/>
              </w:rPr>
              <w:t>Small (&lt;</w:t>
            </w:r>
            <w:r w:rsidR="00F00333" w:rsidRPr="002F357B">
              <w:rPr>
                <w:rFonts w:cs="Arial"/>
                <w:color w:val="000000"/>
                <w:szCs w:val="20"/>
                <w:lang w:val="en-NZ" w:eastAsia="en-NZ"/>
              </w:rPr>
              <w:t>501</w:t>
            </w:r>
            <w:r w:rsidRPr="002F357B">
              <w:rPr>
                <w:rFonts w:cs="Arial"/>
                <w:color w:val="000000"/>
                <w:szCs w:val="20"/>
                <w:lang w:val="en-NZ" w:eastAsia="en-NZ"/>
              </w:rPr>
              <w:t>)</w:t>
            </w:r>
          </w:p>
        </w:tc>
        <w:tc>
          <w:tcPr>
            <w:tcW w:w="1247" w:type="dxa"/>
            <w:tcBorders>
              <w:top w:val="nil"/>
              <w:left w:val="nil"/>
              <w:bottom w:val="single" w:sz="8" w:space="0" w:color="FFFFFF"/>
              <w:right w:val="single" w:sz="8" w:space="0" w:color="FFFFFF"/>
            </w:tcBorders>
            <w:shd w:val="clear" w:color="000000" w:fill="E7E7E8"/>
            <w:noWrap/>
            <w:vAlign w:val="center"/>
            <w:hideMark/>
          </w:tcPr>
          <w:p w14:paraId="2004EF60" w14:textId="77777777" w:rsidR="00B9334B" w:rsidRPr="002F357B" w:rsidRDefault="00CC08F3" w:rsidP="00122690">
            <w:pPr>
              <w:spacing w:after="0"/>
              <w:jc w:val="center"/>
              <w:rPr>
                <w:rFonts w:cs="Arial"/>
                <w:color w:val="000000"/>
                <w:szCs w:val="20"/>
                <w:lang w:val="en-NZ" w:eastAsia="en-NZ"/>
              </w:rPr>
            </w:pPr>
            <w:r w:rsidRPr="002F357B">
              <w:rPr>
                <w:rFonts w:cs="Arial"/>
                <w:color w:val="000000"/>
                <w:szCs w:val="20"/>
              </w:rPr>
              <w:t>51</w:t>
            </w:r>
          </w:p>
        </w:tc>
        <w:tc>
          <w:tcPr>
            <w:tcW w:w="1247" w:type="dxa"/>
            <w:tcBorders>
              <w:top w:val="nil"/>
              <w:left w:val="nil"/>
              <w:bottom w:val="single" w:sz="8" w:space="0" w:color="FFFFFF"/>
              <w:right w:val="single" w:sz="8" w:space="0" w:color="FFFFFF"/>
            </w:tcBorders>
            <w:shd w:val="clear" w:color="000000" w:fill="E7E7E8"/>
            <w:noWrap/>
            <w:vAlign w:val="center"/>
            <w:hideMark/>
          </w:tcPr>
          <w:p w14:paraId="785FF0C5" w14:textId="77777777" w:rsidR="00B9334B" w:rsidRPr="002F357B" w:rsidRDefault="00B9334B" w:rsidP="000A39D8">
            <w:pPr>
              <w:spacing w:after="0"/>
              <w:jc w:val="center"/>
              <w:rPr>
                <w:rFonts w:cs="Arial"/>
                <w:color w:val="000000"/>
                <w:szCs w:val="20"/>
                <w:lang w:val="en-NZ" w:eastAsia="en-NZ"/>
              </w:rPr>
            </w:pPr>
            <w:r w:rsidRPr="002F357B">
              <w:rPr>
                <w:rFonts w:cs="Arial"/>
                <w:color w:val="000000"/>
                <w:szCs w:val="20"/>
              </w:rPr>
              <w:t>12,</w:t>
            </w:r>
            <w:r w:rsidR="00CC08F3" w:rsidRPr="002F357B">
              <w:rPr>
                <w:rFonts w:cs="Arial"/>
                <w:color w:val="000000"/>
                <w:szCs w:val="20"/>
              </w:rPr>
              <w:t>660</w:t>
            </w:r>
          </w:p>
        </w:tc>
        <w:tc>
          <w:tcPr>
            <w:tcW w:w="1928" w:type="dxa"/>
            <w:tcBorders>
              <w:top w:val="nil"/>
              <w:left w:val="nil"/>
              <w:bottom w:val="single" w:sz="8" w:space="0" w:color="FFFFFF"/>
              <w:right w:val="single" w:sz="8" w:space="0" w:color="FFFFFF"/>
            </w:tcBorders>
            <w:shd w:val="clear" w:color="000000" w:fill="E7E7E8"/>
            <w:noWrap/>
            <w:vAlign w:val="center"/>
            <w:hideMark/>
          </w:tcPr>
          <w:p w14:paraId="13A49D92" w14:textId="77777777" w:rsidR="00B9334B" w:rsidRPr="002F357B" w:rsidRDefault="00B9334B" w:rsidP="000A39D8">
            <w:pPr>
              <w:spacing w:after="0"/>
              <w:jc w:val="center"/>
              <w:rPr>
                <w:rFonts w:cs="Arial"/>
                <w:color w:val="000000"/>
                <w:szCs w:val="20"/>
                <w:lang w:val="en-NZ" w:eastAsia="en-NZ"/>
              </w:rPr>
            </w:pPr>
            <w:r w:rsidRPr="002F357B">
              <w:rPr>
                <w:rFonts w:cs="Arial"/>
                <w:color w:val="000000"/>
                <w:szCs w:val="20"/>
                <w:lang w:val="en-NZ" w:eastAsia="en-NZ"/>
              </w:rPr>
              <w:t>$150 - $230</w:t>
            </w:r>
          </w:p>
        </w:tc>
        <w:tc>
          <w:tcPr>
            <w:tcW w:w="1928" w:type="dxa"/>
            <w:tcBorders>
              <w:top w:val="nil"/>
              <w:left w:val="nil"/>
              <w:bottom w:val="single" w:sz="8" w:space="0" w:color="FFFFFF"/>
              <w:right w:val="single" w:sz="8" w:space="0" w:color="FFFFFF"/>
            </w:tcBorders>
            <w:shd w:val="clear" w:color="000000" w:fill="E7E7E8"/>
            <w:noWrap/>
            <w:vAlign w:val="center"/>
            <w:hideMark/>
          </w:tcPr>
          <w:p w14:paraId="2D3DA203" w14:textId="77777777" w:rsidR="00B9334B" w:rsidRPr="002F357B" w:rsidRDefault="00B9334B" w:rsidP="000A39D8">
            <w:pPr>
              <w:spacing w:after="0"/>
              <w:jc w:val="center"/>
              <w:rPr>
                <w:rFonts w:cs="Arial"/>
                <w:color w:val="000000"/>
                <w:szCs w:val="20"/>
                <w:lang w:val="en-NZ" w:eastAsia="en-NZ"/>
              </w:rPr>
            </w:pPr>
            <w:r w:rsidRPr="002F357B">
              <w:rPr>
                <w:rFonts w:cs="Arial"/>
                <w:color w:val="000000"/>
                <w:szCs w:val="20"/>
              </w:rPr>
              <w:t>$1.6 - $2.4</w:t>
            </w:r>
          </w:p>
        </w:tc>
        <w:tc>
          <w:tcPr>
            <w:tcW w:w="1928" w:type="dxa"/>
            <w:tcBorders>
              <w:top w:val="nil"/>
              <w:left w:val="nil"/>
              <w:bottom w:val="single" w:sz="8" w:space="0" w:color="FFFFFF"/>
              <w:right w:val="single" w:sz="8" w:space="0" w:color="FFFFFF"/>
            </w:tcBorders>
            <w:shd w:val="clear" w:color="000000" w:fill="E7E7E8"/>
            <w:noWrap/>
            <w:vAlign w:val="center"/>
            <w:hideMark/>
          </w:tcPr>
          <w:p w14:paraId="307D1ADE" w14:textId="77777777" w:rsidR="00B9334B" w:rsidRPr="002F357B" w:rsidRDefault="00B9334B" w:rsidP="000A39D8">
            <w:pPr>
              <w:spacing w:after="0"/>
              <w:jc w:val="center"/>
              <w:rPr>
                <w:rFonts w:cs="Arial"/>
                <w:color w:val="000000"/>
                <w:szCs w:val="20"/>
                <w:lang w:val="en-NZ" w:eastAsia="en-NZ"/>
              </w:rPr>
            </w:pPr>
            <w:r w:rsidRPr="002F357B">
              <w:rPr>
                <w:rFonts w:cs="Arial"/>
                <w:color w:val="000000"/>
                <w:szCs w:val="20"/>
              </w:rPr>
              <w:t>$13 - $20</w:t>
            </w:r>
          </w:p>
        </w:tc>
        <w:tc>
          <w:tcPr>
            <w:tcW w:w="1928" w:type="dxa"/>
            <w:tcBorders>
              <w:top w:val="nil"/>
              <w:left w:val="nil"/>
              <w:bottom w:val="single" w:sz="8" w:space="0" w:color="FFFFFF"/>
              <w:right w:val="single" w:sz="8" w:space="0" w:color="FFFFFF"/>
            </w:tcBorders>
            <w:shd w:val="clear" w:color="000000" w:fill="E7E7E8"/>
            <w:noWrap/>
            <w:vAlign w:val="center"/>
            <w:hideMark/>
          </w:tcPr>
          <w:p w14:paraId="4A7C7EF4" w14:textId="77777777" w:rsidR="00B9334B" w:rsidRPr="002F357B" w:rsidRDefault="00B9334B" w:rsidP="000A39D8">
            <w:pPr>
              <w:spacing w:after="0"/>
              <w:jc w:val="center"/>
              <w:rPr>
                <w:rFonts w:cs="Arial"/>
                <w:color w:val="000000"/>
                <w:szCs w:val="20"/>
                <w:lang w:val="en-NZ" w:eastAsia="en-NZ"/>
              </w:rPr>
            </w:pPr>
            <w:r w:rsidRPr="002F357B">
              <w:rPr>
                <w:rFonts w:cs="Arial"/>
                <w:color w:val="000000"/>
                <w:szCs w:val="20"/>
              </w:rPr>
              <w:t>$3,</w:t>
            </w:r>
            <w:r w:rsidR="00CC08F3" w:rsidRPr="002F357B">
              <w:rPr>
                <w:rFonts w:cs="Arial"/>
                <w:color w:val="000000"/>
                <w:szCs w:val="20"/>
              </w:rPr>
              <w:t>576</w:t>
            </w:r>
          </w:p>
        </w:tc>
      </w:tr>
      <w:tr w:rsidR="00B9334B" w:rsidRPr="00D201C9" w14:paraId="23F13278" w14:textId="77777777" w:rsidTr="00E66F34">
        <w:trPr>
          <w:trHeight w:val="315"/>
          <w:jc w:val="center"/>
        </w:trPr>
        <w:tc>
          <w:tcPr>
            <w:tcW w:w="2268" w:type="dxa"/>
            <w:tcBorders>
              <w:top w:val="nil"/>
              <w:left w:val="single" w:sz="8" w:space="0" w:color="FFFFFF"/>
              <w:bottom w:val="single" w:sz="8" w:space="0" w:color="FFFFFF"/>
              <w:right w:val="single" w:sz="8" w:space="0" w:color="FFFFFF"/>
            </w:tcBorders>
            <w:shd w:val="clear" w:color="000000" w:fill="E7E7E8"/>
            <w:noWrap/>
            <w:vAlign w:val="center"/>
            <w:hideMark/>
          </w:tcPr>
          <w:p w14:paraId="3A347D9B" w14:textId="77777777" w:rsidR="00B9334B" w:rsidRPr="002F357B" w:rsidRDefault="00B9334B" w:rsidP="007A37B6">
            <w:pPr>
              <w:spacing w:after="0"/>
              <w:rPr>
                <w:rFonts w:cs="Arial"/>
                <w:b/>
                <w:bCs/>
                <w:color w:val="000000"/>
                <w:szCs w:val="20"/>
                <w:lang w:val="en-NZ" w:eastAsia="en-NZ"/>
              </w:rPr>
            </w:pPr>
            <w:r w:rsidRPr="002F357B">
              <w:rPr>
                <w:rFonts w:cs="Arial"/>
                <w:b/>
                <w:bCs/>
                <w:color w:val="000000"/>
                <w:szCs w:val="20"/>
                <w:lang w:val="en-NZ" w:eastAsia="en-NZ"/>
              </w:rPr>
              <w:t>Total</w:t>
            </w:r>
          </w:p>
        </w:tc>
        <w:tc>
          <w:tcPr>
            <w:tcW w:w="1247" w:type="dxa"/>
            <w:tcBorders>
              <w:top w:val="nil"/>
              <w:left w:val="nil"/>
              <w:bottom w:val="single" w:sz="8" w:space="0" w:color="FFFFFF"/>
              <w:right w:val="single" w:sz="8" w:space="0" w:color="FFFFFF"/>
            </w:tcBorders>
            <w:shd w:val="clear" w:color="000000" w:fill="E7E7E8"/>
            <w:noWrap/>
            <w:vAlign w:val="center"/>
            <w:hideMark/>
          </w:tcPr>
          <w:p w14:paraId="0AC36699" w14:textId="77777777" w:rsidR="00B9334B" w:rsidRPr="002F357B" w:rsidRDefault="00CC08F3" w:rsidP="00122690">
            <w:pPr>
              <w:spacing w:after="0"/>
              <w:jc w:val="center"/>
              <w:rPr>
                <w:rFonts w:cs="Arial"/>
                <w:b/>
                <w:bCs/>
                <w:color w:val="000000"/>
                <w:szCs w:val="20"/>
                <w:lang w:val="en-NZ" w:eastAsia="en-NZ"/>
              </w:rPr>
            </w:pPr>
            <w:r w:rsidRPr="002F357B">
              <w:rPr>
                <w:rFonts w:cs="Arial"/>
                <w:b/>
                <w:bCs/>
                <w:color w:val="000000"/>
                <w:szCs w:val="20"/>
              </w:rPr>
              <w:t>145</w:t>
            </w:r>
          </w:p>
        </w:tc>
        <w:tc>
          <w:tcPr>
            <w:tcW w:w="1247" w:type="dxa"/>
            <w:tcBorders>
              <w:top w:val="nil"/>
              <w:left w:val="nil"/>
              <w:bottom w:val="single" w:sz="8" w:space="0" w:color="FFFFFF"/>
              <w:right w:val="single" w:sz="8" w:space="0" w:color="FFFFFF"/>
            </w:tcBorders>
            <w:shd w:val="clear" w:color="000000" w:fill="E7E7E8"/>
            <w:noWrap/>
            <w:vAlign w:val="center"/>
            <w:hideMark/>
          </w:tcPr>
          <w:p w14:paraId="0543B368" w14:textId="77777777" w:rsidR="00B9334B" w:rsidRPr="002F357B" w:rsidRDefault="00CC08F3" w:rsidP="000A39D8">
            <w:pPr>
              <w:spacing w:after="0"/>
              <w:jc w:val="center"/>
              <w:rPr>
                <w:rFonts w:cs="Arial"/>
                <w:b/>
                <w:bCs/>
                <w:color w:val="000000"/>
                <w:szCs w:val="20"/>
                <w:lang w:val="en-NZ" w:eastAsia="en-NZ"/>
              </w:rPr>
            </w:pPr>
            <w:r w:rsidRPr="002F357B">
              <w:rPr>
                <w:rFonts w:cs="Arial"/>
                <w:b/>
                <w:bCs/>
                <w:color w:val="000000"/>
                <w:szCs w:val="20"/>
              </w:rPr>
              <w:t>435,370</w:t>
            </w:r>
          </w:p>
        </w:tc>
        <w:tc>
          <w:tcPr>
            <w:tcW w:w="1928" w:type="dxa"/>
            <w:tcBorders>
              <w:top w:val="nil"/>
              <w:left w:val="nil"/>
              <w:bottom w:val="single" w:sz="8" w:space="0" w:color="FFFFFF"/>
              <w:right w:val="single" w:sz="8" w:space="0" w:color="FFFFFF"/>
            </w:tcBorders>
            <w:shd w:val="clear" w:color="000000" w:fill="E7E7E8"/>
            <w:noWrap/>
            <w:vAlign w:val="center"/>
            <w:hideMark/>
          </w:tcPr>
          <w:p w14:paraId="11465CA0" w14:textId="77777777" w:rsidR="00B9334B" w:rsidRPr="002F357B" w:rsidRDefault="00B9334B" w:rsidP="00A352AD">
            <w:pPr>
              <w:spacing w:after="0"/>
              <w:jc w:val="center"/>
              <w:rPr>
                <w:rFonts w:cs="Arial"/>
                <w:b/>
                <w:bCs/>
                <w:color w:val="000000"/>
                <w:szCs w:val="20"/>
                <w:lang w:val="en-NZ" w:eastAsia="en-NZ"/>
              </w:rPr>
            </w:pPr>
            <w:r w:rsidRPr="002F357B">
              <w:rPr>
                <w:rFonts w:cs="Arial"/>
                <w:b/>
                <w:bCs/>
                <w:color w:val="000000"/>
                <w:szCs w:val="20"/>
                <w:lang w:val="en-NZ" w:eastAsia="en-NZ"/>
              </w:rPr>
              <w:t>$1,400 - $2,100</w:t>
            </w:r>
          </w:p>
        </w:tc>
        <w:tc>
          <w:tcPr>
            <w:tcW w:w="1928" w:type="dxa"/>
            <w:tcBorders>
              <w:top w:val="nil"/>
              <w:left w:val="nil"/>
              <w:bottom w:val="single" w:sz="8" w:space="0" w:color="FFFFFF"/>
              <w:right w:val="single" w:sz="8" w:space="0" w:color="FFFFFF"/>
            </w:tcBorders>
            <w:shd w:val="clear" w:color="000000" w:fill="E7E7E8"/>
            <w:noWrap/>
            <w:vAlign w:val="center"/>
            <w:hideMark/>
          </w:tcPr>
          <w:p w14:paraId="535C104F" w14:textId="77777777" w:rsidR="00B9334B" w:rsidRPr="002F357B" w:rsidRDefault="00CC08F3" w:rsidP="000A39D8">
            <w:pPr>
              <w:spacing w:after="0"/>
              <w:jc w:val="center"/>
              <w:rPr>
                <w:rFonts w:cs="Arial"/>
                <w:b/>
                <w:bCs/>
                <w:color w:val="000000"/>
                <w:szCs w:val="20"/>
                <w:lang w:val="en-NZ" w:eastAsia="en-NZ"/>
              </w:rPr>
            </w:pPr>
            <w:r w:rsidRPr="002F357B">
              <w:rPr>
                <w:rFonts w:cs="Arial"/>
                <w:b/>
                <w:bCs/>
                <w:color w:val="000000"/>
                <w:szCs w:val="20"/>
              </w:rPr>
              <w:t>$39 - $59</w:t>
            </w:r>
          </w:p>
        </w:tc>
        <w:tc>
          <w:tcPr>
            <w:tcW w:w="1928" w:type="dxa"/>
            <w:tcBorders>
              <w:top w:val="nil"/>
              <w:left w:val="nil"/>
              <w:bottom w:val="single" w:sz="8" w:space="0" w:color="FFFFFF"/>
              <w:right w:val="single" w:sz="8" w:space="0" w:color="FFFFFF"/>
            </w:tcBorders>
            <w:shd w:val="clear" w:color="000000" w:fill="E7E7E8"/>
            <w:noWrap/>
            <w:vAlign w:val="center"/>
            <w:hideMark/>
          </w:tcPr>
          <w:p w14:paraId="0DEA8AA8" w14:textId="77777777" w:rsidR="00B9334B" w:rsidRPr="002F357B" w:rsidRDefault="00CC08F3" w:rsidP="000A39D8">
            <w:pPr>
              <w:spacing w:after="0"/>
              <w:jc w:val="center"/>
              <w:rPr>
                <w:rFonts w:cs="Arial"/>
                <w:b/>
                <w:bCs/>
                <w:color w:val="000000"/>
                <w:szCs w:val="20"/>
                <w:lang w:val="en-NZ" w:eastAsia="en-NZ"/>
              </w:rPr>
            </w:pPr>
            <w:r w:rsidRPr="002F357B">
              <w:rPr>
                <w:rFonts w:cs="Arial"/>
                <w:b/>
                <w:bCs/>
                <w:color w:val="000000"/>
                <w:szCs w:val="20"/>
              </w:rPr>
              <w:t>$150 - $220</w:t>
            </w:r>
          </w:p>
        </w:tc>
        <w:tc>
          <w:tcPr>
            <w:tcW w:w="1928" w:type="dxa"/>
            <w:tcBorders>
              <w:top w:val="nil"/>
              <w:left w:val="nil"/>
              <w:bottom w:val="single" w:sz="8" w:space="0" w:color="FFFFFF"/>
              <w:right w:val="single" w:sz="8" w:space="0" w:color="FFFFFF"/>
            </w:tcBorders>
            <w:shd w:val="clear" w:color="000000" w:fill="E7E7E8"/>
            <w:noWrap/>
            <w:vAlign w:val="center"/>
            <w:hideMark/>
          </w:tcPr>
          <w:p w14:paraId="79D60E58" w14:textId="77777777" w:rsidR="00B9334B" w:rsidRPr="002F357B" w:rsidRDefault="00CC08F3" w:rsidP="000A39D8">
            <w:pPr>
              <w:spacing w:after="0"/>
              <w:jc w:val="center"/>
              <w:rPr>
                <w:rFonts w:cs="Arial"/>
                <w:b/>
                <w:bCs/>
                <w:color w:val="000000"/>
                <w:szCs w:val="20"/>
                <w:lang w:val="en-NZ" w:eastAsia="en-NZ"/>
              </w:rPr>
            </w:pPr>
            <w:r w:rsidRPr="002F357B">
              <w:rPr>
                <w:rFonts w:cs="Arial"/>
                <w:b/>
                <w:bCs/>
                <w:color w:val="000000"/>
                <w:szCs w:val="20"/>
              </w:rPr>
              <w:t>$1,138</w:t>
            </w:r>
          </w:p>
        </w:tc>
      </w:tr>
    </w:tbl>
    <w:p w14:paraId="7729D9AA" w14:textId="77777777" w:rsidR="009F5541" w:rsidRPr="008C546C" w:rsidRDefault="009F5541" w:rsidP="008C546C">
      <w:pPr>
        <w:pStyle w:val="Body"/>
        <w:rPr>
          <w:lang w:eastAsia="en-AU"/>
        </w:rPr>
      </w:pPr>
    </w:p>
    <w:p w14:paraId="1B90582E" w14:textId="77777777" w:rsidR="00812118" w:rsidRDefault="00812118" w:rsidP="008C546C">
      <w:pPr>
        <w:pStyle w:val="Body"/>
        <w:rPr>
          <w:lang w:eastAsia="en-AU"/>
        </w:rPr>
      </w:pPr>
    </w:p>
    <w:p w14:paraId="0B939523" w14:textId="77777777" w:rsidR="00812118" w:rsidRDefault="00812118">
      <w:pPr>
        <w:spacing w:after="0"/>
        <w:rPr>
          <w:lang w:eastAsia="en-AU"/>
        </w:rPr>
      </w:pPr>
      <w:r>
        <w:rPr>
          <w:lang w:eastAsia="en-AU"/>
        </w:rPr>
        <w:br w:type="page"/>
      </w:r>
    </w:p>
    <w:p w14:paraId="37CD0A93" w14:textId="77777777" w:rsidR="0061103D" w:rsidRDefault="0061103D" w:rsidP="0061103D">
      <w:pPr>
        <w:pStyle w:val="Caption"/>
      </w:pPr>
      <w:bookmarkStart w:id="565" w:name="_Ref518635955"/>
      <w:bookmarkStart w:id="566" w:name="_Toc521064799"/>
      <w:bookmarkStart w:id="567" w:name="_Toc518653132"/>
      <w:r>
        <w:lastRenderedPageBreak/>
        <w:t xml:space="preserve">Table </w:t>
      </w:r>
      <w:r w:rsidR="007B3D80">
        <w:rPr>
          <w:noProof/>
        </w:rPr>
        <w:fldChar w:fldCharType="begin"/>
      </w:r>
      <w:r w:rsidR="007B3D80">
        <w:rPr>
          <w:noProof/>
        </w:rPr>
        <w:instrText xml:space="preserve"> SEQ Table \* ARABIC </w:instrText>
      </w:r>
      <w:r w:rsidR="007B3D80">
        <w:rPr>
          <w:noProof/>
        </w:rPr>
        <w:fldChar w:fldCharType="separate"/>
      </w:r>
      <w:r w:rsidR="002777A8">
        <w:rPr>
          <w:noProof/>
        </w:rPr>
        <w:t>16</w:t>
      </w:r>
      <w:r w:rsidR="007B3D80">
        <w:rPr>
          <w:noProof/>
        </w:rPr>
        <w:fldChar w:fldCharType="end"/>
      </w:r>
      <w:bookmarkEnd w:id="565"/>
      <w:r w:rsidRPr="00087473">
        <w:t xml:space="preserve">  </w:t>
      </w:r>
      <w:r w:rsidR="0045399B" w:rsidRPr="00375F61">
        <w:t xml:space="preserve">Summary of WWTP upgrade costs to meet B Attribute target of NPS Freshwater at the WWTP </w:t>
      </w:r>
      <w:r w:rsidR="0045399B">
        <w:t>–</w:t>
      </w:r>
      <w:bookmarkEnd w:id="566"/>
      <w:r w:rsidR="0045399B">
        <w:t xml:space="preserve"> </w:t>
      </w:r>
      <w:bookmarkEnd w:id="567"/>
    </w:p>
    <w:tbl>
      <w:tblPr>
        <w:tblW w:w="15252" w:type="dxa"/>
        <w:tblLook w:val="04A0" w:firstRow="1" w:lastRow="0" w:firstColumn="1" w:lastColumn="0" w:noHBand="0" w:noVBand="1"/>
      </w:tblPr>
      <w:tblGrid>
        <w:gridCol w:w="1928"/>
        <w:gridCol w:w="1247"/>
        <w:gridCol w:w="1247"/>
        <w:gridCol w:w="1928"/>
        <w:gridCol w:w="2098"/>
        <w:gridCol w:w="1134"/>
        <w:gridCol w:w="1134"/>
        <w:gridCol w:w="1134"/>
        <w:gridCol w:w="1134"/>
        <w:gridCol w:w="1134"/>
        <w:gridCol w:w="1134"/>
      </w:tblGrid>
      <w:tr w:rsidR="00812118" w:rsidRPr="00DF0A90" w14:paraId="0F749F0B" w14:textId="77777777" w:rsidTr="00381B57">
        <w:trPr>
          <w:trHeight w:val="300"/>
        </w:trPr>
        <w:tc>
          <w:tcPr>
            <w:tcW w:w="1928" w:type="dxa"/>
            <w:vMerge w:val="restart"/>
            <w:tcBorders>
              <w:top w:val="nil"/>
              <w:left w:val="nil"/>
              <w:bottom w:val="nil"/>
              <w:right w:val="single" w:sz="8" w:space="0" w:color="FFFFFF"/>
            </w:tcBorders>
            <w:shd w:val="clear" w:color="000000" w:fill="00599C"/>
            <w:vAlign w:val="center"/>
            <w:hideMark/>
          </w:tcPr>
          <w:p w14:paraId="501B7F58" w14:textId="77777777" w:rsidR="00812118" w:rsidRPr="002F357B" w:rsidRDefault="00812118" w:rsidP="007A37B6">
            <w:pPr>
              <w:spacing w:after="0"/>
              <w:rPr>
                <w:rFonts w:cs="Arial"/>
                <w:color w:val="FFFFFF"/>
                <w:szCs w:val="20"/>
                <w:lang w:val="en-NZ" w:eastAsia="en-NZ"/>
              </w:rPr>
            </w:pPr>
            <w:bookmarkStart w:id="568" w:name="_Toc517707654"/>
            <w:bookmarkStart w:id="569" w:name="_Toc517788326"/>
            <w:bookmarkStart w:id="570" w:name="_Toc517793895"/>
            <w:bookmarkStart w:id="571" w:name="_Toc518042094"/>
            <w:bookmarkEnd w:id="561"/>
            <w:r w:rsidRPr="002F357B">
              <w:rPr>
                <w:rFonts w:cs="Arial"/>
                <w:color w:val="FFFFFF"/>
                <w:szCs w:val="20"/>
                <w:lang w:val="en-NZ" w:eastAsia="en-NZ"/>
              </w:rPr>
              <w:t>Region</w:t>
            </w:r>
          </w:p>
        </w:tc>
        <w:tc>
          <w:tcPr>
            <w:tcW w:w="1247" w:type="dxa"/>
            <w:vMerge w:val="restart"/>
            <w:tcBorders>
              <w:top w:val="nil"/>
              <w:left w:val="single" w:sz="8" w:space="0" w:color="FFFFFF"/>
              <w:bottom w:val="nil"/>
              <w:right w:val="single" w:sz="8" w:space="0" w:color="FFFFFF"/>
            </w:tcBorders>
            <w:shd w:val="clear" w:color="000000" w:fill="00599C"/>
            <w:hideMark/>
          </w:tcPr>
          <w:p w14:paraId="49F139EC" w14:textId="77777777" w:rsidR="00812118" w:rsidRPr="00E06D5B" w:rsidRDefault="00812118" w:rsidP="00381B57">
            <w:pPr>
              <w:pStyle w:val="Body"/>
              <w:ind w:left="0"/>
              <w:jc w:val="center"/>
              <w:rPr>
                <w:color w:val="FFFFFF"/>
                <w:lang w:eastAsia="en-AU"/>
              </w:rPr>
            </w:pPr>
            <w:r w:rsidRPr="00E06D5B">
              <w:rPr>
                <w:color w:val="FFFFFF"/>
                <w:lang w:eastAsia="en-AU"/>
              </w:rPr>
              <w:t xml:space="preserve">No. WWTPs </w:t>
            </w:r>
            <w:r w:rsidR="0044652B" w:rsidRPr="00E06D5B">
              <w:rPr>
                <w:color w:val="FFFFFF"/>
                <w:lang w:eastAsia="en-AU"/>
              </w:rPr>
              <w:t>affected</w:t>
            </w:r>
          </w:p>
        </w:tc>
        <w:tc>
          <w:tcPr>
            <w:tcW w:w="1247" w:type="dxa"/>
            <w:vMerge w:val="restart"/>
            <w:tcBorders>
              <w:top w:val="nil"/>
              <w:left w:val="single" w:sz="8" w:space="0" w:color="FFFFFF"/>
              <w:bottom w:val="nil"/>
              <w:right w:val="single" w:sz="8" w:space="0" w:color="FFFFFF"/>
            </w:tcBorders>
            <w:shd w:val="clear" w:color="000000" w:fill="00599C"/>
            <w:hideMark/>
          </w:tcPr>
          <w:p w14:paraId="4647DC3D" w14:textId="77777777" w:rsidR="00812118" w:rsidRPr="00E06D5B" w:rsidRDefault="00812118" w:rsidP="00381B57">
            <w:pPr>
              <w:pStyle w:val="Body"/>
              <w:ind w:left="0"/>
              <w:jc w:val="center"/>
              <w:rPr>
                <w:color w:val="FFFFFF"/>
                <w:lang w:eastAsia="en-AU"/>
              </w:rPr>
            </w:pPr>
            <w:r w:rsidRPr="00E06D5B">
              <w:rPr>
                <w:color w:val="FFFFFF"/>
                <w:lang w:eastAsia="en-AU"/>
              </w:rPr>
              <w:t xml:space="preserve">Population </w:t>
            </w:r>
            <w:r w:rsidR="00BE766D" w:rsidRPr="00E06D5B">
              <w:rPr>
                <w:color w:val="FFFFFF"/>
                <w:lang w:eastAsia="en-AU"/>
              </w:rPr>
              <w:t>affected</w:t>
            </w:r>
          </w:p>
        </w:tc>
        <w:tc>
          <w:tcPr>
            <w:tcW w:w="1928" w:type="dxa"/>
            <w:vMerge w:val="restart"/>
            <w:tcBorders>
              <w:top w:val="nil"/>
              <w:left w:val="single" w:sz="8" w:space="0" w:color="FFFFFF"/>
              <w:bottom w:val="nil"/>
              <w:right w:val="single" w:sz="8" w:space="0" w:color="FFFFFF"/>
            </w:tcBorders>
            <w:shd w:val="clear" w:color="000000" w:fill="00599C"/>
            <w:hideMark/>
          </w:tcPr>
          <w:p w14:paraId="4DD8F144" w14:textId="77777777" w:rsidR="00812118" w:rsidRPr="00E06D5B" w:rsidRDefault="00812118" w:rsidP="00381B57">
            <w:pPr>
              <w:pStyle w:val="Body"/>
              <w:ind w:left="0"/>
              <w:jc w:val="center"/>
              <w:rPr>
                <w:color w:val="FFFFFF"/>
                <w:lang w:eastAsia="en-AU"/>
              </w:rPr>
            </w:pPr>
            <w:r w:rsidRPr="00E06D5B">
              <w:rPr>
                <w:color w:val="FFFFFF"/>
                <w:lang w:eastAsia="en-AU"/>
              </w:rPr>
              <w:t xml:space="preserve">Estimate of </w:t>
            </w:r>
            <w:r w:rsidR="00BE766D" w:rsidRPr="00E06D5B">
              <w:rPr>
                <w:color w:val="FFFFFF"/>
                <w:lang w:eastAsia="en-AU"/>
              </w:rPr>
              <w:t>probable capital cost</w:t>
            </w:r>
            <w:r w:rsidR="00E06D5B">
              <w:rPr>
                <w:color w:val="FFFFFF"/>
                <w:lang w:eastAsia="en-AU"/>
              </w:rPr>
              <w:t xml:space="preserve"> </w:t>
            </w:r>
            <w:r w:rsidRPr="00E06D5B">
              <w:rPr>
                <w:color w:val="FFFFFF"/>
                <w:lang w:eastAsia="en-AU"/>
              </w:rPr>
              <w:t>($M</w:t>
            </w:r>
            <w:r w:rsidR="00BE766D" w:rsidRPr="00E06D5B">
              <w:rPr>
                <w:color w:val="FFFFFF"/>
                <w:lang w:eastAsia="en-AU"/>
              </w:rPr>
              <w:t>illion</w:t>
            </w:r>
            <w:r w:rsidRPr="00E06D5B">
              <w:rPr>
                <w:color w:val="FFFFFF"/>
                <w:lang w:eastAsia="en-AU"/>
              </w:rPr>
              <w:t>)</w:t>
            </w:r>
          </w:p>
        </w:tc>
        <w:tc>
          <w:tcPr>
            <w:tcW w:w="2098" w:type="dxa"/>
            <w:vMerge w:val="restart"/>
            <w:tcBorders>
              <w:top w:val="nil"/>
              <w:left w:val="single" w:sz="8" w:space="0" w:color="FFFFFF"/>
              <w:bottom w:val="nil"/>
              <w:right w:val="single" w:sz="8" w:space="0" w:color="FFFFFF"/>
            </w:tcBorders>
            <w:shd w:val="clear" w:color="000000" w:fill="00599C"/>
            <w:hideMark/>
          </w:tcPr>
          <w:p w14:paraId="16ACA721" w14:textId="77777777" w:rsidR="00812118" w:rsidRPr="00E06D5B" w:rsidRDefault="00812118" w:rsidP="00381B57">
            <w:pPr>
              <w:pStyle w:val="Body"/>
              <w:ind w:left="0"/>
              <w:jc w:val="center"/>
              <w:rPr>
                <w:color w:val="FFFFFF"/>
                <w:lang w:eastAsia="en-AU"/>
              </w:rPr>
            </w:pPr>
            <w:r w:rsidRPr="00E06D5B">
              <w:rPr>
                <w:color w:val="FFFFFF"/>
                <w:lang w:eastAsia="en-AU"/>
              </w:rPr>
              <w:t xml:space="preserve">Estimate of </w:t>
            </w:r>
            <w:r w:rsidR="00BE766D" w:rsidRPr="00E06D5B">
              <w:rPr>
                <w:color w:val="FFFFFF"/>
                <w:lang w:eastAsia="en-AU"/>
              </w:rPr>
              <w:t xml:space="preserve">probable operating cost </w:t>
            </w:r>
            <w:r w:rsidRPr="00E06D5B">
              <w:rPr>
                <w:color w:val="FFFFFF"/>
                <w:lang w:eastAsia="en-AU"/>
              </w:rPr>
              <w:t>($M</w:t>
            </w:r>
            <w:r w:rsidR="00BE766D" w:rsidRPr="00E06D5B">
              <w:rPr>
                <w:color w:val="FFFFFF"/>
                <w:lang w:eastAsia="en-AU"/>
              </w:rPr>
              <w:t>illion</w:t>
            </w:r>
            <w:r w:rsidRPr="00E06D5B">
              <w:rPr>
                <w:color w:val="FFFFFF"/>
                <w:lang w:eastAsia="en-AU"/>
              </w:rPr>
              <w:t>/year)</w:t>
            </w:r>
          </w:p>
        </w:tc>
        <w:tc>
          <w:tcPr>
            <w:tcW w:w="2268" w:type="dxa"/>
            <w:gridSpan w:val="2"/>
            <w:tcBorders>
              <w:top w:val="nil"/>
              <w:left w:val="nil"/>
              <w:bottom w:val="nil"/>
              <w:right w:val="single" w:sz="8" w:space="0" w:color="FFFFFF"/>
            </w:tcBorders>
            <w:shd w:val="clear" w:color="000000" w:fill="00599C"/>
            <w:noWrap/>
            <w:hideMark/>
          </w:tcPr>
          <w:p w14:paraId="78946644" w14:textId="77777777" w:rsidR="00381B57" w:rsidRDefault="00812118" w:rsidP="00381B57">
            <w:pPr>
              <w:pStyle w:val="Body"/>
              <w:spacing w:after="0"/>
              <w:ind w:left="0"/>
              <w:jc w:val="center"/>
              <w:rPr>
                <w:color w:val="FFFFFF"/>
                <w:lang w:eastAsia="en-AU"/>
              </w:rPr>
            </w:pPr>
            <w:r w:rsidRPr="00381B57">
              <w:rPr>
                <w:color w:val="FFFFFF"/>
                <w:lang w:eastAsia="en-AU"/>
              </w:rPr>
              <w:t xml:space="preserve">Capital </w:t>
            </w:r>
            <w:r w:rsidR="00BE766D" w:rsidRPr="00381B57">
              <w:rPr>
                <w:color w:val="FFFFFF"/>
                <w:lang w:eastAsia="en-AU"/>
              </w:rPr>
              <w:t xml:space="preserve">cost </w:t>
            </w:r>
            <w:r w:rsidRPr="00381B57">
              <w:rPr>
                <w:color w:val="FFFFFF"/>
                <w:lang w:eastAsia="en-AU"/>
              </w:rPr>
              <w:t xml:space="preserve">per </w:t>
            </w:r>
            <w:r w:rsidR="00BE766D" w:rsidRPr="00381B57">
              <w:rPr>
                <w:color w:val="FFFFFF"/>
                <w:lang w:eastAsia="en-AU"/>
              </w:rPr>
              <w:t>population</w:t>
            </w:r>
            <w:r w:rsidR="00381B57">
              <w:rPr>
                <w:color w:val="FFFFFF"/>
                <w:lang w:eastAsia="en-AU"/>
              </w:rPr>
              <w:t xml:space="preserve"> </w:t>
            </w:r>
          </w:p>
          <w:p w14:paraId="70243144" w14:textId="77777777" w:rsidR="00812118" w:rsidRPr="00381B57" w:rsidRDefault="00812118" w:rsidP="00381B57">
            <w:pPr>
              <w:pStyle w:val="Body"/>
              <w:spacing w:before="0"/>
              <w:ind w:left="0"/>
              <w:jc w:val="center"/>
              <w:rPr>
                <w:color w:val="FFFFFF"/>
                <w:lang w:eastAsia="en-AU"/>
              </w:rPr>
            </w:pPr>
            <w:r w:rsidRPr="00381B57">
              <w:rPr>
                <w:color w:val="FFFFFF"/>
                <w:lang w:eastAsia="en-AU"/>
              </w:rPr>
              <w:t>($/person)</w:t>
            </w:r>
          </w:p>
        </w:tc>
        <w:tc>
          <w:tcPr>
            <w:tcW w:w="2268" w:type="dxa"/>
            <w:gridSpan w:val="2"/>
            <w:tcBorders>
              <w:top w:val="nil"/>
              <w:left w:val="nil"/>
              <w:bottom w:val="nil"/>
              <w:right w:val="single" w:sz="8" w:space="0" w:color="FFFFFF"/>
            </w:tcBorders>
            <w:shd w:val="clear" w:color="000000" w:fill="00599C"/>
            <w:noWrap/>
            <w:hideMark/>
          </w:tcPr>
          <w:p w14:paraId="3782F391" w14:textId="77777777" w:rsidR="00812118" w:rsidRPr="00381B57" w:rsidRDefault="00812118" w:rsidP="00381B57">
            <w:pPr>
              <w:pStyle w:val="Body"/>
              <w:ind w:left="0"/>
              <w:jc w:val="center"/>
              <w:rPr>
                <w:color w:val="FFFFFF"/>
                <w:lang w:eastAsia="en-AU"/>
              </w:rPr>
            </w:pPr>
            <w:r w:rsidRPr="00381B57">
              <w:rPr>
                <w:color w:val="FFFFFF"/>
                <w:lang w:eastAsia="en-AU"/>
              </w:rPr>
              <w:t xml:space="preserve">Operating </w:t>
            </w:r>
            <w:r w:rsidR="00BE766D" w:rsidRPr="00381B57">
              <w:rPr>
                <w:color w:val="FFFFFF"/>
                <w:lang w:eastAsia="en-AU"/>
              </w:rPr>
              <w:t xml:space="preserve">cost </w:t>
            </w:r>
            <w:r w:rsidRPr="00381B57">
              <w:rPr>
                <w:color w:val="FFFFFF"/>
                <w:lang w:eastAsia="en-AU"/>
              </w:rPr>
              <w:t xml:space="preserve">per </w:t>
            </w:r>
            <w:r w:rsidR="00BE766D" w:rsidRPr="00381B57">
              <w:rPr>
                <w:color w:val="FFFFFF"/>
                <w:lang w:eastAsia="en-AU"/>
              </w:rPr>
              <w:t>population</w:t>
            </w:r>
            <w:r w:rsidR="00381B57">
              <w:rPr>
                <w:color w:val="FFFFFF"/>
                <w:lang w:eastAsia="en-AU"/>
              </w:rPr>
              <w:t xml:space="preserve"> </w:t>
            </w:r>
            <w:r w:rsidRPr="00381B57">
              <w:rPr>
                <w:color w:val="FFFFFF"/>
                <w:lang w:eastAsia="en-AU"/>
              </w:rPr>
              <w:t>($/person/year)</w:t>
            </w:r>
          </w:p>
        </w:tc>
        <w:tc>
          <w:tcPr>
            <w:tcW w:w="2268" w:type="dxa"/>
            <w:gridSpan w:val="2"/>
            <w:tcBorders>
              <w:top w:val="nil"/>
              <w:left w:val="nil"/>
              <w:bottom w:val="nil"/>
              <w:right w:val="single" w:sz="8" w:space="0" w:color="FFFFFF"/>
            </w:tcBorders>
            <w:shd w:val="clear" w:color="000000" w:fill="00599C"/>
            <w:noWrap/>
            <w:hideMark/>
          </w:tcPr>
          <w:p w14:paraId="35C6D0E0" w14:textId="77777777" w:rsidR="00381B57" w:rsidRDefault="00812118" w:rsidP="00381B57">
            <w:pPr>
              <w:pStyle w:val="Body"/>
              <w:spacing w:after="0"/>
              <w:ind w:left="0"/>
              <w:jc w:val="center"/>
              <w:rPr>
                <w:color w:val="FFFFFF"/>
                <w:lang w:eastAsia="en-AU"/>
              </w:rPr>
            </w:pPr>
            <w:r w:rsidRPr="00381B57">
              <w:rPr>
                <w:color w:val="FFFFFF"/>
                <w:lang w:eastAsia="en-AU"/>
              </w:rPr>
              <w:t xml:space="preserve">Annual </w:t>
            </w:r>
            <w:r w:rsidR="00BE766D" w:rsidRPr="00381B57">
              <w:rPr>
                <w:color w:val="FFFFFF"/>
                <w:lang w:eastAsia="en-AU"/>
              </w:rPr>
              <w:t>cost i</w:t>
            </w:r>
            <w:r w:rsidRPr="00381B57">
              <w:rPr>
                <w:color w:val="FFFFFF"/>
                <w:lang w:eastAsia="en-AU"/>
              </w:rPr>
              <w:t xml:space="preserve">mpact per </w:t>
            </w:r>
            <w:r w:rsidR="00BE766D" w:rsidRPr="00381B57">
              <w:rPr>
                <w:color w:val="FFFFFF"/>
                <w:lang w:eastAsia="en-AU"/>
              </w:rPr>
              <w:t>household</w:t>
            </w:r>
            <w:r w:rsidR="00381B57" w:rsidRPr="00381B57">
              <w:rPr>
                <w:color w:val="FFFFFF"/>
                <w:lang w:eastAsia="en-AU"/>
              </w:rPr>
              <w:t xml:space="preserve"> </w:t>
            </w:r>
          </w:p>
          <w:p w14:paraId="2747FAFE" w14:textId="77777777" w:rsidR="00812118" w:rsidRPr="00381B57" w:rsidRDefault="00812118" w:rsidP="00381B57">
            <w:pPr>
              <w:pStyle w:val="Body"/>
              <w:ind w:left="0"/>
              <w:jc w:val="center"/>
              <w:rPr>
                <w:color w:val="FFFFFF"/>
                <w:lang w:eastAsia="en-AU"/>
              </w:rPr>
            </w:pPr>
            <w:r w:rsidRPr="00381B57">
              <w:rPr>
                <w:color w:val="FFFFFF"/>
                <w:lang w:eastAsia="en-AU"/>
              </w:rPr>
              <w:t>($/year)</w:t>
            </w:r>
          </w:p>
        </w:tc>
      </w:tr>
      <w:tr w:rsidR="00812118" w:rsidRPr="00DF0A90" w14:paraId="6A719D48" w14:textId="77777777" w:rsidTr="007A37B6">
        <w:trPr>
          <w:trHeight w:val="315"/>
        </w:trPr>
        <w:tc>
          <w:tcPr>
            <w:tcW w:w="1928" w:type="dxa"/>
            <w:vMerge/>
            <w:tcBorders>
              <w:top w:val="nil"/>
              <w:left w:val="nil"/>
              <w:bottom w:val="nil"/>
              <w:right w:val="single" w:sz="8" w:space="0" w:color="FFFFFF"/>
            </w:tcBorders>
            <w:vAlign w:val="center"/>
            <w:hideMark/>
          </w:tcPr>
          <w:p w14:paraId="08062864" w14:textId="77777777" w:rsidR="00812118" w:rsidRPr="002F357B" w:rsidRDefault="00812118" w:rsidP="007A37B6">
            <w:pPr>
              <w:spacing w:after="0"/>
              <w:rPr>
                <w:rFonts w:cs="Arial"/>
                <w:color w:val="FFFFFF"/>
                <w:szCs w:val="20"/>
                <w:lang w:val="en-NZ" w:eastAsia="en-NZ"/>
              </w:rPr>
            </w:pPr>
          </w:p>
        </w:tc>
        <w:tc>
          <w:tcPr>
            <w:tcW w:w="1247" w:type="dxa"/>
            <w:vMerge/>
            <w:tcBorders>
              <w:top w:val="nil"/>
              <w:left w:val="single" w:sz="8" w:space="0" w:color="FFFFFF"/>
              <w:bottom w:val="nil"/>
              <w:right w:val="single" w:sz="8" w:space="0" w:color="FFFFFF"/>
            </w:tcBorders>
            <w:vAlign w:val="center"/>
            <w:hideMark/>
          </w:tcPr>
          <w:p w14:paraId="6F482B10" w14:textId="77777777" w:rsidR="00812118" w:rsidRPr="002F357B" w:rsidRDefault="00812118" w:rsidP="000A39D8">
            <w:pPr>
              <w:spacing w:after="0"/>
              <w:jc w:val="center"/>
              <w:rPr>
                <w:rFonts w:cs="Arial"/>
                <w:color w:val="FFFFFF"/>
                <w:szCs w:val="20"/>
                <w:lang w:val="en-NZ" w:eastAsia="en-NZ"/>
              </w:rPr>
            </w:pPr>
          </w:p>
        </w:tc>
        <w:tc>
          <w:tcPr>
            <w:tcW w:w="1247" w:type="dxa"/>
            <w:vMerge/>
            <w:tcBorders>
              <w:top w:val="nil"/>
              <w:left w:val="single" w:sz="8" w:space="0" w:color="FFFFFF"/>
              <w:bottom w:val="nil"/>
              <w:right w:val="single" w:sz="8" w:space="0" w:color="FFFFFF"/>
            </w:tcBorders>
            <w:vAlign w:val="center"/>
            <w:hideMark/>
          </w:tcPr>
          <w:p w14:paraId="3EA9017E" w14:textId="77777777" w:rsidR="00812118" w:rsidRPr="002F357B" w:rsidRDefault="00812118" w:rsidP="000A39D8">
            <w:pPr>
              <w:spacing w:after="0"/>
              <w:jc w:val="center"/>
              <w:rPr>
                <w:rFonts w:cs="Arial"/>
                <w:color w:val="FFFFFF"/>
                <w:szCs w:val="20"/>
                <w:lang w:val="en-NZ" w:eastAsia="en-NZ"/>
              </w:rPr>
            </w:pPr>
          </w:p>
        </w:tc>
        <w:tc>
          <w:tcPr>
            <w:tcW w:w="1928" w:type="dxa"/>
            <w:vMerge/>
            <w:tcBorders>
              <w:top w:val="nil"/>
              <w:left w:val="single" w:sz="8" w:space="0" w:color="FFFFFF"/>
              <w:bottom w:val="nil"/>
              <w:right w:val="single" w:sz="8" w:space="0" w:color="FFFFFF"/>
            </w:tcBorders>
            <w:vAlign w:val="center"/>
            <w:hideMark/>
          </w:tcPr>
          <w:p w14:paraId="74AB2233" w14:textId="77777777" w:rsidR="00812118" w:rsidRPr="002F357B" w:rsidRDefault="00812118" w:rsidP="000A39D8">
            <w:pPr>
              <w:spacing w:after="0"/>
              <w:jc w:val="center"/>
              <w:rPr>
                <w:rFonts w:cs="Arial"/>
                <w:color w:val="FFFFFF"/>
                <w:szCs w:val="20"/>
                <w:lang w:val="en-NZ" w:eastAsia="en-NZ"/>
              </w:rPr>
            </w:pPr>
          </w:p>
        </w:tc>
        <w:tc>
          <w:tcPr>
            <w:tcW w:w="2098" w:type="dxa"/>
            <w:vMerge/>
            <w:tcBorders>
              <w:top w:val="nil"/>
              <w:left w:val="single" w:sz="8" w:space="0" w:color="FFFFFF"/>
              <w:bottom w:val="nil"/>
              <w:right w:val="single" w:sz="8" w:space="0" w:color="FFFFFF"/>
            </w:tcBorders>
            <w:vAlign w:val="center"/>
            <w:hideMark/>
          </w:tcPr>
          <w:p w14:paraId="644C0027" w14:textId="77777777" w:rsidR="00812118" w:rsidRPr="002F357B" w:rsidRDefault="00812118" w:rsidP="000A39D8">
            <w:pPr>
              <w:spacing w:after="0"/>
              <w:jc w:val="center"/>
              <w:rPr>
                <w:rFonts w:cs="Arial"/>
                <w:color w:val="FFFFFF"/>
                <w:szCs w:val="20"/>
                <w:lang w:val="en-NZ" w:eastAsia="en-NZ"/>
              </w:rPr>
            </w:pPr>
          </w:p>
        </w:tc>
        <w:tc>
          <w:tcPr>
            <w:tcW w:w="1134" w:type="dxa"/>
            <w:tcBorders>
              <w:top w:val="nil"/>
              <w:left w:val="nil"/>
              <w:bottom w:val="nil"/>
              <w:right w:val="single" w:sz="8" w:space="0" w:color="FFFFFF"/>
            </w:tcBorders>
            <w:shd w:val="clear" w:color="000000" w:fill="00599C"/>
            <w:noWrap/>
            <w:vAlign w:val="center"/>
            <w:hideMark/>
          </w:tcPr>
          <w:p w14:paraId="52AEBB26" w14:textId="77777777" w:rsidR="00812118" w:rsidRPr="00381B57" w:rsidRDefault="00812118" w:rsidP="00381B57">
            <w:pPr>
              <w:pStyle w:val="Body"/>
              <w:ind w:left="0"/>
              <w:jc w:val="center"/>
              <w:rPr>
                <w:color w:val="FFFFFF"/>
                <w:lang w:eastAsia="en-AU"/>
              </w:rPr>
            </w:pPr>
            <w:r w:rsidRPr="00381B57">
              <w:rPr>
                <w:color w:val="FFFFFF"/>
                <w:lang w:eastAsia="en-AU"/>
              </w:rPr>
              <w:t>Affected</w:t>
            </w:r>
          </w:p>
        </w:tc>
        <w:tc>
          <w:tcPr>
            <w:tcW w:w="1134" w:type="dxa"/>
            <w:tcBorders>
              <w:top w:val="nil"/>
              <w:left w:val="nil"/>
              <w:bottom w:val="nil"/>
              <w:right w:val="single" w:sz="8" w:space="0" w:color="FFFFFF"/>
            </w:tcBorders>
            <w:shd w:val="clear" w:color="000000" w:fill="00599C"/>
            <w:noWrap/>
            <w:vAlign w:val="center"/>
            <w:hideMark/>
          </w:tcPr>
          <w:p w14:paraId="144E78A0" w14:textId="77777777" w:rsidR="00812118" w:rsidRPr="00381B57" w:rsidRDefault="00812118" w:rsidP="00381B57">
            <w:pPr>
              <w:pStyle w:val="Body"/>
              <w:ind w:left="0"/>
              <w:jc w:val="center"/>
              <w:rPr>
                <w:color w:val="FFFFFF"/>
                <w:lang w:eastAsia="en-AU"/>
              </w:rPr>
            </w:pPr>
            <w:r w:rsidRPr="00381B57">
              <w:rPr>
                <w:color w:val="FFFFFF"/>
                <w:lang w:eastAsia="en-AU"/>
              </w:rPr>
              <w:t>Total</w:t>
            </w:r>
          </w:p>
        </w:tc>
        <w:tc>
          <w:tcPr>
            <w:tcW w:w="1134" w:type="dxa"/>
            <w:tcBorders>
              <w:top w:val="nil"/>
              <w:left w:val="nil"/>
              <w:bottom w:val="nil"/>
              <w:right w:val="single" w:sz="8" w:space="0" w:color="FFFFFF"/>
            </w:tcBorders>
            <w:shd w:val="clear" w:color="000000" w:fill="00599C"/>
            <w:noWrap/>
            <w:vAlign w:val="center"/>
            <w:hideMark/>
          </w:tcPr>
          <w:p w14:paraId="2176411B" w14:textId="77777777" w:rsidR="00812118" w:rsidRPr="00381B57" w:rsidRDefault="00812118" w:rsidP="00381B57">
            <w:pPr>
              <w:pStyle w:val="Body"/>
              <w:ind w:left="0"/>
              <w:jc w:val="center"/>
              <w:rPr>
                <w:color w:val="FFFFFF"/>
                <w:lang w:eastAsia="en-AU"/>
              </w:rPr>
            </w:pPr>
            <w:r w:rsidRPr="00381B57">
              <w:rPr>
                <w:color w:val="FFFFFF"/>
                <w:lang w:eastAsia="en-AU"/>
              </w:rPr>
              <w:t>Affected</w:t>
            </w:r>
          </w:p>
        </w:tc>
        <w:tc>
          <w:tcPr>
            <w:tcW w:w="1134" w:type="dxa"/>
            <w:tcBorders>
              <w:top w:val="nil"/>
              <w:left w:val="nil"/>
              <w:bottom w:val="nil"/>
              <w:right w:val="single" w:sz="8" w:space="0" w:color="FFFFFF"/>
            </w:tcBorders>
            <w:shd w:val="clear" w:color="000000" w:fill="00599C"/>
            <w:noWrap/>
            <w:vAlign w:val="center"/>
            <w:hideMark/>
          </w:tcPr>
          <w:p w14:paraId="50AC7E60" w14:textId="77777777" w:rsidR="00812118" w:rsidRPr="00381B57" w:rsidRDefault="00812118" w:rsidP="00381B57">
            <w:pPr>
              <w:pStyle w:val="Body"/>
              <w:ind w:left="0"/>
              <w:jc w:val="center"/>
              <w:rPr>
                <w:color w:val="FFFFFF"/>
                <w:lang w:eastAsia="en-AU"/>
              </w:rPr>
            </w:pPr>
            <w:r w:rsidRPr="00381B57">
              <w:rPr>
                <w:color w:val="FFFFFF"/>
                <w:lang w:eastAsia="en-AU"/>
              </w:rPr>
              <w:t>Total</w:t>
            </w:r>
          </w:p>
        </w:tc>
        <w:tc>
          <w:tcPr>
            <w:tcW w:w="1134" w:type="dxa"/>
            <w:tcBorders>
              <w:top w:val="nil"/>
              <w:left w:val="nil"/>
              <w:bottom w:val="nil"/>
              <w:right w:val="single" w:sz="8" w:space="0" w:color="FFFFFF"/>
            </w:tcBorders>
            <w:shd w:val="clear" w:color="000000" w:fill="00599C"/>
            <w:noWrap/>
            <w:vAlign w:val="center"/>
            <w:hideMark/>
          </w:tcPr>
          <w:p w14:paraId="0479135A" w14:textId="77777777" w:rsidR="00812118" w:rsidRPr="00381B57" w:rsidRDefault="00812118" w:rsidP="00381B57">
            <w:pPr>
              <w:pStyle w:val="Body"/>
              <w:ind w:left="0"/>
              <w:jc w:val="center"/>
              <w:rPr>
                <w:color w:val="FFFFFF"/>
                <w:lang w:eastAsia="en-AU"/>
              </w:rPr>
            </w:pPr>
            <w:r w:rsidRPr="00381B57">
              <w:rPr>
                <w:color w:val="FFFFFF"/>
                <w:lang w:eastAsia="en-AU"/>
              </w:rPr>
              <w:t>Affected</w:t>
            </w:r>
          </w:p>
        </w:tc>
        <w:tc>
          <w:tcPr>
            <w:tcW w:w="1134" w:type="dxa"/>
            <w:tcBorders>
              <w:top w:val="nil"/>
              <w:left w:val="nil"/>
              <w:bottom w:val="nil"/>
              <w:right w:val="single" w:sz="8" w:space="0" w:color="FFFFFF"/>
            </w:tcBorders>
            <w:shd w:val="clear" w:color="000000" w:fill="00599C"/>
            <w:noWrap/>
            <w:vAlign w:val="center"/>
            <w:hideMark/>
          </w:tcPr>
          <w:p w14:paraId="33E81B71" w14:textId="77777777" w:rsidR="00812118" w:rsidRPr="00381B57" w:rsidRDefault="00812118" w:rsidP="00381B57">
            <w:pPr>
              <w:pStyle w:val="Body"/>
              <w:ind w:left="0"/>
              <w:jc w:val="center"/>
              <w:rPr>
                <w:color w:val="FFFFFF"/>
                <w:lang w:eastAsia="en-AU"/>
              </w:rPr>
            </w:pPr>
            <w:r w:rsidRPr="00381B57">
              <w:rPr>
                <w:color w:val="FFFFFF"/>
                <w:lang w:eastAsia="en-AU"/>
              </w:rPr>
              <w:t>Total</w:t>
            </w:r>
          </w:p>
        </w:tc>
      </w:tr>
      <w:tr w:rsidR="00AE2FDC" w:rsidRPr="00DF0A90" w14:paraId="7A633F70" w14:textId="77777777" w:rsidTr="007A37B6">
        <w:trPr>
          <w:trHeight w:val="315"/>
        </w:trPr>
        <w:tc>
          <w:tcPr>
            <w:tcW w:w="1928" w:type="dxa"/>
            <w:tcBorders>
              <w:top w:val="single" w:sz="8" w:space="0" w:color="FFFFFF"/>
              <w:left w:val="single" w:sz="8" w:space="0" w:color="FFFFFF"/>
              <w:bottom w:val="single" w:sz="8" w:space="0" w:color="FFFFFF"/>
              <w:right w:val="single" w:sz="8" w:space="0" w:color="FFFFFF"/>
            </w:tcBorders>
            <w:shd w:val="clear" w:color="000000" w:fill="E7E7E8"/>
            <w:noWrap/>
            <w:vAlign w:val="center"/>
            <w:hideMark/>
          </w:tcPr>
          <w:p w14:paraId="23ABCE31" w14:textId="77777777" w:rsidR="00AE2FDC" w:rsidRPr="002F357B" w:rsidRDefault="00AE2FDC" w:rsidP="00AE2FDC">
            <w:pPr>
              <w:spacing w:after="0"/>
              <w:rPr>
                <w:rFonts w:cs="Arial"/>
                <w:color w:val="000000"/>
                <w:szCs w:val="20"/>
                <w:lang w:val="en-NZ" w:eastAsia="en-NZ"/>
              </w:rPr>
            </w:pPr>
            <w:r w:rsidRPr="002F357B">
              <w:rPr>
                <w:rFonts w:cs="Arial"/>
                <w:color w:val="000000"/>
                <w:szCs w:val="20"/>
                <w:lang w:val="en-NZ" w:eastAsia="en-NZ"/>
              </w:rPr>
              <w:t>Auckland</w:t>
            </w:r>
          </w:p>
        </w:tc>
        <w:tc>
          <w:tcPr>
            <w:tcW w:w="1247" w:type="dxa"/>
            <w:tcBorders>
              <w:top w:val="single" w:sz="8" w:space="0" w:color="FFFFFF"/>
              <w:left w:val="nil"/>
              <w:bottom w:val="single" w:sz="8" w:space="0" w:color="FFFFFF"/>
              <w:right w:val="single" w:sz="8" w:space="0" w:color="FFFFFF"/>
            </w:tcBorders>
            <w:shd w:val="clear" w:color="000000" w:fill="E7E7E8"/>
            <w:noWrap/>
            <w:vAlign w:val="center"/>
            <w:hideMark/>
          </w:tcPr>
          <w:p w14:paraId="1111EB05" w14:textId="77777777" w:rsidR="00AE2FDC" w:rsidRPr="002F357B" w:rsidRDefault="00CC08F3" w:rsidP="00122690">
            <w:pPr>
              <w:spacing w:after="0"/>
              <w:jc w:val="center"/>
              <w:rPr>
                <w:rFonts w:cs="Arial"/>
                <w:color w:val="000000"/>
                <w:szCs w:val="20"/>
                <w:lang w:val="en-NZ" w:eastAsia="en-NZ"/>
              </w:rPr>
            </w:pPr>
            <w:r w:rsidRPr="002F357B">
              <w:rPr>
                <w:rFonts w:cs="Arial"/>
                <w:color w:val="000000"/>
                <w:szCs w:val="20"/>
              </w:rPr>
              <w:t>4</w:t>
            </w:r>
          </w:p>
        </w:tc>
        <w:tc>
          <w:tcPr>
            <w:tcW w:w="1247" w:type="dxa"/>
            <w:tcBorders>
              <w:top w:val="single" w:sz="8" w:space="0" w:color="FFFFFF"/>
              <w:left w:val="nil"/>
              <w:bottom w:val="single" w:sz="8" w:space="0" w:color="FFFFFF"/>
              <w:right w:val="single" w:sz="8" w:space="0" w:color="FFFFFF"/>
            </w:tcBorders>
            <w:shd w:val="clear" w:color="000000" w:fill="E7E7E8"/>
            <w:noWrap/>
            <w:vAlign w:val="center"/>
            <w:hideMark/>
          </w:tcPr>
          <w:p w14:paraId="7771E1A6" w14:textId="77777777" w:rsidR="00AE2FDC" w:rsidRPr="002F357B" w:rsidRDefault="00CC08F3" w:rsidP="000A39D8">
            <w:pPr>
              <w:spacing w:after="0"/>
              <w:jc w:val="center"/>
              <w:rPr>
                <w:rFonts w:cs="Arial"/>
                <w:color w:val="000000"/>
                <w:szCs w:val="20"/>
                <w:lang w:val="en-NZ" w:eastAsia="en-NZ"/>
              </w:rPr>
            </w:pPr>
            <w:r w:rsidRPr="002F357B">
              <w:rPr>
                <w:rFonts w:cs="Arial"/>
                <w:color w:val="000000"/>
                <w:szCs w:val="20"/>
              </w:rPr>
              <w:t>10,030</w:t>
            </w:r>
          </w:p>
        </w:tc>
        <w:tc>
          <w:tcPr>
            <w:tcW w:w="1928" w:type="dxa"/>
            <w:tcBorders>
              <w:top w:val="single" w:sz="8" w:space="0" w:color="FFFFFF"/>
              <w:left w:val="nil"/>
              <w:bottom w:val="single" w:sz="8" w:space="0" w:color="FFFFFF"/>
              <w:right w:val="single" w:sz="8" w:space="0" w:color="FFFFFF"/>
            </w:tcBorders>
            <w:shd w:val="clear" w:color="000000" w:fill="E7E7E8"/>
            <w:noWrap/>
            <w:vAlign w:val="center"/>
            <w:hideMark/>
          </w:tcPr>
          <w:p w14:paraId="66EA9E67"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lang w:val="en-NZ" w:eastAsia="en-NZ"/>
              </w:rPr>
              <w:t>$32 - $48</w:t>
            </w:r>
          </w:p>
        </w:tc>
        <w:tc>
          <w:tcPr>
            <w:tcW w:w="2098" w:type="dxa"/>
            <w:tcBorders>
              <w:top w:val="single" w:sz="8" w:space="0" w:color="FFFFFF"/>
              <w:left w:val="nil"/>
              <w:bottom w:val="single" w:sz="8" w:space="0" w:color="FFFFFF"/>
              <w:right w:val="single" w:sz="8" w:space="0" w:color="FFFFFF"/>
            </w:tcBorders>
            <w:shd w:val="clear" w:color="000000" w:fill="E7E7E8"/>
            <w:noWrap/>
            <w:vAlign w:val="center"/>
            <w:hideMark/>
          </w:tcPr>
          <w:p w14:paraId="51CBD46C"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$0.59 - $0.89</w:t>
            </w:r>
          </w:p>
        </w:tc>
        <w:tc>
          <w:tcPr>
            <w:tcW w:w="1134" w:type="dxa"/>
            <w:tcBorders>
              <w:top w:val="single" w:sz="8" w:space="0" w:color="FFFFFF"/>
              <w:left w:val="nil"/>
              <w:bottom w:val="single" w:sz="8" w:space="0" w:color="FFFFFF"/>
              <w:right w:val="single" w:sz="8" w:space="0" w:color="FFFFFF"/>
            </w:tcBorders>
            <w:shd w:val="clear" w:color="000000" w:fill="E7E7E8"/>
            <w:noWrap/>
            <w:vAlign w:val="center"/>
            <w:hideMark/>
          </w:tcPr>
          <w:p w14:paraId="13A10881" w14:textId="77777777" w:rsidR="00AE2FDC" w:rsidRPr="002F357B" w:rsidRDefault="00CC08F3" w:rsidP="000A39D8">
            <w:pPr>
              <w:spacing w:after="0"/>
              <w:jc w:val="center"/>
              <w:rPr>
                <w:rFonts w:cs="Arial"/>
                <w:color w:val="000000"/>
                <w:szCs w:val="20"/>
                <w:lang w:val="en-NZ" w:eastAsia="en-NZ"/>
              </w:rPr>
            </w:pPr>
            <w:r w:rsidRPr="002F357B">
              <w:rPr>
                <w:rFonts w:cs="Arial"/>
                <w:color w:val="000000"/>
                <w:szCs w:val="20"/>
              </w:rPr>
              <w:t>$3,996</w:t>
            </w:r>
          </w:p>
        </w:tc>
        <w:tc>
          <w:tcPr>
            <w:tcW w:w="1134" w:type="dxa"/>
            <w:tcBorders>
              <w:top w:val="single" w:sz="8" w:space="0" w:color="FFFFFF"/>
              <w:left w:val="nil"/>
              <w:bottom w:val="single" w:sz="8" w:space="0" w:color="FFFFFF"/>
              <w:right w:val="single" w:sz="8" w:space="0" w:color="FFFFFF"/>
            </w:tcBorders>
            <w:shd w:val="clear" w:color="000000" w:fill="E7E7E8"/>
            <w:noWrap/>
            <w:vAlign w:val="center"/>
            <w:hideMark/>
          </w:tcPr>
          <w:p w14:paraId="23D00B77"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$31</w:t>
            </w:r>
          </w:p>
        </w:tc>
        <w:tc>
          <w:tcPr>
            <w:tcW w:w="1134" w:type="dxa"/>
            <w:tcBorders>
              <w:top w:val="single" w:sz="8" w:space="0" w:color="FFFFFF"/>
              <w:left w:val="nil"/>
              <w:bottom w:val="single" w:sz="8" w:space="0" w:color="FFFFFF"/>
              <w:right w:val="single" w:sz="8" w:space="0" w:color="FFFFFF"/>
            </w:tcBorders>
            <w:shd w:val="clear" w:color="000000" w:fill="E7E7E8"/>
            <w:noWrap/>
            <w:vAlign w:val="center"/>
            <w:hideMark/>
          </w:tcPr>
          <w:p w14:paraId="7F549C75"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w:t>
            </w:r>
            <w:r w:rsidR="00CC08F3" w:rsidRPr="002F357B">
              <w:rPr>
                <w:rFonts w:cs="Arial"/>
                <w:color w:val="000000"/>
                <w:szCs w:val="20"/>
              </w:rPr>
              <w:t>74</w:t>
            </w:r>
          </w:p>
        </w:tc>
        <w:tc>
          <w:tcPr>
            <w:tcW w:w="1134" w:type="dxa"/>
            <w:tcBorders>
              <w:top w:val="single" w:sz="8" w:space="0" w:color="FFFFFF"/>
              <w:left w:val="nil"/>
              <w:bottom w:val="single" w:sz="8" w:space="0" w:color="FFFFFF"/>
              <w:right w:val="single" w:sz="8" w:space="0" w:color="FFFFFF"/>
            </w:tcBorders>
            <w:shd w:val="clear" w:color="000000" w:fill="E7E7E8"/>
            <w:noWrap/>
            <w:vAlign w:val="center"/>
            <w:hideMark/>
          </w:tcPr>
          <w:p w14:paraId="6C03389A"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$1</w:t>
            </w:r>
          </w:p>
        </w:tc>
        <w:tc>
          <w:tcPr>
            <w:tcW w:w="1134" w:type="dxa"/>
            <w:tcBorders>
              <w:top w:val="single" w:sz="8" w:space="0" w:color="FFFFFF"/>
              <w:left w:val="nil"/>
              <w:bottom w:val="single" w:sz="8" w:space="0" w:color="FFFFFF"/>
              <w:right w:val="single" w:sz="8" w:space="0" w:color="FFFFFF"/>
            </w:tcBorders>
            <w:shd w:val="clear" w:color="000000" w:fill="E7E7E8"/>
            <w:noWrap/>
            <w:vAlign w:val="center"/>
            <w:hideMark/>
          </w:tcPr>
          <w:p w14:paraId="529F4EC6" w14:textId="77777777" w:rsidR="00AE2FDC" w:rsidRPr="002F357B" w:rsidRDefault="00CC08F3" w:rsidP="000A39D8">
            <w:pPr>
              <w:spacing w:after="0"/>
              <w:jc w:val="center"/>
              <w:rPr>
                <w:rFonts w:cs="Arial"/>
                <w:color w:val="000000"/>
                <w:szCs w:val="20"/>
                <w:lang w:val="en-NZ" w:eastAsia="en-NZ"/>
              </w:rPr>
            </w:pPr>
            <w:r w:rsidRPr="002F357B">
              <w:rPr>
                <w:rFonts w:cs="Arial"/>
                <w:color w:val="000000"/>
                <w:szCs w:val="20"/>
              </w:rPr>
              <w:t>$1,044</w:t>
            </w:r>
          </w:p>
        </w:tc>
        <w:tc>
          <w:tcPr>
            <w:tcW w:w="1134" w:type="dxa"/>
            <w:tcBorders>
              <w:top w:val="single" w:sz="8" w:space="0" w:color="FFFFFF"/>
              <w:left w:val="nil"/>
              <w:bottom w:val="single" w:sz="8" w:space="0" w:color="FFFFFF"/>
              <w:right w:val="single" w:sz="8" w:space="0" w:color="FFFFFF"/>
            </w:tcBorders>
            <w:shd w:val="clear" w:color="000000" w:fill="E7E7E8"/>
            <w:noWrap/>
            <w:vAlign w:val="center"/>
            <w:hideMark/>
          </w:tcPr>
          <w:p w14:paraId="449DF23F"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$8</w:t>
            </w:r>
          </w:p>
        </w:tc>
      </w:tr>
      <w:tr w:rsidR="00AE2FDC" w:rsidRPr="00DF0A90" w14:paraId="61F46F9A" w14:textId="77777777" w:rsidTr="007A37B6">
        <w:trPr>
          <w:trHeight w:val="315"/>
        </w:trPr>
        <w:tc>
          <w:tcPr>
            <w:tcW w:w="1928" w:type="dxa"/>
            <w:tcBorders>
              <w:top w:val="nil"/>
              <w:left w:val="single" w:sz="8" w:space="0" w:color="FFFFFF"/>
              <w:bottom w:val="single" w:sz="8" w:space="0" w:color="FFFFFF"/>
              <w:right w:val="single" w:sz="8" w:space="0" w:color="FFFFFF"/>
            </w:tcBorders>
            <w:shd w:val="clear" w:color="000000" w:fill="E7E7E8"/>
            <w:noWrap/>
            <w:vAlign w:val="center"/>
            <w:hideMark/>
          </w:tcPr>
          <w:p w14:paraId="4C85A2C0" w14:textId="77777777" w:rsidR="00AE2FDC" w:rsidRPr="002F357B" w:rsidRDefault="00AE2FDC" w:rsidP="00AE2FDC">
            <w:pPr>
              <w:spacing w:after="0"/>
              <w:rPr>
                <w:rFonts w:cs="Arial"/>
                <w:color w:val="000000"/>
                <w:szCs w:val="20"/>
                <w:lang w:val="en-NZ" w:eastAsia="en-NZ"/>
              </w:rPr>
            </w:pPr>
            <w:r w:rsidRPr="002F357B">
              <w:rPr>
                <w:rFonts w:cs="Arial"/>
                <w:color w:val="000000"/>
                <w:szCs w:val="20"/>
                <w:lang w:val="en-NZ" w:eastAsia="en-NZ"/>
              </w:rPr>
              <w:t>Bay of Plenty</w:t>
            </w:r>
          </w:p>
        </w:tc>
        <w:tc>
          <w:tcPr>
            <w:tcW w:w="1247" w:type="dxa"/>
            <w:tcBorders>
              <w:top w:val="nil"/>
              <w:left w:val="nil"/>
              <w:bottom w:val="single" w:sz="8" w:space="0" w:color="FFFFFF"/>
              <w:right w:val="single" w:sz="8" w:space="0" w:color="FFFFFF"/>
            </w:tcBorders>
            <w:shd w:val="clear" w:color="000000" w:fill="E7E7E8"/>
            <w:noWrap/>
            <w:vAlign w:val="center"/>
            <w:hideMark/>
          </w:tcPr>
          <w:p w14:paraId="3DC16B5A" w14:textId="77777777" w:rsidR="00AE2FDC" w:rsidRPr="002F357B" w:rsidRDefault="00AE2FDC" w:rsidP="00122690">
            <w:pPr>
              <w:spacing w:after="0"/>
              <w:jc w:val="center"/>
              <w:rPr>
                <w:rFonts w:cs="Arial"/>
                <w:color w:val="000000"/>
                <w:szCs w:val="20"/>
                <w:lang w:val="en-NZ" w:eastAsia="en-NZ"/>
              </w:rPr>
            </w:pPr>
            <w:r w:rsidRPr="002F357B">
              <w:rPr>
                <w:rFonts w:cs="Arial"/>
                <w:color w:val="000000"/>
                <w:szCs w:val="20"/>
              </w:rPr>
              <w:t>6</w:t>
            </w:r>
          </w:p>
        </w:tc>
        <w:tc>
          <w:tcPr>
            <w:tcW w:w="1247" w:type="dxa"/>
            <w:tcBorders>
              <w:top w:val="nil"/>
              <w:left w:val="nil"/>
              <w:bottom w:val="single" w:sz="8" w:space="0" w:color="FFFFFF"/>
              <w:right w:val="single" w:sz="8" w:space="0" w:color="FFFFFF"/>
            </w:tcBorders>
            <w:shd w:val="clear" w:color="000000" w:fill="E7E7E8"/>
            <w:noWrap/>
            <w:vAlign w:val="center"/>
            <w:hideMark/>
          </w:tcPr>
          <w:p w14:paraId="40404019"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20,320</w:t>
            </w:r>
          </w:p>
        </w:tc>
        <w:tc>
          <w:tcPr>
            <w:tcW w:w="1928" w:type="dxa"/>
            <w:tcBorders>
              <w:top w:val="nil"/>
              <w:left w:val="nil"/>
              <w:bottom w:val="single" w:sz="8" w:space="0" w:color="FFFFFF"/>
              <w:right w:val="single" w:sz="8" w:space="0" w:color="FFFFFF"/>
            </w:tcBorders>
            <w:shd w:val="clear" w:color="000000" w:fill="E7E7E8"/>
            <w:noWrap/>
            <w:vAlign w:val="center"/>
            <w:hideMark/>
          </w:tcPr>
          <w:p w14:paraId="7BE7E834"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lang w:val="en-NZ" w:eastAsia="en-NZ"/>
              </w:rPr>
              <w:t>$55 - $83</w:t>
            </w:r>
          </w:p>
        </w:tc>
        <w:tc>
          <w:tcPr>
            <w:tcW w:w="2098" w:type="dxa"/>
            <w:tcBorders>
              <w:top w:val="nil"/>
              <w:left w:val="nil"/>
              <w:bottom w:val="single" w:sz="8" w:space="0" w:color="FFFFFF"/>
              <w:right w:val="single" w:sz="8" w:space="0" w:color="FFFFFF"/>
            </w:tcBorders>
            <w:shd w:val="clear" w:color="000000" w:fill="E7E7E8"/>
            <w:noWrap/>
            <w:vAlign w:val="center"/>
            <w:hideMark/>
          </w:tcPr>
          <w:p w14:paraId="0AC40D07"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$1.2 - $1.8</w:t>
            </w:r>
          </w:p>
        </w:tc>
        <w:tc>
          <w:tcPr>
            <w:tcW w:w="1134" w:type="dxa"/>
            <w:tcBorders>
              <w:top w:val="nil"/>
              <w:left w:val="nil"/>
              <w:bottom w:val="single" w:sz="8" w:space="0" w:color="FFFFFF"/>
              <w:right w:val="single" w:sz="8" w:space="0" w:color="FFFFFF"/>
            </w:tcBorders>
            <w:shd w:val="clear" w:color="000000" w:fill="E7E7E8"/>
            <w:noWrap/>
            <w:vAlign w:val="center"/>
            <w:hideMark/>
          </w:tcPr>
          <w:p w14:paraId="1E347BDE"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$3,400</w:t>
            </w:r>
          </w:p>
        </w:tc>
        <w:tc>
          <w:tcPr>
            <w:tcW w:w="1134" w:type="dxa"/>
            <w:tcBorders>
              <w:top w:val="nil"/>
              <w:left w:val="nil"/>
              <w:bottom w:val="single" w:sz="8" w:space="0" w:color="FFFFFF"/>
              <w:right w:val="single" w:sz="8" w:space="0" w:color="FFFFFF"/>
            </w:tcBorders>
            <w:shd w:val="clear" w:color="000000" w:fill="E7E7E8"/>
            <w:noWrap/>
            <w:vAlign w:val="center"/>
            <w:hideMark/>
          </w:tcPr>
          <w:p w14:paraId="5E80C193"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$314</w:t>
            </w:r>
          </w:p>
        </w:tc>
        <w:tc>
          <w:tcPr>
            <w:tcW w:w="1134" w:type="dxa"/>
            <w:tcBorders>
              <w:top w:val="nil"/>
              <w:left w:val="nil"/>
              <w:bottom w:val="single" w:sz="8" w:space="0" w:color="FFFFFF"/>
              <w:right w:val="single" w:sz="8" w:space="0" w:color="FFFFFF"/>
            </w:tcBorders>
            <w:shd w:val="clear" w:color="000000" w:fill="E7E7E8"/>
            <w:noWrap/>
            <w:vAlign w:val="center"/>
            <w:hideMark/>
          </w:tcPr>
          <w:p w14:paraId="0C8EFAA6"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$76</w:t>
            </w:r>
          </w:p>
        </w:tc>
        <w:tc>
          <w:tcPr>
            <w:tcW w:w="1134" w:type="dxa"/>
            <w:tcBorders>
              <w:top w:val="nil"/>
              <w:left w:val="nil"/>
              <w:bottom w:val="single" w:sz="8" w:space="0" w:color="FFFFFF"/>
              <w:right w:val="single" w:sz="8" w:space="0" w:color="FFFFFF"/>
            </w:tcBorders>
            <w:shd w:val="clear" w:color="000000" w:fill="E7E7E8"/>
            <w:noWrap/>
            <w:vAlign w:val="center"/>
            <w:hideMark/>
          </w:tcPr>
          <w:p w14:paraId="64326867"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$7</w:t>
            </w:r>
          </w:p>
        </w:tc>
        <w:tc>
          <w:tcPr>
            <w:tcW w:w="1134" w:type="dxa"/>
            <w:tcBorders>
              <w:top w:val="nil"/>
              <w:left w:val="nil"/>
              <w:bottom w:val="single" w:sz="8" w:space="0" w:color="FFFFFF"/>
              <w:right w:val="single" w:sz="8" w:space="0" w:color="FFFFFF"/>
            </w:tcBorders>
            <w:shd w:val="clear" w:color="000000" w:fill="E7E7E8"/>
            <w:noWrap/>
            <w:vAlign w:val="center"/>
            <w:hideMark/>
          </w:tcPr>
          <w:p w14:paraId="7CDC16CC"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$922</w:t>
            </w:r>
          </w:p>
        </w:tc>
        <w:tc>
          <w:tcPr>
            <w:tcW w:w="1134" w:type="dxa"/>
            <w:tcBorders>
              <w:top w:val="nil"/>
              <w:left w:val="nil"/>
              <w:bottom w:val="single" w:sz="8" w:space="0" w:color="FFFFFF"/>
              <w:right w:val="single" w:sz="8" w:space="0" w:color="FFFFFF"/>
            </w:tcBorders>
            <w:shd w:val="clear" w:color="000000" w:fill="E7E7E8"/>
            <w:noWrap/>
            <w:vAlign w:val="center"/>
            <w:hideMark/>
          </w:tcPr>
          <w:p w14:paraId="22639915"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$85</w:t>
            </w:r>
          </w:p>
        </w:tc>
      </w:tr>
      <w:tr w:rsidR="00AE2FDC" w:rsidRPr="00DF0A90" w14:paraId="71B7F5CF" w14:textId="77777777" w:rsidTr="007A37B6">
        <w:trPr>
          <w:trHeight w:val="315"/>
        </w:trPr>
        <w:tc>
          <w:tcPr>
            <w:tcW w:w="1928" w:type="dxa"/>
            <w:tcBorders>
              <w:top w:val="nil"/>
              <w:left w:val="single" w:sz="8" w:space="0" w:color="FFFFFF"/>
              <w:bottom w:val="single" w:sz="8" w:space="0" w:color="FFFFFF"/>
              <w:right w:val="single" w:sz="8" w:space="0" w:color="FFFFFF"/>
            </w:tcBorders>
            <w:shd w:val="clear" w:color="000000" w:fill="E7E7E8"/>
            <w:noWrap/>
            <w:vAlign w:val="center"/>
            <w:hideMark/>
          </w:tcPr>
          <w:p w14:paraId="796A50E4" w14:textId="77777777" w:rsidR="00AE2FDC" w:rsidRPr="002F357B" w:rsidRDefault="00AE2FDC" w:rsidP="00AE2FDC">
            <w:pPr>
              <w:spacing w:after="0"/>
              <w:rPr>
                <w:rFonts w:cs="Arial"/>
                <w:color w:val="000000"/>
                <w:szCs w:val="20"/>
                <w:lang w:val="en-NZ" w:eastAsia="en-NZ"/>
              </w:rPr>
            </w:pPr>
            <w:r w:rsidRPr="002F357B">
              <w:rPr>
                <w:rFonts w:cs="Arial"/>
                <w:color w:val="000000"/>
                <w:szCs w:val="20"/>
                <w:lang w:val="en-NZ" w:eastAsia="en-NZ"/>
              </w:rPr>
              <w:t>Canterbury</w:t>
            </w:r>
          </w:p>
        </w:tc>
        <w:tc>
          <w:tcPr>
            <w:tcW w:w="1247" w:type="dxa"/>
            <w:tcBorders>
              <w:top w:val="nil"/>
              <w:left w:val="nil"/>
              <w:bottom w:val="single" w:sz="8" w:space="0" w:color="FFFFFF"/>
              <w:right w:val="single" w:sz="8" w:space="0" w:color="FFFFFF"/>
            </w:tcBorders>
            <w:shd w:val="clear" w:color="000000" w:fill="E7E7E8"/>
            <w:noWrap/>
            <w:vAlign w:val="center"/>
            <w:hideMark/>
          </w:tcPr>
          <w:p w14:paraId="7EAE34E2" w14:textId="77777777" w:rsidR="00AE2FDC" w:rsidRPr="002F357B" w:rsidRDefault="00AE2FDC" w:rsidP="00122690">
            <w:pPr>
              <w:spacing w:after="0"/>
              <w:jc w:val="center"/>
              <w:rPr>
                <w:rFonts w:cs="Arial"/>
                <w:color w:val="000000"/>
                <w:szCs w:val="20"/>
                <w:lang w:val="en-NZ" w:eastAsia="en-NZ"/>
              </w:rPr>
            </w:pPr>
            <w:r w:rsidRPr="002F357B">
              <w:rPr>
                <w:rFonts w:cs="Arial"/>
                <w:color w:val="000000"/>
                <w:szCs w:val="20"/>
              </w:rPr>
              <w:t>12</w:t>
            </w:r>
          </w:p>
        </w:tc>
        <w:tc>
          <w:tcPr>
            <w:tcW w:w="1247" w:type="dxa"/>
            <w:tcBorders>
              <w:top w:val="nil"/>
              <w:left w:val="nil"/>
              <w:bottom w:val="single" w:sz="8" w:space="0" w:color="FFFFFF"/>
              <w:right w:val="single" w:sz="8" w:space="0" w:color="FFFFFF"/>
            </w:tcBorders>
            <w:shd w:val="clear" w:color="000000" w:fill="E7E7E8"/>
            <w:noWrap/>
            <w:vAlign w:val="center"/>
            <w:hideMark/>
          </w:tcPr>
          <w:p w14:paraId="7C2FBE41"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5,270</w:t>
            </w:r>
          </w:p>
        </w:tc>
        <w:tc>
          <w:tcPr>
            <w:tcW w:w="1928" w:type="dxa"/>
            <w:tcBorders>
              <w:top w:val="nil"/>
              <w:left w:val="nil"/>
              <w:bottom w:val="single" w:sz="8" w:space="0" w:color="FFFFFF"/>
              <w:right w:val="single" w:sz="8" w:space="0" w:color="FFFFFF"/>
            </w:tcBorders>
            <w:shd w:val="clear" w:color="000000" w:fill="E7E7E8"/>
            <w:noWrap/>
            <w:vAlign w:val="center"/>
            <w:hideMark/>
          </w:tcPr>
          <w:p w14:paraId="4EA2C311"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lang w:val="en-NZ" w:eastAsia="en-NZ"/>
              </w:rPr>
              <w:t>$31 - $46</w:t>
            </w:r>
          </w:p>
        </w:tc>
        <w:tc>
          <w:tcPr>
            <w:tcW w:w="2098" w:type="dxa"/>
            <w:tcBorders>
              <w:top w:val="nil"/>
              <w:left w:val="nil"/>
              <w:bottom w:val="single" w:sz="8" w:space="0" w:color="FFFFFF"/>
              <w:right w:val="single" w:sz="8" w:space="0" w:color="FFFFFF"/>
            </w:tcBorders>
            <w:shd w:val="clear" w:color="000000" w:fill="E7E7E8"/>
            <w:noWrap/>
            <w:vAlign w:val="center"/>
            <w:hideMark/>
          </w:tcPr>
          <w:p w14:paraId="55223BF7"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$0.28 - $0.41</w:t>
            </w:r>
          </w:p>
        </w:tc>
        <w:tc>
          <w:tcPr>
            <w:tcW w:w="1134" w:type="dxa"/>
            <w:tcBorders>
              <w:top w:val="nil"/>
              <w:left w:val="nil"/>
              <w:bottom w:val="single" w:sz="8" w:space="0" w:color="FFFFFF"/>
              <w:right w:val="single" w:sz="8" w:space="0" w:color="FFFFFF"/>
            </w:tcBorders>
            <w:shd w:val="clear" w:color="000000" w:fill="E7E7E8"/>
            <w:noWrap/>
            <w:vAlign w:val="center"/>
            <w:hideMark/>
          </w:tcPr>
          <w:p w14:paraId="1D6355F0"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$7,295</w:t>
            </w:r>
          </w:p>
        </w:tc>
        <w:tc>
          <w:tcPr>
            <w:tcW w:w="1134" w:type="dxa"/>
            <w:tcBorders>
              <w:top w:val="nil"/>
              <w:left w:val="nil"/>
              <w:bottom w:val="single" w:sz="8" w:space="0" w:color="FFFFFF"/>
              <w:right w:val="single" w:sz="8" w:space="0" w:color="FFFFFF"/>
            </w:tcBorders>
            <w:shd w:val="clear" w:color="000000" w:fill="E7E7E8"/>
            <w:noWrap/>
            <w:vAlign w:val="center"/>
            <w:hideMark/>
          </w:tcPr>
          <w:p w14:paraId="06E49E8D"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$79</w:t>
            </w:r>
          </w:p>
        </w:tc>
        <w:tc>
          <w:tcPr>
            <w:tcW w:w="1134" w:type="dxa"/>
            <w:tcBorders>
              <w:top w:val="nil"/>
              <w:left w:val="nil"/>
              <w:bottom w:val="single" w:sz="8" w:space="0" w:color="FFFFFF"/>
              <w:right w:val="single" w:sz="8" w:space="0" w:color="FFFFFF"/>
            </w:tcBorders>
            <w:shd w:val="clear" w:color="000000" w:fill="E7E7E8"/>
            <w:noWrap/>
            <w:vAlign w:val="center"/>
            <w:hideMark/>
          </w:tcPr>
          <w:p w14:paraId="0BA329D8"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$66</w:t>
            </w:r>
          </w:p>
        </w:tc>
        <w:tc>
          <w:tcPr>
            <w:tcW w:w="1134" w:type="dxa"/>
            <w:tcBorders>
              <w:top w:val="nil"/>
              <w:left w:val="nil"/>
              <w:bottom w:val="single" w:sz="8" w:space="0" w:color="FFFFFF"/>
              <w:right w:val="single" w:sz="8" w:space="0" w:color="FFFFFF"/>
            </w:tcBorders>
            <w:shd w:val="clear" w:color="000000" w:fill="E7E7E8"/>
            <w:noWrap/>
            <w:vAlign w:val="center"/>
            <w:hideMark/>
          </w:tcPr>
          <w:p w14:paraId="0D88F3CD"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$1</w:t>
            </w:r>
          </w:p>
        </w:tc>
        <w:tc>
          <w:tcPr>
            <w:tcW w:w="1134" w:type="dxa"/>
            <w:tcBorders>
              <w:top w:val="nil"/>
              <w:left w:val="nil"/>
              <w:bottom w:val="single" w:sz="8" w:space="0" w:color="FFFFFF"/>
              <w:right w:val="single" w:sz="8" w:space="0" w:color="FFFFFF"/>
            </w:tcBorders>
            <w:shd w:val="clear" w:color="000000" w:fill="E7E7E8"/>
            <w:noWrap/>
            <w:vAlign w:val="center"/>
            <w:hideMark/>
          </w:tcPr>
          <w:p w14:paraId="59FDB904"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$1,718</w:t>
            </w:r>
          </w:p>
        </w:tc>
        <w:tc>
          <w:tcPr>
            <w:tcW w:w="1134" w:type="dxa"/>
            <w:tcBorders>
              <w:top w:val="nil"/>
              <w:left w:val="nil"/>
              <w:bottom w:val="single" w:sz="8" w:space="0" w:color="FFFFFF"/>
              <w:right w:val="single" w:sz="8" w:space="0" w:color="FFFFFF"/>
            </w:tcBorders>
            <w:shd w:val="clear" w:color="000000" w:fill="E7E7E8"/>
            <w:noWrap/>
            <w:vAlign w:val="center"/>
            <w:hideMark/>
          </w:tcPr>
          <w:p w14:paraId="75AFBB79"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$19</w:t>
            </w:r>
          </w:p>
        </w:tc>
      </w:tr>
      <w:tr w:rsidR="00AE2FDC" w:rsidRPr="00DF0A90" w14:paraId="7E33951E" w14:textId="77777777" w:rsidTr="007A37B6">
        <w:trPr>
          <w:trHeight w:val="315"/>
        </w:trPr>
        <w:tc>
          <w:tcPr>
            <w:tcW w:w="1928" w:type="dxa"/>
            <w:tcBorders>
              <w:top w:val="nil"/>
              <w:left w:val="single" w:sz="8" w:space="0" w:color="FFFFFF"/>
              <w:bottom w:val="single" w:sz="8" w:space="0" w:color="FFFFFF"/>
              <w:right w:val="single" w:sz="8" w:space="0" w:color="FFFFFF"/>
            </w:tcBorders>
            <w:shd w:val="clear" w:color="000000" w:fill="E7E7E8"/>
            <w:noWrap/>
            <w:vAlign w:val="center"/>
            <w:hideMark/>
          </w:tcPr>
          <w:p w14:paraId="395DF2C5" w14:textId="77777777" w:rsidR="00AE2FDC" w:rsidRPr="002F357B" w:rsidRDefault="00AE2FDC" w:rsidP="00AE2FDC">
            <w:pPr>
              <w:spacing w:after="0"/>
              <w:rPr>
                <w:rFonts w:cs="Arial"/>
                <w:color w:val="000000"/>
                <w:szCs w:val="20"/>
                <w:lang w:val="en-NZ" w:eastAsia="en-NZ"/>
              </w:rPr>
            </w:pPr>
            <w:r w:rsidRPr="002F357B">
              <w:rPr>
                <w:rFonts w:cs="Arial"/>
                <w:color w:val="000000"/>
                <w:szCs w:val="20"/>
                <w:lang w:val="en-NZ" w:eastAsia="en-NZ"/>
              </w:rPr>
              <w:t>Gisborne</w:t>
            </w:r>
          </w:p>
        </w:tc>
        <w:tc>
          <w:tcPr>
            <w:tcW w:w="1247" w:type="dxa"/>
            <w:tcBorders>
              <w:top w:val="nil"/>
              <w:left w:val="nil"/>
              <w:bottom w:val="single" w:sz="8" w:space="0" w:color="FFFFFF"/>
              <w:right w:val="single" w:sz="8" w:space="0" w:color="FFFFFF"/>
            </w:tcBorders>
            <w:shd w:val="clear" w:color="000000" w:fill="E7E7E8"/>
            <w:noWrap/>
            <w:vAlign w:val="center"/>
            <w:hideMark/>
          </w:tcPr>
          <w:p w14:paraId="6437510C" w14:textId="77777777" w:rsidR="00AE2FDC" w:rsidRPr="002F357B" w:rsidRDefault="00AE2FDC" w:rsidP="00122690">
            <w:pPr>
              <w:spacing w:after="0"/>
              <w:jc w:val="center"/>
              <w:rPr>
                <w:rFonts w:cs="Arial"/>
                <w:color w:val="000000"/>
                <w:szCs w:val="20"/>
                <w:lang w:val="en-NZ" w:eastAsia="en-NZ"/>
              </w:rPr>
            </w:pPr>
            <w:r w:rsidRPr="002F357B">
              <w:rPr>
                <w:rFonts w:cs="Arial"/>
                <w:color w:val="000000"/>
                <w:szCs w:val="20"/>
              </w:rPr>
              <w:t>1</w:t>
            </w:r>
          </w:p>
        </w:tc>
        <w:tc>
          <w:tcPr>
            <w:tcW w:w="1247" w:type="dxa"/>
            <w:tcBorders>
              <w:top w:val="nil"/>
              <w:left w:val="nil"/>
              <w:bottom w:val="single" w:sz="8" w:space="0" w:color="FFFFFF"/>
              <w:right w:val="single" w:sz="8" w:space="0" w:color="FFFFFF"/>
            </w:tcBorders>
            <w:shd w:val="clear" w:color="000000" w:fill="E7E7E8"/>
            <w:noWrap/>
            <w:vAlign w:val="center"/>
            <w:hideMark/>
          </w:tcPr>
          <w:p w14:paraId="392D1F43"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640</w:t>
            </w:r>
          </w:p>
        </w:tc>
        <w:tc>
          <w:tcPr>
            <w:tcW w:w="1928" w:type="dxa"/>
            <w:tcBorders>
              <w:top w:val="nil"/>
              <w:left w:val="nil"/>
              <w:bottom w:val="single" w:sz="8" w:space="0" w:color="FFFFFF"/>
              <w:right w:val="single" w:sz="8" w:space="0" w:color="FFFFFF"/>
            </w:tcBorders>
            <w:shd w:val="clear" w:color="000000" w:fill="E7E7E8"/>
            <w:noWrap/>
            <w:vAlign w:val="center"/>
            <w:hideMark/>
          </w:tcPr>
          <w:p w14:paraId="13152861"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lang w:val="en-NZ" w:eastAsia="en-NZ"/>
              </w:rPr>
              <w:t>$3.5 - $5.2</w:t>
            </w:r>
          </w:p>
        </w:tc>
        <w:tc>
          <w:tcPr>
            <w:tcW w:w="2098" w:type="dxa"/>
            <w:tcBorders>
              <w:top w:val="nil"/>
              <w:left w:val="nil"/>
              <w:bottom w:val="single" w:sz="8" w:space="0" w:color="FFFFFF"/>
              <w:right w:val="single" w:sz="8" w:space="0" w:color="FFFFFF"/>
            </w:tcBorders>
            <w:shd w:val="clear" w:color="000000" w:fill="E7E7E8"/>
            <w:noWrap/>
            <w:vAlign w:val="center"/>
            <w:hideMark/>
          </w:tcPr>
          <w:p w14:paraId="2DBADF51"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$0.034 - $0.05</w:t>
            </w:r>
          </w:p>
        </w:tc>
        <w:tc>
          <w:tcPr>
            <w:tcW w:w="1134" w:type="dxa"/>
            <w:tcBorders>
              <w:top w:val="nil"/>
              <w:left w:val="nil"/>
              <w:bottom w:val="single" w:sz="8" w:space="0" w:color="FFFFFF"/>
              <w:right w:val="single" w:sz="8" w:space="0" w:color="FFFFFF"/>
            </w:tcBorders>
            <w:shd w:val="clear" w:color="000000" w:fill="E7E7E8"/>
            <w:noWrap/>
            <w:vAlign w:val="center"/>
            <w:hideMark/>
          </w:tcPr>
          <w:p w14:paraId="7515E43D"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$6,826</w:t>
            </w:r>
          </w:p>
        </w:tc>
        <w:tc>
          <w:tcPr>
            <w:tcW w:w="1134" w:type="dxa"/>
            <w:tcBorders>
              <w:top w:val="nil"/>
              <w:left w:val="nil"/>
              <w:bottom w:val="single" w:sz="8" w:space="0" w:color="FFFFFF"/>
              <w:right w:val="single" w:sz="8" w:space="0" w:color="FFFFFF"/>
            </w:tcBorders>
            <w:shd w:val="clear" w:color="000000" w:fill="E7E7E8"/>
            <w:noWrap/>
            <w:vAlign w:val="center"/>
            <w:hideMark/>
          </w:tcPr>
          <w:p w14:paraId="63E1F2BE"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$135</w:t>
            </w:r>
          </w:p>
        </w:tc>
        <w:tc>
          <w:tcPr>
            <w:tcW w:w="1134" w:type="dxa"/>
            <w:tcBorders>
              <w:top w:val="nil"/>
              <w:left w:val="nil"/>
              <w:bottom w:val="single" w:sz="8" w:space="0" w:color="FFFFFF"/>
              <w:right w:val="single" w:sz="8" w:space="0" w:color="FFFFFF"/>
            </w:tcBorders>
            <w:shd w:val="clear" w:color="000000" w:fill="E7E7E8"/>
            <w:noWrap/>
            <w:vAlign w:val="center"/>
            <w:hideMark/>
          </w:tcPr>
          <w:p w14:paraId="6E2A4327"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$66</w:t>
            </w:r>
          </w:p>
        </w:tc>
        <w:tc>
          <w:tcPr>
            <w:tcW w:w="1134" w:type="dxa"/>
            <w:tcBorders>
              <w:top w:val="nil"/>
              <w:left w:val="nil"/>
              <w:bottom w:val="single" w:sz="8" w:space="0" w:color="FFFFFF"/>
              <w:right w:val="single" w:sz="8" w:space="0" w:color="FFFFFF"/>
            </w:tcBorders>
            <w:shd w:val="clear" w:color="000000" w:fill="E7E7E8"/>
            <w:noWrap/>
            <w:vAlign w:val="center"/>
            <w:hideMark/>
          </w:tcPr>
          <w:p w14:paraId="665F3117"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$1</w:t>
            </w:r>
          </w:p>
        </w:tc>
        <w:tc>
          <w:tcPr>
            <w:tcW w:w="1134" w:type="dxa"/>
            <w:tcBorders>
              <w:top w:val="nil"/>
              <w:left w:val="nil"/>
              <w:bottom w:val="single" w:sz="8" w:space="0" w:color="FFFFFF"/>
              <w:right w:val="single" w:sz="8" w:space="0" w:color="FFFFFF"/>
            </w:tcBorders>
            <w:shd w:val="clear" w:color="000000" w:fill="E7E7E8"/>
            <w:noWrap/>
            <w:vAlign w:val="center"/>
            <w:hideMark/>
          </w:tcPr>
          <w:p w14:paraId="6CEB3E35"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$1,620</w:t>
            </w:r>
          </w:p>
        </w:tc>
        <w:tc>
          <w:tcPr>
            <w:tcW w:w="1134" w:type="dxa"/>
            <w:tcBorders>
              <w:top w:val="nil"/>
              <w:left w:val="nil"/>
              <w:bottom w:val="single" w:sz="8" w:space="0" w:color="FFFFFF"/>
              <w:right w:val="single" w:sz="8" w:space="0" w:color="FFFFFF"/>
            </w:tcBorders>
            <w:shd w:val="clear" w:color="000000" w:fill="E7E7E8"/>
            <w:noWrap/>
            <w:vAlign w:val="center"/>
            <w:hideMark/>
          </w:tcPr>
          <w:p w14:paraId="17BE64F4"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$32</w:t>
            </w:r>
          </w:p>
        </w:tc>
      </w:tr>
      <w:tr w:rsidR="00AE2FDC" w:rsidRPr="00DF0A90" w14:paraId="1C963261" w14:textId="77777777" w:rsidTr="007A37B6">
        <w:trPr>
          <w:trHeight w:val="315"/>
        </w:trPr>
        <w:tc>
          <w:tcPr>
            <w:tcW w:w="1928" w:type="dxa"/>
            <w:tcBorders>
              <w:top w:val="nil"/>
              <w:left w:val="single" w:sz="8" w:space="0" w:color="FFFFFF"/>
              <w:bottom w:val="single" w:sz="8" w:space="0" w:color="FFFFFF"/>
              <w:right w:val="single" w:sz="8" w:space="0" w:color="FFFFFF"/>
            </w:tcBorders>
            <w:shd w:val="clear" w:color="000000" w:fill="E7E7E8"/>
            <w:noWrap/>
            <w:vAlign w:val="center"/>
            <w:hideMark/>
          </w:tcPr>
          <w:p w14:paraId="1BEC8DBF" w14:textId="77777777" w:rsidR="00AE2FDC" w:rsidRPr="002F357B" w:rsidRDefault="00AE2FDC" w:rsidP="00AE2FDC">
            <w:pPr>
              <w:spacing w:after="0"/>
              <w:rPr>
                <w:rFonts w:cs="Arial"/>
                <w:color w:val="000000"/>
                <w:szCs w:val="20"/>
                <w:lang w:val="en-NZ" w:eastAsia="en-NZ"/>
              </w:rPr>
            </w:pPr>
            <w:r w:rsidRPr="002F357B">
              <w:rPr>
                <w:rFonts w:cs="Arial"/>
                <w:color w:val="000000"/>
                <w:szCs w:val="20"/>
                <w:lang w:val="en-NZ" w:eastAsia="en-NZ"/>
              </w:rPr>
              <w:t>Hawke's Bay</w:t>
            </w:r>
          </w:p>
        </w:tc>
        <w:tc>
          <w:tcPr>
            <w:tcW w:w="1247" w:type="dxa"/>
            <w:tcBorders>
              <w:top w:val="nil"/>
              <w:left w:val="nil"/>
              <w:bottom w:val="single" w:sz="8" w:space="0" w:color="FFFFFF"/>
              <w:right w:val="single" w:sz="8" w:space="0" w:color="FFFFFF"/>
            </w:tcBorders>
            <w:shd w:val="clear" w:color="000000" w:fill="E7E7E8"/>
            <w:noWrap/>
            <w:vAlign w:val="center"/>
            <w:hideMark/>
          </w:tcPr>
          <w:p w14:paraId="5D0696CD" w14:textId="77777777" w:rsidR="00AE2FDC" w:rsidRPr="002F357B" w:rsidRDefault="00AE2FDC" w:rsidP="00122690">
            <w:pPr>
              <w:spacing w:after="0"/>
              <w:jc w:val="center"/>
              <w:rPr>
                <w:rFonts w:cs="Arial"/>
                <w:color w:val="000000"/>
                <w:szCs w:val="20"/>
                <w:lang w:val="en-NZ" w:eastAsia="en-NZ"/>
              </w:rPr>
            </w:pPr>
            <w:r w:rsidRPr="002F357B">
              <w:rPr>
                <w:rFonts w:cs="Arial"/>
                <w:color w:val="000000"/>
                <w:szCs w:val="20"/>
              </w:rPr>
              <w:t>5</w:t>
            </w:r>
          </w:p>
        </w:tc>
        <w:tc>
          <w:tcPr>
            <w:tcW w:w="1247" w:type="dxa"/>
            <w:tcBorders>
              <w:top w:val="nil"/>
              <w:left w:val="nil"/>
              <w:bottom w:val="single" w:sz="8" w:space="0" w:color="FFFFFF"/>
              <w:right w:val="single" w:sz="8" w:space="0" w:color="FFFFFF"/>
            </w:tcBorders>
            <w:shd w:val="clear" w:color="000000" w:fill="E7E7E8"/>
            <w:noWrap/>
            <w:vAlign w:val="center"/>
            <w:hideMark/>
          </w:tcPr>
          <w:p w14:paraId="60D41C13"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7,960</w:t>
            </w:r>
          </w:p>
        </w:tc>
        <w:tc>
          <w:tcPr>
            <w:tcW w:w="1928" w:type="dxa"/>
            <w:tcBorders>
              <w:top w:val="nil"/>
              <w:left w:val="nil"/>
              <w:bottom w:val="single" w:sz="8" w:space="0" w:color="FFFFFF"/>
              <w:right w:val="single" w:sz="8" w:space="0" w:color="FFFFFF"/>
            </w:tcBorders>
            <w:shd w:val="clear" w:color="000000" w:fill="E7E7E8"/>
            <w:noWrap/>
            <w:vAlign w:val="center"/>
            <w:hideMark/>
          </w:tcPr>
          <w:p w14:paraId="4445EA6E"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lang w:val="en-NZ" w:eastAsia="en-NZ"/>
              </w:rPr>
              <w:t>$34 - $52</w:t>
            </w:r>
          </w:p>
        </w:tc>
        <w:tc>
          <w:tcPr>
            <w:tcW w:w="2098" w:type="dxa"/>
            <w:tcBorders>
              <w:top w:val="nil"/>
              <w:left w:val="nil"/>
              <w:bottom w:val="single" w:sz="8" w:space="0" w:color="FFFFFF"/>
              <w:right w:val="single" w:sz="8" w:space="0" w:color="FFFFFF"/>
            </w:tcBorders>
            <w:shd w:val="clear" w:color="000000" w:fill="E7E7E8"/>
            <w:noWrap/>
            <w:vAlign w:val="center"/>
            <w:hideMark/>
          </w:tcPr>
          <w:p w14:paraId="493F5C85"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$0.63 - $0.94</w:t>
            </w:r>
          </w:p>
        </w:tc>
        <w:tc>
          <w:tcPr>
            <w:tcW w:w="1134" w:type="dxa"/>
            <w:tcBorders>
              <w:top w:val="nil"/>
              <w:left w:val="nil"/>
              <w:bottom w:val="single" w:sz="8" w:space="0" w:color="FFFFFF"/>
              <w:right w:val="single" w:sz="8" w:space="0" w:color="FFFFFF"/>
            </w:tcBorders>
            <w:shd w:val="clear" w:color="000000" w:fill="E7E7E8"/>
            <w:noWrap/>
            <w:vAlign w:val="center"/>
            <w:hideMark/>
          </w:tcPr>
          <w:p w14:paraId="1ECD3D00"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$5,412</w:t>
            </w:r>
          </w:p>
        </w:tc>
        <w:tc>
          <w:tcPr>
            <w:tcW w:w="1134" w:type="dxa"/>
            <w:tcBorders>
              <w:top w:val="nil"/>
              <w:left w:val="nil"/>
              <w:bottom w:val="single" w:sz="8" w:space="0" w:color="FFFFFF"/>
              <w:right w:val="single" w:sz="8" w:space="0" w:color="FFFFFF"/>
            </w:tcBorders>
            <w:shd w:val="clear" w:color="000000" w:fill="E7E7E8"/>
            <w:noWrap/>
            <w:vAlign w:val="center"/>
            <w:hideMark/>
          </w:tcPr>
          <w:p w14:paraId="42A9E4F1"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$542</w:t>
            </w:r>
          </w:p>
        </w:tc>
        <w:tc>
          <w:tcPr>
            <w:tcW w:w="1134" w:type="dxa"/>
            <w:tcBorders>
              <w:top w:val="nil"/>
              <w:left w:val="nil"/>
              <w:bottom w:val="single" w:sz="8" w:space="0" w:color="FFFFFF"/>
              <w:right w:val="single" w:sz="8" w:space="0" w:color="FFFFFF"/>
            </w:tcBorders>
            <w:shd w:val="clear" w:color="000000" w:fill="E7E7E8"/>
            <w:noWrap/>
            <w:vAlign w:val="center"/>
            <w:hideMark/>
          </w:tcPr>
          <w:p w14:paraId="0AC0D762"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$98</w:t>
            </w:r>
          </w:p>
        </w:tc>
        <w:tc>
          <w:tcPr>
            <w:tcW w:w="1134" w:type="dxa"/>
            <w:tcBorders>
              <w:top w:val="nil"/>
              <w:left w:val="nil"/>
              <w:bottom w:val="single" w:sz="8" w:space="0" w:color="FFFFFF"/>
              <w:right w:val="single" w:sz="8" w:space="0" w:color="FFFFFF"/>
            </w:tcBorders>
            <w:shd w:val="clear" w:color="000000" w:fill="E7E7E8"/>
            <w:noWrap/>
            <w:vAlign w:val="center"/>
            <w:hideMark/>
          </w:tcPr>
          <w:p w14:paraId="2313784F"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$10</w:t>
            </w:r>
          </w:p>
        </w:tc>
        <w:tc>
          <w:tcPr>
            <w:tcW w:w="1134" w:type="dxa"/>
            <w:tcBorders>
              <w:top w:val="nil"/>
              <w:left w:val="nil"/>
              <w:bottom w:val="single" w:sz="8" w:space="0" w:color="FFFFFF"/>
              <w:right w:val="single" w:sz="8" w:space="0" w:color="FFFFFF"/>
            </w:tcBorders>
            <w:shd w:val="clear" w:color="000000" w:fill="E7E7E8"/>
            <w:noWrap/>
            <w:vAlign w:val="center"/>
            <w:hideMark/>
          </w:tcPr>
          <w:p w14:paraId="3CFB40E5"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$1,408</w:t>
            </w:r>
          </w:p>
        </w:tc>
        <w:tc>
          <w:tcPr>
            <w:tcW w:w="1134" w:type="dxa"/>
            <w:tcBorders>
              <w:top w:val="nil"/>
              <w:left w:val="nil"/>
              <w:bottom w:val="single" w:sz="8" w:space="0" w:color="FFFFFF"/>
              <w:right w:val="single" w:sz="8" w:space="0" w:color="FFFFFF"/>
            </w:tcBorders>
            <w:shd w:val="clear" w:color="000000" w:fill="E7E7E8"/>
            <w:noWrap/>
            <w:vAlign w:val="center"/>
            <w:hideMark/>
          </w:tcPr>
          <w:p w14:paraId="0DF57500"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$141</w:t>
            </w:r>
          </w:p>
        </w:tc>
      </w:tr>
      <w:tr w:rsidR="00AE2FDC" w:rsidRPr="00DF0A90" w14:paraId="660599B2" w14:textId="77777777" w:rsidTr="007A37B6">
        <w:trPr>
          <w:trHeight w:val="315"/>
        </w:trPr>
        <w:tc>
          <w:tcPr>
            <w:tcW w:w="1928" w:type="dxa"/>
            <w:tcBorders>
              <w:top w:val="nil"/>
              <w:left w:val="single" w:sz="8" w:space="0" w:color="FFFFFF"/>
              <w:bottom w:val="single" w:sz="8" w:space="0" w:color="FFFFFF"/>
              <w:right w:val="single" w:sz="8" w:space="0" w:color="FFFFFF"/>
            </w:tcBorders>
            <w:shd w:val="clear" w:color="000000" w:fill="E7E7E8"/>
            <w:noWrap/>
            <w:vAlign w:val="center"/>
            <w:hideMark/>
          </w:tcPr>
          <w:p w14:paraId="4917819D" w14:textId="77777777" w:rsidR="00AE2FDC" w:rsidRPr="002F357B" w:rsidRDefault="00AE2FDC" w:rsidP="00AE2FDC">
            <w:pPr>
              <w:spacing w:after="0"/>
              <w:rPr>
                <w:rFonts w:cs="Arial"/>
                <w:color w:val="000000"/>
                <w:szCs w:val="20"/>
                <w:lang w:val="en-NZ" w:eastAsia="en-NZ"/>
              </w:rPr>
            </w:pPr>
            <w:r w:rsidRPr="002F357B">
              <w:rPr>
                <w:rFonts w:cs="Arial"/>
                <w:color w:val="000000"/>
                <w:szCs w:val="20"/>
                <w:lang w:val="en-NZ" w:eastAsia="en-NZ"/>
              </w:rPr>
              <w:t>Manawatu-Wanganui</w:t>
            </w:r>
          </w:p>
        </w:tc>
        <w:tc>
          <w:tcPr>
            <w:tcW w:w="1247" w:type="dxa"/>
            <w:tcBorders>
              <w:top w:val="nil"/>
              <w:left w:val="nil"/>
              <w:bottom w:val="single" w:sz="8" w:space="0" w:color="FFFFFF"/>
              <w:right w:val="single" w:sz="8" w:space="0" w:color="FFFFFF"/>
            </w:tcBorders>
            <w:shd w:val="clear" w:color="000000" w:fill="E7E7E8"/>
            <w:noWrap/>
            <w:vAlign w:val="center"/>
            <w:hideMark/>
          </w:tcPr>
          <w:p w14:paraId="25D43DBA" w14:textId="77777777" w:rsidR="00AE2FDC" w:rsidRPr="002F357B" w:rsidRDefault="00AE2FDC" w:rsidP="00122690">
            <w:pPr>
              <w:spacing w:after="0"/>
              <w:jc w:val="center"/>
              <w:rPr>
                <w:rFonts w:cs="Arial"/>
                <w:color w:val="000000"/>
                <w:szCs w:val="20"/>
                <w:lang w:val="en-NZ" w:eastAsia="en-NZ"/>
              </w:rPr>
            </w:pPr>
            <w:r w:rsidRPr="002F357B">
              <w:rPr>
                <w:rFonts w:cs="Arial"/>
                <w:color w:val="000000"/>
                <w:szCs w:val="20"/>
              </w:rPr>
              <w:t>24</w:t>
            </w:r>
          </w:p>
        </w:tc>
        <w:tc>
          <w:tcPr>
            <w:tcW w:w="1247" w:type="dxa"/>
            <w:tcBorders>
              <w:top w:val="nil"/>
              <w:left w:val="nil"/>
              <w:bottom w:val="single" w:sz="8" w:space="0" w:color="FFFFFF"/>
              <w:right w:val="single" w:sz="8" w:space="0" w:color="FFFFFF"/>
            </w:tcBorders>
            <w:shd w:val="clear" w:color="000000" w:fill="E7E7E8"/>
            <w:noWrap/>
            <w:vAlign w:val="center"/>
            <w:hideMark/>
          </w:tcPr>
          <w:p w14:paraId="5A50CC4E"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132,940</w:t>
            </w:r>
          </w:p>
        </w:tc>
        <w:tc>
          <w:tcPr>
            <w:tcW w:w="1928" w:type="dxa"/>
            <w:tcBorders>
              <w:top w:val="nil"/>
              <w:left w:val="nil"/>
              <w:bottom w:val="single" w:sz="8" w:space="0" w:color="FFFFFF"/>
              <w:right w:val="single" w:sz="8" w:space="0" w:color="FFFFFF"/>
            </w:tcBorders>
            <w:shd w:val="clear" w:color="000000" w:fill="E7E7E8"/>
            <w:noWrap/>
            <w:vAlign w:val="center"/>
            <w:hideMark/>
          </w:tcPr>
          <w:p w14:paraId="68BAADF7"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lang w:val="en-NZ" w:eastAsia="en-NZ"/>
              </w:rPr>
              <w:t>$330 - $500</w:t>
            </w:r>
          </w:p>
        </w:tc>
        <w:tc>
          <w:tcPr>
            <w:tcW w:w="2098" w:type="dxa"/>
            <w:tcBorders>
              <w:top w:val="nil"/>
              <w:left w:val="nil"/>
              <w:bottom w:val="single" w:sz="8" w:space="0" w:color="FFFFFF"/>
              <w:right w:val="single" w:sz="8" w:space="0" w:color="FFFFFF"/>
            </w:tcBorders>
            <w:shd w:val="clear" w:color="000000" w:fill="E7E7E8"/>
            <w:noWrap/>
            <w:vAlign w:val="center"/>
            <w:hideMark/>
          </w:tcPr>
          <w:p w14:paraId="5CB0D091"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$13 - $20</w:t>
            </w:r>
          </w:p>
        </w:tc>
        <w:tc>
          <w:tcPr>
            <w:tcW w:w="1134" w:type="dxa"/>
            <w:tcBorders>
              <w:top w:val="nil"/>
              <w:left w:val="nil"/>
              <w:bottom w:val="single" w:sz="8" w:space="0" w:color="FFFFFF"/>
              <w:right w:val="single" w:sz="8" w:space="0" w:color="FFFFFF"/>
            </w:tcBorders>
            <w:shd w:val="clear" w:color="000000" w:fill="E7E7E8"/>
            <w:noWrap/>
            <w:vAlign w:val="center"/>
            <w:hideMark/>
          </w:tcPr>
          <w:p w14:paraId="063E43D7"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$3,116</w:t>
            </w:r>
          </w:p>
        </w:tc>
        <w:tc>
          <w:tcPr>
            <w:tcW w:w="1134" w:type="dxa"/>
            <w:tcBorders>
              <w:top w:val="nil"/>
              <w:left w:val="nil"/>
              <w:bottom w:val="single" w:sz="8" w:space="0" w:color="FFFFFF"/>
              <w:right w:val="single" w:sz="8" w:space="0" w:color="FFFFFF"/>
            </w:tcBorders>
            <w:shd w:val="clear" w:color="000000" w:fill="E7E7E8"/>
            <w:noWrap/>
            <w:vAlign w:val="center"/>
            <w:hideMark/>
          </w:tcPr>
          <w:p w14:paraId="1DBD3792"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$2,073</w:t>
            </w:r>
          </w:p>
        </w:tc>
        <w:tc>
          <w:tcPr>
            <w:tcW w:w="1134" w:type="dxa"/>
            <w:tcBorders>
              <w:top w:val="nil"/>
              <w:left w:val="nil"/>
              <w:bottom w:val="single" w:sz="8" w:space="0" w:color="FFFFFF"/>
              <w:right w:val="single" w:sz="8" w:space="0" w:color="FFFFFF"/>
            </w:tcBorders>
            <w:shd w:val="clear" w:color="000000" w:fill="E7E7E8"/>
            <w:noWrap/>
            <w:vAlign w:val="center"/>
            <w:hideMark/>
          </w:tcPr>
          <w:p w14:paraId="7F0992CF"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$125</w:t>
            </w:r>
          </w:p>
        </w:tc>
        <w:tc>
          <w:tcPr>
            <w:tcW w:w="1134" w:type="dxa"/>
            <w:tcBorders>
              <w:top w:val="nil"/>
              <w:left w:val="nil"/>
              <w:bottom w:val="single" w:sz="8" w:space="0" w:color="FFFFFF"/>
              <w:right w:val="single" w:sz="8" w:space="0" w:color="FFFFFF"/>
            </w:tcBorders>
            <w:shd w:val="clear" w:color="000000" w:fill="E7E7E8"/>
            <w:noWrap/>
            <w:vAlign w:val="center"/>
            <w:hideMark/>
          </w:tcPr>
          <w:p w14:paraId="2D5206F0"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$83</w:t>
            </w:r>
          </w:p>
        </w:tc>
        <w:tc>
          <w:tcPr>
            <w:tcW w:w="1134" w:type="dxa"/>
            <w:tcBorders>
              <w:top w:val="nil"/>
              <w:left w:val="nil"/>
              <w:bottom w:val="single" w:sz="8" w:space="0" w:color="FFFFFF"/>
              <w:right w:val="single" w:sz="8" w:space="0" w:color="FFFFFF"/>
            </w:tcBorders>
            <w:shd w:val="clear" w:color="000000" w:fill="E7E7E8"/>
            <w:noWrap/>
            <w:vAlign w:val="center"/>
            <w:hideMark/>
          </w:tcPr>
          <w:p w14:paraId="3EE0E2B4"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$994</w:t>
            </w:r>
          </w:p>
        </w:tc>
        <w:tc>
          <w:tcPr>
            <w:tcW w:w="1134" w:type="dxa"/>
            <w:tcBorders>
              <w:top w:val="nil"/>
              <w:left w:val="nil"/>
              <w:bottom w:val="single" w:sz="8" w:space="0" w:color="FFFFFF"/>
              <w:right w:val="single" w:sz="8" w:space="0" w:color="FFFFFF"/>
            </w:tcBorders>
            <w:shd w:val="clear" w:color="000000" w:fill="E7E7E8"/>
            <w:noWrap/>
            <w:vAlign w:val="center"/>
            <w:hideMark/>
          </w:tcPr>
          <w:p w14:paraId="5465F219"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$662</w:t>
            </w:r>
          </w:p>
        </w:tc>
      </w:tr>
      <w:tr w:rsidR="00AE2FDC" w:rsidRPr="00DF0A90" w14:paraId="246D3305" w14:textId="77777777" w:rsidTr="007A37B6">
        <w:trPr>
          <w:trHeight w:val="315"/>
        </w:trPr>
        <w:tc>
          <w:tcPr>
            <w:tcW w:w="1928" w:type="dxa"/>
            <w:tcBorders>
              <w:top w:val="nil"/>
              <w:left w:val="single" w:sz="8" w:space="0" w:color="FFFFFF"/>
              <w:bottom w:val="single" w:sz="8" w:space="0" w:color="FFFFFF"/>
              <w:right w:val="single" w:sz="8" w:space="0" w:color="FFFFFF"/>
            </w:tcBorders>
            <w:shd w:val="clear" w:color="000000" w:fill="E7E7E8"/>
            <w:noWrap/>
            <w:vAlign w:val="center"/>
            <w:hideMark/>
          </w:tcPr>
          <w:p w14:paraId="7FE64216" w14:textId="77777777" w:rsidR="00AE2FDC" w:rsidRPr="002F357B" w:rsidRDefault="00AE2FDC" w:rsidP="00AE2FDC">
            <w:pPr>
              <w:spacing w:after="0"/>
              <w:rPr>
                <w:rFonts w:cs="Arial"/>
                <w:color w:val="000000"/>
                <w:szCs w:val="20"/>
                <w:lang w:val="en-NZ" w:eastAsia="en-NZ"/>
              </w:rPr>
            </w:pPr>
            <w:r w:rsidRPr="002F357B">
              <w:rPr>
                <w:rFonts w:cs="Arial"/>
                <w:color w:val="000000"/>
                <w:szCs w:val="20"/>
                <w:lang w:val="en-NZ" w:eastAsia="en-NZ"/>
              </w:rPr>
              <w:t>Marlborough</w:t>
            </w:r>
          </w:p>
        </w:tc>
        <w:tc>
          <w:tcPr>
            <w:tcW w:w="1247" w:type="dxa"/>
            <w:tcBorders>
              <w:top w:val="nil"/>
              <w:left w:val="nil"/>
              <w:bottom w:val="single" w:sz="8" w:space="0" w:color="FFFFFF"/>
              <w:right w:val="single" w:sz="8" w:space="0" w:color="FFFFFF"/>
            </w:tcBorders>
            <w:shd w:val="clear" w:color="000000" w:fill="E7E7E8"/>
            <w:noWrap/>
            <w:vAlign w:val="center"/>
            <w:hideMark/>
          </w:tcPr>
          <w:p w14:paraId="3F8252EF" w14:textId="77777777" w:rsidR="00AE2FDC" w:rsidRPr="002F357B" w:rsidRDefault="00AE2FDC" w:rsidP="00122690">
            <w:pPr>
              <w:spacing w:after="0"/>
              <w:jc w:val="center"/>
              <w:rPr>
                <w:rFonts w:cs="Arial"/>
                <w:color w:val="000000"/>
                <w:szCs w:val="20"/>
                <w:lang w:val="en-NZ" w:eastAsia="en-NZ"/>
              </w:rPr>
            </w:pPr>
            <w:r w:rsidRPr="002F357B">
              <w:rPr>
                <w:rFonts w:cs="Arial"/>
                <w:color w:val="000000"/>
                <w:szCs w:val="20"/>
              </w:rPr>
              <w:t>1</w:t>
            </w:r>
          </w:p>
        </w:tc>
        <w:tc>
          <w:tcPr>
            <w:tcW w:w="1247" w:type="dxa"/>
            <w:tcBorders>
              <w:top w:val="nil"/>
              <w:left w:val="nil"/>
              <w:bottom w:val="single" w:sz="8" w:space="0" w:color="FFFFFF"/>
              <w:right w:val="single" w:sz="8" w:space="0" w:color="FFFFFF"/>
            </w:tcBorders>
            <w:shd w:val="clear" w:color="000000" w:fill="E7E7E8"/>
            <w:noWrap/>
            <w:vAlign w:val="center"/>
            <w:hideMark/>
          </w:tcPr>
          <w:p w14:paraId="05B467EE"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690</w:t>
            </w:r>
          </w:p>
        </w:tc>
        <w:tc>
          <w:tcPr>
            <w:tcW w:w="1928" w:type="dxa"/>
            <w:tcBorders>
              <w:top w:val="nil"/>
              <w:left w:val="nil"/>
              <w:bottom w:val="single" w:sz="8" w:space="0" w:color="FFFFFF"/>
              <w:right w:val="single" w:sz="8" w:space="0" w:color="FFFFFF"/>
            </w:tcBorders>
            <w:shd w:val="clear" w:color="000000" w:fill="E7E7E8"/>
            <w:noWrap/>
            <w:vAlign w:val="center"/>
            <w:hideMark/>
          </w:tcPr>
          <w:p w14:paraId="7503C56A"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lang w:val="en-NZ" w:eastAsia="en-NZ"/>
              </w:rPr>
              <w:t>$2.7 - $4.1</w:t>
            </w:r>
          </w:p>
        </w:tc>
        <w:tc>
          <w:tcPr>
            <w:tcW w:w="2098" w:type="dxa"/>
            <w:tcBorders>
              <w:top w:val="nil"/>
              <w:left w:val="nil"/>
              <w:bottom w:val="single" w:sz="8" w:space="0" w:color="FFFFFF"/>
              <w:right w:val="single" w:sz="8" w:space="0" w:color="FFFFFF"/>
            </w:tcBorders>
            <w:shd w:val="clear" w:color="000000" w:fill="E7E7E8"/>
            <w:noWrap/>
            <w:vAlign w:val="center"/>
            <w:hideMark/>
          </w:tcPr>
          <w:p w14:paraId="2CB956F0"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$0.021 - $0.032</w:t>
            </w:r>
          </w:p>
        </w:tc>
        <w:tc>
          <w:tcPr>
            <w:tcW w:w="1134" w:type="dxa"/>
            <w:tcBorders>
              <w:top w:val="nil"/>
              <w:left w:val="nil"/>
              <w:bottom w:val="single" w:sz="8" w:space="0" w:color="FFFFFF"/>
              <w:right w:val="single" w:sz="8" w:space="0" w:color="FFFFFF"/>
            </w:tcBorders>
            <w:shd w:val="clear" w:color="000000" w:fill="E7E7E8"/>
            <w:noWrap/>
            <w:vAlign w:val="center"/>
            <w:hideMark/>
          </w:tcPr>
          <w:p w14:paraId="5D491086"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$4,973</w:t>
            </w:r>
          </w:p>
        </w:tc>
        <w:tc>
          <w:tcPr>
            <w:tcW w:w="1134" w:type="dxa"/>
            <w:tcBorders>
              <w:top w:val="nil"/>
              <w:left w:val="nil"/>
              <w:bottom w:val="single" w:sz="8" w:space="0" w:color="FFFFFF"/>
              <w:right w:val="single" w:sz="8" w:space="0" w:color="FFFFFF"/>
            </w:tcBorders>
            <w:shd w:val="clear" w:color="000000" w:fill="E7E7E8"/>
            <w:noWrap/>
            <w:vAlign w:val="center"/>
            <w:hideMark/>
          </w:tcPr>
          <w:p w14:paraId="570BCEA1"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$96</w:t>
            </w:r>
          </w:p>
        </w:tc>
        <w:tc>
          <w:tcPr>
            <w:tcW w:w="1134" w:type="dxa"/>
            <w:tcBorders>
              <w:top w:val="nil"/>
              <w:left w:val="nil"/>
              <w:bottom w:val="single" w:sz="8" w:space="0" w:color="FFFFFF"/>
              <w:right w:val="single" w:sz="8" w:space="0" w:color="FFFFFF"/>
            </w:tcBorders>
            <w:shd w:val="clear" w:color="000000" w:fill="E7E7E8"/>
            <w:noWrap/>
            <w:vAlign w:val="center"/>
            <w:hideMark/>
          </w:tcPr>
          <w:p w14:paraId="7B02CA2E"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$38</w:t>
            </w:r>
          </w:p>
        </w:tc>
        <w:tc>
          <w:tcPr>
            <w:tcW w:w="1134" w:type="dxa"/>
            <w:tcBorders>
              <w:top w:val="nil"/>
              <w:left w:val="nil"/>
              <w:bottom w:val="single" w:sz="8" w:space="0" w:color="FFFFFF"/>
              <w:right w:val="single" w:sz="8" w:space="0" w:color="FFFFFF"/>
            </w:tcBorders>
            <w:shd w:val="clear" w:color="000000" w:fill="E7E7E8"/>
            <w:noWrap/>
            <w:vAlign w:val="center"/>
            <w:hideMark/>
          </w:tcPr>
          <w:p w14:paraId="351342CB"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$1</w:t>
            </w:r>
          </w:p>
        </w:tc>
        <w:tc>
          <w:tcPr>
            <w:tcW w:w="1134" w:type="dxa"/>
            <w:tcBorders>
              <w:top w:val="nil"/>
              <w:left w:val="nil"/>
              <w:bottom w:val="single" w:sz="8" w:space="0" w:color="FFFFFF"/>
              <w:right w:val="single" w:sz="8" w:space="0" w:color="FFFFFF"/>
            </w:tcBorders>
            <w:shd w:val="clear" w:color="000000" w:fill="E7E7E8"/>
            <w:noWrap/>
            <w:vAlign w:val="center"/>
            <w:hideMark/>
          </w:tcPr>
          <w:p w14:paraId="3EF637CB"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$1,154</w:t>
            </w:r>
          </w:p>
        </w:tc>
        <w:tc>
          <w:tcPr>
            <w:tcW w:w="1134" w:type="dxa"/>
            <w:tcBorders>
              <w:top w:val="nil"/>
              <w:left w:val="nil"/>
              <w:bottom w:val="single" w:sz="8" w:space="0" w:color="FFFFFF"/>
              <w:right w:val="single" w:sz="8" w:space="0" w:color="FFFFFF"/>
            </w:tcBorders>
            <w:shd w:val="clear" w:color="000000" w:fill="E7E7E8"/>
            <w:noWrap/>
            <w:vAlign w:val="center"/>
            <w:hideMark/>
          </w:tcPr>
          <w:p w14:paraId="06C73C9E"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$22</w:t>
            </w:r>
          </w:p>
        </w:tc>
      </w:tr>
      <w:tr w:rsidR="00AE2FDC" w:rsidRPr="00DF0A90" w14:paraId="2B74FCEB" w14:textId="77777777" w:rsidTr="007A37B6">
        <w:trPr>
          <w:trHeight w:val="315"/>
        </w:trPr>
        <w:tc>
          <w:tcPr>
            <w:tcW w:w="1928" w:type="dxa"/>
            <w:tcBorders>
              <w:top w:val="nil"/>
              <w:left w:val="single" w:sz="8" w:space="0" w:color="FFFFFF"/>
              <w:bottom w:val="single" w:sz="8" w:space="0" w:color="FFFFFF"/>
              <w:right w:val="single" w:sz="8" w:space="0" w:color="FFFFFF"/>
            </w:tcBorders>
            <w:shd w:val="clear" w:color="000000" w:fill="E7E7E8"/>
            <w:noWrap/>
            <w:vAlign w:val="center"/>
            <w:hideMark/>
          </w:tcPr>
          <w:p w14:paraId="0C4B1472" w14:textId="77777777" w:rsidR="00AE2FDC" w:rsidRPr="002F357B" w:rsidRDefault="00AE2FDC" w:rsidP="00AE2FDC">
            <w:pPr>
              <w:spacing w:after="0"/>
              <w:rPr>
                <w:rFonts w:cs="Arial"/>
                <w:color w:val="000000"/>
                <w:szCs w:val="20"/>
                <w:lang w:val="en-NZ" w:eastAsia="en-NZ"/>
              </w:rPr>
            </w:pPr>
            <w:r w:rsidRPr="002F357B">
              <w:rPr>
                <w:rFonts w:cs="Arial"/>
                <w:color w:val="000000"/>
                <w:szCs w:val="20"/>
                <w:lang w:val="en-NZ" w:eastAsia="en-NZ"/>
              </w:rPr>
              <w:t>Nelson</w:t>
            </w:r>
          </w:p>
        </w:tc>
        <w:tc>
          <w:tcPr>
            <w:tcW w:w="1247" w:type="dxa"/>
            <w:tcBorders>
              <w:top w:val="nil"/>
              <w:left w:val="nil"/>
              <w:bottom w:val="single" w:sz="8" w:space="0" w:color="FFFFFF"/>
              <w:right w:val="single" w:sz="8" w:space="0" w:color="FFFFFF"/>
            </w:tcBorders>
            <w:shd w:val="clear" w:color="000000" w:fill="E7E7E8"/>
            <w:noWrap/>
            <w:vAlign w:val="center"/>
            <w:hideMark/>
          </w:tcPr>
          <w:p w14:paraId="375C13C9" w14:textId="77777777" w:rsidR="00AE2FDC" w:rsidRPr="002F357B" w:rsidRDefault="00AE2FDC" w:rsidP="00122690">
            <w:pPr>
              <w:spacing w:after="0"/>
              <w:jc w:val="center"/>
              <w:rPr>
                <w:rFonts w:cs="Arial"/>
                <w:color w:val="000000"/>
                <w:szCs w:val="20"/>
                <w:lang w:val="en-NZ" w:eastAsia="en-NZ"/>
              </w:rPr>
            </w:pPr>
            <w:r w:rsidRPr="002F357B">
              <w:rPr>
                <w:rFonts w:cs="Arial"/>
                <w:color w:val="000000"/>
                <w:szCs w:val="20"/>
              </w:rPr>
              <w:t>0</w:t>
            </w:r>
          </w:p>
        </w:tc>
        <w:tc>
          <w:tcPr>
            <w:tcW w:w="1247" w:type="dxa"/>
            <w:tcBorders>
              <w:top w:val="nil"/>
              <w:left w:val="nil"/>
              <w:bottom w:val="single" w:sz="8" w:space="0" w:color="FFFFFF"/>
              <w:right w:val="single" w:sz="8" w:space="0" w:color="FFFFFF"/>
            </w:tcBorders>
            <w:shd w:val="clear" w:color="000000" w:fill="E7E7E8"/>
            <w:noWrap/>
            <w:vAlign w:val="center"/>
            <w:hideMark/>
          </w:tcPr>
          <w:p w14:paraId="626FCC9A"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0</w:t>
            </w:r>
          </w:p>
        </w:tc>
        <w:tc>
          <w:tcPr>
            <w:tcW w:w="1928" w:type="dxa"/>
            <w:tcBorders>
              <w:top w:val="nil"/>
              <w:left w:val="nil"/>
              <w:bottom w:val="single" w:sz="8" w:space="0" w:color="FFFFFF"/>
              <w:right w:val="single" w:sz="8" w:space="0" w:color="FFFFFF"/>
            </w:tcBorders>
            <w:shd w:val="clear" w:color="000000" w:fill="E7E7E8"/>
            <w:noWrap/>
            <w:vAlign w:val="center"/>
            <w:hideMark/>
          </w:tcPr>
          <w:p w14:paraId="76090DD4" w14:textId="77777777" w:rsidR="00AE2FDC" w:rsidRPr="002F357B" w:rsidRDefault="00AE2FDC" w:rsidP="005E0980">
            <w:pPr>
              <w:spacing w:after="0"/>
              <w:jc w:val="center"/>
              <w:rPr>
                <w:rFonts w:cs="Arial"/>
                <w:color w:val="000000"/>
                <w:szCs w:val="20"/>
                <w:lang w:val="en-NZ" w:eastAsia="en-NZ"/>
              </w:rPr>
            </w:pPr>
            <w:r w:rsidRPr="002F357B">
              <w:rPr>
                <w:rFonts w:cs="Arial"/>
                <w:color w:val="000000"/>
                <w:szCs w:val="20"/>
                <w:lang w:val="en-NZ" w:eastAsia="en-NZ"/>
              </w:rPr>
              <w:t>NA</w:t>
            </w:r>
          </w:p>
        </w:tc>
        <w:tc>
          <w:tcPr>
            <w:tcW w:w="2098" w:type="dxa"/>
            <w:tcBorders>
              <w:top w:val="nil"/>
              <w:left w:val="nil"/>
              <w:bottom w:val="single" w:sz="8" w:space="0" w:color="FFFFFF"/>
              <w:right w:val="single" w:sz="8" w:space="0" w:color="FFFFFF"/>
            </w:tcBorders>
            <w:shd w:val="clear" w:color="000000" w:fill="E7E7E8"/>
            <w:noWrap/>
            <w:vAlign w:val="center"/>
            <w:hideMark/>
          </w:tcPr>
          <w:p w14:paraId="54646EB5" w14:textId="77777777" w:rsidR="00AE2FDC" w:rsidRPr="002F357B" w:rsidRDefault="00AE2FDC" w:rsidP="005E0980">
            <w:pPr>
              <w:spacing w:after="0"/>
              <w:jc w:val="center"/>
              <w:rPr>
                <w:rFonts w:cs="Arial"/>
                <w:color w:val="000000"/>
                <w:szCs w:val="20"/>
                <w:lang w:val="en-NZ" w:eastAsia="en-NZ"/>
              </w:rPr>
            </w:pPr>
            <w:r w:rsidRPr="002F357B">
              <w:rPr>
                <w:rFonts w:cs="Arial"/>
                <w:color w:val="000000"/>
                <w:szCs w:val="20"/>
              </w:rPr>
              <w:t>NA</w:t>
            </w:r>
          </w:p>
        </w:tc>
        <w:tc>
          <w:tcPr>
            <w:tcW w:w="1134" w:type="dxa"/>
            <w:tcBorders>
              <w:top w:val="nil"/>
              <w:left w:val="nil"/>
              <w:bottom w:val="single" w:sz="8" w:space="0" w:color="FFFFFF"/>
              <w:right w:val="single" w:sz="8" w:space="0" w:color="FFFFFF"/>
            </w:tcBorders>
            <w:shd w:val="clear" w:color="000000" w:fill="E7E7E8"/>
            <w:noWrap/>
            <w:vAlign w:val="center"/>
            <w:hideMark/>
          </w:tcPr>
          <w:p w14:paraId="2BF7F6CA" w14:textId="77777777" w:rsidR="00AE2FDC" w:rsidRPr="002F357B" w:rsidRDefault="00AE2FDC" w:rsidP="005E0980">
            <w:pPr>
              <w:spacing w:after="0"/>
              <w:jc w:val="center"/>
              <w:rPr>
                <w:rFonts w:cs="Arial"/>
                <w:color w:val="000000"/>
                <w:szCs w:val="20"/>
                <w:lang w:val="en-NZ" w:eastAsia="en-NZ"/>
              </w:rPr>
            </w:pPr>
            <w:r w:rsidRPr="002F357B">
              <w:rPr>
                <w:rFonts w:cs="Arial"/>
                <w:color w:val="000000"/>
                <w:szCs w:val="20"/>
              </w:rPr>
              <w:t>NA</w:t>
            </w:r>
          </w:p>
        </w:tc>
        <w:tc>
          <w:tcPr>
            <w:tcW w:w="1134" w:type="dxa"/>
            <w:tcBorders>
              <w:top w:val="nil"/>
              <w:left w:val="nil"/>
              <w:bottom w:val="single" w:sz="8" w:space="0" w:color="FFFFFF"/>
              <w:right w:val="single" w:sz="8" w:space="0" w:color="FFFFFF"/>
            </w:tcBorders>
            <w:shd w:val="clear" w:color="000000" w:fill="E7E7E8"/>
            <w:noWrap/>
            <w:vAlign w:val="center"/>
            <w:hideMark/>
          </w:tcPr>
          <w:p w14:paraId="62C35F79" w14:textId="77777777" w:rsidR="00AE2FDC" w:rsidRPr="002F357B" w:rsidRDefault="00AE2FDC" w:rsidP="005E0980">
            <w:pPr>
              <w:spacing w:after="0"/>
              <w:jc w:val="center"/>
              <w:rPr>
                <w:rFonts w:cs="Arial"/>
                <w:color w:val="000000"/>
                <w:szCs w:val="20"/>
                <w:lang w:val="en-NZ" w:eastAsia="en-NZ"/>
              </w:rPr>
            </w:pPr>
            <w:r w:rsidRPr="002F357B">
              <w:rPr>
                <w:rFonts w:cs="Arial"/>
                <w:color w:val="000000"/>
                <w:szCs w:val="20"/>
              </w:rPr>
              <w:t>NA</w:t>
            </w:r>
          </w:p>
        </w:tc>
        <w:tc>
          <w:tcPr>
            <w:tcW w:w="1134" w:type="dxa"/>
            <w:tcBorders>
              <w:top w:val="nil"/>
              <w:left w:val="nil"/>
              <w:bottom w:val="single" w:sz="8" w:space="0" w:color="FFFFFF"/>
              <w:right w:val="single" w:sz="8" w:space="0" w:color="FFFFFF"/>
            </w:tcBorders>
            <w:shd w:val="clear" w:color="000000" w:fill="E7E7E8"/>
            <w:noWrap/>
            <w:vAlign w:val="center"/>
            <w:hideMark/>
          </w:tcPr>
          <w:p w14:paraId="7C3298B8" w14:textId="77777777" w:rsidR="00AE2FDC" w:rsidRPr="002F357B" w:rsidRDefault="00AE2FDC" w:rsidP="005E0980">
            <w:pPr>
              <w:spacing w:after="0"/>
              <w:jc w:val="center"/>
              <w:rPr>
                <w:rFonts w:cs="Arial"/>
                <w:color w:val="000000"/>
                <w:szCs w:val="20"/>
                <w:lang w:val="en-NZ" w:eastAsia="en-NZ"/>
              </w:rPr>
            </w:pPr>
            <w:r w:rsidRPr="002F357B">
              <w:rPr>
                <w:rFonts w:cs="Arial"/>
                <w:color w:val="000000"/>
                <w:szCs w:val="20"/>
              </w:rPr>
              <w:t>NA</w:t>
            </w:r>
          </w:p>
        </w:tc>
        <w:tc>
          <w:tcPr>
            <w:tcW w:w="1134" w:type="dxa"/>
            <w:tcBorders>
              <w:top w:val="nil"/>
              <w:left w:val="nil"/>
              <w:bottom w:val="single" w:sz="8" w:space="0" w:color="FFFFFF"/>
              <w:right w:val="single" w:sz="8" w:space="0" w:color="FFFFFF"/>
            </w:tcBorders>
            <w:shd w:val="clear" w:color="000000" w:fill="E7E7E8"/>
            <w:noWrap/>
            <w:vAlign w:val="center"/>
            <w:hideMark/>
          </w:tcPr>
          <w:p w14:paraId="3C19BD09" w14:textId="77777777" w:rsidR="00AE2FDC" w:rsidRPr="002F357B" w:rsidRDefault="00AE2FDC" w:rsidP="005E0980">
            <w:pPr>
              <w:spacing w:after="0"/>
              <w:jc w:val="center"/>
              <w:rPr>
                <w:rFonts w:cs="Arial"/>
                <w:color w:val="000000"/>
                <w:szCs w:val="20"/>
                <w:lang w:val="en-NZ" w:eastAsia="en-NZ"/>
              </w:rPr>
            </w:pPr>
            <w:r w:rsidRPr="002F357B">
              <w:rPr>
                <w:rFonts w:cs="Arial"/>
                <w:color w:val="000000"/>
                <w:szCs w:val="20"/>
              </w:rPr>
              <w:t>NA</w:t>
            </w:r>
          </w:p>
        </w:tc>
        <w:tc>
          <w:tcPr>
            <w:tcW w:w="1134" w:type="dxa"/>
            <w:tcBorders>
              <w:top w:val="nil"/>
              <w:left w:val="nil"/>
              <w:bottom w:val="single" w:sz="8" w:space="0" w:color="FFFFFF"/>
              <w:right w:val="single" w:sz="8" w:space="0" w:color="FFFFFF"/>
            </w:tcBorders>
            <w:shd w:val="clear" w:color="000000" w:fill="E7E7E8"/>
            <w:noWrap/>
            <w:vAlign w:val="center"/>
            <w:hideMark/>
          </w:tcPr>
          <w:p w14:paraId="4275D537" w14:textId="77777777" w:rsidR="00AE2FDC" w:rsidRPr="002F357B" w:rsidRDefault="00AE2FDC" w:rsidP="005E0980">
            <w:pPr>
              <w:spacing w:after="0"/>
              <w:jc w:val="center"/>
              <w:rPr>
                <w:rFonts w:cs="Arial"/>
                <w:color w:val="000000"/>
                <w:szCs w:val="20"/>
                <w:lang w:val="en-NZ" w:eastAsia="en-NZ"/>
              </w:rPr>
            </w:pPr>
            <w:r w:rsidRPr="002F357B">
              <w:rPr>
                <w:rFonts w:cs="Arial"/>
                <w:color w:val="000000"/>
                <w:szCs w:val="20"/>
              </w:rPr>
              <w:t>NA</w:t>
            </w:r>
          </w:p>
        </w:tc>
        <w:tc>
          <w:tcPr>
            <w:tcW w:w="1134" w:type="dxa"/>
            <w:tcBorders>
              <w:top w:val="nil"/>
              <w:left w:val="nil"/>
              <w:bottom w:val="single" w:sz="8" w:space="0" w:color="FFFFFF"/>
              <w:right w:val="single" w:sz="8" w:space="0" w:color="FFFFFF"/>
            </w:tcBorders>
            <w:shd w:val="clear" w:color="000000" w:fill="E7E7E8"/>
            <w:noWrap/>
            <w:vAlign w:val="center"/>
            <w:hideMark/>
          </w:tcPr>
          <w:p w14:paraId="3D817BBE" w14:textId="77777777" w:rsidR="00AE2FDC" w:rsidRPr="002F357B" w:rsidRDefault="00AE2FDC" w:rsidP="005E0980">
            <w:pPr>
              <w:spacing w:after="0"/>
              <w:jc w:val="center"/>
              <w:rPr>
                <w:rFonts w:cs="Arial"/>
                <w:color w:val="000000"/>
                <w:szCs w:val="20"/>
                <w:lang w:val="en-NZ" w:eastAsia="en-NZ"/>
              </w:rPr>
            </w:pPr>
            <w:r w:rsidRPr="002F357B">
              <w:rPr>
                <w:rFonts w:cs="Arial"/>
                <w:color w:val="000000"/>
                <w:szCs w:val="20"/>
              </w:rPr>
              <w:t>NA</w:t>
            </w:r>
          </w:p>
        </w:tc>
      </w:tr>
      <w:tr w:rsidR="00AE2FDC" w:rsidRPr="00DF0A90" w14:paraId="4D6F06AE" w14:textId="77777777" w:rsidTr="007A37B6">
        <w:trPr>
          <w:trHeight w:val="315"/>
        </w:trPr>
        <w:tc>
          <w:tcPr>
            <w:tcW w:w="1928" w:type="dxa"/>
            <w:tcBorders>
              <w:top w:val="nil"/>
              <w:left w:val="single" w:sz="8" w:space="0" w:color="FFFFFF"/>
              <w:bottom w:val="single" w:sz="8" w:space="0" w:color="FFFFFF"/>
              <w:right w:val="single" w:sz="8" w:space="0" w:color="FFFFFF"/>
            </w:tcBorders>
            <w:shd w:val="clear" w:color="000000" w:fill="E7E7E8"/>
            <w:noWrap/>
            <w:vAlign w:val="center"/>
            <w:hideMark/>
          </w:tcPr>
          <w:p w14:paraId="4217957E" w14:textId="77777777" w:rsidR="00AE2FDC" w:rsidRPr="002F357B" w:rsidRDefault="00AE2FDC" w:rsidP="00AE2FDC">
            <w:pPr>
              <w:spacing w:after="0"/>
              <w:rPr>
                <w:rFonts w:cs="Arial"/>
                <w:color w:val="000000"/>
                <w:szCs w:val="20"/>
                <w:lang w:val="en-NZ" w:eastAsia="en-NZ"/>
              </w:rPr>
            </w:pPr>
            <w:r w:rsidRPr="002F357B">
              <w:rPr>
                <w:rFonts w:cs="Arial"/>
                <w:color w:val="000000"/>
                <w:szCs w:val="20"/>
                <w:lang w:val="en-NZ" w:eastAsia="en-NZ"/>
              </w:rPr>
              <w:t>Northland</w:t>
            </w:r>
          </w:p>
        </w:tc>
        <w:tc>
          <w:tcPr>
            <w:tcW w:w="1247" w:type="dxa"/>
            <w:tcBorders>
              <w:top w:val="nil"/>
              <w:left w:val="nil"/>
              <w:bottom w:val="single" w:sz="8" w:space="0" w:color="FFFFFF"/>
              <w:right w:val="single" w:sz="8" w:space="0" w:color="FFFFFF"/>
            </w:tcBorders>
            <w:shd w:val="clear" w:color="000000" w:fill="E7E7E8"/>
            <w:noWrap/>
            <w:vAlign w:val="center"/>
            <w:hideMark/>
          </w:tcPr>
          <w:p w14:paraId="1DCEDF9D" w14:textId="77777777" w:rsidR="00AE2FDC" w:rsidRPr="002F357B" w:rsidRDefault="00AE2FDC" w:rsidP="00122690">
            <w:pPr>
              <w:spacing w:after="0"/>
              <w:jc w:val="center"/>
              <w:rPr>
                <w:rFonts w:cs="Arial"/>
                <w:color w:val="000000"/>
                <w:szCs w:val="20"/>
                <w:lang w:val="en-NZ" w:eastAsia="en-NZ"/>
              </w:rPr>
            </w:pPr>
            <w:r w:rsidRPr="002F357B">
              <w:rPr>
                <w:rFonts w:cs="Arial"/>
                <w:color w:val="000000"/>
                <w:szCs w:val="20"/>
              </w:rPr>
              <w:t>11</w:t>
            </w:r>
          </w:p>
        </w:tc>
        <w:tc>
          <w:tcPr>
            <w:tcW w:w="1247" w:type="dxa"/>
            <w:tcBorders>
              <w:top w:val="nil"/>
              <w:left w:val="nil"/>
              <w:bottom w:val="single" w:sz="8" w:space="0" w:color="FFFFFF"/>
              <w:right w:val="single" w:sz="8" w:space="0" w:color="FFFFFF"/>
            </w:tcBorders>
            <w:shd w:val="clear" w:color="000000" w:fill="E7E7E8"/>
            <w:noWrap/>
            <w:vAlign w:val="center"/>
            <w:hideMark/>
          </w:tcPr>
          <w:p w14:paraId="24653F89"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26,560</w:t>
            </w:r>
          </w:p>
        </w:tc>
        <w:tc>
          <w:tcPr>
            <w:tcW w:w="1928" w:type="dxa"/>
            <w:tcBorders>
              <w:top w:val="nil"/>
              <w:left w:val="nil"/>
              <w:bottom w:val="single" w:sz="8" w:space="0" w:color="FFFFFF"/>
              <w:right w:val="single" w:sz="8" w:space="0" w:color="FFFFFF"/>
            </w:tcBorders>
            <w:shd w:val="clear" w:color="000000" w:fill="E7E7E8"/>
            <w:noWrap/>
            <w:vAlign w:val="center"/>
            <w:hideMark/>
          </w:tcPr>
          <w:p w14:paraId="5B4338C5"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lang w:val="en-NZ" w:eastAsia="en-NZ"/>
              </w:rPr>
              <w:t>$100 - $150</w:t>
            </w:r>
          </w:p>
        </w:tc>
        <w:tc>
          <w:tcPr>
            <w:tcW w:w="2098" w:type="dxa"/>
            <w:tcBorders>
              <w:top w:val="nil"/>
              <w:left w:val="nil"/>
              <w:bottom w:val="single" w:sz="8" w:space="0" w:color="FFFFFF"/>
              <w:right w:val="single" w:sz="8" w:space="0" w:color="FFFFFF"/>
            </w:tcBorders>
            <w:shd w:val="clear" w:color="000000" w:fill="E7E7E8"/>
            <w:noWrap/>
            <w:vAlign w:val="center"/>
            <w:hideMark/>
          </w:tcPr>
          <w:p w14:paraId="3CE5BAC7"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$2.1 - $3.2</w:t>
            </w:r>
          </w:p>
        </w:tc>
        <w:tc>
          <w:tcPr>
            <w:tcW w:w="1134" w:type="dxa"/>
            <w:tcBorders>
              <w:top w:val="nil"/>
              <w:left w:val="nil"/>
              <w:bottom w:val="single" w:sz="8" w:space="0" w:color="FFFFFF"/>
              <w:right w:val="single" w:sz="8" w:space="0" w:color="FFFFFF"/>
            </w:tcBorders>
            <w:shd w:val="clear" w:color="000000" w:fill="E7E7E8"/>
            <w:noWrap/>
            <w:vAlign w:val="center"/>
            <w:hideMark/>
          </w:tcPr>
          <w:p w14:paraId="543B3CA2"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$4,815</w:t>
            </w:r>
          </w:p>
        </w:tc>
        <w:tc>
          <w:tcPr>
            <w:tcW w:w="1134" w:type="dxa"/>
            <w:tcBorders>
              <w:top w:val="nil"/>
              <w:left w:val="nil"/>
              <w:bottom w:val="single" w:sz="8" w:space="0" w:color="FFFFFF"/>
              <w:right w:val="single" w:sz="8" w:space="0" w:color="FFFFFF"/>
            </w:tcBorders>
            <w:shd w:val="clear" w:color="000000" w:fill="E7E7E8"/>
            <w:noWrap/>
            <w:vAlign w:val="center"/>
            <w:hideMark/>
          </w:tcPr>
          <w:p w14:paraId="7F91F29B"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$1,392</w:t>
            </w:r>
          </w:p>
        </w:tc>
        <w:tc>
          <w:tcPr>
            <w:tcW w:w="1134" w:type="dxa"/>
            <w:tcBorders>
              <w:top w:val="nil"/>
              <w:left w:val="nil"/>
              <w:bottom w:val="single" w:sz="8" w:space="0" w:color="FFFFFF"/>
              <w:right w:val="single" w:sz="8" w:space="0" w:color="FFFFFF"/>
            </w:tcBorders>
            <w:shd w:val="clear" w:color="000000" w:fill="E7E7E8"/>
            <w:noWrap/>
            <w:vAlign w:val="center"/>
            <w:hideMark/>
          </w:tcPr>
          <w:p w14:paraId="1D1529C2"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$99</w:t>
            </w:r>
          </w:p>
        </w:tc>
        <w:tc>
          <w:tcPr>
            <w:tcW w:w="1134" w:type="dxa"/>
            <w:tcBorders>
              <w:top w:val="nil"/>
              <w:left w:val="nil"/>
              <w:bottom w:val="single" w:sz="8" w:space="0" w:color="FFFFFF"/>
              <w:right w:val="single" w:sz="8" w:space="0" w:color="FFFFFF"/>
            </w:tcBorders>
            <w:shd w:val="clear" w:color="000000" w:fill="E7E7E8"/>
            <w:noWrap/>
            <w:vAlign w:val="center"/>
            <w:hideMark/>
          </w:tcPr>
          <w:p w14:paraId="4FEFBE48"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$29</w:t>
            </w:r>
          </w:p>
        </w:tc>
        <w:tc>
          <w:tcPr>
            <w:tcW w:w="1134" w:type="dxa"/>
            <w:tcBorders>
              <w:top w:val="nil"/>
              <w:left w:val="nil"/>
              <w:bottom w:val="single" w:sz="8" w:space="0" w:color="FFFFFF"/>
              <w:right w:val="single" w:sz="8" w:space="0" w:color="FFFFFF"/>
            </w:tcBorders>
            <w:shd w:val="clear" w:color="000000" w:fill="E7E7E8"/>
            <w:noWrap/>
            <w:vAlign w:val="center"/>
            <w:hideMark/>
          </w:tcPr>
          <w:p w14:paraId="3B63C2F2"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$1,285</w:t>
            </w:r>
          </w:p>
        </w:tc>
        <w:tc>
          <w:tcPr>
            <w:tcW w:w="1134" w:type="dxa"/>
            <w:tcBorders>
              <w:top w:val="nil"/>
              <w:left w:val="nil"/>
              <w:bottom w:val="single" w:sz="8" w:space="0" w:color="FFFFFF"/>
              <w:right w:val="single" w:sz="8" w:space="0" w:color="FFFFFF"/>
            </w:tcBorders>
            <w:shd w:val="clear" w:color="000000" w:fill="E7E7E8"/>
            <w:noWrap/>
            <w:vAlign w:val="center"/>
            <w:hideMark/>
          </w:tcPr>
          <w:p w14:paraId="7D3AA23D"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$372</w:t>
            </w:r>
          </w:p>
        </w:tc>
      </w:tr>
      <w:tr w:rsidR="00AE2FDC" w:rsidRPr="00DF0A90" w14:paraId="76F4F466" w14:textId="77777777" w:rsidTr="007A37B6">
        <w:trPr>
          <w:trHeight w:val="315"/>
        </w:trPr>
        <w:tc>
          <w:tcPr>
            <w:tcW w:w="1928" w:type="dxa"/>
            <w:tcBorders>
              <w:top w:val="nil"/>
              <w:left w:val="single" w:sz="8" w:space="0" w:color="FFFFFF"/>
              <w:bottom w:val="single" w:sz="8" w:space="0" w:color="FFFFFF"/>
              <w:right w:val="single" w:sz="8" w:space="0" w:color="FFFFFF"/>
            </w:tcBorders>
            <w:shd w:val="clear" w:color="000000" w:fill="E7E7E8"/>
            <w:noWrap/>
            <w:vAlign w:val="center"/>
            <w:hideMark/>
          </w:tcPr>
          <w:p w14:paraId="3760191A" w14:textId="77777777" w:rsidR="00AE2FDC" w:rsidRPr="002F357B" w:rsidRDefault="00AE2FDC" w:rsidP="00AE2FDC">
            <w:pPr>
              <w:spacing w:after="0"/>
              <w:rPr>
                <w:rFonts w:cs="Arial"/>
                <w:color w:val="000000"/>
                <w:szCs w:val="20"/>
                <w:lang w:val="en-NZ" w:eastAsia="en-NZ"/>
              </w:rPr>
            </w:pPr>
            <w:r w:rsidRPr="002F357B">
              <w:rPr>
                <w:rFonts w:cs="Arial"/>
                <w:color w:val="000000"/>
                <w:szCs w:val="20"/>
                <w:lang w:val="en-NZ" w:eastAsia="en-NZ"/>
              </w:rPr>
              <w:t>Otago</w:t>
            </w:r>
          </w:p>
        </w:tc>
        <w:tc>
          <w:tcPr>
            <w:tcW w:w="1247" w:type="dxa"/>
            <w:tcBorders>
              <w:top w:val="nil"/>
              <w:left w:val="nil"/>
              <w:bottom w:val="single" w:sz="8" w:space="0" w:color="FFFFFF"/>
              <w:right w:val="single" w:sz="8" w:space="0" w:color="FFFFFF"/>
            </w:tcBorders>
            <w:shd w:val="clear" w:color="000000" w:fill="E7E7E8"/>
            <w:noWrap/>
            <w:vAlign w:val="center"/>
            <w:hideMark/>
          </w:tcPr>
          <w:p w14:paraId="7CAFD6C1" w14:textId="77777777" w:rsidR="00AE2FDC" w:rsidRPr="002F357B" w:rsidRDefault="00AE2FDC" w:rsidP="00122690">
            <w:pPr>
              <w:spacing w:after="0"/>
              <w:jc w:val="center"/>
              <w:rPr>
                <w:rFonts w:cs="Arial"/>
                <w:color w:val="000000"/>
                <w:szCs w:val="20"/>
                <w:lang w:val="en-NZ" w:eastAsia="en-NZ"/>
              </w:rPr>
            </w:pPr>
            <w:r w:rsidRPr="002F357B">
              <w:rPr>
                <w:rFonts w:cs="Arial"/>
                <w:color w:val="000000"/>
                <w:szCs w:val="20"/>
              </w:rPr>
              <w:t>20</w:t>
            </w:r>
          </w:p>
        </w:tc>
        <w:tc>
          <w:tcPr>
            <w:tcW w:w="1247" w:type="dxa"/>
            <w:tcBorders>
              <w:top w:val="nil"/>
              <w:left w:val="nil"/>
              <w:bottom w:val="single" w:sz="8" w:space="0" w:color="FFFFFF"/>
              <w:right w:val="single" w:sz="8" w:space="0" w:color="FFFFFF"/>
            </w:tcBorders>
            <w:shd w:val="clear" w:color="000000" w:fill="E7E7E8"/>
            <w:noWrap/>
            <w:vAlign w:val="center"/>
            <w:hideMark/>
          </w:tcPr>
          <w:p w14:paraId="00CEA1EE"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23,590</w:t>
            </w:r>
          </w:p>
        </w:tc>
        <w:tc>
          <w:tcPr>
            <w:tcW w:w="1928" w:type="dxa"/>
            <w:tcBorders>
              <w:top w:val="nil"/>
              <w:left w:val="nil"/>
              <w:bottom w:val="single" w:sz="8" w:space="0" w:color="FFFFFF"/>
              <w:right w:val="single" w:sz="8" w:space="0" w:color="FFFFFF"/>
            </w:tcBorders>
            <w:shd w:val="clear" w:color="000000" w:fill="E7E7E8"/>
            <w:noWrap/>
            <w:vAlign w:val="center"/>
            <w:hideMark/>
          </w:tcPr>
          <w:p w14:paraId="1226C5A9"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lang w:val="en-NZ" w:eastAsia="en-NZ"/>
              </w:rPr>
              <w:t>$120 - $180</w:t>
            </w:r>
          </w:p>
        </w:tc>
        <w:tc>
          <w:tcPr>
            <w:tcW w:w="2098" w:type="dxa"/>
            <w:tcBorders>
              <w:top w:val="nil"/>
              <w:left w:val="nil"/>
              <w:bottom w:val="single" w:sz="8" w:space="0" w:color="FFFFFF"/>
              <w:right w:val="single" w:sz="8" w:space="0" w:color="FFFFFF"/>
            </w:tcBorders>
            <w:shd w:val="clear" w:color="000000" w:fill="E7E7E8"/>
            <w:noWrap/>
            <w:vAlign w:val="center"/>
            <w:hideMark/>
          </w:tcPr>
          <w:p w14:paraId="74799F96"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$2.1 - $3.1</w:t>
            </w:r>
          </w:p>
        </w:tc>
        <w:tc>
          <w:tcPr>
            <w:tcW w:w="1134" w:type="dxa"/>
            <w:tcBorders>
              <w:top w:val="nil"/>
              <w:left w:val="nil"/>
              <w:bottom w:val="single" w:sz="8" w:space="0" w:color="FFFFFF"/>
              <w:right w:val="single" w:sz="8" w:space="0" w:color="FFFFFF"/>
            </w:tcBorders>
            <w:shd w:val="clear" w:color="000000" w:fill="E7E7E8"/>
            <w:noWrap/>
            <w:vAlign w:val="center"/>
            <w:hideMark/>
          </w:tcPr>
          <w:p w14:paraId="78EC35DD"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$6,268</w:t>
            </w:r>
          </w:p>
        </w:tc>
        <w:tc>
          <w:tcPr>
            <w:tcW w:w="1134" w:type="dxa"/>
            <w:tcBorders>
              <w:top w:val="nil"/>
              <w:left w:val="nil"/>
              <w:bottom w:val="single" w:sz="8" w:space="0" w:color="FFFFFF"/>
              <w:right w:val="single" w:sz="8" w:space="0" w:color="FFFFFF"/>
            </w:tcBorders>
            <w:shd w:val="clear" w:color="000000" w:fill="E7E7E8"/>
            <w:noWrap/>
            <w:vAlign w:val="center"/>
            <w:hideMark/>
          </w:tcPr>
          <w:p w14:paraId="18DB44D1"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$856</w:t>
            </w:r>
          </w:p>
        </w:tc>
        <w:tc>
          <w:tcPr>
            <w:tcW w:w="1134" w:type="dxa"/>
            <w:tcBorders>
              <w:top w:val="nil"/>
              <w:left w:val="nil"/>
              <w:bottom w:val="single" w:sz="8" w:space="0" w:color="FFFFFF"/>
              <w:right w:val="single" w:sz="8" w:space="0" w:color="FFFFFF"/>
            </w:tcBorders>
            <w:shd w:val="clear" w:color="000000" w:fill="E7E7E8"/>
            <w:noWrap/>
            <w:vAlign w:val="center"/>
            <w:hideMark/>
          </w:tcPr>
          <w:p w14:paraId="2EEBBE33"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$109</w:t>
            </w:r>
          </w:p>
        </w:tc>
        <w:tc>
          <w:tcPr>
            <w:tcW w:w="1134" w:type="dxa"/>
            <w:tcBorders>
              <w:top w:val="nil"/>
              <w:left w:val="nil"/>
              <w:bottom w:val="single" w:sz="8" w:space="0" w:color="FFFFFF"/>
              <w:right w:val="single" w:sz="8" w:space="0" w:color="FFFFFF"/>
            </w:tcBorders>
            <w:shd w:val="clear" w:color="000000" w:fill="E7E7E8"/>
            <w:noWrap/>
            <w:vAlign w:val="center"/>
            <w:hideMark/>
          </w:tcPr>
          <w:p w14:paraId="24EC6DD1"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$15</w:t>
            </w:r>
          </w:p>
        </w:tc>
        <w:tc>
          <w:tcPr>
            <w:tcW w:w="1134" w:type="dxa"/>
            <w:tcBorders>
              <w:top w:val="nil"/>
              <w:left w:val="nil"/>
              <w:bottom w:val="single" w:sz="8" w:space="0" w:color="FFFFFF"/>
              <w:right w:val="single" w:sz="8" w:space="0" w:color="FFFFFF"/>
            </w:tcBorders>
            <w:shd w:val="clear" w:color="000000" w:fill="E7E7E8"/>
            <w:noWrap/>
            <w:vAlign w:val="center"/>
            <w:hideMark/>
          </w:tcPr>
          <w:p w14:paraId="1D3DA2C0"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$1,617</w:t>
            </w:r>
          </w:p>
        </w:tc>
        <w:tc>
          <w:tcPr>
            <w:tcW w:w="1134" w:type="dxa"/>
            <w:tcBorders>
              <w:top w:val="nil"/>
              <w:left w:val="nil"/>
              <w:bottom w:val="single" w:sz="8" w:space="0" w:color="FFFFFF"/>
              <w:right w:val="single" w:sz="8" w:space="0" w:color="FFFFFF"/>
            </w:tcBorders>
            <w:shd w:val="clear" w:color="000000" w:fill="E7E7E8"/>
            <w:noWrap/>
            <w:vAlign w:val="center"/>
            <w:hideMark/>
          </w:tcPr>
          <w:p w14:paraId="60995F96"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$221</w:t>
            </w:r>
          </w:p>
        </w:tc>
      </w:tr>
      <w:tr w:rsidR="00AE2FDC" w:rsidRPr="00DF0A90" w14:paraId="2916C8A1" w14:textId="77777777" w:rsidTr="007A37B6">
        <w:trPr>
          <w:trHeight w:val="315"/>
        </w:trPr>
        <w:tc>
          <w:tcPr>
            <w:tcW w:w="1928" w:type="dxa"/>
            <w:tcBorders>
              <w:top w:val="nil"/>
              <w:left w:val="single" w:sz="8" w:space="0" w:color="FFFFFF"/>
              <w:bottom w:val="single" w:sz="8" w:space="0" w:color="FFFFFF"/>
              <w:right w:val="single" w:sz="8" w:space="0" w:color="FFFFFF"/>
            </w:tcBorders>
            <w:shd w:val="clear" w:color="000000" w:fill="E7E7E8"/>
            <w:noWrap/>
            <w:vAlign w:val="center"/>
            <w:hideMark/>
          </w:tcPr>
          <w:p w14:paraId="2E50F760" w14:textId="77777777" w:rsidR="00AE2FDC" w:rsidRPr="002F357B" w:rsidRDefault="00AE2FDC" w:rsidP="00AE2FDC">
            <w:pPr>
              <w:spacing w:after="0"/>
              <w:rPr>
                <w:rFonts w:cs="Arial"/>
                <w:color w:val="000000"/>
                <w:szCs w:val="20"/>
                <w:lang w:val="en-NZ" w:eastAsia="en-NZ"/>
              </w:rPr>
            </w:pPr>
            <w:r w:rsidRPr="002F357B">
              <w:rPr>
                <w:rFonts w:cs="Arial"/>
                <w:color w:val="000000"/>
                <w:szCs w:val="20"/>
                <w:lang w:val="en-NZ" w:eastAsia="en-NZ"/>
              </w:rPr>
              <w:t>Southland</w:t>
            </w:r>
          </w:p>
        </w:tc>
        <w:tc>
          <w:tcPr>
            <w:tcW w:w="1247" w:type="dxa"/>
            <w:tcBorders>
              <w:top w:val="nil"/>
              <w:left w:val="nil"/>
              <w:bottom w:val="single" w:sz="8" w:space="0" w:color="FFFFFF"/>
              <w:right w:val="single" w:sz="8" w:space="0" w:color="FFFFFF"/>
            </w:tcBorders>
            <w:shd w:val="clear" w:color="000000" w:fill="E7E7E8"/>
            <w:noWrap/>
            <w:vAlign w:val="center"/>
            <w:hideMark/>
          </w:tcPr>
          <w:p w14:paraId="732EDD30" w14:textId="77777777" w:rsidR="00AE2FDC" w:rsidRPr="002F357B" w:rsidRDefault="00AE2FDC" w:rsidP="00122690">
            <w:pPr>
              <w:spacing w:after="0"/>
              <w:jc w:val="center"/>
              <w:rPr>
                <w:rFonts w:cs="Arial"/>
                <w:color w:val="000000"/>
                <w:szCs w:val="20"/>
                <w:lang w:val="en-NZ" w:eastAsia="en-NZ"/>
              </w:rPr>
            </w:pPr>
            <w:r w:rsidRPr="002F357B">
              <w:rPr>
                <w:rFonts w:cs="Arial"/>
                <w:color w:val="000000"/>
                <w:szCs w:val="20"/>
              </w:rPr>
              <w:t>14</w:t>
            </w:r>
          </w:p>
        </w:tc>
        <w:tc>
          <w:tcPr>
            <w:tcW w:w="1247" w:type="dxa"/>
            <w:tcBorders>
              <w:top w:val="nil"/>
              <w:left w:val="nil"/>
              <w:bottom w:val="single" w:sz="8" w:space="0" w:color="FFFFFF"/>
              <w:right w:val="single" w:sz="8" w:space="0" w:color="FFFFFF"/>
            </w:tcBorders>
            <w:shd w:val="clear" w:color="000000" w:fill="E7E7E8"/>
            <w:noWrap/>
            <w:vAlign w:val="center"/>
            <w:hideMark/>
          </w:tcPr>
          <w:p w14:paraId="67E866EE"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20,150</w:t>
            </w:r>
          </w:p>
        </w:tc>
        <w:tc>
          <w:tcPr>
            <w:tcW w:w="1928" w:type="dxa"/>
            <w:tcBorders>
              <w:top w:val="nil"/>
              <w:left w:val="nil"/>
              <w:bottom w:val="single" w:sz="8" w:space="0" w:color="FFFFFF"/>
              <w:right w:val="single" w:sz="8" w:space="0" w:color="FFFFFF"/>
            </w:tcBorders>
            <w:shd w:val="clear" w:color="000000" w:fill="E7E7E8"/>
            <w:noWrap/>
            <w:vAlign w:val="center"/>
            <w:hideMark/>
          </w:tcPr>
          <w:p w14:paraId="59C1B943"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lang w:val="en-NZ" w:eastAsia="en-NZ"/>
              </w:rPr>
              <w:t>$84 - $130</w:t>
            </w:r>
          </w:p>
        </w:tc>
        <w:tc>
          <w:tcPr>
            <w:tcW w:w="2098" w:type="dxa"/>
            <w:tcBorders>
              <w:top w:val="nil"/>
              <w:left w:val="nil"/>
              <w:bottom w:val="single" w:sz="8" w:space="0" w:color="FFFFFF"/>
              <w:right w:val="single" w:sz="8" w:space="0" w:color="FFFFFF"/>
            </w:tcBorders>
            <w:shd w:val="clear" w:color="000000" w:fill="E7E7E8"/>
            <w:noWrap/>
            <w:vAlign w:val="center"/>
            <w:hideMark/>
          </w:tcPr>
          <w:p w14:paraId="77ED2264"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$1.6 - $2.4</w:t>
            </w:r>
          </w:p>
        </w:tc>
        <w:tc>
          <w:tcPr>
            <w:tcW w:w="1134" w:type="dxa"/>
            <w:tcBorders>
              <w:top w:val="nil"/>
              <w:left w:val="nil"/>
              <w:bottom w:val="single" w:sz="8" w:space="0" w:color="FFFFFF"/>
              <w:right w:val="single" w:sz="8" w:space="0" w:color="FFFFFF"/>
            </w:tcBorders>
            <w:shd w:val="clear" w:color="000000" w:fill="E7E7E8"/>
            <w:noWrap/>
            <w:vAlign w:val="center"/>
            <w:hideMark/>
          </w:tcPr>
          <w:p w14:paraId="5F4D5B79"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$5,185</w:t>
            </w:r>
          </w:p>
        </w:tc>
        <w:tc>
          <w:tcPr>
            <w:tcW w:w="1134" w:type="dxa"/>
            <w:tcBorders>
              <w:top w:val="nil"/>
              <w:left w:val="nil"/>
              <w:bottom w:val="single" w:sz="8" w:space="0" w:color="FFFFFF"/>
              <w:right w:val="single" w:sz="8" w:space="0" w:color="FFFFFF"/>
            </w:tcBorders>
            <w:shd w:val="clear" w:color="000000" w:fill="E7E7E8"/>
            <w:noWrap/>
            <w:vAlign w:val="center"/>
            <w:hideMark/>
          </w:tcPr>
          <w:p w14:paraId="35BB289E"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$1,309</w:t>
            </w:r>
          </w:p>
        </w:tc>
        <w:tc>
          <w:tcPr>
            <w:tcW w:w="1134" w:type="dxa"/>
            <w:tcBorders>
              <w:top w:val="nil"/>
              <w:left w:val="nil"/>
              <w:bottom w:val="single" w:sz="8" w:space="0" w:color="FFFFFF"/>
              <w:right w:val="single" w:sz="8" w:space="0" w:color="FFFFFF"/>
            </w:tcBorders>
            <w:shd w:val="clear" w:color="000000" w:fill="E7E7E8"/>
            <w:noWrap/>
            <w:vAlign w:val="center"/>
            <w:hideMark/>
          </w:tcPr>
          <w:p w14:paraId="6812124F"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$101</w:t>
            </w:r>
          </w:p>
        </w:tc>
        <w:tc>
          <w:tcPr>
            <w:tcW w:w="1134" w:type="dxa"/>
            <w:tcBorders>
              <w:top w:val="nil"/>
              <w:left w:val="nil"/>
              <w:bottom w:val="single" w:sz="8" w:space="0" w:color="FFFFFF"/>
              <w:right w:val="single" w:sz="8" w:space="0" w:color="FFFFFF"/>
            </w:tcBorders>
            <w:shd w:val="clear" w:color="000000" w:fill="E7E7E8"/>
            <w:noWrap/>
            <w:vAlign w:val="center"/>
            <w:hideMark/>
          </w:tcPr>
          <w:p w14:paraId="18554388"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$25</w:t>
            </w:r>
          </w:p>
        </w:tc>
        <w:tc>
          <w:tcPr>
            <w:tcW w:w="1134" w:type="dxa"/>
            <w:tcBorders>
              <w:top w:val="nil"/>
              <w:left w:val="nil"/>
              <w:bottom w:val="single" w:sz="8" w:space="0" w:color="FFFFFF"/>
              <w:right w:val="single" w:sz="8" w:space="0" w:color="FFFFFF"/>
            </w:tcBorders>
            <w:shd w:val="clear" w:color="000000" w:fill="E7E7E8"/>
            <w:noWrap/>
            <w:vAlign w:val="center"/>
            <w:hideMark/>
          </w:tcPr>
          <w:p w14:paraId="1A0C824A"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$1,367</w:t>
            </w:r>
          </w:p>
        </w:tc>
        <w:tc>
          <w:tcPr>
            <w:tcW w:w="1134" w:type="dxa"/>
            <w:tcBorders>
              <w:top w:val="nil"/>
              <w:left w:val="nil"/>
              <w:bottom w:val="single" w:sz="8" w:space="0" w:color="FFFFFF"/>
              <w:right w:val="single" w:sz="8" w:space="0" w:color="FFFFFF"/>
            </w:tcBorders>
            <w:shd w:val="clear" w:color="000000" w:fill="E7E7E8"/>
            <w:noWrap/>
            <w:vAlign w:val="center"/>
            <w:hideMark/>
          </w:tcPr>
          <w:p w14:paraId="6CEF081A"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$345</w:t>
            </w:r>
          </w:p>
        </w:tc>
      </w:tr>
      <w:tr w:rsidR="00AE2FDC" w:rsidRPr="00DF0A90" w14:paraId="6525034E" w14:textId="77777777" w:rsidTr="007A37B6">
        <w:trPr>
          <w:trHeight w:val="315"/>
        </w:trPr>
        <w:tc>
          <w:tcPr>
            <w:tcW w:w="1928" w:type="dxa"/>
            <w:tcBorders>
              <w:top w:val="nil"/>
              <w:left w:val="single" w:sz="8" w:space="0" w:color="FFFFFF"/>
              <w:bottom w:val="single" w:sz="8" w:space="0" w:color="FFFFFF"/>
              <w:right w:val="single" w:sz="8" w:space="0" w:color="FFFFFF"/>
            </w:tcBorders>
            <w:shd w:val="clear" w:color="000000" w:fill="E7E7E8"/>
            <w:noWrap/>
            <w:vAlign w:val="center"/>
            <w:hideMark/>
          </w:tcPr>
          <w:p w14:paraId="6A1B93A4" w14:textId="77777777" w:rsidR="00AE2FDC" w:rsidRPr="002F357B" w:rsidRDefault="00AE2FDC" w:rsidP="00AE2FDC">
            <w:pPr>
              <w:spacing w:after="0"/>
              <w:rPr>
                <w:rFonts w:cs="Arial"/>
                <w:color w:val="000000"/>
                <w:szCs w:val="20"/>
                <w:lang w:val="en-NZ" w:eastAsia="en-NZ"/>
              </w:rPr>
            </w:pPr>
            <w:r w:rsidRPr="002F357B">
              <w:rPr>
                <w:rFonts w:cs="Arial"/>
                <w:color w:val="000000"/>
                <w:szCs w:val="20"/>
                <w:lang w:val="en-NZ" w:eastAsia="en-NZ"/>
              </w:rPr>
              <w:t>Taranaki</w:t>
            </w:r>
          </w:p>
        </w:tc>
        <w:tc>
          <w:tcPr>
            <w:tcW w:w="1247" w:type="dxa"/>
            <w:tcBorders>
              <w:top w:val="nil"/>
              <w:left w:val="nil"/>
              <w:bottom w:val="single" w:sz="8" w:space="0" w:color="FFFFFF"/>
              <w:right w:val="single" w:sz="8" w:space="0" w:color="FFFFFF"/>
            </w:tcBorders>
            <w:shd w:val="clear" w:color="000000" w:fill="E7E7E8"/>
            <w:noWrap/>
            <w:vAlign w:val="center"/>
            <w:hideMark/>
          </w:tcPr>
          <w:p w14:paraId="3EFBDB89" w14:textId="77777777" w:rsidR="00AE2FDC" w:rsidRPr="002F357B" w:rsidRDefault="00AE2FDC" w:rsidP="00122690">
            <w:pPr>
              <w:spacing w:after="0"/>
              <w:jc w:val="center"/>
              <w:rPr>
                <w:rFonts w:cs="Arial"/>
                <w:color w:val="000000"/>
                <w:szCs w:val="20"/>
                <w:lang w:val="en-NZ" w:eastAsia="en-NZ"/>
              </w:rPr>
            </w:pPr>
            <w:r w:rsidRPr="002F357B">
              <w:rPr>
                <w:rFonts w:cs="Arial"/>
                <w:color w:val="000000"/>
                <w:szCs w:val="20"/>
              </w:rPr>
              <w:t>5</w:t>
            </w:r>
          </w:p>
        </w:tc>
        <w:tc>
          <w:tcPr>
            <w:tcW w:w="1247" w:type="dxa"/>
            <w:tcBorders>
              <w:top w:val="nil"/>
              <w:left w:val="nil"/>
              <w:bottom w:val="single" w:sz="8" w:space="0" w:color="FFFFFF"/>
              <w:right w:val="single" w:sz="8" w:space="0" w:color="FFFFFF"/>
            </w:tcBorders>
            <w:shd w:val="clear" w:color="000000" w:fill="E7E7E8"/>
            <w:noWrap/>
            <w:vAlign w:val="center"/>
            <w:hideMark/>
          </w:tcPr>
          <w:p w14:paraId="5F21F241"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9,620</w:t>
            </w:r>
          </w:p>
        </w:tc>
        <w:tc>
          <w:tcPr>
            <w:tcW w:w="1928" w:type="dxa"/>
            <w:tcBorders>
              <w:top w:val="nil"/>
              <w:left w:val="nil"/>
              <w:bottom w:val="single" w:sz="8" w:space="0" w:color="FFFFFF"/>
              <w:right w:val="single" w:sz="8" w:space="0" w:color="FFFFFF"/>
            </w:tcBorders>
            <w:shd w:val="clear" w:color="000000" w:fill="E7E7E8"/>
            <w:noWrap/>
            <w:vAlign w:val="center"/>
            <w:hideMark/>
          </w:tcPr>
          <w:p w14:paraId="34579F80"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lang w:val="en-NZ" w:eastAsia="en-NZ"/>
              </w:rPr>
              <w:t>$74 - $110</w:t>
            </w:r>
          </w:p>
        </w:tc>
        <w:tc>
          <w:tcPr>
            <w:tcW w:w="2098" w:type="dxa"/>
            <w:tcBorders>
              <w:top w:val="nil"/>
              <w:left w:val="nil"/>
              <w:bottom w:val="single" w:sz="8" w:space="0" w:color="FFFFFF"/>
              <w:right w:val="single" w:sz="8" w:space="0" w:color="FFFFFF"/>
            </w:tcBorders>
            <w:shd w:val="clear" w:color="000000" w:fill="E7E7E8"/>
            <w:noWrap/>
            <w:vAlign w:val="center"/>
            <w:hideMark/>
          </w:tcPr>
          <w:p w14:paraId="208EBCF4"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$2.6 - $3.8</w:t>
            </w:r>
          </w:p>
        </w:tc>
        <w:tc>
          <w:tcPr>
            <w:tcW w:w="1134" w:type="dxa"/>
            <w:tcBorders>
              <w:top w:val="nil"/>
              <w:left w:val="nil"/>
              <w:bottom w:val="single" w:sz="8" w:space="0" w:color="FFFFFF"/>
              <w:right w:val="single" w:sz="8" w:space="0" w:color="FFFFFF"/>
            </w:tcBorders>
            <w:shd w:val="clear" w:color="000000" w:fill="E7E7E8"/>
            <w:noWrap/>
            <w:vAlign w:val="center"/>
            <w:hideMark/>
          </w:tcPr>
          <w:p w14:paraId="1EF3B31C"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$9,630</w:t>
            </w:r>
          </w:p>
        </w:tc>
        <w:tc>
          <w:tcPr>
            <w:tcW w:w="1134" w:type="dxa"/>
            <w:tcBorders>
              <w:top w:val="nil"/>
              <w:left w:val="nil"/>
              <w:bottom w:val="single" w:sz="8" w:space="0" w:color="FFFFFF"/>
              <w:right w:val="single" w:sz="8" w:space="0" w:color="FFFFFF"/>
            </w:tcBorders>
            <w:shd w:val="clear" w:color="000000" w:fill="E7E7E8"/>
            <w:noWrap/>
            <w:vAlign w:val="center"/>
            <w:hideMark/>
          </w:tcPr>
          <w:p w14:paraId="062B042E"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$1,215</w:t>
            </w:r>
          </w:p>
        </w:tc>
        <w:tc>
          <w:tcPr>
            <w:tcW w:w="1134" w:type="dxa"/>
            <w:tcBorders>
              <w:top w:val="nil"/>
              <w:left w:val="nil"/>
              <w:bottom w:val="single" w:sz="8" w:space="0" w:color="FFFFFF"/>
              <w:right w:val="single" w:sz="8" w:space="0" w:color="FFFFFF"/>
            </w:tcBorders>
            <w:shd w:val="clear" w:color="000000" w:fill="E7E7E8"/>
            <w:noWrap/>
            <w:vAlign w:val="center"/>
            <w:hideMark/>
          </w:tcPr>
          <w:p w14:paraId="3B4C055E"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$332</w:t>
            </w:r>
          </w:p>
        </w:tc>
        <w:tc>
          <w:tcPr>
            <w:tcW w:w="1134" w:type="dxa"/>
            <w:tcBorders>
              <w:top w:val="nil"/>
              <w:left w:val="nil"/>
              <w:bottom w:val="single" w:sz="8" w:space="0" w:color="FFFFFF"/>
              <w:right w:val="single" w:sz="8" w:space="0" w:color="FFFFFF"/>
            </w:tcBorders>
            <w:shd w:val="clear" w:color="000000" w:fill="E7E7E8"/>
            <w:noWrap/>
            <w:vAlign w:val="center"/>
            <w:hideMark/>
          </w:tcPr>
          <w:p w14:paraId="6E76CAE0"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$42</w:t>
            </w:r>
          </w:p>
        </w:tc>
        <w:tc>
          <w:tcPr>
            <w:tcW w:w="1134" w:type="dxa"/>
            <w:tcBorders>
              <w:top w:val="nil"/>
              <w:left w:val="nil"/>
              <w:bottom w:val="single" w:sz="8" w:space="0" w:color="FFFFFF"/>
              <w:right w:val="single" w:sz="8" w:space="0" w:color="FFFFFF"/>
            </w:tcBorders>
            <w:shd w:val="clear" w:color="000000" w:fill="E7E7E8"/>
            <w:noWrap/>
            <w:vAlign w:val="center"/>
            <w:hideMark/>
          </w:tcPr>
          <w:p w14:paraId="5E51EA82"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$2,929</w:t>
            </w:r>
          </w:p>
        </w:tc>
        <w:tc>
          <w:tcPr>
            <w:tcW w:w="1134" w:type="dxa"/>
            <w:tcBorders>
              <w:top w:val="nil"/>
              <w:left w:val="nil"/>
              <w:bottom w:val="single" w:sz="8" w:space="0" w:color="FFFFFF"/>
              <w:right w:val="single" w:sz="8" w:space="0" w:color="FFFFFF"/>
            </w:tcBorders>
            <w:shd w:val="clear" w:color="000000" w:fill="E7E7E8"/>
            <w:noWrap/>
            <w:vAlign w:val="center"/>
            <w:hideMark/>
          </w:tcPr>
          <w:p w14:paraId="079E7617"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$370</w:t>
            </w:r>
          </w:p>
        </w:tc>
      </w:tr>
      <w:tr w:rsidR="00AE2FDC" w:rsidRPr="00DF0A90" w14:paraId="774A58FB" w14:textId="77777777" w:rsidTr="007A37B6">
        <w:trPr>
          <w:trHeight w:val="315"/>
        </w:trPr>
        <w:tc>
          <w:tcPr>
            <w:tcW w:w="1928" w:type="dxa"/>
            <w:tcBorders>
              <w:top w:val="nil"/>
              <w:left w:val="single" w:sz="8" w:space="0" w:color="FFFFFF"/>
              <w:bottom w:val="single" w:sz="8" w:space="0" w:color="FFFFFF"/>
              <w:right w:val="single" w:sz="8" w:space="0" w:color="FFFFFF"/>
            </w:tcBorders>
            <w:shd w:val="clear" w:color="000000" w:fill="E7E7E8"/>
            <w:noWrap/>
            <w:vAlign w:val="center"/>
            <w:hideMark/>
          </w:tcPr>
          <w:p w14:paraId="57FCB4F4" w14:textId="77777777" w:rsidR="00AE2FDC" w:rsidRPr="002F357B" w:rsidRDefault="00AE2FDC" w:rsidP="00AE2FDC">
            <w:pPr>
              <w:spacing w:after="0"/>
              <w:rPr>
                <w:rFonts w:cs="Arial"/>
                <w:color w:val="000000"/>
                <w:szCs w:val="20"/>
                <w:lang w:val="en-NZ" w:eastAsia="en-NZ"/>
              </w:rPr>
            </w:pPr>
            <w:r w:rsidRPr="002F357B">
              <w:rPr>
                <w:rFonts w:cs="Arial"/>
                <w:color w:val="000000"/>
                <w:szCs w:val="20"/>
                <w:lang w:val="en-NZ" w:eastAsia="en-NZ"/>
              </w:rPr>
              <w:t>Tasman</w:t>
            </w:r>
          </w:p>
        </w:tc>
        <w:tc>
          <w:tcPr>
            <w:tcW w:w="1247" w:type="dxa"/>
            <w:tcBorders>
              <w:top w:val="nil"/>
              <w:left w:val="nil"/>
              <w:bottom w:val="single" w:sz="8" w:space="0" w:color="FFFFFF"/>
              <w:right w:val="single" w:sz="8" w:space="0" w:color="FFFFFF"/>
            </w:tcBorders>
            <w:shd w:val="clear" w:color="000000" w:fill="E7E7E8"/>
            <w:noWrap/>
            <w:vAlign w:val="center"/>
            <w:hideMark/>
          </w:tcPr>
          <w:p w14:paraId="14B6EAE1" w14:textId="77777777" w:rsidR="00AE2FDC" w:rsidRPr="002F357B" w:rsidRDefault="00AE2FDC" w:rsidP="00122690">
            <w:pPr>
              <w:spacing w:after="0"/>
              <w:jc w:val="center"/>
              <w:rPr>
                <w:rFonts w:cs="Arial"/>
                <w:color w:val="000000"/>
                <w:szCs w:val="20"/>
                <w:lang w:val="en-NZ" w:eastAsia="en-NZ"/>
              </w:rPr>
            </w:pPr>
            <w:r w:rsidRPr="002F357B">
              <w:rPr>
                <w:rFonts w:cs="Arial"/>
                <w:color w:val="000000"/>
                <w:szCs w:val="20"/>
              </w:rPr>
              <w:t>3</w:t>
            </w:r>
          </w:p>
        </w:tc>
        <w:tc>
          <w:tcPr>
            <w:tcW w:w="1247" w:type="dxa"/>
            <w:tcBorders>
              <w:top w:val="nil"/>
              <w:left w:val="nil"/>
              <w:bottom w:val="single" w:sz="8" w:space="0" w:color="FFFFFF"/>
              <w:right w:val="single" w:sz="8" w:space="0" w:color="FFFFFF"/>
            </w:tcBorders>
            <w:shd w:val="clear" w:color="000000" w:fill="E7E7E8"/>
            <w:noWrap/>
            <w:vAlign w:val="center"/>
            <w:hideMark/>
          </w:tcPr>
          <w:p w14:paraId="485D8557"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2,580</w:t>
            </w:r>
          </w:p>
        </w:tc>
        <w:tc>
          <w:tcPr>
            <w:tcW w:w="1928" w:type="dxa"/>
            <w:tcBorders>
              <w:top w:val="nil"/>
              <w:left w:val="nil"/>
              <w:bottom w:val="single" w:sz="8" w:space="0" w:color="FFFFFF"/>
              <w:right w:val="single" w:sz="8" w:space="0" w:color="FFFFFF"/>
            </w:tcBorders>
            <w:shd w:val="clear" w:color="000000" w:fill="E7E7E8"/>
            <w:noWrap/>
            <w:vAlign w:val="center"/>
            <w:hideMark/>
          </w:tcPr>
          <w:p w14:paraId="46D13F02"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lang w:val="en-NZ" w:eastAsia="en-NZ"/>
              </w:rPr>
              <w:t>$16 - $24</w:t>
            </w:r>
          </w:p>
        </w:tc>
        <w:tc>
          <w:tcPr>
            <w:tcW w:w="2098" w:type="dxa"/>
            <w:tcBorders>
              <w:top w:val="nil"/>
              <w:left w:val="nil"/>
              <w:bottom w:val="single" w:sz="8" w:space="0" w:color="FFFFFF"/>
              <w:right w:val="single" w:sz="8" w:space="0" w:color="FFFFFF"/>
            </w:tcBorders>
            <w:shd w:val="clear" w:color="000000" w:fill="E7E7E8"/>
            <w:noWrap/>
            <w:vAlign w:val="center"/>
            <w:hideMark/>
          </w:tcPr>
          <w:p w14:paraId="646B18D9"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$0.22 - $0.32</w:t>
            </w:r>
          </w:p>
        </w:tc>
        <w:tc>
          <w:tcPr>
            <w:tcW w:w="1134" w:type="dxa"/>
            <w:tcBorders>
              <w:top w:val="nil"/>
              <w:left w:val="nil"/>
              <w:bottom w:val="single" w:sz="8" w:space="0" w:color="FFFFFF"/>
              <w:right w:val="single" w:sz="8" w:space="0" w:color="FFFFFF"/>
            </w:tcBorders>
            <w:shd w:val="clear" w:color="000000" w:fill="E7E7E8"/>
            <w:noWrap/>
            <w:vAlign w:val="center"/>
            <w:hideMark/>
          </w:tcPr>
          <w:p w14:paraId="7BA536F6"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$7,781</w:t>
            </w:r>
          </w:p>
        </w:tc>
        <w:tc>
          <w:tcPr>
            <w:tcW w:w="1134" w:type="dxa"/>
            <w:tcBorders>
              <w:top w:val="nil"/>
              <w:left w:val="nil"/>
              <w:bottom w:val="single" w:sz="8" w:space="0" w:color="FFFFFF"/>
              <w:right w:val="single" w:sz="8" w:space="0" w:color="FFFFFF"/>
            </w:tcBorders>
            <w:shd w:val="clear" w:color="000000" w:fill="E7E7E8"/>
            <w:noWrap/>
            <w:vAlign w:val="center"/>
            <w:hideMark/>
          </w:tcPr>
          <w:p w14:paraId="0C3A7E6C"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$349</w:t>
            </w:r>
          </w:p>
        </w:tc>
        <w:tc>
          <w:tcPr>
            <w:tcW w:w="1134" w:type="dxa"/>
            <w:tcBorders>
              <w:top w:val="nil"/>
              <w:left w:val="nil"/>
              <w:bottom w:val="single" w:sz="8" w:space="0" w:color="FFFFFF"/>
              <w:right w:val="single" w:sz="8" w:space="0" w:color="FFFFFF"/>
            </w:tcBorders>
            <w:shd w:val="clear" w:color="000000" w:fill="E7E7E8"/>
            <w:noWrap/>
            <w:vAlign w:val="center"/>
            <w:hideMark/>
          </w:tcPr>
          <w:p w14:paraId="3B109CDF"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$105</w:t>
            </w:r>
          </w:p>
        </w:tc>
        <w:tc>
          <w:tcPr>
            <w:tcW w:w="1134" w:type="dxa"/>
            <w:tcBorders>
              <w:top w:val="nil"/>
              <w:left w:val="nil"/>
              <w:bottom w:val="single" w:sz="8" w:space="0" w:color="FFFFFF"/>
              <w:right w:val="single" w:sz="8" w:space="0" w:color="FFFFFF"/>
            </w:tcBorders>
            <w:shd w:val="clear" w:color="000000" w:fill="E7E7E8"/>
            <w:noWrap/>
            <w:vAlign w:val="center"/>
            <w:hideMark/>
          </w:tcPr>
          <w:p w14:paraId="075EF43A"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$5</w:t>
            </w:r>
          </w:p>
        </w:tc>
        <w:tc>
          <w:tcPr>
            <w:tcW w:w="1134" w:type="dxa"/>
            <w:tcBorders>
              <w:top w:val="nil"/>
              <w:left w:val="nil"/>
              <w:bottom w:val="single" w:sz="8" w:space="0" w:color="FFFFFF"/>
              <w:right w:val="single" w:sz="8" w:space="0" w:color="FFFFFF"/>
            </w:tcBorders>
            <w:shd w:val="clear" w:color="000000" w:fill="E7E7E8"/>
            <w:noWrap/>
            <w:vAlign w:val="center"/>
            <w:hideMark/>
          </w:tcPr>
          <w:p w14:paraId="60CC070C"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$1,926</w:t>
            </w:r>
          </w:p>
        </w:tc>
        <w:tc>
          <w:tcPr>
            <w:tcW w:w="1134" w:type="dxa"/>
            <w:tcBorders>
              <w:top w:val="nil"/>
              <w:left w:val="nil"/>
              <w:bottom w:val="single" w:sz="8" w:space="0" w:color="FFFFFF"/>
              <w:right w:val="single" w:sz="8" w:space="0" w:color="FFFFFF"/>
            </w:tcBorders>
            <w:shd w:val="clear" w:color="000000" w:fill="E7E7E8"/>
            <w:noWrap/>
            <w:vAlign w:val="center"/>
            <w:hideMark/>
          </w:tcPr>
          <w:p w14:paraId="0E37371F"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$86</w:t>
            </w:r>
          </w:p>
        </w:tc>
      </w:tr>
      <w:tr w:rsidR="00AE2FDC" w:rsidRPr="00DF0A90" w14:paraId="73C37799" w14:textId="77777777" w:rsidTr="007A37B6">
        <w:trPr>
          <w:trHeight w:val="315"/>
        </w:trPr>
        <w:tc>
          <w:tcPr>
            <w:tcW w:w="1928" w:type="dxa"/>
            <w:tcBorders>
              <w:top w:val="nil"/>
              <w:left w:val="single" w:sz="8" w:space="0" w:color="FFFFFF"/>
              <w:bottom w:val="single" w:sz="8" w:space="0" w:color="FFFFFF"/>
              <w:right w:val="single" w:sz="8" w:space="0" w:color="FFFFFF"/>
            </w:tcBorders>
            <w:shd w:val="clear" w:color="000000" w:fill="E7E7E8"/>
            <w:noWrap/>
            <w:vAlign w:val="center"/>
            <w:hideMark/>
          </w:tcPr>
          <w:p w14:paraId="7A448247" w14:textId="77777777" w:rsidR="00AE2FDC" w:rsidRPr="002F357B" w:rsidRDefault="00AE2FDC" w:rsidP="00AE2FDC">
            <w:pPr>
              <w:spacing w:after="0"/>
              <w:rPr>
                <w:rFonts w:cs="Arial"/>
                <w:color w:val="000000"/>
                <w:szCs w:val="20"/>
                <w:lang w:val="en-NZ" w:eastAsia="en-NZ"/>
              </w:rPr>
            </w:pPr>
            <w:r w:rsidRPr="002F357B">
              <w:rPr>
                <w:rFonts w:cs="Arial"/>
                <w:color w:val="000000"/>
                <w:szCs w:val="20"/>
                <w:lang w:val="en-NZ" w:eastAsia="en-NZ"/>
              </w:rPr>
              <w:t>Waikato</w:t>
            </w:r>
          </w:p>
        </w:tc>
        <w:tc>
          <w:tcPr>
            <w:tcW w:w="1247" w:type="dxa"/>
            <w:tcBorders>
              <w:top w:val="nil"/>
              <w:left w:val="nil"/>
              <w:bottom w:val="single" w:sz="8" w:space="0" w:color="FFFFFF"/>
              <w:right w:val="single" w:sz="8" w:space="0" w:color="FFFFFF"/>
            </w:tcBorders>
            <w:shd w:val="clear" w:color="000000" w:fill="E7E7E8"/>
            <w:noWrap/>
            <w:vAlign w:val="center"/>
            <w:hideMark/>
          </w:tcPr>
          <w:p w14:paraId="3146C99E" w14:textId="77777777" w:rsidR="00AE2FDC" w:rsidRPr="002F357B" w:rsidRDefault="00CC08F3" w:rsidP="00122690">
            <w:pPr>
              <w:spacing w:after="0"/>
              <w:jc w:val="center"/>
              <w:rPr>
                <w:rFonts w:cs="Arial"/>
                <w:color w:val="000000"/>
                <w:szCs w:val="20"/>
                <w:lang w:val="en-NZ" w:eastAsia="en-NZ"/>
              </w:rPr>
            </w:pPr>
            <w:r w:rsidRPr="002F357B">
              <w:rPr>
                <w:rFonts w:cs="Arial"/>
                <w:color w:val="000000"/>
                <w:szCs w:val="20"/>
              </w:rPr>
              <w:t>23</w:t>
            </w:r>
          </w:p>
        </w:tc>
        <w:tc>
          <w:tcPr>
            <w:tcW w:w="1247" w:type="dxa"/>
            <w:tcBorders>
              <w:top w:val="nil"/>
              <w:left w:val="nil"/>
              <w:bottom w:val="single" w:sz="8" w:space="0" w:color="FFFFFF"/>
              <w:right w:val="single" w:sz="8" w:space="0" w:color="FFFFFF"/>
            </w:tcBorders>
            <w:shd w:val="clear" w:color="000000" w:fill="E7E7E8"/>
            <w:noWrap/>
            <w:vAlign w:val="center"/>
            <w:hideMark/>
          </w:tcPr>
          <w:p w14:paraId="03B17490" w14:textId="77777777" w:rsidR="00AE2FDC" w:rsidRPr="002F357B" w:rsidRDefault="00CC08F3" w:rsidP="000A39D8">
            <w:pPr>
              <w:spacing w:after="0"/>
              <w:jc w:val="center"/>
              <w:rPr>
                <w:rFonts w:cs="Arial"/>
                <w:color w:val="000000"/>
                <w:szCs w:val="20"/>
                <w:lang w:val="en-NZ" w:eastAsia="en-NZ"/>
              </w:rPr>
            </w:pPr>
            <w:r w:rsidRPr="002F357B">
              <w:rPr>
                <w:rFonts w:cs="Arial"/>
                <w:color w:val="000000"/>
                <w:szCs w:val="20"/>
              </w:rPr>
              <w:t>117,340</w:t>
            </w:r>
          </w:p>
        </w:tc>
        <w:tc>
          <w:tcPr>
            <w:tcW w:w="1928" w:type="dxa"/>
            <w:tcBorders>
              <w:top w:val="nil"/>
              <w:left w:val="nil"/>
              <w:bottom w:val="single" w:sz="8" w:space="0" w:color="FFFFFF"/>
              <w:right w:val="single" w:sz="8" w:space="0" w:color="FFFFFF"/>
            </w:tcBorders>
            <w:shd w:val="clear" w:color="000000" w:fill="E7E7E8"/>
            <w:noWrap/>
            <w:vAlign w:val="center"/>
            <w:hideMark/>
          </w:tcPr>
          <w:p w14:paraId="49D17AB3"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lang w:val="en-NZ" w:eastAsia="en-NZ"/>
              </w:rPr>
              <w:t>$240 - $360</w:t>
            </w:r>
          </w:p>
        </w:tc>
        <w:tc>
          <w:tcPr>
            <w:tcW w:w="2098" w:type="dxa"/>
            <w:tcBorders>
              <w:top w:val="nil"/>
              <w:left w:val="nil"/>
              <w:bottom w:val="single" w:sz="8" w:space="0" w:color="FFFFFF"/>
              <w:right w:val="single" w:sz="8" w:space="0" w:color="FFFFFF"/>
            </w:tcBorders>
            <w:shd w:val="clear" w:color="000000" w:fill="E7E7E8"/>
            <w:noWrap/>
            <w:vAlign w:val="center"/>
            <w:hideMark/>
          </w:tcPr>
          <w:p w14:paraId="045CFC53"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$6.5 - $9.7</w:t>
            </w:r>
          </w:p>
        </w:tc>
        <w:tc>
          <w:tcPr>
            <w:tcW w:w="1134" w:type="dxa"/>
            <w:tcBorders>
              <w:top w:val="nil"/>
              <w:left w:val="nil"/>
              <w:bottom w:val="single" w:sz="8" w:space="0" w:color="FFFFFF"/>
              <w:right w:val="single" w:sz="8" w:space="0" w:color="FFFFFF"/>
            </w:tcBorders>
            <w:shd w:val="clear" w:color="000000" w:fill="E7E7E8"/>
            <w:noWrap/>
            <w:vAlign w:val="center"/>
            <w:hideMark/>
          </w:tcPr>
          <w:p w14:paraId="7E48A0B7" w14:textId="77777777" w:rsidR="00AE2FDC" w:rsidRPr="002F357B" w:rsidRDefault="00CC08F3" w:rsidP="000A39D8">
            <w:pPr>
              <w:spacing w:after="0"/>
              <w:jc w:val="center"/>
              <w:rPr>
                <w:rFonts w:cs="Arial"/>
                <w:color w:val="000000"/>
                <w:szCs w:val="20"/>
                <w:lang w:val="en-NZ" w:eastAsia="en-NZ"/>
              </w:rPr>
            </w:pPr>
            <w:r w:rsidRPr="002F357B">
              <w:rPr>
                <w:rFonts w:cs="Arial"/>
                <w:color w:val="000000"/>
                <w:szCs w:val="20"/>
              </w:rPr>
              <w:t>$2,576</w:t>
            </w:r>
          </w:p>
        </w:tc>
        <w:tc>
          <w:tcPr>
            <w:tcW w:w="1134" w:type="dxa"/>
            <w:tcBorders>
              <w:top w:val="nil"/>
              <w:left w:val="nil"/>
              <w:bottom w:val="single" w:sz="8" w:space="0" w:color="FFFFFF"/>
              <w:right w:val="single" w:sz="8" w:space="0" w:color="FFFFFF"/>
            </w:tcBorders>
            <w:shd w:val="clear" w:color="000000" w:fill="E7E7E8"/>
            <w:noWrap/>
            <w:vAlign w:val="center"/>
            <w:hideMark/>
          </w:tcPr>
          <w:p w14:paraId="434A7EE5"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$857</w:t>
            </w:r>
          </w:p>
        </w:tc>
        <w:tc>
          <w:tcPr>
            <w:tcW w:w="1134" w:type="dxa"/>
            <w:tcBorders>
              <w:top w:val="nil"/>
              <w:left w:val="nil"/>
              <w:bottom w:val="single" w:sz="8" w:space="0" w:color="FFFFFF"/>
              <w:right w:val="single" w:sz="8" w:space="0" w:color="FFFFFF"/>
            </w:tcBorders>
            <w:shd w:val="clear" w:color="000000" w:fill="E7E7E8"/>
            <w:noWrap/>
            <w:vAlign w:val="center"/>
            <w:hideMark/>
          </w:tcPr>
          <w:p w14:paraId="1BF2FF1F"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w:t>
            </w:r>
            <w:r w:rsidR="00CC08F3" w:rsidRPr="002F357B">
              <w:rPr>
                <w:rFonts w:cs="Arial"/>
                <w:color w:val="000000"/>
                <w:szCs w:val="20"/>
              </w:rPr>
              <w:t>69</w:t>
            </w:r>
          </w:p>
        </w:tc>
        <w:tc>
          <w:tcPr>
            <w:tcW w:w="1134" w:type="dxa"/>
            <w:tcBorders>
              <w:top w:val="nil"/>
              <w:left w:val="nil"/>
              <w:bottom w:val="single" w:sz="8" w:space="0" w:color="FFFFFF"/>
              <w:right w:val="single" w:sz="8" w:space="0" w:color="FFFFFF"/>
            </w:tcBorders>
            <w:shd w:val="clear" w:color="000000" w:fill="E7E7E8"/>
            <w:noWrap/>
            <w:vAlign w:val="center"/>
            <w:hideMark/>
          </w:tcPr>
          <w:p w14:paraId="5431F944"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$23</w:t>
            </w:r>
          </w:p>
        </w:tc>
        <w:tc>
          <w:tcPr>
            <w:tcW w:w="1134" w:type="dxa"/>
            <w:tcBorders>
              <w:top w:val="nil"/>
              <w:left w:val="nil"/>
              <w:bottom w:val="single" w:sz="8" w:space="0" w:color="FFFFFF"/>
              <w:right w:val="single" w:sz="8" w:space="0" w:color="FFFFFF"/>
            </w:tcBorders>
            <w:shd w:val="clear" w:color="000000" w:fill="E7E7E8"/>
            <w:noWrap/>
            <w:vAlign w:val="center"/>
            <w:hideMark/>
          </w:tcPr>
          <w:p w14:paraId="1C34779A"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w:t>
            </w:r>
            <w:r w:rsidR="00CC08F3" w:rsidRPr="002F357B">
              <w:rPr>
                <w:rFonts w:cs="Arial"/>
                <w:color w:val="000000"/>
                <w:szCs w:val="20"/>
              </w:rPr>
              <w:t>731</w:t>
            </w:r>
          </w:p>
        </w:tc>
        <w:tc>
          <w:tcPr>
            <w:tcW w:w="1134" w:type="dxa"/>
            <w:tcBorders>
              <w:top w:val="nil"/>
              <w:left w:val="nil"/>
              <w:bottom w:val="single" w:sz="8" w:space="0" w:color="FFFFFF"/>
              <w:right w:val="single" w:sz="8" w:space="0" w:color="FFFFFF"/>
            </w:tcBorders>
            <w:shd w:val="clear" w:color="000000" w:fill="E7E7E8"/>
            <w:noWrap/>
            <w:vAlign w:val="center"/>
            <w:hideMark/>
          </w:tcPr>
          <w:p w14:paraId="23DD16E1"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$243</w:t>
            </w:r>
          </w:p>
        </w:tc>
      </w:tr>
      <w:tr w:rsidR="00AE2FDC" w:rsidRPr="00DF0A90" w14:paraId="1A11DF84" w14:textId="77777777" w:rsidTr="007A37B6">
        <w:trPr>
          <w:trHeight w:val="315"/>
        </w:trPr>
        <w:tc>
          <w:tcPr>
            <w:tcW w:w="1928" w:type="dxa"/>
            <w:tcBorders>
              <w:top w:val="nil"/>
              <w:left w:val="single" w:sz="8" w:space="0" w:color="FFFFFF"/>
              <w:bottom w:val="single" w:sz="8" w:space="0" w:color="FFFFFF"/>
              <w:right w:val="single" w:sz="8" w:space="0" w:color="FFFFFF"/>
            </w:tcBorders>
            <w:shd w:val="clear" w:color="000000" w:fill="E7E7E8"/>
            <w:noWrap/>
            <w:vAlign w:val="center"/>
            <w:hideMark/>
          </w:tcPr>
          <w:p w14:paraId="2CD01BD3" w14:textId="77777777" w:rsidR="00AE2FDC" w:rsidRPr="002F357B" w:rsidRDefault="00AE2FDC" w:rsidP="00AE2FDC">
            <w:pPr>
              <w:spacing w:after="0"/>
              <w:rPr>
                <w:rFonts w:cs="Arial"/>
                <w:color w:val="000000"/>
                <w:szCs w:val="20"/>
                <w:lang w:val="en-NZ" w:eastAsia="en-NZ"/>
              </w:rPr>
            </w:pPr>
            <w:r w:rsidRPr="002F357B">
              <w:rPr>
                <w:rFonts w:cs="Arial"/>
                <w:color w:val="000000"/>
                <w:szCs w:val="20"/>
                <w:lang w:val="en-NZ" w:eastAsia="en-NZ"/>
              </w:rPr>
              <w:t>Wellington</w:t>
            </w:r>
          </w:p>
        </w:tc>
        <w:tc>
          <w:tcPr>
            <w:tcW w:w="1247" w:type="dxa"/>
            <w:tcBorders>
              <w:top w:val="nil"/>
              <w:left w:val="nil"/>
              <w:bottom w:val="single" w:sz="8" w:space="0" w:color="FFFFFF"/>
              <w:right w:val="single" w:sz="8" w:space="0" w:color="FFFFFF"/>
            </w:tcBorders>
            <w:shd w:val="clear" w:color="000000" w:fill="E7E7E8"/>
            <w:noWrap/>
            <w:vAlign w:val="center"/>
            <w:hideMark/>
          </w:tcPr>
          <w:p w14:paraId="46C82F11" w14:textId="77777777" w:rsidR="00AE2FDC" w:rsidRPr="002F357B" w:rsidRDefault="00CC08F3" w:rsidP="00122690">
            <w:pPr>
              <w:spacing w:after="0"/>
              <w:jc w:val="center"/>
              <w:rPr>
                <w:rFonts w:cs="Arial"/>
                <w:color w:val="000000"/>
                <w:szCs w:val="20"/>
                <w:lang w:val="en-NZ" w:eastAsia="en-NZ"/>
              </w:rPr>
            </w:pPr>
            <w:r w:rsidRPr="002F357B">
              <w:rPr>
                <w:rFonts w:cs="Arial"/>
                <w:color w:val="000000"/>
                <w:szCs w:val="20"/>
              </w:rPr>
              <w:t>6</w:t>
            </w:r>
          </w:p>
        </w:tc>
        <w:tc>
          <w:tcPr>
            <w:tcW w:w="1247" w:type="dxa"/>
            <w:tcBorders>
              <w:top w:val="nil"/>
              <w:left w:val="nil"/>
              <w:bottom w:val="single" w:sz="8" w:space="0" w:color="FFFFFF"/>
              <w:right w:val="single" w:sz="8" w:space="0" w:color="FFFFFF"/>
            </w:tcBorders>
            <w:shd w:val="clear" w:color="000000" w:fill="E7E7E8"/>
            <w:noWrap/>
            <w:vAlign w:val="center"/>
            <w:hideMark/>
          </w:tcPr>
          <w:p w14:paraId="08C2689C" w14:textId="77777777" w:rsidR="00AE2FDC" w:rsidRPr="002F357B" w:rsidRDefault="00CC08F3" w:rsidP="000A39D8">
            <w:pPr>
              <w:spacing w:after="0"/>
              <w:jc w:val="center"/>
              <w:rPr>
                <w:rFonts w:cs="Arial"/>
                <w:color w:val="000000"/>
                <w:szCs w:val="20"/>
                <w:lang w:val="en-NZ" w:eastAsia="en-NZ"/>
              </w:rPr>
            </w:pPr>
            <w:r w:rsidRPr="002F357B">
              <w:rPr>
                <w:rFonts w:cs="Arial"/>
                <w:color w:val="000000"/>
                <w:szCs w:val="20"/>
              </w:rPr>
              <w:t>39,630</w:t>
            </w:r>
          </w:p>
        </w:tc>
        <w:tc>
          <w:tcPr>
            <w:tcW w:w="1928" w:type="dxa"/>
            <w:tcBorders>
              <w:top w:val="nil"/>
              <w:left w:val="nil"/>
              <w:bottom w:val="single" w:sz="8" w:space="0" w:color="FFFFFF"/>
              <w:right w:val="single" w:sz="8" w:space="0" w:color="FFFFFF"/>
            </w:tcBorders>
            <w:shd w:val="clear" w:color="000000" w:fill="E7E7E8"/>
            <w:noWrap/>
            <w:vAlign w:val="center"/>
            <w:hideMark/>
          </w:tcPr>
          <w:p w14:paraId="2533DC73"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lang w:val="en-NZ" w:eastAsia="en-NZ"/>
              </w:rPr>
              <w:t>$130 - $200</w:t>
            </w:r>
          </w:p>
        </w:tc>
        <w:tc>
          <w:tcPr>
            <w:tcW w:w="2098" w:type="dxa"/>
            <w:tcBorders>
              <w:top w:val="nil"/>
              <w:left w:val="nil"/>
              <w:bottom w:val="single" w:sz="8" w:space="0" w:color="FFFFFF"/>
              <w:right w:val="single" w:sz="8" w:space="0" w:color="FFFFFF"/>
            </w:tcBorders>
            <w:shd w:val="clear" w:color="000000" w:fill="E7E7E8"/>
            <w:noWrap/>
            <w:vAlign w:val="center"/>
            <w:hideMark/>
          </w:tcPr>
          <w:p w14:paraId="519CEEF5"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$4.8 - $7.2</w:t>
            </w:r>
          </w:p>
        </w:tc>
        <w:tc>
          <w:tcPr>
            <w:tcW w:w="1134" w:type="dxa"/>
            <w:tcBorders>
              <w:top w:val="nil"/>
              <w:left w:val="nil"/>
              <w:bottom w:val="single" w:sz="8" w:space="0" w:color="FFFFFF"/>
              <w:right w:val="single" w:sz="8" w:space="0" w:color="FFFFFF"/>
            </w:tcBorders>
            <w:shd w:val="clear" w:color="000000" w:fill="E7E7E8"/>
            <w:noWrap/>
            <w:vAlign w:val="center"/>
            <w:hideMark/>
          </w:tcPr>
          <w:p w14:paraId="0C881C47" w14:textId="77777777" w:rsidR="00AE2FDC" w:rsidRPr="002F357B" w:rsidRDefault="00CC08F3" w:rsidP="000A39D8">
            <w:pPr>
              <w:spacing w:after="0"/>
              <w:jc w:val="center"/>
              <w:rPr>
                <w:rFonts w:cs="Arial"/>
                <w:color w:val="000000"/>
                <w:szCs w:val="20"/>
                <w:lang w:val="en-NZ" w:eastAsia="en-NZ"/>
              </w:rPr>
            </w:pPr>
            <w:r w:rsidRPr="002F357B">
              <w:rPr>
                <w:rFonts w:cs="Arial"/>
                <w:color w:val="000000"/>
                <w:szCs w:val="20"/>
              </w:rPr>
              <w:t>$4,208</w:t>
            </w:r>
          </w:p>
        </w:tc>
        <w:tc>
          <w:tcPr>
            <w:tcW w:w="1134" w:type="dxa"/>
            <w:tcBorders>
              <w:top w:val="nil"/>
              <w:left w:val="nil"/>
              <w:bottom w:val="single" w:sz="8" w:space="0" w:color="FFFFFF"/>
              <w:right w:val="single" w:sz="8" w:space="0" w:color="FFFFFF"/>
            </w:tcBorders>
            <w:shd w:val="clear" w:color="000000" w:fill="E7E7E8"/>
            <w:noWrap/>
            <w:vAlign w:val="center"/>
            <w:hideMark/>
          </w:tcPr>
          <w:p w14:paraId="5CB17927"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$358</w:t>
            </w:r>
          </w:p>
        </w:tc>
        <w:tc>
          <w:tcPr>
            <w:tcW w:w="1134" w:type="dxa"/>
            <w:tcBorders>
              <w:top w:val="nil"/>
              <w:left w:val="nil"/>
              <w:bottom w:val="single" w:sz="8" w:space="0" w:color="FFFFFF"/>
              <w:right w:val="single" w:sz="8" w:space="0" w:color="FFFFFF"/>
            </w:tcBorders>
            <w:shd w:val="clear" w:color="000000" w:fill="E7E7E8"/>
            <w:noWrap/>
            <w:vAlign w:val="center"/>
            <w:hideMark/>
          </w:tcPr>
          <w:p w14:paraId="1F81B133"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w:t>
            </w:r>
            <w:r w:rsidR="00CC08F3" w:rsidRPr="002F357B">
              <w:rPr>
                <w:rFonts w:cs="Arial"/>
                <w:color w:val="000000"/>
                <w:szCs w:val="20"/>
              </w:rPr>
              <w:t>151</w:t>
            </w:r>
          </w:p>
        </w:tc>
        <w:tc>
          <w:tcPr>
            <w:tcW w:w="1134" w:type="dxa"/>
            <w:tcBorders>
              <w:top w:val="nil"/>
              <w:left w:val="nil"/>
              <w:bottom w:val="single" w:sz="8" w:space="0" w:color="FFFFFF"/>
              <w:right w:val="single" w:sz="8" w:space="0" w:color="FFFFFF"/>
            </w:tcBorders>
            <w:shd w:val="clear" w:color="000000" w:fill="E7E7E8"/>
            <w:noWrap/>
            <w:vAlign w:val="center"/>
            <w:hideMark/>
          </w:tcPr>
          <w:p w14:paraId="4D77B7CF"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$13</w:t>
            </w:r>
          </w:p>
        </w:tc>
        <w:tc>
          <w:tcPr>
            <w:tcW w:w="1134" w:type="dxa"/>
            <w:tcBorders>
              <w:top w:val="nil"/>
              <w:left w:val="nil"/>
              <w:bottom w:val="single" w:sz="8" w:space="0" w:color="FFFFFF"/>
              <w:right w:val="single" w:sz="8" w:space="0" w:color="FFFFFF"/>
            </w:tcBorders>
            <w:shd w:val="clear" w:color="000000" w:fill="E7E7E8"/>
            <w:noWrap/>
            <w:vAlign w:val="center"/>
            <w:hideMark/>
          </w:tcPr>
          <w:p w14:paraId="04D36894" w14:textId="77777777" w:rsidR="00AE2FDC" w:rsidRPr="002F357B" w:rsidRDefault="00CC08F3" w:rsidP="000A39D8">
            <w:pPr>
              <w:spacing w:after="0"/>
              <w:jc w:val="center"/>
              <w:rPr>
                <w:rFonts w:cs="Arial"/>
                <w:color w:val="000000"/>
                <w:szCs w:val="20"/>
                <w:lang w:val="en-NZ" w:eastAsia="en-NZ"/>
              </w:rPr>
            </w:pPr>
            <w:r w:rsidRPr="002F357B">
              <w:rPr>
                <w:rFonts w:cs="Arial"/>
                <w:color w:val="000000"/>
                <w:szCs w:val="20"/>
              </w:rPr>
              <w:t>$1,297</w:t>
            </w:r>
          </w:p>
        </w:tc>
        <w:tc>
          <w:tcPr>
            <w:tcW w:w="1134" w:type="dxa"/>
            <w:tcBorders>
              <w:top w:val="nil"/>
              <w:left w:val="nil"/>
              <w:bottom w:val="single" w:sz="8" w:space="0" w:color="FFFFFF"/>
              <w:right w:val="single" w:sz="8" w:space="0" w:color="FFFFFF"/>
            </w:tcBorders>
            <w:shd w:val="clear" w:color="000000" w:fill="E7E7E8"/>
            <w:noWrap/>
            <w:vAlign w:val="center"/>
            <w:hideMark/>
          </w:tcPr>
          <w:p w14:paraId="3D5FAA37"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$110</w:t>
            </w:r>
          </w:p>
        </w:tc>
      </w:tr>
      <w:tr w:rsidR="00AE2FDC" w:rsidRPr="00DF0A90" w14:paraId="14C1A54A" w14:textId="77777777" w:rsidTr="007A37B6">
        <w:trPr>
          <w:trHeight w:val="315"/>
        </w:trPr>
        <w:tc>
          <w:tcPr>
            <w:tcW w:w="1928" w:type="dxa"/>
            <w:tcBorders>
              <w:top w:val="nil"/>
              <w:left w:val="single" w:sz="8" w:space="0" w:color="FFFFFF"/>
              <w:bottom w:val="single" w:sz="8" w:space="0" w:color="FFFFFF"/>
              <w:right w:val="single" w:sz="8" w:space="0" w:color="FFFFFF"/>
            </w:tcBorders>
            <w:shd w:val="clear" w:color="000000" w:fill="E7E7E8"/>
            <w:noWrap/>
            <w:vAlign w:val="center"/>
            <w:hideMark/>
          </w:tcPr>
          <w:p w14:paraId="3AB89522" w14:textId="77777777" w:rsidR="00AE2FDC" w:rsidRPr="002F357B" w:rsidRDefault="00AE2FDC" w:rsidP="00AE2FDC">
            <w:pPr>
              <w:spacing w:after="0"/>
              <w:rPr>
                <w:rFonts w:cs="Arial"/>
                <w:color w:val="000000"/>
                <w:szCs w:val="20"/>
                <w:lang w:val="en-NZ" w:eastAsia="en-NZ"/>
              </w:rPr>
            </w:pPr>
            <w:r w:rsidRPr="002F357B">
              <w:rPr>
                <w:rFonts w:cs="Arial"/>
                <w:color w:val="000000"/>
                <w:szCs w:val="20"/>
                <w:lang w:val="en-NZ" w:eastAsia="en-NZ"/>
              </w:rPr>
              <w:t>West Coast</w:t>
            </w:r>
          </w:p>
        </w:tc>
        <w:tc>
          <w:tcPr>
            <w:tcW w:w="1247" w:type="dxa"/>
            <w:tcBorders>
              <w:top w:val="nil"/>
              <w:left w:val="nil"/>
              <w:bottom w:val="single" w:sz="8" w:space="0" w:color="FFFFFF"/>
              <w:right w:val="single" w:sz="8" w:space="0" w:color="FFFFFF"/>
            </w:tcBorders>
            <w:shd w:val="clear" w:color="000000" w:fill="E7E7E8"/>
            <w:noWrap/>
            <w:vAlign w:val="center"/>
            <w:hideMark/>
          </w:tcPr>
          <w:p w14:paraId="563E0C72" w14:textId="77777777" w:rsidR="00AE2FDC" w:rsidRPr="002F357B" w:rsidRDefault="00AE2FDC" w:rsidP="00122690">
            <w:pPr>
              <w:spacing w:after="0"/>
              <w:jc w:val="center"/>
              <w:rPr>
                <w:rFonts w:cs="Arial"/>
                <w:color w:val="000000"/>
                <w:szCs w:val="20"/>
                <w:lang w:val="en-NZ" w:eastAsia="en-NZ"/>
              </w:rPr>
            </w:pPr>
            <w:r w:rsidRPr="002F357B">
              <w:rPr>
                <w:rFonts w:cs="Arial"/>
                <w:color w:val="000000"/>
                <w:szCs w:val="20"/>
              </w:rPr>
              <w:t>10</w:t>
            </w:r>
          </w:p>
        </w:tc>
        <w:tc>
          <w:tcPr>
            <w:tcW w:w="1247" w:type="dxa"/>
            <w:tcBorders>
              <w:top w:val="nil"/>
              <w:left w:val="nil"/>
              <w:bottom w:val="single" w:sz="8" w:space="0" w:color="FFFFFF"/>
              <w:right w:val="single" w:sz="8" w:space="0" w:color="FFFFFF"/>
            </w:tcBorders>
            <w:shd w:val="clear" w:color="000000" w:fill="E7E7E8"/>
            <w:noWrap/>
            <w:vAlign w:val="center"/>
            <w:hideMark/>
          </w:tcPr>
          <w:p w14:paraId="25705C1D"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18,060</w:t>
            </w:r>
          </w:p>
        </w:tc>
        <w:tc>
          <w:tcPr>
            <w:tcW w:w="1928" w:type="dxa"/>
            <w:tcBorders>
              <w:top w:val="nil"/>
              <w:left w:val="nil"/>
              <w:bottom w:val="single" w:sz="8" w:space="0" w:color="FFFFFF"/>
              <w:right w:val="single" w:sz="8" w:space="0" w:color="FFFFFF"/>
            </w:tcBorders>
            <w:shd w:val="clear" w:color="000000" w:fill="E7E7E8"/>
            <w:noWrap/>
            <w:vAlign w:val="center"/>
            <w:hideMark/>
          </w:tcPr>
          <w:p w14:paraId="628A912F"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lang w:val="en-NZ" w:eastAsia="en-NZ"/>
              </w:rPr>
              <w:t>$120 - $180</w:t>
            </w:r>
          </w:p>
        </w:tc>
        <w:tc>
          <w:tcPr>
            <w:tcW w:w="2098" w:type="dxa"/>
            <w:tcBorders>
              <w:top w:val="nil"/>
              <w:left w:val="nil"/>
              <w:bottom w:val="single" w:sz="8" w:space="0" w:color="FFFFFF"/>
              <w:right w:val="single" w:sz="8" w:space="0" w:color="FFFFFF"/>
            </w:tcBorders>
            <w:shd w:val="clear" w:color="000000" w:fill="E7E7E8"/>
            <w:noWrap/>
            <w:vAlign w:val="center"/>
            <w:hideMark/>
          </w:tcPr>
          <w:p w14:paraId="78F0B14E"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$3.1 - $4.7</w:t>
            </w:r>
          </w:p>
        </w:tc>
        <w:tc>
          <w:tcPr>
            <w:tcW w:w="1134" w:type="dxa"/>
            <w:tcBorders>
              <w:top w:val="nil"/>
              <w:left w:val="nil"/>
              <w:bottom w:val="single" w:sz="8" w:space="0" w:color="FFFFFF"/>
              <w:right w:val="single" w:sz="8" w:space="0" w:color="FFFFFF"/>
            </w:tcBorders>
            <w:shd w:val="clear" w:color="000000" w:fill="E7E7E8"/>
            <w:noWrap/>
            <w:vAlign w:val="center"/>
            <w:hideMark/>
          </w:tcPr>
          <w:p w14:paraId="44CEF97E"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$8,188</w:t>
            </w:r>
          </w:p>
        </w:tc>
        <w:tc>
          <w:tcPr>
            <w:tcW w:w="1134" w:type="dxa"/>
            <w:tcBorders>
              <w:top w:val="nil"/>
              <w:left w:val="nil"/>
              <w:bottom w:val="single" w:sz="8" w:space="0" w:color="FFFFFF"/>
              <w:right w:val="single" w:sz="8" w:space="0" w:color="FFFFFF"/>
            </w:tcBorders>
            <w:shd w:val="clear" w:color="000000" w:fill="E7E7E8"/>
            <w:noWrap/>
            <w:vAlign w:val="center"/>
            <w:hideMark/>
          </w:tcPr>
          <w:p w14:paraId="53462FDD"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$6,190</w:t>
            </w:r>
          </w:p>
        </w:tc>
        <w:tc>
          <w:tcPr>
            <w:tcW w:w="1134" w:type="dxa"/>
            <w:tcBorders>
              <w:top w:val="nil"/>
              <w:left w:val="nil"/>
              <w:bottom w:val="single" w:sz="8" w:space="0" w:color="FFFFFF"/>
              <w:right w:val="single" w:sz="8" w:space="0" w:color="FFFFFF"/>
            </w:tcBorders>
            <w:shd w:val="clear" w:color="000000" w:fill="E7E7E8"/>
            <w:noWrap/>
            <w:vAlign w:val="center"/>
            <w:hideMark/>
          </w:tcPr>
          <w:p w14:paraId="46A70A00"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$217</w:t>
            </w:r>
          </w:p>
        </w:tc>
        <w:tc>
          <w:tcPr>
            <w:tcW w:w="1134" w:type="dxa"/>
            <w:tcBorders>
              <w:top w:val="nil"/>
              <w:left w:val="nil"/>
              <w:bottom w:val="single" w:sz="8" w:space="0" w:color="FFFFFF"/>
              <w:right w:val="single" w:sz="8" w:space="0" w:color="FFFFFF"/>
            </w:tcBorders>
            <w:shd w:val="clear" w:color="000000" w:fill="E7E7E8"/>
            <w:noWrap/>
            <w:vAlign w:val="center"/>
            <w:hideMark/>
          </w:tcPr>
          <w:p w14:paraId="11377E3D"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$164</w:t>
            </w:r>
          </w:p>
        </w:tc>
        <w:tc>
          <w:tcPr>
            <w:tcW w:w="1134" w:type="dxa"/>
            <w:tcBorders>
              <w:top w:val="nil"/>
              <w:left w:val="nil"/>
              <w:bottom w:val="single" w:sz="8" w:space="0" w:color="FFFFFF"/>
              <w:right w:val="single" w:sz="8" w:space="0" w:color="FFFFFF"/>
            </w:tcBorders>
            <w:shd w:val="clear" w:color="000000" w:fill="E7E7E8"/>
            <w:noWrap/>
            <w:vAlign w:val="center"/>
            <w:hideMark/>
          </w:tcPr>
          <w:p w14:paraId="18F2B4A4"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$2,315</w:t>
            </w:r>
          </w:p>
        </w:tc>
        <w:tc>
          <w:tcPr>
            <w:tcW w:w="1134" w:type="dxa"/>
            <w:tcBorders>
              <w:top w:val="nil"/>
              <w:left w:val="nil"/>
              <w:bottom w:val="single" w:sz="8" w:space="0" w:color="FFFFFF"/>
              <w:right w:val="single" w:sz="8" w:space="0" w:color="FFFFFF"/>
            </w:tcBorders>
            <w:shd w:val="clear" w:color="000000" w:fill="E7E7E8"/>
            <w:noWrap/>
            <w:vAlign w:val="center"/>
            <w:hideMark/>
          </w:tcPr>
          <w:p w14:paraId="3208C02F" w14:textId="77777777" w:rsidR="00AE2FDC" w:rsidRPr="002F357B" w:rsidRDefault="00AE2FDC" w:rsidP="000A39D8">
            <w:pPr>
              <w:spacing w:after="0"/>
              <w:jc w:val="center"/>
              <w:rPr>
                <w:rFonts w:cs="Arial"/>
                <w:color w:val="000000"/>
                <w:szCs w:val="20"/>
                <w:lang w:val="en-NZ" w:eastAsia="en-NZ"/>
              </w:rPr>
            </w:pPr>
            <w:r w:rsidRPr="002F357B">
              <w:rPr>
                <w:rFonts w:cs="Arial"/>
                <w:color w:val="000000"/>
                <w:szCs w:val="20"/>
              </w:rPr>
              <w:t>$1,750</w:t>
            </w:r>
          </w:p>
        </w:tc>
      </w:tr>
      <w:tr w:rsidR="00AE2FDC" w:rsidRPr="00DF0A90" w14:paraId="4F441098" w14:textId="77777777" w:rsidTr="007A37B6">
        <w:trPr>
          <w:trHeight w:val="315"/>
        </w:trPr>
        <w:tc>
          <w:tcPr>
            <w:tcW w:w="1928" w:type="dxa"/>
            <w:tcBorders>
              <w:top w:val="nil"/>
              <w:left w:val="single" w:sz="8" w:space="0" w:color="FFFFFF"/>
              <w:bottom w:val="single" w:sz="8" w:space="0" w:color="FFFFFF"/>
              <w:right w:val="single" w:sz="8" w:space="0" w:color="FFFFFF"/>
            </w:tcBorders>
            <w:shd w:val="clear" w:color="000000" w:fill="E7E7E8"/>
            <w:noWrap/>
            <w:vAlign w:val="center"/>
            <w:hideMark/>
          </w:tcPr>
          <w:p w14:paraId="63EED608" w14:textId="77777777" w:rsidR="00AE2FDC" w:rsidRPr="002F357B" w:rsidRDefault="00AE2FDC" w:rsidP="00AE2FDC">
            <w:pPr>
              <w:spacing w:after="0"/>
              <w:rPr>
                <w:rFonts w:cs="Arial"/>
                <w:b/>
                <w:bCs/>
                <w:color w:val="000000"/>
                <w:szCs w:val="20"/>
                <w:lang w:val="en-NZ" w:eastAsia="en-NZ"/>
              </w:rPr>
            </w:pPr>
            <w:r w:rsidRPr="002F357B">
              <w:rPr>
                <w:rFonts w:cs="Arial"/>
                <w:b/>
                <w:bCs/>
                <w:color w:val="000000"/>
                <w:szCs w:val="20"/>
                <w:lang w:val="en-NZ" w:eastAsia="en-NZ"/>
              </w:rPr>
              <w:t>Total</w:t>
            </w:r>
          </w:p>
        </w:tc>
        <w:tc>
          <w:tcPr>
            <w:tcW w:w="1247" w:type="dxa"/>
            <w:tcBorders>
              <w:top w:val="nil"/>
              <w:left w:val="nil"/>
              <w:bottom w:val="single" w:sz="8" w:space="0" w:color="FFFFFF"/>
              <w:right w:val="single" w:sz="8" w:space="0" w:color="FFFFFF"/>
            </w:tcBorders>
            <w:shd w:val="clear" w:color="000000" w:fill="E7E7E8"/>
            <w:noWrap/>
            <w:vAlign w:val="center"/>
            <w:hideMark/>
          </w:tcPr>
          <w:p w14:paraId="5C95DC0D" w14:textId="77777777" w:rsidR="00AE2FDC" w:rsidRPr="002F357B" w:rsidRDefault="00CC08F3" w:rsidP="00122690">
            <w:pPr>
              <w:spacing w:after="0"/>
              <w:jc w:val="center"/>
              <w:rPr>
                <w:rFonts w:cs="Arial"/>
                <w:b/>
                <w:bCs/>
                <w:color w:val="000000"/>
                <w:szCs w:val="20"/>
                <w:lang w:val="en-NZ" w:eastAsia="en-NZ"/>
              </w:rPr>
            </w:pPr>
            <w:r w:rsidRPr="002F357B">
              <w:rPr>
                <w:rFonts w:cs="Arial"/>
                <w:b/>
                <w:bCs/>
                <w:color w:val="000000"/>
                <w:szCs w:val="20"/>
              </w:rPr>
              <w:t>145</w:t>
            </w:r>
          </w:p>
        </w:tc>
        <w:tc>
          <w:tcPr>
            <w:tcW w:w="1247" w:type="dxa"/>
            <w:tcBorders>
              <w:top w:val="nil"/>
              <w:left w:val="nil"/>
              <w:bottom w:val="single" w:sz="8" w:space="0" w:color="FFFFFF"/>
              <w:right w:val="single" w:sz="8" w:space="0" w:color="FFFFFF"/>
            </w:tcBorders>
            <w:shd w:val="clear" w:color="000000" w:fill="E7E7E8"/>
            <w:noWrap/>
            <w:vAlign w:val="center"/>
            <w:hideMark/>
          </w:tcPr>
          <w:p w14:paraId="7C27D52E" w14:textId="77777777" w:rsidR="00AE2FDC" w:rsidRPr="002F357B" w:rsidRDefault="00CC08F3" w:rsidP="000A39D8">
            <w:pPr>
              <w:spacing w:after="0"/>
              <w:jc w:val="center"/>
              <w:rPr>
                <w:rFonts w:cs="Arial"/>
                <w:b/>
                <w:bCs/>
                <w:color w:val="000000"/>
                <w:szCs w:val="20"/>
                <w:lang w:val="en-NZ" w:eastAsia="en-NZ"/>
              </w:rPr>
            </w:pPr>
            <w:r w:rsidRPr="002F357B">
              <w:rPr>
                <w:rFonts w:cs="Arial"/>
                <w:b/>
                <w:bCs/>
                <w:color w:val="000000"/>
                <w:szCs w:val="20"/>
              </w:rPr>
              <w:t>435,370</w:t>
            </w:r>
          </w:p>
        </w:tc>
        <w:tc>
          <w:tcPr>
            <w:tcW w:w="1928" w:type="dxa"/>
            <w:tcBorders>
              <w:top w:val="nil"/>
              <w:left w:val="nil"/>
              <w:bottom w:val="single" w:sz="8" w:space="0" w:color="FFFFFF"/>
              <w:right w:val="single" w:sz="8" w:space="0" w:color="FFFFFF"/>
            </w:tcBorders>
            <w:shd w:val="clear" w:color="000000" w:fill="E7E7E8"/>
            <w:noWrap/>
            <w:vAlign w:val="center"/>
            <w:hideMark/>
          </w:tcPr>
          <w:p w14:paraId="1F2A4C96" w14:textId="77777777" w:rsidR="00AE2FDC" w:rsidRPr="002F357B" w:rsidRDefault="00AE2FDC" w:rsidP="00A352AD">
            <w:pPr>
              <w:spacing w:after="0"/>
              <w:jc w:val="center"/>
              <w:rPr>
                <w:rFonts w:cs="Arial"/>
                <w:b/>
                <w:bCs/>
                <w:color w:val="000000"/>
                <w:szCs w:val="20"/>
                <w:lang w:val="en-NZ" w:eastAsia="en-NZ"/>
              </w:rPr>
            </w:pPr>
            <w:r w:rsidRPr="002F357B">
              <w:rPr>
                <w:rFonts w:cs="Arial"/>
                <w:b/>
                <w:bCs/>
                <w:color w:val="000000"/>
                <w:szCs w:val="20"/>
                <w:lang w:val="en-NZ" w:eastAsia="en-NZ"/>
              </w:rPr>
              <w:t>$1,400 - $2,100</w:t>
            </w:r>
            <w:r w:rsidR="00261B3A" w:rsidRPr="002F357B">
              <w:rPr>
                <w:rFonts w:cs="Arial"/>
                <w:b/>
                <w:bCs/>
                <w:color w:val="000000"/>
                <w:szCs w:val="20"/>
                <w:lang w:val="en-NZ" w:eastAsia="en-NZ"/>
              </w:rPr>
              <w:t xml:space="preserve"> </w:t>
            </w:r>
          </w:p>
        </w:tc>
        <w:tc>
          <w:tcPr>
            <w:tcW w:w="2098" w:type="dxa"/>
            <w:tcBorders>
              <w:top w:val="nil"/>
              <w:left w:val="nil"/>
              <w:bottom w:val="single" w:sz="8" w:space="0" w:color="FFFFFF"/>
              <w:right w:val="single" w:sz="8" w:space="0" w:color="FFFFFF"/>
            </w:tcBorders>
            <w:shd w:val="clear" w:color="000000" w:fill="E7E7E8"/>
            <w:noWrap/>
            <w:vAlign w:val="center"/>
            <w:hideMark/>
          </w:tcPr>
          <w:p w14:paraId="34C8C82C" w14:textId="77777777" w:rsidR="00AE2FDC" w:rsidRPr="002F357B" w:rsidRDefault="00AE2FDC" w:rsidP="00A352AD">
            <w:pPr>
              <w:spacing w:after="0"/>
              <w:jc w:val="center"/>
              <w:rPr>
                <w:rFonts w:cs="Arial"/>
                <w:b/>
                <w:bCs/>
                <w:color w:val="000000"/>
                <w:szCs w:val="20"/>
                <w:lang w:val="en-NZ" w:eastAsia="en-NZ"/>
              </w:rPr>
            </w:pPr>
            <w:r w:rsidRPr="002F357B">
              <w:rPr>
                <w:rFonts w:cs="Arial"/>
                <w:b/>
                <w:bCs/>
                <w:color w:val="000000"/>
                <w:szCs w:val="20"/>
              </w:rPr>
              <w:t>$39 - $59</w:t>
            </w:r>
            <w:r w:rsidR="00261B3A" w:rsidRPr="002F357B">
              <w:rPr>
                <w:rFonts w:cs="Arial"/>
                <w:b/>
                <w:bCs/>
                <w:color w:val="000000"/>
                <w:szCs w:val="20"/>
              </w:rPr>
              <w:t xml:space="preserve"> </w:t>
            </w:r>
            <w:r w:rsidR="00BE766D" w:rsidRPr="002F357B">
              <w:rPr>
                <w:rFonts w:cs="Arial"/>
                <w:b/>
                <w:bCs/>
                <w:color w:val="000000"/>
                <w:szCs w:val="20"/>
              </w:rPr>
              <w:t xml:space="preserve">Million </w:t>
            </w:r>
            <w:r w:rsidRPr="002F357B">
              <w:rPr>
                <w:rFonts w:cs="Arial"/>
                <w:b/>
                <w:bCs/>
                <w:color w:val="000000"/>
                <w:szCs w:val="20"/>
              </w:rPr>
              <w:t>per annum</w:t>
            </w:r>
          </w:p>
        </w:tc>
        <w:tc>
          <w:tcPr>
            <w:tcW w:w="1134" w:type="dxa"/>
            <w:tcBorders>
              <w:top w:val="nil"/>
              <w:left w:val="nil"/>
              <w:bottom w:val="single" w:sz="8" w:space="0" w:color="FFFFFF"/>
              <w:right w:val="single" w:sz="8" w:space="0" w:color="FFFFFF"/>
            </w:tcBorders>
            <w:shd w:val="clear" w:color="000000" w:fill="E7E7E8"/>
            <w:noWrap/>
            <w:vAlign w:val="center"/>
            <w:hideMark/>
          </w:tcPr>
          <w:p w14:paraId="15B403DF" w14:textId="77777777" w:rsidR="00AE2FDC" w:rsidRPr="002F357B" w:rsidRDefault="00CC08F3" w:rsidP="000A39D8">
            <w:pPr>
              <w:spacing w:after="0"/>
              <w:jc w:val="center"/>
              <w:rPr>
                <w:rFonts w:cs="Arial"/>
                <w:b/>
                <w:bCs/>
                <w:color w:val="000000"/>
                <w:szCs w:val="20"/>
                <w:lang w:val="en-NZ" w:eastAsia="en-NZ"/>
              </w:rPr>
            </w:pPr>
            <w:r w:rsidRPr="002F357B">
              <w:rPr>
                <w:rFonts w:cs="Arial"/>
                <w:b/>
                <w:bCs/>
                <w:color w:val="000000"/>
                <w:szCs w:val="20"/>
              </w:rPr>
              <w:t>$3,957</w:t>
            </w:r>
          </w:p>
        </w:tc>
        <w:tc>
          <w:tcPr>
            <w:tcW w:w="1134" w:type="dxa"/>
            <w:tcBorders>
              <w:top w:val="nil"/>
              <w:left w:val="nil"/>
              <w:bottom w:val="single" w:sz="8" w:space="0" w:color="FFFFFF"/>
              <w:right w:val="single" w:sz="8" w:space="0" w:color="FFFFFF"/>
            </w:tcBorders>
            <w:shd w:val="clear" w:color="000000" w:fill="E7E7E8"/>
            <w:noWrap/>
            <w:vAlign w:val="center"/>
            <w:hideMark/>
          </w:tcPr>
          <w:p w14:paraId="36054B38" w14:textId="77777777" w:rsidR="00AE2FDC" w:rsidRPr="002F357B" w:rsidRDefault="00AE2FDC" w:rsidP="000A39D8">
            <w:pPr>
              <w:spacing w:after="0"/>
              <w:jc w:val="center"/>
              <w:rPr>
                <w:rFonts w:cs="Arial"/>
                <w:b/>
                <w:bCs/>
                <w:color w:val="000000"/>
                <w:szCs w:val="20"/>
                <w:lang w:val="en-NZ" w:eastAsia="en-NZ"/>
              </w:rPr>
            </w:pPr>
            <w:r w:rsidRPr="002F357B">
              <w:rPr>
                <w:rFonts w:cs="Arial"/>
                <w:b/>
                <w:color w:val="000000"/>
                <w:szCs w:val="20"/>
              </w:rPr>
              <w:t>$467</w:t>
            </w:r>
          </w:p>
        </w:tc>
        <w:tc>
          <w:tcPr>
            <w:tcW w:w="1134" w:type="dxa"/>
            <w:tcBorders>
              <w:top w:val="nil"/>
              <w:left w:val="nil"/>
              <w:bottom w:val="single" w:sz="8" w:space="0" w:color="FFFFFF"/>
              <w:right w:val="single" w:sz="8" w:space="0" w:color="FFFFFF"/>
            </w:tcBorders>
            <w:shd w:val="clear" w:color="000000" w:fill="E7E7E8"/>
            <w:noWrap/>
            <w:vAlign w:val="center"/>
            <w:hideMark/>
          </w:tcPr>
          <w:p w14:paraId="04236895" w14:textId="77777777" w:rsidR="00AE2FDC" w:rsidRPr="002F357B" w:rsidRDefault="00AE2FDC" w:rsidP="000A39D8">
            <w:pPr>
              <w:spacing w:after="0"/>
              <w:jc w:val="center"/>
              <w:rPr>
                <w:rFonts w:cs="Arial"/>
                <w:b/>
                <w:bCs/>
                <w:color w:val="000000"/>
                <w:szCs w:val="20"/>
                <w:lang w:val="en-NZ" w:eastAsia="en-NZ"/>
              </w:rPr>
            </w:pPr>
            <w:r w:rsidRPr="002F357B">
              <w:rPr>
                <w:rFonts w:cs="Arial"/>
                <w:b/>
                <w:bCs/>
                <w:color w:val="000000"/>
                <w:szCs w:val="20"/>
              </w:rPr>
              <w:t>$</w:t>
            </w:r>
            <w:r w:rsidR="00CC08F3" w:rsidRPr="002F357B">
              <w:rPr>
                <w:rFonts w:cs="Arial"/>
                <w:b/>
                <w:bCs/>
                <w:color w:val="000000"/>
                <w:szCs w:val="20"/>
              </w:rPr>
              <w:t>112</w:t>
            </w:r>
          </w:p>
        </w:tc>
        <w:tc>
          <w:tcPr>
            <w:tcW w:w="1134" w:type="dxa"/>
            <w:tcBorders>
              <w:top w:val="nil"/>
              <w:left w:val="nil"/>
              <w:bottom w:val="single" w:sz="8" w:space="0" w:color="FFFFFF"/>
              <w:right w:val="single" w:sz="8" w:space="0" w:color="FFFFFF"/>
            </w:tcBorders>
            <w:shd w:val="clear" w:color="000000" w:fill="E7E7E8"/>
            <w:noWrap/>
            <w:vAlign w:val="center"/>
            <w:hideMark/>
          </w:tcPr>
          <w:p w14:paraId="5D6FC94F" w14:textId="77777777" w:rsidR="00AE2FDC" w:rsidRPr="002F357B" w:rsidRDefault="00AE2FDC" w:rsidP="000A39D8">
            <w:pPr>
              <w:spacing w:after="0"/>
              <w:jc w:val="center"/>
              <w:rPr>
                <w:rFonts w:cs="Arial"/>
                <w:b/>
                <w:bCs/>
                <w:color w:val="000000"/>
                <w:szCs w:val="20"/>
                <w:lang w:val="en-NZ" w:eastAsia="en-NZ"/>
              </w:rPr>
            </w:pPr>
            <w:r w:rsidRPr="002F357B">
              <w:rPr>
                <w:rFonts w:cs="Arial"/>
                <w:b/>
                <w:bCs/>
                <w:color w:val="000000"/>
                <w:szCs w:val="20"/>
              </w:rPr>
              <w:t>$13</w:t>
            </w:r>
          </w:p>
        </w:tc>
        <w:tc>
          <w:tcPr>
            <w:tcW w:w="1134" w:type="dxa"/>
            <w:tcBorders>
              <w:top w:val="nil"/>
              <w:left w:val="nil"/>
              <w:bottom w:val="single" w:sz="8" w:space="0" w:color="FFFFFF"/>
              <w:right w:val="single" w:sz="8" w:space="0" w:color="FFFFFF"/>
            </w:tcBorders>
            <w:shd w:val="clear" w:color="000000" w:fill="E7E7E8"/>
            <w:noWrap/>
            <w:vAlign w:val="center"/>
            <w:hideMark/>
          </w:tcPr>
          <w:p w14:paraId="248AC9D9" w14:textId="77777777" w:rsidR="00AE2FDC" w:rsidRPr="002F357B" w:rsidRDefault="00CC08F3" w:rsidP="000A39D8">
            <w:pPr>
              <w:spacing w:after="0"/>
              <w:jc w:val="center"/>
              <w:rPr>
                <w:rFonts w:cs="Arial"/>
                <w:b/>
                <w:bCs/>
                <w:color w:val="000000"/>
                <w:szCs w:val="20"/>
                <w:lang w:val="en-NZ" w:eastAsia="en-NZ"/>
              </w:rPr>
            </w:pPr>
            <w:r w:rsidRPr="002F357B">
              <w:rPr>
                <w:rFonts w:cs="Arial"/>
                <w:b/>
                <w:bCs/>
                <w:color w:val="000000"/>
                <w:szCs w:val="20"/>
              </w:rPr>
              <w:t>$1,138</w:t>
            </w:r>
          </w:p>
        </w:tc>
        <w:tc>
          <w:tcPr>
            <w:tcW w:w="1134" w:type="dxa"/>
            <w:tcBorders>
              <w:top w:val="nil"/>
              <w:left w:val="nil"/>
              <w:bottom w:val="single" w:sz="8" w:space="0" w:color="FFFFFF"/>
              <w:right w:val="single" w:sz="8" w:space="0" w:color="FFFFFF"/>
            </w:tcBorders>
            <w:shd w:val="clear" w:color="000000" w:fill="E7E7E8"/>
            <w:noWrap/>
            <w:vAlign w:val="center"/>
            <w:hideMark/>
          </w:tcPr>
          <w:p w14:paraId="7B6E3DC1" w14:textId="77777777" w:rsidR="00AE2FDC" w:rsidRPr="002F357B" w:rsidRDefault="00AE2FDC" w:rsidP="000A39D8">
            <w:pPr>
              <w:spacing w:after="0"/>
              <w:jc w:val="center"/>
              <w:rPr>
                <w:rFonts w:cs="Arial"/>
                <w:b/>
                <w:bCs/>
                <w:color w:val="000000"/>
                <w:szCs w:val="20"/>
                <w:lang w:val="en-NZ" w:eastAsia="en-NZ"/>
              </w:rPr>
            </w:pPr>
            <w:r w:rsidRPr="002F357B">
              <w:rPr>
                <w:rFonts w:cs="Arial"/>
                <w:b/>
                <w:bCs/>
                <w:color w:val="000000"/>
                <w:szCs w:val="20"/>
              </w:rPr>
              <w:t>$134</w:t>
            </w:r>
          </w:p>
        </w:tc>
      </w:tr>
    </w:tbl>
    <w:p w14:paraId="013D7E40" w14:textId="77777777" w:rsidR="00B9334B" w:rsidRDefault="00B9334B" w:rsidP="008C546C">
      <w:pPr>
        <w:pStyle w:val="Body"/>
        <w:rPr>
          <w:lang w:eastAsia="en-AU"/>
        </w:rPr>
      </w:pPr>
    </w:p>
    <w:p w14:paraId="2F21075C" w14:textId="77777777" w:rsidR="00E629D2" w:rsidRDefault="00E629D2" w:rsidP="008C546C">
      <w:pPr>
        <w:pStyle w:val="Body"/>
        <w:rPr>
          <w:lang w:eastAsia="en-AU"/>
        </w:rPr>
        <w:sectPr w:rsidR="00E629D2" w:rsidSect="000B4C97">
          <w:pgSz w:w="16838" w:h="11906" w:orient="landscape" w:code="9"/>
          <w:pgMar w:top="1701" w:right="1134" w:bottom="1134" w:left="1134" w:header="181" w:footer="227" w:gutter="0"/>
          <w:cols w:space="340"/>
          <w:docGrid w:linePitch="360"/>
        </w:sectPr>
      </w:pPr>
    </w:p>
    <w:p w14:paraId="21243169" w14:textId="77777777" w:rsidR="00193B03" w:rsidRPr="00193B03" w:rsidRDefault="00CD14DF" w:rsidP="00AE01FB">
      <w:pPr>
        <w:pStyle w:val="Heading3"/>
        <w:rPr>
          <w:lang w:eastAsia="en-AU"/>
        </w:rPr>
      </w:pPr>
      <w:bookmarkStart w:id="572" w:name="_Ref518632563"/>
      <w:r>
        <w:lastRenderedPageBreak/>
        <w:t xml:space="preserve">Supplementary assessment one - </w:t>
      </w:r>
      <w:bookmarkStart w:id="573" w:name="_Toc516741343"/>
      <w:bookmarkEnd w:id="568"/>
      <w:bookmarkEnd w:id="569"/>
      <w:bookmarkEnd w:id="570"/>
      <w:bookmarkEnd w:id="571"/>
      <w:bookmarkEnd w:id="572"/>
      <w:r w:rsidR="001D4F16">
        <w:t>Sensitivity analysis – land use contribution and relative flow rate</w:t>
      </w:r>
    </w:p>
    <w:bookmarkStart w:id="574" w:name="_Ref518560591"/>
    <w:p w14:paraId="04885816" w14:textId="77777777" w:rsidR="00CD14DF" w:rsidRDefault="00FD4DF3" w:rsidP="004B27A5">
      <w:pPr>
        <w:pStyle w:val="Body"/>
        <w:rPr>
          <w:lang w:eastAsia="en-AU"/>
        </w:rPr>
      </w:pPr>
      <w:r>
        <w:rPr>
          <w:lang w:eastAsia="en-AU"/>
        </w:rPr>
        <w:fldChar w:fldCharType="begin"/>
      </w:r>
      <w:r>
        <w:rPr>
          <w:lang w:eastAsia="en-AU"/>
        </w:rPr>
        <w:instrText xml:space="preserve"> REF _Ref518641079 \h </w:instrText>
      </w:r>
      <w:r>
        <w:rPr>
          <w:lang w:eastAsia="en-AU"/>
        </w:rPr>
      </w:r>
      <w:r>
        <w:rPr>
          <w:lang w:eastAsia="en-AU"/>
        </w:rPr>
        <w:fldChar w:fldCharType="separate"/>
      </w:r>
      <w:r w:rsidR="002777A8" w:rsidRPr="00AE01FB">
        <w:t xml:space="preserve">Table </w:t>
      </w:r>
      <w:r w:rsidR="002777A8">
        <w:rPr>
          <w:noProof/>
        </w:rPr>
        <w:t>17</w:t>
      </w:r>
      <w:r>
        <w:rPr>
          <w:lang w:eastAsia="en-AU"/>
        </w:rPr>
        <w:fldChar w:fldCharType="end"/>
      </w:r>
      <w:r>
        <w:rPr>
          <w:lang w:eastAsia="en-AU"/>
        </w:rPr>
        <w:t xml:space="preserve"> breaks down the regional capital expenditure from </w:t>
      </w:r>
      <w:r>
        <w:rPr>
          <w:lang w:eastAsia="en-AU"/>
        </w:rPr>
        <w:fldChar w:fldCharType="begin"/>
      </w:r>
      <w:r>
        <w:rPr>
          <w:lang w:eastAsia="en-AU"/>
        </w:rPr>
        <w:instrText xml:space="preserve"> REF _Ref518635955 \h </w:instrText>
      </w:r>
      <w:r>
        <w:rPr>
          <w:lang w:eastAsia="en-AU"/>
        </w:rPr>
      </w:r>
      <w:r>
        <w:rPr>
          <w:lang w:eastAsia="en-AU"/>
        </w:rPr>
        <w:fldChar w:fldCharType="separate"/>
      </w:r>
      <w:r w:rsidR="002777A8">
        <w:t xml:space="preserve">Table </w:t>
      </w:r>
      <w:r w:rsidR="002777A8">
        <w:rPr>
          <w:noProof/>
        </w:rPr>
        <w:t>16</w:t>
      </w:r>
      <w:r>
        <w:rPr>
          <w:lang w:eastAsia="en-AU"/>
        </w:rPr>
        <w:fldChar w:fldCharType="end"/>
      </w:r>
      <w:r>
        <w:rPr>
          <w:lang w:eastAsia="en-AU"/>
        </w:rPr>
        <w:t xml:space="preserve"> based on the relative contribution to the receiving environment each WWTP makes.</w:t>
      </w:r>
      <w:r w:rsidR="00DE7718">
        <w:rPr>
          <w:lang w:eastAsia="en-AU"/>
        </w:rPr>
        <w:t xml:space="preserve"> </w:t>
      </w:r>
    </w:p>
    <w:p w14:paraId="7DA7F208" w14:textId="77777777" w:rsidR="00FD4DF3" w:rsidRDefault="00DE7718" w:rsidP="004B27A5">
      <w:pPr>
        <w:pStyle w:val="Body"/>
        <w:rPr>
          <w:lang w:eastAsia="en-AU"/>
        </w:rPr>
      </w:pPr>
      <w:r>
        <w:rPr>
          <w:lang w:eastAsia="en-AU"/>
        </w:rPr>
        <w:t>Considering the distribution of upgrade costs on a regional basis, the assessment shows</w:t>
      </w:r>
      <w:r w:rsidR="00E16792">
        <w:rPr>
          <w:lang w:eastAsia="en-AU"/>
        </w:rPr>
        <w:t xml:space="preserve"> that a relative high percentage of upgrade costs within the Bay of Plenty region are attributed to </w:t>
      </w:r>
      <w:r w:rsidR="00CD14DF">
        <w:rPr>
          <w:lang w:eastAsia="en-AU"/>
        </w:rPr>
        <w:t xml:space="preserve">large </w:t>
      </w:r>
      <w:r w:rsidR="00E16792">
        <w:rPr>
          <w:lang w:eastAsia="en-AU"/>
        </w:rPr>
        <w:t xml:space="preserve">contributing WWTPs. Similarly, significant proportions of upgrade costs for Taranaki, Tasman, Wellington and the West Coast are identified for medium and </w:t>
      </w:r>
      <w:r w:rsidR="00CD14DF">
        <w:rPr>
          <w:lang w:eastAsia="en-AU"/>
        </w:rPr>
        <w:t xml:space="preserve">large </w:t>
      </w:r>
      <w:r w:rsidR="00E16792">
        <w:rPr>
          <w:lang w:eastAsia="en-AU"/>
        </w:rPr>
        <w:t>contributing plants.</w:t>
      </w:r>
    </w:p>
    <w:p w14:paraId="2EFD21A5" w14:textId="77777777" w:rsidR="00A84F0B" w:rsidRDefault="009A061E" w:rsidP="004B27A5">
      <w:pPr>
        <w:pStyle w:val="Body"/>
        <w:rPr>
          <w:lang w:eastAsia="en-AU"/>
        </w:rPr>
      </w:pPr>
      <w:r>
        <w:rPr>
          <w:lang w:eastAsia="en-AU"/>
        </w:rPr>
        <w:t xml:space="preserve">Following tables, </w:t>
      </w:r>
      <w:r>
        <w:rPr>
          <w:lang w:eastAsia="en-AU"/>
        </w:rPr>
        <w:fldChar w:fldCharType="begin"/>
      </w:r>
      <w:r>
        <w:rPr>
          <w:lang w:eastAsia="en-AU"/>
        </w:rPr>
        <w:instrText xml:space="preserve"> REF _Ref518644635 \h </w:instrText>
      </w:r>
      <w:r>
        <w:rPr>
          <w:lang w:eastAsia="en-AU"/>
        </w:rPr>
      </w:r>
      <w:r>
        <w:rPr>
          <w:lang w:eastAsia="en-AU"/>
        </w:rPr>
        <w:fldChar w:fldCharType="separate"/>
      </w:r>
      <w:r w:rsidR="002777A8">
        <w:t xml:space="preserve">Table </w:t>
      </w:r>
      <w:r w:rsidR="002777A8">
        <w:rPr>
          <w:noProof/>
        </w:rPr>
        <w:t>18</w:t>
      </w:r>
      <w:r>
        <w:rPr>
          <w:lang w:eastAsia="en-AU"/>
        </w:rPr>
        <w:fldChar w:fldCharType="end"/>
      </w:r>
      <w:r>
        <w:rPr>
          <w:lang w:eastAsia="en-AU"/>
        </w:rPr>
        <w:t xml:space="preserve"> to </w:t>
      </w:r>
      <w:r>
        <w:rPr>
          <w:lang w:eastAsia="en-AU"/>
        </w:rPr>
        <w:fldChar w:fldCharType="begin"/>
      </w:r>
      <w:r>
        <w:rPr>
          <w:lang w:eastAsia="en-AU"/>
        </w:rPr>
        <w:instrText xml:space="preserve"> REF _Ref521052199 \h </w:instrText>
      </w:r>
      <w:r>
        <w:rPr>
          <w:lang w:eastAsia="en-AU"/>
        </w:rPr>
      </w:r>
      <w:r>
        <w:rPr>
          <w:lang w:eastAsia="en-AU"/>
        </w:rPr>
        <w:fldChar w:fldCharType="separate"/>
      </w:r>
      <w:r w:rsidR="002777A8">
        <w:t xml:space="preserve">Table </w:t>
      </w:r>
      <w:r w:rsidR="002777A8">
        <w:rPr>
          <w:noProof/>
        </w:rPr>
        <w:t>20</w:t>
      </w:r>
      <w:r>
        <w:rPr>
          <w:lang w:eastAsia="en-AU"/>
        </w:rPr>
        <w:fldChar w:fldCharType="end"/>
      </w:r>
      <w:r>
        <w:rPr>
          <w:lang w:eastAsia="en-AU"/>
        </w:rPr>
        <w:t xml:space="preserve"> </w:t>
      </w:r>
      <w:r w:rsidR="00B05FDF">
        <w:rPr>
          <w:lang w:eastAsia="en-AU"/>
        </w:rPr>
        <w:t xml:space="preserve"> </w:t>
      </w:r>
      <w:r>
        <w:rPr>
          <w:lang w:eastAsia="en-AU"/>
        </w:rPr>
        <w:t>provide a more detailed breakdown of the analysis</w:t>
      </w:r>
      <w:r w:rsidR="00091CCD">
        <w:rPr>
          <w:lang w:eastAsia="en-AU"/>
        </w:rPr>
        <w:t xml:space="preserve"> for the regions based on small, moderate, large contributing plants.</w:t>
      </w:r>
    </w:p>
    <w:p w14:paraId="4000750F" w14:textId="77777777" w:rsidR="002E1FD9" w:rsidRPr="00AE01FB" w:rsidRDefault="002E1FD9" w:rsidP="00A84F0B">
      <w:pPr>
        <w:pStyle w:val="Caption"/>
      </w:pPr>
      <w:bookmarkStart w:id="575" w:name="_Ref518632623"/>
      <w:bookmarkStart w:id="576" w:name="_Ref518641079"/>
      <w:bookmarkStart w:id="577" w:name="_Toc518653134"/>
      <w:bookmarkStart w:id="578" w:name="_Toc521064800"/>
      <w:r w:rsidRPr="00AE01FB">
        <w:t xml:space="preserve">Table </w:t>
      </w:r>
      <w:r w:rsidR="007B3D80">
        <w:rPr>
          <w:noProof/>
        </w:rPr>
        <w:fldChar w:fldCharType="begin"/>
      </w:r>
      <w:r w:rsidR="007B3D80">
        <w:rPr>
          <w:noProof/>
        </w:rPr>
        <w:instrText xml:space="preserve"> SEQ Table \* ARABIC </w:instrText>
      </w:r>
      <w:r w:rsidR="007B3D80">
        <w:rPr>
          <w:noProof/>
        </w:rPr>
        <w:fldChar w:fldCharType="separate"/>
      </w:r>
      <w:r w:rsidR="002777A8">
        <w:rPr>
          <w:noProof/>
        </w:rPr>
        <w:t>17</w:t>
      </w:r>
      <w:r w:rsidR="007B3D80">
        <w:rPr>
          <w:noProof/>
        </w:rPr>
        <w:fldChar w:fldCharType="end"/>
      </w:r>
      <w:bookmarkEnd w:id="575"/>
      <w:bookmarkEnd w:id="576"/>
      <w:r w:rsidRPr="00AE01FB">
        <w:t xml:space="preserve"> </w:t>
      </w:r>
      <w:r w:rsidR="00381B57">
        <w:t xml:space="preserve"> </w:t>
      </w:r>
      <w:r w:rsidRPr="00AE01FB">
        <w:t>Contribution based estimate of capital cost to u</w:t>
      </w:r>
      <w:r w:rsidR="00AE01FB">
        <w:t xml:space="preserve">pgrade WWTPs </w:t>
      </w:r>
      <w:r w:rsidRPr="00AE01FB">
        <w:t>discharging to freshwater to meet NPS Freshwater Attribute B State</w:t>
      </w:r>
      <w:bookmarkEnd w:id="577"/>
      <w:bookmarkEnd w:id="578"/>
    </w:p>
    <w:tbl>
      <w:tblPr>
        <w:tblStyle w:val="Table-Style3"/>
        <w:tblW w:w="4692" w:type="pct"/>
        <w:jc w:val="center"/>
        <w:tblInd w:w="0" w:type="dxa"/>
        <w:tblLook w:val="04A0" w:firstRow="1" w:lastRow="0" w:firstColumn="1" w:lastColumn="0" w:noHBand="0" w:noVBand="1"/>
      </w:tblPr>
      <w:tblGrid>
        <w:gridCol w:w="1751"/>
        <w:gridCol w:w="1742"/>
        <w:gridCol w:w="1741"/>
        <w:gridCol w:w="1741"/>
        <w:gridCol w:w="1741"/>
      </w:tblGrid>
      <w:tr w:rsidR="002E1FD9" w14:paraId="77D8648E" w14:textId="77777777" w:rsidTr="00381B57">
        <w:trPr>
          <w:cnfStyle w:val="100000000000" w:firstRow="1" w:lastRow="0" w:firstColumn="0" w:lastColumn="0" w:oddVBand="0" w:evenVBand="0" w:oddHBand="0" w:evenHBand="0" w:firstRowFirstColumn="0" w:firstRowLastColumn="0" w:lastRowFirstColumn="0" w:lastRowLastColumn="0"/>
          <w:tblHeader/>
          <w:jc w:val="center"/>
        </w:trPr>
        <w:tc>
          <w:tcPr>
            <w:tcW w:w="1004" w:type="pct"/>
            <w:vMerge w:val="restart"/>
            <w:vAlign w:val="center"/>
          </w:tcPr>
          <w:p w14:paraId="6C978A2D" w14:textId="77777777" w:rsidR="002E1FD9" w:rsidRPr="002F357B" w:rsidRDefault="002E1FD9" w:rsidP="00381B57">
            <w:pPr>
              <w:pStyle w:val="Body"/>
              <w:ind w:left="0"/>
              <w:rPr>
                <w:rFonts w:cs="Arial"/>
                <w:szCs w:val="20"/>
              </w:rPr>
            </w:pPr>
            <w:r w:rsidRPr="002F357B">
              <w:rPr>
                <w:rFonts w:cs="Arial"/>
                <w:szCs w:val="20"/>
              </w:rPr>
              <w:t>Region</w:t>
            </w:r>
          </w:p>
        </w:tc>
        <w:tc>
          <w:tcPr>
            <w:tcW w:w="3996" w:type="pct"/>
            <w:gridSpan w:val="4"/>
          </w:tcPr>
          <w:p w14:paraId="0C9CD65D" w14:textId="77777777" w:rsidR="002E1FD9" w:rsidRPr="002F357B" w:rsidRDefault="002E1FD9" w:rsidP="00381B57">
            <w:pPr>
              <w:pStyle w:val="Body"/>
              <w:ind w:left="0"/>
              <w:jc w:val="center"/>
              <w:rPr>
                <w:rFonts w:cs="Arial"/>
                <w:szCs w:val="20"/>
              </w:rPr>
            </w:pPr>
            <w:r w:rsidRPr="002F357B">
              <w:rPr>
                <w:rFonts w:cs="Arial"/>
                <w:szCs w:val="20"/>
              </w:rPr>
              <w:t xml:space="preserve">Estimate of </w:t>
            </w:r>
            <w:r w:rsidR="00BE766D" w:rsidRPr="002F357B">
              <w:rPr>
                <w:rFonts w:cs="Arial"/>
                <w:szCs w:val="20"/>
              </w:rPr>
              <w:t xml:space="preserve">probable capital cost </w:t>
            </w:r>
            <w:r w:rsidR="00DE7718" w:rsidRPr="002F357B">
              <w:rPr>
                <w:rFonts w:cs="Arial"/>
                <w:szCs w:val="20"/>
              </w:rPr>
              <w:t xml:space="preserve">by </w:t>
            </w:r>
            <w:r w:rsidR="00BE766D" w:rsidRPr="002F357B">
              <w:rPr>
                <w:rFonts w:cs="Arial"/>
                <w:szCs w:val="20"/>
              </w:rPr>
              <w:t xml:space="preserve">relative contribution classification </w:t>
            </w:r>
            <w:r w:rsidRPr="002F357B">
              <w:rPr>
                <w:rFonts w:cs="Arial"/>
                <w:szCs w:val="20"/>
              </w:rPr>
              <w:t>($</w:t>
            </w:r>
            <w:r w:rsidR="00381B57">
              <w:rPr>
                <w:rFonts w:cs="Arial"/>
                <w:szCs w:val="20"/>
              </w:rPr>
              <w:t> </w:t>
            </w:r>
            <w:r w:rsidR="00AE01FB" w:rsidRPr="002F357B">
              <w:rPr>
                <w:rFonts w:cs="Arial"/>
                <w:szCs w:val="20"/>
              </w:rPr>
              <w:t>Million</w:t>
            </w:r>
            <w:r w:rsidRPr="002F357B">
              <w:rPr>
                <w:rFonts w:cs="Arial"/>
                <w:szCs w:val="20"/>
              </w:rPr>
              <w:t>)</w:t>
            </w:r>
          </w:p>
        </w:tc>
      </w:tr>
      <w:tr w:rsidR="0021047A" w14:paraId="45CD76E2" w14:textId="77777777" w:rsidTr="00381B57">
        <w:trPr>
          <w:cnfStyle w:val="100000000000" w:firstRow="1" w:lastRow="0" w:firstColumn="0" w:lastColumn="0" w:oddVBand="0" w:evenVBand="0" w:oddHBand="0" w:evenHBand="0" w:firstRowFirstColumn="0" w:firstRowLastColumn="0" w:lastRowFirstColumn="0" w:lastRowLastColumn="0"/>
          <w:tblHeader/>
          <w:jc w:val="center"/>
        </w:trPr>
        <w:tc>
          <w:tcPr>
            <w:tcW w:w="1004" w:type="pct"/>
            <w:vMerge/>
          </w:tcPr>
          <w:p w14:paraId="43969352" w14:textId="77777777" w:rsidR="002E1FD9" w:rsidRPr="002F357B" w:rsidRDefault="002E1FD9" w:rsidP="00D46AF3">
            <w:pPr>
              <w:pStyle w:val="Body"/>
              <w:ind w:left="0"/>
              <w:rPr>
                <w:rFonts w:cs="Arial"/>
                <w:szCs w:val="20"/>
              </w:rPr>
            </w:pPr>
          </w:p>
        </w:tc>
        <w:tc>
          <w:tcPr>
            <w:tcW w:w="999" w:type="pct"/>
          </w:tcPr>
          <w:p w14:paraId="029E94AC" w14:textId="77777777" w:rsidR="002E1FD9" w:rsidRPr="002F357B" w:rsidRDefault="002E1FD9" w:rsidP="00381B57">
            <w:pPr>
              <w:pStyle w:val="Body"/>
              <w:ind w:left="0"/>
              <w:jc w:val="center"/>
              <w:rPr>
                <w:rFonts w:cs="Arial"/>
                <w:szCs w:val="20"/>
              </w:rPr>
            </w:pPr>
            <w:r w:rsidRPr="002F357B">
              <w:rPr>
                <w:rFonts w:cs="Arial"/>
                <w:szCs w:val="20"/>
              </w:rPr>
              <w:t>Small</w:t>
            </w:r>
          </w:p>
        </w:tc>
        <w:tc>
          <w:tcPr>
            <w:tcW w:w="999" w:type="pct"/>
          </w:tcPr>
          <w:p w14:paraId="18BA42D5" w14:textId="77777777" w:rsidR="002E1FD9" w:rsidRPr="002F357B" w:rsidRDefault="00260C2A" w:rsidP="00381B57">
            <w:pPr>
              <w:pStyle w:val="Body"/>
              <w:ind w:left="0"/>
              <w:jc w:val="center"/>
              <w:rPr>
                <w:rFonts w:cs="Arial"/>
                <w:szCs w:val="20"/>
              </w:rPr>
            </w:pPr>
            <w:r w:rsidRPr="002F357B">
              <w:rPr>
                <w:rFonts w:cs="Arial"/>
                <w:szCs w:val="20"/>
              </w:rPr>
              <w:t>Moderate</w:t>
            </w:r>
          </w:p>
        </w:tc>
        <w:tc>
          <w:tcPr>
            <w:tcW w:w="999" w:type="pct"/>
          </w:tcPr>
          <w:p w14:paraId="3CA2AFA3" w14:textId="77777777" w:rsidR="002E1FD9" w:rsidRPr="002F357B" w:rsidRDefault="00260C2A" w:rsidP="00381B57">
            <w:pPr>
              <w:pStyle w:val="Body"/>
              <w:ind w:left="0"/>
              <w:jc w:val="center"/>
              <w:rPr>
                <w:rFonts w:cs="Arial"/>
                <w:szCs w:val="20"/>
              </w:rPr>
            </w:pPr>
            <w:r w:rsidRPr="002F357B">
              <w:rPr>
                <w:rFonts w:cs="Arial"/>
                <w:szCs w:val="20"/>
              </w:rPr>
              <w:t>Large</w:t>
            </w:r>
          </w:p>
        </w:tc>
        <w:tc>
          <w:tcPr>
            <w:tcW w:w="998" w:type="pct"/>
          </w:tcPr>
          <w:p w14:paraId="4838CAEB" w14:textId="77777777" w:rsidR="002E1FD9" w:rsidRPr="002F357B" w:rsidRDefault="002E1FD9" w:rsidP="00381B57">
            <w:pPr>
              <w:pStyle w:val="Body"/>
              <w:ind w:left="0"/>
              <w:jc w:val="center"/>
              <w:rPr>
                <w:rFonts w:cs="Arial"/>
                <w:szCs w:val="20"/>
              </w:rPr>
            </w:pPr>
            <w:r w:rsidRPr="002F357B">
              <w:rPr>
                <w:rFonts w:cs="Arial"/>
                <w:szCs w:val="20"/>
              </w:rPr>
              <w:t>Total</w:t>
            </w:r>
          </w:p>
        </w:tc>
      </w:tr>
      <w:tr w:rsidR="0021047A" w14:paraId="4ACC59FA" w14:textId="77777777" w:rsidTr="00261B3A">
        <w:trPr>
          <w:jc w:val="center"/>
        </w:trPr>
        <w:tc>
          <w:tcPr>
            <w:tcW w:w="1004" w:type="pct"/>
          </w:tcPr>
          <w:p w14:paraId="765689F3" w14:textId="77777777" w:rsidR="002E1FD9" w:rsidRPr="002F357B" w:rsidRDefault="002E1FD9" w:rsidP="00D46AF3">
            <w:pPr>
              <w:pStyle w:val="Body"/>
              <w:ind w:left="0"/>
              <w:rPr>
                <w:rFonts w:cs="Arial"/>
                <w:szCs w:val="20"/>
              </w:rPr>
            </w:pPr>
            <w:r w:rsidRPr="002F357B">
              <w:rPr>
                <w:rFonts w:cs="Arial"/>
                <w:szCs w:val="20"/>
              </w:rPr>
              <w:t>Auckland</w:t>
            </w:r>
          </w:p>
        </w:tc>
        <w:tc>
          <w:tcPr>
            <w:tcW w:w="999" w:type="pct"/>
            <w:vAlign w:val="bottom"/>
          </w:tcPr>
          <w:p w14:paraId="70F724E9" w14:textId="77777777" w:rsidR="002E1FD9" w:rsidRPr="002F357B" w:rsidRDefault="002E1FD9" w:rsidP="00D46AF3">
            <w:pPr>
              <w:pStyle w:val="Body"/>
              <w:ind w:left="0"/>
              <w:jc w:val="center"/>
              <w:rPr>
                <w:rFonts w:cs="Arial"/>
                <w:szCs w:val="20"/>
              </w:rPr>
            </w:pPr>
            <w:r w:rsidRPr="002F357B">
              <w:rPr>
                <w:rFonts w:cs="Arial"/>
                <w:color w:val="000000"/>
                <w:szCs w:val="20"/>
              </w:rPr>
              <w:t xml:space="preserve"> $14 - $20 </w:t>
            </w:r>
          </w:p>
        </w:tc>
        <w:tc>
          <w:tcPr>
            <w:tcW w:w="999" w:type="pct"/>
            <w:vAlign w:val="bottom"/>
          </w:tcPr>
          <w:p w14:paraId="54500597" w14:textId="77777777" w:rsidR="002E1FD9" w:rsidRPr="002F357B" w:rsidRDefault="002E1FD9" w:rsidP="00D46AF3">
            <w:pPr>
              <w:pStyle w:val="Body"/>
              <w:ind w:left="0"/>
              <w:jc w:val="center"/>
              <w:rPr>
                <w:rFonts w:cs="Arial"/>
                <w:szCs w:val="20"/>
              </w:rPr>
            </w:pPr>
            <w:r w:rsidRPr="002F357B">
              <w:rPr>
                <w:rFonts w:cs="Arial"/>
                <w:color w:val="000000"/>
                <w:szCs w:val="20"/>
              </w:rPr>
              <w:t xml:space="preserve"> $18 - $28 </w:t>
            </w:r>
          </w:p>
        </w:tc>
        <w:tc>
          <w:tcPr>
            <w:tcW w:w="999" w:type="pct"/>
            <w:vAlign w:val="bottom"/>
          </w:tcPr>
          <w:p w14:paraId="1CF350F1" w14:textId="77777777" w:rsidR="002E1FD9" w:rsidRPr="002F357B" w:rsidRDefault="002E1FD9" w:rsidP="00D46AF3">
            <w:pPr>
              <w:pStyle w:val="Body"/>
              <w:ind w:left="0"/>
              <w:jc w:val="center"/>
              <w:rPr>
                <w:rFonts w:cs="Arial"/>
                <w:szCs w:val="20"/>
              </w:rPr>
            </w:pPr>
            <w:r w:rsidRPr="002F357B">
              <w:rPr>
                <w:rFonts w:cs="Arial"/>
                <w:color w:val="000000"/>
                <w:szCs w:val="20"/>
              </w:rPr>
              <w:t xml:space="preserve"> - </w:t>
            </w:r>
          </w:p>
        </w:tc>
        <w:tc>
          <w:tcPr>
            <w:tcW w:w="998" w:type="pct"/>
            <w:vAlign w:val="bottom"/>
          </w:tcPr>
          <w:p w14:paraId="3D74F449" w14:textId="77777777" w:rsidR="002E1FD9" w:rsidRPr="002F357B" w:rsidRDefault="002E1FD9" w:rsidP="00D46AF3">
            <w:pPr>
              <w:pStyle w:val="Body"/>
              <w:ind w:left="0"/>
              <w:jc w:val="center"/>
              <w:rPr>
                <w:rFonts w:cs="Arial"/>
                <w:szCs w:val="20"/>
              </w:rPr>
            </w:pPr>
            <w:r w:rsidRPr="002F357B">
              <w:rPr>
                <w:rFonts w:cs="Arial"/>
                <w:color w:val="000000"/>
                <w:szCs w:val="20"/>
              </w:rPr>
              <w:t xml:space="preserve"> $32 - $48 </w:t>
            </w:r>
          </w:p>
        </w:tc>
      </w:tr>
      <w:tr w:rsidR="0021047A" w14:paraId="73346537" w14:textId="77777777" w:rsidTr="00261B3A">
        <w:trPr>
          <w:jc w:val="center"/>
        </w:trPr>
        <w:tc>
          <w:tcPr>
            <w:tcW w:w="1004" w:type="pct"/>
          </w:tcPr>
          <w:p w14:paraId="1CA4B446" w14:textId="77777777" w:rsidR="002E1FD9" w:rsidRPr="002F357B" w:rsidRDefault="002E1FD9" w:rsidP="00D46AF3">
            <w:pPr>
              <w:pStyle w:val="Body"/>
              <w:ind w:left="0"/>
              <w:rPr>
                <w:rFonts w:cs="Arial"/>
                <w:szCs w:val="20"/>
              </w:rPr>
            </w:pPr>
            <w:r w:rsidRPr="002F357B">
              <w:rPr>
                <w:rFonts w:cs="Arial"/>
                <w:szCs w:val="20"/>
              </w:rPr>
              <w:t>Bay of Plenty</w:t>
            </w:r>
          </w:p>
        </w:tc>
        <w:tc>
          <w:tcPr>
            <w:tcW w:w="999" w:type="pct"/>
            <w:vAlign w:val="bottom"/>
          </w:tcPr>
          <w:p w14:paraId="75A49CD8"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$4.1 - $6.1 </w:t>
            </w:r>
          </w:p>
        </w:tc>
        <w:tc>
          <w:tcPr>
            <w:tcW w:w="999" w:type="pct"/>
            <w:vAlign w:val="bottom"/>
          </w:tcPr>
          <w:p w14:paraId="47220C3F"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$29 - $44 </w:t>
            </w:r>
          </w:p>
        </w:tc>
        <w:tc>
          <w:tcPr>
            <w:tcW w:w="999" w:type="pct"/>
            <w:vAlign w:val="bottom"/>
          </w:tcPr>
          <w:p w14:paraId="003C9772"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$22 - $33 </w:t>
            </w:r>
          </w:p>
        </w:tc>
        <w:tc>
          <w:tcPr>
            <w:tcW w:w="998" w:type="pct"/>
            <w:vAlign w:val="bottom"/>
          </w:tcPr>
          <w:p w14:paraId="2F8A99A0"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$55 - $83 </w:t>
            </w:r>
          </w:p>
        </w:tc>
      </w:tr>
      <w:tr w:rsidR="0021047A" w14:paraId="20319EAF" w14:textId="77777777" w:rsidTr="00261B3A">
        <w:trPr>
          <w:jc w:val="center"/>
        </w:trPr>
        <w:tc>
          <w:tcPr>
            <w:tcW w:w="1004" w:type="pct"/>
          </w:tcPr>
          <w:p w14:paraId="3C1BF241" w14:textId="77777777" w:rsidR="002E1FD9" w:rsidRPr="002F357B" w:rsidRDefault="002E1FD9" w:rsidP="00D46AF3">
            <w:pPr>
              <w:pStyle w:val="Body"/>
              <w:ind w:left="0"/>
              <w:rPr>
                <w:rFonts w:cs="Arial"/>
                <w:szCs w:val="20"/>
              </w:rPr>
            </w:pPr>
            <w:r w:rsidRPr="002F357B">
              <w:rPr>
                <w:rFonts w:cs="Arial"/>
                <w:szCs w:val="20"/>
              </w:rPr>
              <w:t>Canterbury</w:t>
            </w:r>
          </w:p>
        </w:tc>
        <w:tc>
          <w:tcPr>
            <w:tcW w:w="999" w:type="pct"/>
            <w:vAlign w:val="bottom"/>
          </w:tcPr>
          <w:p w14:paraId="17298A72"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$22 - $33 </w:t>
            </w:r>
          </w:p>
        </w:tc>
        <w:tc>
          <w:tcPr>
            <w:tcW w:w="999" w:type="pct"/>
            <w:vAlign w:val="bottom"/>
          </w:tcPr>
          <w:p w14:paraId="2FB1014B"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$8.7 - $13 </w:t>
            </w:r>
          </w:p>
        </w:tc>
        <w:tc>
          <w:tcPr>
            <w:tcW w:w="999" w:type="pct"/>
            <w:vAlign w:val="bottom"/>
          </w:tcPr>
          <w:p w14:paraId="348B77D5"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 </w:t>
            </w:r>
          </w:p>
        </w:tc>
        <w:tc>
          <w:tcPr>
            <w:tcW w:w="998" w:type="pct"/>
            <w:vAlign w:val="bottom"/>
          </w:tcPr>
          <w:p w14:paraId="6580FB32"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$31 - $46 </w:t>
            </w:r>
          </w:p>
        </w:tc>
      </w:tr>
      <w:tr w:rsidR="0021047A" w14:paraId="6B7C3826" w14:textId="77777777" w:rsidTr="00261B3A">
        <w:trPr>
          <w:jc w:val="center"/>
        </w:trPr>
        <w:tc>
          <w:tcPr>
            <w:tcW w:w="1004" w:type="pct"/>
          </w:tcPr>
          <w:p w14:paraId="2AA15A2B" w14:textId="77777777" w:rsidR="002E1FD9" w:rsidRPr="002F357B" w:rsidRDefault="002E1FD9" w:rsidP="00D46AF3">
            <w:pPr>
              <w:pStyle w:val="Body"/>
              <w:ind w:left="0"/>
              <w:rPr>
                <w:rFonts w:cs="Arial"/>
                <w:szCs w:val="20"/>
              </w:rPr>
            </w:pPr>
            <w:r w:rsidRPr="002F357B">
              <w:rPr>
                <w:rFonts w:cs="Arial"/>
                <w:szCs w:val="20"/>
              </w:rPr>
              <w:t>Gisborne</w:t>
            </w:r>
          </w:p>
        </w:tc>
        <w:tc>
          <w:tcPr>
            <w:tcW w:w="999" w:type="pct"/>
            <w:vAlign w:val="bottom"/>
          </w:tcPr>
          <w:p w14:paraId="0B0CFF1D"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$3.5 - $5.2 </w:t>
            </w:r>
          </w:p>
        </w:tc>
        <w:tc>
          <w:tcPr>
            <w:tcW w:w="999" w:type="pct"/>
            <w:vAlign w:val="bottom"/>
          </w:tcPr>
          <w:p w14:paraId="0CA3A6B3"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 </w:t>
            </w:r>
          </w:p>
        </w:tc>
        <w:tc>
          <w:tcPr>
            <w:tcW w:w="999" w:type="pct"/>
            <w:vAlign w:val="bottom"/>
          </w:tcPr>
          <w:p w14:paraId="7D3EC61D"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 </w:t>
            </w:r>
          </w:p>
        </w:tc>
        <w:tc>
          <w:tcPr>
            <w:tcW w:w="998" w:type="pct"/>
            <w:vAlign w:val="bottom"/>
          </w:tcPr>
          <w:p w14:paraId="6C43435D"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$3.5 - $5.2 </w:t>
            </w:r>
          </w:p>
        </w:tc>
      </w:tr>
      <w:tr w:rsidR="0021047A" w14:paraId="3F0F02A5" w14:textId="77777777" w:rsidTr="00261B3A">
        <w:trPr>
          <w:jc w:val="center"/>
        </w:trPr>
        <w:tc>
          <w:tcPr>
            <w:tcW w:w="1004" w:type="pct"/>
          </w:tcPr>
          <w:p w14:paraId="17830344" w14:textId="77777777" w:rsidR="002E1FD9" w:rsidRPr="002F357B" w:rsidRDefault="002E1FD9" w:rsidP="00D46AF3">
            <w:pPr>
              <w:pStyle w:val="Body"/>
              <w:ind w:left="0"/>
              <w:rPr>
                <w:rFonts w:cs="Arial"/>
                <w:szCs w:val="20"/>
              </w:rPr>
            </w:pPr>
            <w:r w:rsidRPr="002F357B">
              <w:rPr>
                <w:rFonts w:cs="Arial"/>
                <w:szCs w:val="20"/>
              </w:rPr>
              <w:t>Hawke’s Bay</w:t>
            </w:r>
          </w:p>
        </w:tc>
        <w:tc>
          <w:tcPr>
            <w:tcW w:w="999" w:type="pct"/>
            <w:vAlign w:val="bottom"/>
          </w:tcPr>
          <w:p w14:paraId="18210C1E"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$30 - $44 </w:t>
            </w:r>
          </w:p>
        </w:tc>
        <w:tc>
          <w:tcPr>
            <w:tcW w:w="999" w:type="pct"/>
            <w:vAlign w:val="bottom"/>
          </w:tcPr>
          <w:p w14:paraId="46DA8828"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$4.9 - $7.4 </w:t>
            </w:r>
          </w:p>
        </w:tc>
        <w:tc>
          <w:tcPr>
            <w:tcW w:w="999" w:type="pct"/>
            <w:vAlign w:val="bottom"/>
          </w:tcPr>
          <w:p w14:paraId="48A63548"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 </w:t>
            </w:r>
          </w:p>
        </w:tc>
        <w:tc>
          <w:tcPr>
            <w:tcW w:w="998" w:type="pct"/>
            <w:vAlign w:val="bottom"/>
          </w:tcPr>
          <w:p w14:paraId="2B56E153"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$34 - $52 </w:t>
            </w:r>
          </w:p>
        </w:tc>
      </w:tr>
      <w:tr w:rsidR="0021047A" w14:paraId="313B8E18" w14:textId="77777777" w:rsidTr="00261B3A">
        <w:trPr>
          <w:jc w:val="center"/>
        </w:trPr>
        <w:tc>
          <w:tcPr>
            <w:tcW w:w="1004" w:type="pct"/>
          </w:tcPr>
          <w:p w14:paraId="3DE55772" w14:textId="77777777" w:rsidR="002E1FD9" w:rsidRPr="002F357B" w:rsidRDefault="007668C9" w:rsidP="007668C9">
            <w:pPr>
              <w:pStyle w:val="Body"/>
              <w:ind w:left="0"/>
              <w:rPr>
                <w:rFonts w:cs="Arial"/>
                <w:szCs w:val="20"/>
              </w:rPr>
            </w:pPr>
            <w:r w:rsidRPr="002F357B">
              <w:rPr>
                <w:rFonts w:cs="Arial"/>
                <w:szCs w:val="20"/>
              </w:rPr>
              <w:t>Man</w:t>
            </w:r>
            <w:r>
              <w:rPr>
                <w:rFonts w:cs="Arial"/>
                <w:szCs w:val="20"/>
              </w:rPr>
              <w:t>a</w:t>
            </w:r>
            <w:r w:rsidRPr="002F357B">
              <w:rPr>
                <w:rFonts w:cs="Arial"/>
                <w:szCs w:val="20"/>
              </w:rPr>
              <w:t>watu</w:t>
            </w:r>
            <w:r w:rsidR="002E1FD9" w:rsidRPr="002F357B">
              <w:rPr>
                <w:rFonts w:cs="Arial"/>
                <w:szCs w:val="20"/>
              </w:rPr>
              <w:t>-Wanganui</w:t>
            </w:r>
          </w:p>
        </w:tc>
        <w:tc>
          <w:tcPr>
            <w:tcW w:w="999" w:type="pct"/>
            <w:vAlign w:val="bottom"/>
          </w:tcPr>
          <w:p w14:paraId="225892A6"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$240 - $360 </w:t>
            </w:r>
          </w:p>
        </w:tc>
        <w:tc>
          <w:tcPr>
            <w:tcW w:w="999" w:type="pct"/>
            <w:vAlign w:val="bottom"/>
          </w:tcPr>
          <w:p w14:paraId="3AFEA2CD"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$73 - $110 </w:t>
            </w:r>
          </w:p>
        </w:tc>
        <w:tc>
          <w:tcPr>
            <w:tcW w:w="999" w:type="pct"/>
            <w:vAlign w:val="bottom"/>
          </w:tcPr>
          <w:p w14:paraId="55B86AAA"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$18 - $27 </w:t>
            </w:r>
          </w:p>
        </w:tc>
        <w:tc>
          <w:tcPr>
            <w:tcW w:w="998" w:type="pct"/>
            <w:vAlign w:val="bottom"/>
          </w:tcPr>
          <w:p w14:paraId="1EE0CD95"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$330 - $500 </w:t>
            </w:r>
          </w:p>
        </w:tc>
      </w:tr>
      <w:tr w:rsidR="0021047A" w14:paraId="323EA330" w14:textId="77777777" w:rsidTr="00261B3A">
        <w:trPr>
          <w:jc w:val="center"/>
        </w:trPr>
        <w:tc>
          <w:tcPr>
            <w:tcW w:w="1004" w:type="pct"/>
          </w:tcPr>
          <w:p w14:paraId="54C6F4B3" w14:textId="77777777" w:rsidR="002E1FD9" w:rsidRPr="002F357B" w:rsidRDefault="002E1FD9" w:rsidP="00D46AF3">
            <w:pPr>
              <w:pStyle w:val="Body"/>
              <w:ind w:left="0"/>
              <w:rPr>
                <w:rFonts w:cs="Arial"/>
                <w:szCs w:val="20"/>
              </w:rPr>
            </w:pPr>
            <w:r w:rsidRPr="002F357B">
              <w:rPr>
                <w:rFonts w:cs="Arial"/>
                <w:szCs w:val="20"/>
              </w:rPr>
              <w:t>Marlborough</w:t>
            </w:r>
          </w:p>
        </w:tc>
        <w:tc>
          <w:tcPr>
            <w:tcW w:w="999" w:type="pct"/>
            <w:vAlign w:val="bottom"/>
          </w:tcPr>
          <w:p w14:paraId="6FA669E4"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$2.7 - $4.1 </w:t>
            </w:r>
          </w:p>
        </w:tc>
        <w:tc>
          <w:tcPr>
            <w:tcW w:w="999" w:type="pct"/>
            <w:vAlign w:val="bottom"/>
          </w:tcPr>
          <w:p w14:paraId="5E393B20"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 </w:t>
            </w:r>
          </w:p>
        </w:tc>
        <w:tc>
          <w:tcPr>
            <w:tcW w:w="999" w:type="pct"/>
            <w:vAlign w:val="bottom"/>
          </w:tcPr>
          <w:p w14:paraId="549E18A9"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 </w:t>
            </w:r>
          </w:p>
        </w:tc>
        <w:tc>
          <w:tcPr>
            <w:tcW w:w="998" w:type="pct"/>
            <w:vAlign w:val="bottom"/>
          </w:tcPr>
          <w:p w14:paraId="5024E3A9"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$2.7 - $4.1 </w:t>
            </w:r>
          </w:p>
        </w:tc>
      </w:tr>
      <w:tr w:rsidR="0021047A" w14:paraId="616B4FF1" w14:textId="77777777" w:rsidTr="00261B3A">
        <w:trPr>
          <w:jc w:val="center"/>
        </w:trPr>
        <w:tc>
          <w:tcPr>
            <w:tcW w:w="1004" w:type="pct"/>
          </w:tcPr>
          <w:p w14:paraId="28072548" w14:textId="77777777" w:rsidR="002E1FD9" w:rsidRPr="002F357B" w:rsidRDefault="002E1FD9" w:rsidP="00D46AF3">
            <w:pPr>
              <w:pStyle w:val="Body"/>
              <w:ind w:left="0"/>
              <w:rPr>
                <w:rFonts w:cs="Arial"/>
                <w:szCs w:val="20"/>
              </w:rPr>
            </w:pPr>
            <w:r w:rsidRPr="002F357B">
              <w:rPr>
                <w:rFonts w:cs="Arial"/>
                <w:szCs w:val="20"/>
              </w:rPr>
              <w:t>Nelson</w:t>
            </w:r>
          </w:p>
        </w:tc>
        <w:tc>
          <w:tcPr>
            <w:tcW w:w="999" w:type="pct"/>
            <w:vAlign w:val="bottom"/>
          </w:tcPr>
          <w:p w14:paraId="352E0184"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 </w:t>
            </w:r>
          </w:p>
        </w:tc>
        <w:tc>
          <w:tcPr>
            <w:tcW w:w="999" w:type="pct"/>
            <w:vAlign w:val="bottom"/>
          </w:tcPr>
          <w:p w14:paraId="40FCEDEF"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 </w:t>
            </w:r>
          </w:p>
        </w:tc>
        <w:tc>
          <w:tcPr>
            <w:tcW w:w="999" w:type="pct"/>
            <w:vAlign w:val="bottom"/>
          </w:tcPr>
          <w:p w14:paraId="4240C084"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 </w:t>
            </w:r>
          </w:p>
        </w:tc>
        <w:tc>
          <w:tcPr>
            <w:tcW w:w="998" w:type="pct"/>
            <w:vAlign w:val="bottom"/>
          </w:tcPr>
          <w:p w14:paraId="492667DC"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 </w:t>
            </w:r>
          </w:p>
        </w:tc>
      </w:tr>
      <w:tr w:rsidR="0021047A" w14:paraId="5E05DF08" w14:textId="77777777" w:rsidTr="00261B3A">
        <w:trPr>
          <w:jc w:val="center"/>
        </w:trPr>
        <w:tc>
          <w:tcPr>
            <w:tcW w:w="1004" w:type="pct"/>
          </w:tcPr>
          <w:p w14:paraId="6CE6B567" w14:textId="77777777" w:rsidR="002E1FD9" w:rsidRPr="002F357B" w:rsidRDefault="002E1FD9" w:rsidP="00D46AF3">
            <w:pPr>
              <w:pStyle w:val="Body"/>
              <w:ind w:left="0"/>
              <w:rPr>
                <w:rFonts w:cs="Arial"/>
                <w:szCs w:val="20"/>
              </w:rPr>
            </w:pPr>
            <w:r w:rsidRPr="002F357B">
              <w:rPr>
                <w:rFonts w:cs="Arial"/>
                <w:szCs w:val="20"/>
              </w:rPr>
              <w:t>Northland</w:t>
            </w:r>
          </w:p>
        </w:tc>
        <w:tc>
          <w:tcPr>
            <w:tcW w:w="999" w:type="pct"/>
            <w:vAlign w:val="bottom"/>
          </w:tcPr>
          <w:p w14:paraId="69CA1CFD"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$41 - $62 </w:t>
            </w:r>
          </w:p>
        </w:tc>
        <w:tc>
          <w:tcPr>
            <w:tcW w:w="999" w:type="pct"/>
            <w:vAlign w:val="bottom"/>
          </w:tcPr>
          <w:p w14:paraId="09C6F765"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$45 - $67 </w:t>
            </w:r>
          </w:p>
        </w:tc>
        <w:tc>
          <w:tcPr>
            <w:tcW w:w="999" w:type="pct"/>
            <w:vAlign w:val="bottom"/>
          </w:tcPr>
          <w:p w14:paraId="310D9D3B"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$17 - $25 </w:t>
            </w:r>
          </w:p>
        </w:tc>
        <w:tc>
          <w:tcPr>
            <w:tcW w:w="998" w:type="pct"/>
            <w:vAlign w:val="bottom"/>
          </w:tcPr>
          <w:p w14:paraId="7255BB78"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$100 - $150 </w:t>
            </w:r>
          </w:p>
        </w:tc>
      </w:tr>
      <w:tr w:rsidR="0021047A" w14:paraId="396EDDEB" w14:textId="77777777" w:rsidTr="00261B3A">
        <w:trPr>
          <w:jc w:val="center"/>
        </w:trPr>
        <w:tc>
          <w:tcPr>
            <w:tcW w:w="1004" w:type="pct"/>
          </w:tcPr>
          <w:p w14:paraId="224A1A16" w14:textId="77777777" w:rsidR="002E1FD9" w:rsidRPr="002F357B" w:rsidRDefault="002E1FD9" w:rsidP="00D46AF3">
            <w:pPr>
              <w:pStyle w:val="Body"/>
              <w:ind w:left="0"/>
              <w:rPr>
                <w:rFonts w:cs="Arial"/>
                <w:szCs w:val="20"/>
              </w:rPr>
            </w:pPr>
            <w:r w:rsidRPr="002F357B">
              <w:rPr>
                <w:rFonts w:cs="Arial"/>
                <w:szCs w:val="20"/>
              </w:rPr>
              <w:t xml:space="preserve">Otago </w:t>
            </w:r>
          </w:p>
        </w:tc>
        <w:tc>
          <w:tcPr>
            <w:tcW w:w="999" w:type="pct"/>
            <w:vAlign w:val="bottom"/>
          </w:tcPr>
          <w:p w14:paraId="0FD79237"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$59 - $89 </w:t>
            </w:r>
          </w:p>
        </w:tc>
        <w:tc>
          <w:tcPr>
            <w:tcW w:w="999" w:type="pct"/>
            <w:vAlign w:val="bottom"/>
          </w:tcPr>
          <w:p w14:paraId="5C1101C0"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$52 - $78 </w:t>
            </w:r>
          </w:p>
        </w:tc>
        <w:tc>
          <w:tcPr>
            <w:tcW w:w="999" w:type="pct"/>
            <w:vAlign w:val="bottom"/>
          </w:tcPr>
          <w:p w14:paraId="137CFE51"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$7.4 - $11 </w:t>
            </w:r>
          </w:p>
        </w:tc>
        <w:tc>
          <w:tcPr>
            <w:tcW w:w="998" w:type="pct"/>
            <w:vAlign w:val="bottom"/>
          </w:tcPr>
          <w:p w14:paraId="3D351B8E"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$120 - $180 </w:t>
            </w:r>
          </w:p>
        </w:tc>
      </w:tr>
      <w:tr w:rsidR="0021047A" w14:paraId="5CE316A1" w14:textId="77777777" w:rsidTr="00261B3A">
        <w:trPr>
          <w:jc w:val="center"/>
        </w:trPr>
        <w:tc>
          <w:tcPr>
            <w:tcW w:w="1004" w:type="pct"/>
          </w:tcPr>
          <w:p w14:paraId="6D445736" w14:textId="77777777" w:rsidR="002E1FD9" w:rsidRPr="002F357B" w:rsidRDefault="002E1FD9" w:rsidP="00D46AF3">
            <w:pPr>
              <w:pStyle w:val="Body"/>
              <w:ind w:left="0"/>
              <w:rPr>
                <w:rFonts w:cs="Arial"/>
                <w:szCs w:val="20"/>
              </w:rPr>
            </w:pPr>
            <w:r w:rsidRPr="002F357B">
              <w:rPr>
                <w:rFonts w:cs="Arial"/>
                <w:szCs w:val="20"/>
              </w:rPr>
              <w:t>Southland</w:t>
            </w:r>
          </w:p>
        </w:tc>
        <w:tc>
          <w:tcPr>
            <w:tcW w:w="999" w:type="pct"/>
            <w:vAlign w:val="bottom"/>
          </w:tcPr>
          <w:p w14:paraId="71D2A076"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$52 - $77 </w:t>
            </w:r>
          </w:p>
        </w:tc>
        <w:tc>
          <w:tcPr>
            <w:tcW w:w="999" w:type="pct"/>
            <w:vAlign w:val="bottom"/>
          </w:tcPr>
          <w:p w14:paraId="3862B3A6"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$18 - $28 </w:t>
            </w:r>
          </w:p>
        </w:tc>
        <w:tc>
          <w:tcPr>
            <w:tcW w:w="999" w:type="pct"/>
            <w:vAlign w:val="bottom"/>
          </w:tcPr>
          <w:p w14:paraId="3D92A69F"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$13 - $20 </w:t>
            </w:r>
          </w:p>
        </w:tc>
        <w:tc>
          <w:tcPr>
            <w:tcW w:w="998" w:type="pct"/>
            <w:vAlign w:val="bottom"/>
          </w:tcPr>
          <w:p w14:paraId="3E0EE7E5"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$84 - $130 </w:t>
            </w:r>
          </w:p>
        </w:tc>
      </w:tr>
      <w:tr w:rsidR="0021047A" w14:paraId="6AB4B043" w14:textId="77777777" w:rsidTr="00261B3A">
        <w:trPr>
          <w:jc w:val="center"/>
        </w:trPr>
        <w:tc>
          <w:tcPr>
            <w:tcW w:w="1004" w:type="pct"/>
          </w:tcPr>
          <w:p w14:paraId="0EE8018C" w14:textId="77777777" w:rsidR="002E1FD9" w:rsidRPr="002F357B" w:rsidRDefault="002E1FD9" w:rsidP="00D46AF3">
            <w:pPr>
              <w:pStyle w:val="Body"/>
              <w:ind w:left="0"/>
              <w:rPr>
                <w:rFonts w:cs="Arial"/>
                <w:szCs w:val="20"/>
              </w:rPr>
            </w:pPr>
            <w:r w:rsidRPr="002F357B">
              <w:rPr>
                <w:rFonts w:cs="Arial"/>
                <w:szCs w:val="20"/>
              </w:rPr>
              <w:t>Taranaki</w:t>
            </w:r>
          </w:p>
        </w:tc>
        <w:tc>
          <w:tcPr>
            <w:tcW w:w="999" w:type="pct"/>
            <w:vAlign w:val="bottom"/>
          </w:tcPr>
          <w:p w14:paraId="75901047"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$2.2 - $3.2 </w:t>
            </w:r>
          </w:p>
        </w:tc>
        <w:tc>
          <w:tcPr>
            <w:tcW w:w="999" w:type="pct"/>
            <w:vAlign w:val="bottom"/>
          </w:tcPr>
          <w:p w14:paraId="32CD6B61"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$72 - $110 </w:t>
            </w:r>
          </w:p>
        </w:tc>
        <w:tc>
          <w:tcPr>
            <w:tcW w:w="999" w:type="pct"/>
            <w:vAlign w:val="bottom"/>
          </w:tcPr>
          <w:p w14:paraId="0D9D3E2F"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 </w:t>
            </w:r>
          </w:p>
        </w:tc>
        <w:tc>
          <w:tcPr>
            <w:tcW w:w="998" w:type="pct"/>
            <w:vAlign w:val="bottom"/>
          </w:tcPr>
          <w:p w14:paraId="646751A9"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$74 - $110 </w:t>
            </w:r>
          </w:p>
        </w:tc>
      </w:tr>
      <w:tr w:rsidR="0021047A" w14:paraId="1FC78585" w14:textId="77777777" w:rsidTr="00261B3A">
        <w:trPr>
          <w:jc w:val="center"/>
        </w:trPr>
        <w:tc>
          <w:tcPr>
            <w:tcW w:w="1004" w:type="pct"/>
          </w:tcPr>
          <w:p w14:paraId="30DADB73" w14:textId="77777777" w:rsidR="002E1FD9" w:rsidRPr="002F357B" w:rsidRDefault="002E1FD9" w:rsidP="00D46AF3">
            <w:pPr>
              <w:pStyle w:val="Body"/>
              <w:ind w:left="0"/>
              <w:rPr>
                <w:rFonts w:cs="Arial"/>
                <w:szCs w:val="20"/>
              </w:rPr>
            </w:pPr>
            <w:r w:rsidRPr="002F357B">
              <w:rPr>
                <w:rFonts w:cs="Arial"/>
                <w:szCs w:val="20"/>
              </w:rPr>
              <w:t>Tasman</w:t>
            </w:r>
          </w:p>
        </w:tc>
        <w:tc>
          <w:tcPr>
            <w:tcW w:w="999" w:type="pct"/>
            <w:vAlign w:val="bottom"/>
          </w:tcPr>
          <w:p w14:paraId="57218DD6"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 </w:t>
            </w:r>
          </w:p>
        </w:tc>
        <w:tc>
          <w:tcPr>
            <w:tcW w:w="999" w:type="pct"/>
            <w:vAlign w:val="bottom"/>
          </w:tcPr>
          <w:p w14:paraId="3D4B3A63"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$16 - $24 </w:t>
            </w:r>
          </w:p>
        </w:tc>
        <w:tc>
          <w:tcPr>
            <w:tcW w:w="999" w:type="pct"/>
            <w:vAlign w:val="bottom"/>
          </w:tcPr>
          <w:p w14:paraId="0A0BB42C"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 </w:t>
            </w:r>
          </w:p>
        </w:tc>
        <w:tc>
          <w:tcPr>
            <w:tcW w:w="998" w:type="pct"/>
            <w:vAlign w:val="bottom"/>
          </w:tcPr>
          <w:p w14:paraId="7E0BA50B"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$16 - $24 </w:t>
            </w:r>
          </w:p>
        </w:tc>
      </w:tr>
      <w:tr w:rsidR="0021047A" w14:paraId="73EE5AAE" w14:textId="77777777" w:rsidTr="00261B3A">
        <w:trPr>
          <w:jc w:val="center"/>
        </w:trPr>
        <w:tc>
          <w:tcPr>
            <w:tcW w:w="1004" w:type="pct"/>
          </w:tcPr>
          <w:p w14:paraId="4459EFCC" w14:textId="77777777" w:rsidR="002E1FD9" w:rsidRPr="002F357B" w:rsidRDefault="002E1FD9" w:rsidP="00D46AF3">
            <w:pPr>
              <w:pStyle w:val="Body"/>
              <w:ind w:left="0"/>
              <w:rPr>
                <w:rFonts w:cs="Arial"/>
                <w:szCs w:val="20"/>
              </w:rPr>
            </w:pPr>
            <w:r w:rsidRPr="002F357B">
              <w:rPr>
                <w:rFonts w:cs="Arial"/>
                <w:szCs w:val="20"/>
              </w:rPr>
              <w:t>Waikato</w:t>
            </w:r>
          </w:p>
        </w:tc>
        <w:tc>
          <w:tcPr>
            <w:tcW w:w="999" w:type="pct"/>
            <w:vAlign w:val="bottom"/>
          </w:tcPr>
          <w:p w14:paraId="49512C97"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$110 - $160 </w:t>
            </w:r>
          </w:p>
        </w:tc>
        <w:tc>
          <w:tcPr>
            <w:tcW w:w="999" w:type="pct"/>
            <w:vAlign w:val="bottom"/>
          </w:tcPr>
          <w:p w14:paraId="4A2881A2"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$92 - $140 </w:t>
            </w:r>
          </w:p>
        </w:tc>
        <w:tc>
          <w:tcPr>
            <w:tcW w:w="999" w:type="pct"/>
            <w:vAlign w:val="bottom"/>
          </w:tcPr>
          <w:p w14:paraId="0F020975"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$41 - $62 </w:t>
            </w:r>
          </w:p>
        </w:tc>
        <w:tc>
          <w:tcPr>
            <w:tcW w:w="998" w:type="pct"/>
            <w:vAlign w:val="bottom"/>
          </w:tcPr>
          <w:p w14:paraId="5C318CAB"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$240 - $360 </w:t>
            </w:r>
          </w:p>
        </w:tc>
      </w:tr>
      <w:tr w:rsidR="0021047A" w14:paraId="257E4E3E" w14:textId="77777777" w:rsidTr="00261B3A">
        <w:trPr>
          <w:jc w:val="center"/>
        </w:trPr>
        <w:tc>
          <w:tcPr>
            <w:tcW w:w="1004" w:type="pct"/>
          </w:tcPr>
          <w:p w14:paraId="1A19A7E5" w14:textId="77777777" w:rsidR="002E1FD9" w:rsidRPr="002F357B" w:rsidRDefault="002E1FD9" w:rsidP="00D46AF3">
            <w:pPr>
              <w:pStyle w:val="Body"/>
              <w:ind w:left="0"/>
              <w:rPr>
                <w:rFonts w:cs="Arial"/>
                <w:szCs w:val="20"/>
              </w:rPr>
            </w:pPr>
            <w:r w:rsidRPr="002F357B">
              <w:rPr>
                <w:rFonts w:cs="Arial"/>
                <w:szCs w:val="20"/>
              </w:rPr>
              <w:t>Wellington</w:t>
            </w:r>
          </w:p>
        </w:tc>
        <w:tc>
          <w:tcPr>
            <w:tcW w:w="999" w:type="pct"/>
            <w:vAlign w:val="bottom"/>
          </w:tcPr>
          <w:p w14:paraId="654AB835"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$4.7 - $7.1 </w:t>
            </w:r>
          </w:p>
        </w:tc>
        <w:tc>
          <w:tcPr>
            <w:tcW w:w="999" w:type="pct"/>
            <w:vAlign w:val="bottom"/>
          </w:tcPr>
          <w:p w14:paraId="7E89B60C"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$110 - $160 </w:t>
            </w:r>
          </w:p>
        </w:tc>
        <w:tc>
          <w:tcPr>
            <w:tcW w:w="999" w:type="pct"/>
            <w:vAlign w:val="bottom"/>
          </w:tcPr>
          <w:p w14:paraId="0419E0AD"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$20 - $30 </w:t>
            </w:r>
          </w:p>
        </w:tc>
        <w:tc>
          <w:tcPr>
            <w:tcW w:w="998" w:type="pct"/>
            <w:vAlign w:val="bottom"/>
          </w:tcPr>
          <w:p w14:paraId="6FCCF921"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$130 - $200 </w:t>
            </w:r>
          </w:p>
        </w:tc>
      </w:tr>
      <w:tr w:rsidR="0021047A" w14:paraId="1779F899" w14:textId="77777777" w:rsidTr="00261B3A">
        <w:trPr>
          <w:jc w:val="center"/>
        </w:trPr>
        <w:tc>
          <w:tcPr>
            <w:tcW w:w="1004" w:type="pct"/>
          </w:tcPr>
          <w:p w14:paraId="798C5F89" w14:textId="77777777" w:rsidR="002E1FD9" w:rsidRPr="002F357B" w:rsidRDefault="002E1FD9" w:rsidP="00D46AF3">
            <w:pPr>
              <w:pStyle w:val="Body"/>
              <w:ind w:left="0"/>
              <w:rPr>
                <w:rFonts w:cs="Arial"/>
                <w:szCs w:val="20"/>
              </w:rPr>
            </w:pPr>
            <w:r w:rsidRPr="002F357B">
              <w:rPr>
                <w:rFonts w:cs="Arial"/>
                <w:szCs w:val="20"/>
              </w:rPr>
              <w:t>West Coast</w:t>
            </w:r>
          </w:p>
        </w:tc>
        <w:tc>
          <w:tcPr>
            <w:tcW w:w="999" w:type="pct"/>
            <w:vAlign w:val="bottom"/>
          </w:tcPr>
          <w:p w14:paraId="193A01C2"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 </w:t>
            </w:r>
          </w:p>
        </w:tc>
        <w:tc>
          <w:tcPr>
            <w:tcW w:w="999" w:type="pct"/>
            <w:vAlign w:val="bottom"/>
          </w:tcPr>
          <w:p w14:paraId="61623409"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$94 - $140 </w:t>
            </w:r>
          </w:p>
        </w:tc>
        <w:tc>
          <w:tcPr>
            <w:tcW w:w="999" w:type="pct"/>
            <w:vAlign w:val="bottom"/>
          </w:tcPr>
          <w:p w14:paraId="0F731ED4"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$24 - $36 </w:t>
            </w:r>
          </w:p>
        </w:tc>
        <w:tc>
          <w:tcPr>
            <w:tcW w:w="998" w:type="pct"/>
            <w:vAlign w:val="bottom"/>
          </w:tcPr>
          <w:p w14:paraId="4E727186" w14:textId="77777777" w:rsidR="002E1FD9" w:rsidRPr="002F357B" w:rsidRDefault="002E1FD9" w:rsidP="00D46AF3">
            <w:pPr>
              <w:pStyle w:val="Body"/>
              <w:ind w:left="0"/>
              <w:jc w:val="center"/>
              <w:rPr>
                <w:rFonts w:cs="Arial"/>
                <w:szCs w:val="20"/>
                <w:highlight w:val="yellow"/>
              </w:rPr>
            </w:pPr>
            <w:r w:rsidRPr="002F357B">
              <w:rPr>
                <w:rFonts w:cs="Arial"/>
                <w:color w:val="000000"/>
                <w:szCs w:val="20"/>
              </w:rPr>
              <w:t xml:space="preserve"> $120 - $180 </w:t>
            </w:r>
          </w:p>
        </w:tc>
      </w:tr>
      <w:tr w:rsidR="0021047A" w14:paraId="7B086235" w14:textId="77777777" w:rsidTr="00261B3A">
        <w:trPr>
          <w:jc w:val="center"/>
        </w:trPr>
        <w:tc>
          <w:tcPr>
            <w:tcW w:w="1004" w:type="pct"/>
          </w:tcPr>
          <w:p w14:paraId="3D42D408" w14:textId="77777777" w:rsidR="002E1FD9" w:rsidRPr="002F357B" w:rsidRDefault="002E1FD9" w:rsidP="00D46AF3">
            <w:pPr>
              <w:pStyle w:val="Body"/>
              <w:ind w:left="0"/>
              <w:rPr>
                <w:rFonts w:cs="Arial"/>
                <w:b/>
                <w:szCs w:val="20"/>
              </w:rPr>
            </w:pPr>
            <w:r w:rsidRPr="002F357B">
              <w:rPr>
                <w:rFonts w:cs="Arial"/>
                <w:b/>
                <w:szCs w:val="20"/>
              </w:rPr>
              <w:t>Total</w:t>
            </w:r>
          </w:p>
        </w:tc>
        <w:tc>
          <w:tcPr>
            <w:tcW w:w="999" w:type="pct"/>
            <w:vAlign w:val="bottom"/>
          </w:tcPr>
          <w:p w14:paraId="47CD1790" w14:textId="77777777" w:rsidR="002E1FD9" w:rsidRPr="002F357B" w:rsidRDefault="002E1FD9" w:rsidP="00D46AF3">
            <w:pPr>
              <w:pStyle w:val="Body"/>
              <w:ind w:left="0"/>
              <w:jc w:val="center"/>
              <w:rPr>
                <w:rFonts w:cs="Arial"/>
                <w:b/>
                <w:szCs w:val="20"/>
                <w:highlight w:val="yellow"/>
              </w:rPr>
            </w:pPr>
            <w:r w:rsidRPr="002F357B">
              <w:rPr>
                <w:rFonts w:cs="Arial"/>
                <w:b/>
                <w:color w:val="000000"/>
                <w:szCs w:val="20"/>
              </w:rPr>
              <w:t xml:space="preserve"> $580 - $880 </w:t>
            </w:r>
          </w:p>
        </w:tc>
        <w:tc>
          <w:tcPr>
            <w:tcW w:w="999" w:type="pct"/>
            <w:vAlign w:val="bottom"/>
          </w:tcPr>
          <w:p w14:paraId="220DD54B" w14:textId="77777777" w:rsidR="002E1FD9" w:rsidRPr="002F357B" w:rsidRDefault="002E1FD9" w:rsidP="00D46AF3">
            <w:pPr>
              <w:pStyle w:val="Body"/>
              <w:ind w:left="0"/>
              <w:jc w:val="center"/>
              <w:rPr>
                <w:rFonts w:cs="Arial"/>
                <w:b/>
                <w:szCs w:val="20"/>
                <w:highlight w:val="yellow"/>
              </w:rPr>
            </w:pPr>
            <w:r w:rsidRPr="002F357B">
              <w:rPr>
                <w:rFonts w:cs="Arial"/>
                <w:b/>
                <w:color w:val="000000"/>
                <w:szCs w:val="20"/>
              </w:rPr>
              <w:t xml:space="preserve"> $630 - $950 </w:t>
            </w:r>
          </w:p>
        </w:tc>
        <w:tc>
          <w:tcPr>
            <w:tcW w:w="999" w:type="pct"/>
            <w:vAlign w:val="bottom"/>
          </w:tcPr>
          <w:p w14:paraId="07BC59E5" w14:textId="77777777" w:rsidR="002E1FD9" w:rsidRPr="002F357B" w:rsidRDefault="002E1FD9" w:rsidP="00D46AF3">
            <w:pPr>
              <w:pStyle w:val="Body"/>
              <w:ind w:left="0"/>
              <w:jc w:val="center"/>
              <w:rPr>
                <w:rFonts w:cs="Arial"/>
                <w:b/>
                <w:szCs w:val="20"/>
                <w:highlight w:val="yellow"/>
              </w:rPr>
            </w:pPr>
            <w:r w:rsidRPr="002F357B">
              <w:rPr>
                <w:rFonts w:cs="Arial"/>
                <w:b/>
                <w:color w:val="000000"/>
                <w:szCs w:val="20"/>
              </w:rPr>
              <w:t xml:space="preserve"> $160 - $240 </w:t>
            </w:r>
          </w:p>
        </w:tc>
        <w:tc>
          <w:tcPr>
            <w:tcW w:w="998" w:type="pct"/>
            <w:vAlign w:val="bottom"/>
          </w:tcPr>
          <w:p w14:paraId="5FD149C8" w14:textId="77777777" w:rsidR="002E1FD9" w:rsidRPr="002F357B" w:rsidRDefault="002E1FD9" w:rsidP="00D46AF3">
            <w:pPr>
              <w:pStyle w:val="Body"/>
              <w:ind w:left="0"/>
              <w:jc w:val="center"/>
              <w:rPr>
                <w:rFonts w:cs="Arial"/>
                <w:b/>
                <w:szCs w:val="20"/>
                <w:highlight w:val="yellow"/>
              </w:rPr>
            </w:pPr>
            <w:r w:rsidRPr="002F357B">
              <w:rPr>
                <w:rFonts w:cs="Arial"/>
                <w:b/>
                <w:color w:val="000000"/>
                <w:szCs w:val="20"/>
              </w:rPr>
              <w:t xml:space="preserve"> $1,400 - $2,100 </w:t>
            </w:r>
          </w:p>
        </w:tc>
      </w:tr>
    </w:tbl>
    <w:p w14:paraId="0BAC8252" w14:textId="77777777" w:rsidR="005E0980" w:rsidRDefault="005E0980" w:rsidP="005E0980">
      <w:pPr>
        <w:pStyle w:val="Body"/>
        <w:ind w:left="0"/>
        <w:rPr>
          <w:lang w:eastAsia="en-AU"/>
        </w:rPr>
      </w:pPr>
    </w:p>
    <w:p w14:paraId="74102907" w14:textId="77777777" w:rsidR="00AE01FB" w:rsidRDefault="00AE01FB" w:rsidP="005E0980">
      <w:pPr>
        <w:pStyle w:val="Body"/>
        <w:ind w:left="0"/>
        <w:rPr>
          <w:lang w:eastAsia="en-AU"/>
        </w:rPr>
        <w:sectPr w:rsidR="00AE01FB" w:rsidSect="00E65B15">
          <w:pgSz w:w="11907" w:h="16839" w:code="9"/>
          <w:pgMar w:top="1134" w:right="1134" w:bottom="1134" w:left="1701" w:header="181" w:footer="227" w:gutter="0"/>
          <w:cols w:space="340"/>
          <w:docGrid w:linePitch="360"/>
        </w:sectPr>
      </w:pPr>
    </w:p>
    <w:p w14:paraId="2B02D5F3" w14:textId="77777777" w:rsidR="005E0980" w:rsidRDefault="005E0980" w:rsidP="005E0980">
      <w:pPr>
        <w:pStyle w:val="Caption"/>
      </w:pPr>
      <w:bookmarkStart w:id="579" w:name="_Ref518644635"/>
      <w:bookmarkStart w:id="580" w:name="_Toc518653135"/>
      <w:bookmarkStart w:id="581" w:name="_Toc521064801"/>
      <w:r>
        <w:lastRenderedPageBreak/>
        <w:t xml:space="preserve">Table </w:t>
      </w:r>
      <w:r w:rsidR="007B3D80">
        <w:rPr>
          <w:noProof/>
        </w:rPr>
        <w:fldChar w:fldCharType="begin"/>
      </w:r>
      <w:r w:rsidR="007B3D80">
        <w:rPr>
          <w:noProof/>
        </w:rPr>
        <w:instrText xml:space="preserve"> SEQ Table \* ARABIC </w:instrText>
      </w:r>
      <w:r w:rsidR="007B3D80">
        <w:rPr>
          <w:noProof/>
        </w:rPr>
        <w:fldChar w:fldCharType="separate"/>
      </w:r>
      <w:r w:rsidR="002777A8">
        <w:rPr>
          <w:noProof/>
        </w:rPr>
        <w:t>18</w:t>
      </w:r>
      <w:r w:rsidR="007B3D80">
        <w:rPr>
          <w:noProof/>
        </w:rPr>
        <w:fldChar w:fldCharType="end"/>
      </w:r>
      <w:bookmarkEnd w:id="579"/>
      <w:r>
        <w:t xml:space="preserve">  Summary of WWTP upgrade costs to meet B Attribute target of NPS Freshwater by region for </w:t>
      </w:r>
      <w:r w:rsidR="004871F2">
        <w:t xml:space="preserve">large </w:t>
      </w:r>
      <w:r>
        <w:t>contributing plants</w:t>
      </w:r>
      <w:bookmarkEnd w:id="580"/>
      <w:bookmarkEnd w:id="581"/>
    </w:p>
    <w:tbl>
      <w:tblPr>
        <w:tblStyle w:val="Table-Style3"/>
        <w:tblW w:w="14320" w:type="dxa"/>
        <w:tblInd w:w="20" w:type="dxa"/>
        <w:tblLayout w:type="fixed"/>
        <w:tblLook w:val="04A0" w:firstRow="1" w:lastRow="0" w:firstColumn="1" w:lastColumn="0" w:noHBand="0" w:noVBand="1"/>
      </w:tblPr>
      <w:tblGrid>
        <w:gridCol w:w="2268"/>
        <w:gridCol w:w="1933"/>
        <w:gridCol w:w="1933"/>
        <w:gridCol w:w="1933"/>
        <w:gridCol w:w="2045"/>
        <w:gridCol w:w="2045"/>
        <w:gridCol w:w="2163"/>
      </w:tblGrid>
      <w:tr w:rsidR="0021047A" w:rsidRPr="00FE4F59" w14:paraId="30B05A98" w14:textId="77777777" w:rsidTr="00381B57">
        <w:trPr>
          <w:cnfStyle w:val="100000000000" w:firstRow="1" w:lastRow="0" w:firstColumn="0" w:lastColumn="0" w:oddVBand="0" w:evenVBand="0" w:oddHBand="0" w:evenHBand="0" w:firstRowFirstColumn="0" w:firstRowLastColumn="0" w:lastRowFirstColumn="0" w:lastRowLastColumn="0"/>
          <w:trHeight w:val="300"/>
        </w:trPr>
        <w:tc>
          <w:tcPr>
            <w:tcW w:w="2268" w:type="dxa"/>
            <w:vMerge w:val="restart"/>
            <w:noWrap/>
            <w:vAlign w:val="center"/>
          </w:tcPr>
          <w:p w14:paraId="26D68E0A" w14:textId="77777777" w:rsidR="008D79FD" w:rsidRPr="002F357B" w:rsidRDefault="008D79FD" w:rsidP="00FC63CE">
            <w:pPr>
              <w:spacing w:before="45" w:after="30"/>
              <w:rPr>
                <w:rFonts w:cs="Arial"/>
                <w:bCs/>
                <w:color w:val="FFFFFF" w:themeColor="background1"/>
                <w:szCs w:val="20"/>
                <w:lang w:val="en-NZ" w:eastAsia="en-NZ"/>
              </w:rPr>
            </w:pPr>
            <w:r w:rsidRPr="002F357B">
              <w:rPr>
                <w:rFonts w:cs="Arial"/>
                <w:bCs/>
                <w:color w:val="FFFFFF" w:themeColor="background1"/>
                <w:szCs w:val="20"/>
                <w:lang w:val="en-NZ" w:eastAsia="en-NZ"/>
              </w:rPr>
              <w:t>Region</w:t>
            </w:r>
          </w:p>
        </w:tc>
        <w:tc>
          <w:tcPr>
            <w:tcW w:w="5799" w:type="dxa"/>
            <w:gridSpan w:val="3"/>
            <w:noWrap/>
          </w:tcPr>
          <w:p w14:paraId="1013E968" w14:textId="77777777" w:rsidR="008D79FD" w:rsidRPr="00381B57" w:rsidRDefault="008D79FD" w:rsidP="00381B57">
            <w:pPr>
              <w:pStyle w:val="Body"/>
              <w:ind w:left="0"/>
              <w:jc w:val="center"/>
              <w:rPr>
                <w:lang w:eastAsia="en-AU"/>
              </w:rPr>
            </w:pPr>
            <w:r w:rsidRPr="00381B57">
              <w:rPr>
                <w:lang w:eastAsia="en-AU"/>
              </w:rPr>
              <w:t>Cost to meet NPS for ($</w:t>
            </w:r>
            <w:r w:rsidR="00381B57">
              <w:rPr>
                <w:lang w:eastAsia="en-AU"/>
              </w:rPr>
              <w:t> </w:t>
            </w:r>
            <w:r w:rsidRPr="00381B57">
              <w:rPr>
                <w:lang w:eastAsia="en-AU"/>
              </w:rPr>
              <w:t>Million):</w:t>
            </w:r>
          </w:p>
        </w:tc>
        <w:tc>
          <w:tcPr>
            <w:tcW w:w="2045" w:type="dxa"/>
            <w:vMerge w:val="restart"/>
            <w:noWrap/>
          </w:tcPr>
          <w:p w14:paraId="66EDF11A" w14:textId="77777777" w:rsidR="008D79FD" w:rsidRPr="00381B57" w:rsidRDefault="008D79FD" w:rsidP="00381B57">
            <w:pPr>
              <w:pStyle w:val="Body"/>
              <w:ind w:left="0"/>
              <w:jc w:val="center"/>
              <w:rPr>
                <w:lang w:eastAsia="en-AU"/>
              </w:rPr>
            </w:pPr>
            <w:r w:rsidRPr="00381B57">
              <w:rPr>
                <w:lang w:eastAsia="en-AU"/>
              </w:rPr>
              <w:t xml:space="preserve">Best </w:t>
            </w:r>
            <w:r w:rsidR="00BE766D" w:rsidRPr="00381B57">
              <w:rPr>
                <w:lang w:eastAsia="en-AU"/>
              </w:rPr>
              <w:t>practice</w:t>
            </w:r>
            <w:r w:rsidR="00381B57">
              <w:rPr>
                <w:lang w:eastAsia="en-AU"/>
              </w:rPr>
              <w:t xml:space="preserve"> </w:t>
            </w:r>
            <w:r w:rsidRPr="00381B57">
              <w:rPr>
                <w:lang w:eastAsia="en-AU"/>
              </w:rPr>
              <w:t>($</w:t>
            </w:r>
            <w:r w:rsidR="00381B57">
              <w:rPr>
                <w:lang w:eastAsia="en-AU"/>
              </w:rPr>
              <w:t> </w:t>
            </w:r>
            <w:r w:rsidRPr="00381B57">
              <w:rPr>
                <w:lang w:eastAsia="en-AU"/>
              </w:rPr>
              <w:t>Million)</w:t>
            </w:r>
          </w:p>
        </w:tc>
        <w:tc>
          <w:tcPr>
            <w:tcW w:w="2045" w:type="dxa"/>
            <w:vMerge w:val="restart"/>
          </w:tcPr>
          <w:p w14:paraId="514766BC" w14:textId="77777777" w:rsidR="008D79FD" w:rsidRPr="00381B57" w:rsidRDefault="008D79FD" w:rsidP="00381B57">
            <w:pPr>
              <w:pStyle w:val="Body"/>
              <w:ind w:left="0"/>
              <w:jc w:val="center"/>
              <w:rPr>
                <w:lang w:eastAsia="en-AU"/>
              </w:rPr>
            </w:pPr>
            <w:r w:rsidRPr="00381B57">
              <w:rPr>
                <w:lang w:eastAsia="en-AU"/>
              </w:rPr>
              <w:t>Annual Opex</w:t>
            </w:r>
            <w:r w:rsidR="00381B57">
              <w:rPr>
                <w:lang w:eastAsia="en-AU"/>
              </w:rPr>
              <w:t xml:space="preserve"> </w:t>
            </w:r>
            <w:r w:rsidRPr="00381B57">
              <w:rPr>
                <w:lang w:eastAsia="en-AU"/>
              </w:rPr>
              <w:t>($</w:t>
            </w:r>
            <w:r w:rsidR="00381B57">
              <w:rPr>
                <w:lang w:eastAsia="en-AU"/>
              </w:rPr>
              <w:t> </w:t>
            </w:r>
            <w:r w:rsidRPr="00381B57">
              <w:rPr>
                <w:lang w:eastAsia="en-AU"/>
              </w:rPr>
              <w:t>Million/year)</w:t>
            </w:r>
          </w:p>
        </w:tc>
        <w:tc>
          <w:tcPr>
            <w:tcW w:w="2163" w:type="dxa"/>
            <w:vMerge w:val="restart"/>
          </w:tcPr>
          <w:p w14:paraId="3B3D108A" w14:textId="77777777" w:rsidR="008D79FD" w:rsidRPr="00381B57" w:rsidRDefault="008D79FD" w:rsidP="00381B57">
            <w:pPr>
              <w:pStyle w:val="Body"/>
              <w:ind w:left="0"/>
              <w:jc w:val="center"/>
              <w:rPr>
                <w:lang w:eastAsia="en-AU"/>
              </w:rPr>
            </w:pPr>
            <w:r w:rsidRPr="00381B57">
              <w:rPr>
                <w:lang w:eastAsia="en-AU"/>
              </w:rPr>
              <w:t xml:space="preserve">Annual </w:t>
            </w:r>
            <w:r w:rsidR="00BE766D" w:rsidRPr="00381B57">
              <w:rPr>
                <w:lang w:eastAsia="en-AU"/>
              </w:rPr>
              <w:t xml:space="preserve">cost impact </w:t>
            </w:r>
            <w:r w:rsidRPr="00381B57">
              <w:rPr>
                <w:lang w:eastAsia="en-AU"/>
              </w:rPr>
              <w:t xml:space="preserve">per </w:t>
            </w:r>
            <w:r w:rsidR="00BE766D" w:rsidRPr="00381B57">
              <w:rPr>
                <w:lang w:eastAsia="en-AU"/>
              </w:rPr>
              <w:t>affected household</w:t>
            </w:r>
            <w:r w:rsidR="00381B57">
              <w:rPr>
                <w:lang w:eastAsia="en-AU"/>
              </w:rPr>
              <w:t xml:space="preserve"> </w:t>
            </w:r>
            <w:r w:rsidRPr="00381B57">
              <w:rPr>
                <w:lang w:eastAsia="en-AU"/>
              </w:rPr>
              <w:t>($/year)</w:t>
            </w:r>
          </w:p>
        </w:tc>
      </w:tr>
      <w:tr w:rsidR="0021047A" w:rsidRPr="00FE4F59" w14:paraId="68709AF2" w14:textId="77777777" w:rsidTr="00381B57">
        <w:trPr>
          <w:trHeight w:val="300"/>
        </w:trPr>
        <w:tc>
          <w:tcPr>
            <w:tcW w:w="2268" w:type="dxa"/>
            <w:vMerge/>
            <w:noWrap/>
            <w:vAlign w:val="center"/>
            <w:hideMark/>
          </w:tcPr>
          <w:p w14:paraId="78905899" w14:textId="77777777" w:rsidR="008D79FD" w:rsidRPr="002F357B" w:rsidRDefault="008D79FD" w:rsidP="00FC63CE">
            <w:pPr>
              <w:spacing w:after="0"/>
              <w:jc w:val="center"/>
              <w:rPr>
                <w:rFonts w:cs="Arial"/>
                <w:b/>
                <w:color w:val="000000"/>
                <w:szCs w:val="20"/>
                <w:lang w:val="en-NZ" w:eastAsia="en-NZ"/>
              </w:rPr>
            </w:pPr>
          </w:p>
        </w:tc>
        <w:tc>
          <w:tcPr>
            <w:tcW w:w="1933" w:type="dxa"/>
            <w:shd w:val="clear" w:color="auto" w:fill="00599C"/>
            <w:noWrap/>
            <w:hideMark/>
          </w:tcPr>
          <w:p w14:paraId="54A3EE8D" w14:textId="77777777" w:rsidR="008D79FD" w:rsidRPr="00381B57" w:rsidRDefault="008D79FD" w:rsidP="00381B57">
            <w:pPr>
              <w:pStyle w:val="Body"/>
              <w:ind w:left="0"/>
              <w:jc w:val="center"/>
              <w:rPr>
                <w:color w:val="FFFFFF"/>
                <w:lang w:eastAsia="en-AU"/>
              </w:rPr>
            </w:pPr>
            <w:r w:rsidRPr="00381B57">
              <w:rPr>
                <w:color w:val="FFFFFF"/>
                <w:lang w:eastAsia="en-AU"/>
              </w:rPr>
              <w:t>E.coli</w:t>
            </w:r>
          </w:p>
        </w:tc>
        <w:tc>
          <w:tcPr>
            <w:tcW w:w="1933" w:type="dxa"/>
            <w:shd w:val="clear" w:color="auto" w:fill="00599C"/>
            <w:noWrap/>
            <w:hideMark/>
          </w:tcPr>
          <w:p w14:paraId="30037290" w14:textId="77777777" w:rsidR="008D79FD" w:rsidRPr="00381B57" w:rsidRDefault="008D79FD" w:rsidP="00381B57">
            <w:pPr>
              <w:pStyle w:val="Body"/>
              <w:ind w:left="0"/>
              <w:jc w:val="center"/>
              <w:rPr>
                <w:color w:val="FFFFFF"/>
                <w:lang w:eastAsia="en-AU"/>
              </w:rPr>
            </w:pPr>
            <w:r w:rsidRPr="00381B57">
              <w:rPr>
                <w:color w:val="FFFFFF"/>
                <w:lang w:eastAsia="en-AU"/>
              </w:rPr>
              <w:t>Ammonia</w:t>
            </w:r>
          </w:p>
        </w:tc>
        <w:tc>
          <w:tcPr>
            <w:tcW w:w="1933" w:type="dxa"/>
            <w:shd w:val="clear" w:color="auto" w:fill="00599C"/>
            <w:noWrap/>
            <w:hideMark/>
          </w:tcPr>
          <w:p w14:paraId="0F4EC1E7" w14:textId="77777777" w:rsidR="008D79FD" w:rsidRPr="00381B57" w:rsidRDefault="008D79FD" w:rsidP="00381B57">
            <w:pPr>
              <w:pStyle w:val="Body"/>
              <w:ind w:left="0"/>
              <w:jc w:val="center"/>
              <w:rPr>
                <w:color w:val="FFFFFF"/>
                <w:lang w:eastAsia="en-AU"/>
              </w:rPr>
            </w:pPr>
            <w:r w:rsidRPr="00381B57">
              <w:rPr>
                <w:color w:val="FFFFFF"/>
                <w:lang w:eastAsia="en-AU"/>
              </w:rPr>
              <w:t>Nitr</w:t>
            </w:r>
            <w:r w:rsidR="00494438" w:rsidRPr="00381B57">
              <w:rPr>
                <w:color w:val="FFFFFF"/>
                <w:lang w:eastAsia="en-AU"/>
              </w:rPr>
              <w:t>ate</w:t>
            </w:r>
          </w:p>
        </w:tc>
        <w:tc>
          <w:tcPr>
            <w:tcW w:w="2045" w:type="dxa"/>
            <w:vMerge/>
            <w:noWrap/>
            <w:hideMark/>
          </w:tcPr>
          <w:p w14:paraId="5B716840" w14:textId="77777777" w:rsidR="008D79FD" w:rsidRPr="002F357B" w:rsidRDefault="008D79FD" w:rsidP="00C81C08">
            <w:pPr>
              <w:spacing w:after="0"/>
              <w:jc w:val="center"/>
              <w:rPr>
                <w:rFonts w:cs="Arial"/>
                <w:bCs/>
                <w:color w:val="000000"/>
                <w:szCs w:val="20"/>
                <w:lang w:val="en-NZ" w:eastAsia="en-NZ"/>
              </w:rPr>
            </w:pPr>
          </w:p>
        </w:tc>
        <w:tc>
          <w:tcPr>
            <w:tcW w:w="2045" w:type="dxa"/>
            <w:vMerge/>
          </w:tcPr>
          <w:p w14:paraId="28B934F8" w14:textId="77777777" w:rsidR="008D79FD" w:rsidRPr="002F357B" w:rsidRDefault="008D79FD" w:rsidP="00C81C08">
            <w:pPr>
              <w:spacing w:after="0"/>
              <w:jc w:val="center"/>
              <w:rPr>
                <w:rFonts w:cs="Arial"/>
                <w:bCs/>
                <w:color w:val="000000"/>
                <w:szCs w:val="20"/>
                <w:lang w:val="en-NZ" w:eastAsia="en-NZ"/>
              </w:rPr>
            </w:pPr>
          </w:p>
        </w:tc>
        <w:tc>
          <w:tcPr>
            <w:tcW w:w="2163" w:type="dxa"/>
            <w:vMerge/>
          </w:tcPr>
          <w:p w14:paraId="6431E023" w14:textId="77777777" w:rsidR="008D79FD" w:rsidRPr="002F357B" w:rsidRDefault="008D79FD" w:rsidP="00C81C08">
            <w:pPr>
              <w:spacing w:after="0"/>
              <w:jc w:val="center"/>
              <w:rPr>
                <w:rFonts w:cs="Arial"/>
                <w:bCs/>
                <w:color w:val="000000"/>
                <w:szCs w:val="20"/>
                <w:lang w:val="en-NZ" w:eastAsia="en-NZ"/>
              </w:rPr>
            </w:pPr>
          </w:p>
        </w:tc>
      </w:tr>
      <w:tr w:rsidR="0021047A" w14:paraId="4C6C6AEF" w14:textId="77777777" w:rsidTr="008D79FD">
        <w:trPr>
          <w:trHeight w:val="300"/>
        </w:trPr>
        <w:tc>
          <w:tcPr>
            <w:tcW w:w="2268" w:type="dxa"/>
            <w:noWrap/>
            <w:vAlign w:val="bottom"/>
          </w:tcPr>
          <w:p w14:paraId="42F515E6" w14:textId="77777777" w:rsidR="005E0980" w:rsidRPr="002F357B" w:rsidRDefault="005E0980" w:rsidP="00FC63CE">
            <w:pPr>
              <w:spacing w:after="0"/>
              <w:rPr>
                <w:rFonts w:cs="Arial"/>
                <w:b/>
                <w:bCs/>
                <w:color w:val="000000"/>
                <w:szCs w:val="20"/>
                <w:lang w:val="en-NZ" w:eastAsia="en-NZ"/>
              </w:rPr>
            </w:pPr>
            <w:r w:rsidRPr="002F357B">
              <w:rPr>
                <w:rFonts w:cs="Arial"/>
                <w:color w:val="000000"/>
                <w:szCs w:val="20"/>
              </w:rPr>
              <w:t>Auckland</w:t>
            </w:r>
          </w:p>
        </w:tc>
        <w:tc>
          <w:tcPr>
            <w:tcW w:w="1933" w:type="dxa"/>
            <w:noWrap/>
            <w:vAlign w:val="bottom"/>
          </w:tcPr>
          <w:p w14:paraId="4F55E62E" w14:textId="77777777" w:rsidR="005E0980" w:rsidRPr="002F357B" w:rsidRDefault="005E0980" w:rsidP="00C81C08">
            <w:pPr>
              <w:spacing w:after="0"/>
              <w:jc w:val="center"/>
              <w:rPr>
                <w:rFonts w:cs="Arial"/>
                <w:color w:val="000000"/>
                <w:szCs w:val="20"/>
                <w:lang w:val="en-NZ" w:eastAsia="en-NZ"/>
              </w:rPr>
            </w:pPr>
            <w:r w:rsidRPr="002F357B">
              <w:rPr>
                <w:rFonts w:cs="Arial"/>
                <w:color w:val="000000"/>
                <w:szCs w:val="20"/>
              </w:rPr>
              <w:t>-</w:t>
            </w:r>
          </w:p>
        </w:tc>
        <w:tc>
          <w:tcPr>
            <w:tcW w:w="1933" w:type="dxa"/>
            <w:noWrap/>
            <w:vAlign w:val="bottom"/>
          </w:tcPr>
          <w:p w14:paraId="2D6C5372" w14:textId="77777777" w:rsidR="005E0980" w:rsidRPr="002F357B" w:rsidRDefault="005E0980" w:rsidP="00C81C08">
            <w:pPr>
              <w:spacing w:after="0"/>
              <w:jc w:val="center"/>
              <w:rPr>
                <w:rFonts w:cs="Arial"/>
                <w:color w:val="000000"/>
                <w:szCs w:val="20"/>
                <w:lang w:val="en-NZ" w:eastAsia="en-NZ"/>
              </w:rPr>
            </w:pPr>
            <w:r w:rsidRPr="002F357B">
              <w:rPr>
                <w:rFonts w:cs="Arial"/>
                <w:color w:val="000000"/>
                <w:szCs w:val="20"/>
              </w:rPr>
              <w:t>-</w:t>
            </w:r>
          </w:p>
        </w:tc>
        <w:tc>
          <w:tcPr>
            <w:tcW w:w="1933" w:type="dxa"/>
            <w:noWrap/>
            <w:vAlign w:val="bottom"/>
          </w:tcPr>
          <w:p w14:paraId="2FCA02FF" w14:textId="77777777" w:rsidR="005E0980" w:rsidRPr="002F357B" w:rsidRDefault="005E0980" w:rsidP="00C81C08">
            <w:pPr>
              <w:spacing w:after="0"/>
              <w:jc w:val="center"/>
              <w:rPr>
                <w:rFonts w:cs="Arial"/>
                <w:color w:val="000000"/>
                <w:szCs w:val="20"/>
                <w:lang w:val="en-NZ" w:eastAsia="en-NZ"/>
              </w:rPr>
            </w:pPr>
            <w:r w:rsidRPr="002F357B">
              <w:rPr>
                <w:rFonts w:cs="Arial"/>
                <w:color w:val="000000"/>
                <w:szCs w:val="20"/>
              </w:rPr>
              <w:t>-</w:t>
            </w:r>
          </w:p>
        </w:tc>
        <w:tc>
          <w:tcPr>
            <w:tcW w:w="2045" w:type="dxa"/>
            <w:noWrap/>
            <w:vAlign w:val="bottom"/>
          </w:tcPr>
          <w:p w14:paraId="73E1CE85" w14:textId="77777777" w:rsidR="005E0980" w:rsidRPr="002F357B" w:rsidRDefault="005E0980" w:rsidP="00C81C08">
            <w:pPr>
              <w:spacing w:after="0"/>
              <w:jc w:val="center"/>
              <w:rPr>
                <w:rFonts w:cs="Arial"/>
                <w:color w:val="000000"/>
                <w:szCs w:val="20"/>
                <w:lang w:val="en-NZ" w:eastAsia="en-NZ"/>
              </w:rPr>
            </w:pPr>
            <w:r w:rsidRPr="002F357B">
              <w:rPr>
                <w:rFonts w:cs="Arial"/>
                <w:color w:val="000000"/>
                <w:szCs w:val="20"/>
              </w:rPr>
              <w:t>-</w:t>
            </w:r>
          </w:p>
        </w:tc>
        <w:tc>
          <w:tcPr>
            <w:tcW w:w="2045" w:type="dxa"/>
            <w:vAlign w:val="bottom"/>
          </w:tcPr>
          <w:p w14:paraId="38BCB502"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c>
          <w:tcPr>
            <w:tcW w:w="2163" w:type="dxa"/>
          </w:tcPr>
          <w:p w14:paraId="3A78EEC2"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r>
      <w:tr w:rsidR="0021047A" w14:paraId="600D2C1D" w14:textId="77777777" w:rsidTr="008D79FD">
        <w:trPr>
          <w:trHeight w:val="300"/>
        </w:trPr>
        <w:tc>
          <w:tcPr>
            <w:tcW w:w="2268" w:type="dxa"/>
            <w:noWrap/>
            <w:vAlign w:val="bottom"/>
          </w:tcPr>
          <w:p w14:paraId="764F2039" w14:textId="77777777" w:rsidR="005E0980" w:rsidRPr="002F357B" w:rsidRDefault="005E0980" w:rsidP="00FC63CE">
            <w:pPr>
              <w:spacing w:after="0"/>
              <w:rPr>
                <w:rFonts w:cs="Arial"/>
                <w:b/>
                <w:color w:val="000000"/>
                <w:szCs w:val="20"/>
              </w:rPr>
            </w:pPr>
            <w:r w:rsidRPr="002F357B">
              <w:rPr>
                <w:rFonts w:cs="Arial"/>
                <w:color w:val="000000"/>
                <w:szCs w:val="20"/>
              </w:rPr>
              <w:t>Bay of Plenty</w:t>
            </w:r>
          </w:p>
        </w:tc>
        <w:tc>
          <w:tcPr>
            <w:tcW w:w="1933" w:type="dxa"/>
            <w:noWrap/>
            <w:vAlign w:val="bottom"/>
          </w:tcPr>
          <w:p w14:paraId="54941CE6" w14:textId="77777777" w:rsidR="005E0980" w:rsidRPr="002F357B" w:rsidRDefault="005E0980" w:rsidP="00C81C08">
            <w:pPr>
              <w:spacing w:after="0"/>
              <w:jc w:val="center"/>
              <w:rPr>
                <w:rFonts w:cs="Arial"/>
                <w:color w:val="000000"/>
                <w:szCs w:val="20"/>
              </w:rPr>
            </w:pPr>
            <w:r w:rsidRPr="002F357B">
              <w:rPr>
                <w:rFonts w:cs="Arial"/>
                <w:color w:val="000000"/>
                <w:szCs w:val="20"/>
              </w:rPr>
              <w:t>$0.46 - $0.69</w:t>
            </w:r>
          </w:p>
        </w:tc>
        <w:tc>
          <w:tcPr>
            <w:tcW w:w="1933" w:type="dxa"/>
            <w:noWrap/>
            <w:vAlign w:val="bottom"/>
          </w:tcPr>
          <w:p w14:paraId="51257680" w14:textId="77777777" w:rsidR="005E0980" w:rsidRPr="002F357B" w:rsidRDefault="005E0980" w:rsidP="00C81C08">
            <w:pPr>
              <w:spacing w:after="0"/>
              <w:jc w:val="center"/>
              <w:rPr>
                <w:rFonts w:cs="Arial"/>
                <w:color w:val="000000"/>
                <w:szCs w:val="20"/>
              </w:rPr>
            </w:pPr>
            <w:r w:rsidRPr="002F357B">
              <w:rPr>
                <w:rFonts w:cs="Arial"/>
                <w:color w:val="000000"/>
                <w:szCs w:val="20"/>
              </w:rPr>
              <w:t>$17 - $26</w:t>
            </w:r>
          </w:p>
        </w:tc>
        <w:tc>
          <w:tcPr>
            <w:tcW w:w="1933" w:type="dxa"/>
            <w:noWrap/>
            <w:vAlign w:val="bottom"/>
          </w:tcPr>
          <w:p w14:paraId="253FE943"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c>
          <w:tcPr>
            <w:tcW w:w="2045" w:type="dxa"/>
            <w:noWrap/>
            <w:vAlign w:val="bottom"/>
          </w:tcPr>
          <w:p w14:paraId="1FE4843C" w14:textId="77777777" w:rsidR="005E0980" w:rsidRPr="002F357B" w:rsidRDefault="005E0980" w:rsidP="00C81C08">
            <w:pPr>
              <w:spacing w:after="0"/>
              <w:jc w:val="center"/>
              <w:rPr>
                <w:rFonts w:cs="Arial"/>
                <w:color w:val="000000"/>
                <w:szCs w:val="20"/>
              </w:rPr>
            </w:pPr>
            <w:r w:rsidRPr="002F357B">
              <w:rPr>
                <w:rFonts w:cs="Arial"/>
                <w:color w:val="000000"/>
                <w:szCs w:val="20"/>
              </w:rPr>
              <w:t>$22 - $33</w:t>
            </w:r>
          </w:p>
        </w:tc>
        <w:tc>
          <w:tcPr>
            <w:tcW w:w="2045" w:type="dxa"/>
            <w:vAlign w:val="bottom"/>
          </w:tcPr>
          <w:p w14:paraId="1CB1C3EC" w14:textId="77777777" w:rsidR="005E0980" w:rsidRPr="002F357B" w:rsidRDefault="005E0980" w:rsidP="00C81C08">
            <w:pPr>
              <w:spacing w:after="0"/>
              <w:jc w:val="center"/>
              <w:rPr>
                <w:rFonts w:cs="Arial"/>
                <w:color w:val="000000"/>
                <w:szCs w:val="20"/>
              </w:rPr>
            </w:pPr>
            <w:r w:rsidRPr="002F357B">
              <w:rPr>
                <w:rFonts w:cs="Arial"/>
                <w:color w:val="000000"/>
                <w:szCs w:val="20"/>
              </w:rPr>
              <w:t>$0.65 - $0.98</w:t>
            </w:r>
          </w:p>
        </w:tc>
        <w:tc>
          <w:tcPr>
            <w:tcW w:w="2163" w:type="dxa"/>
          </w:tcPr>
          <w:p w14:paraId="6AB5EB34" w14:textId="77777777" w:rsidR="005E0980" w:rsidRPr="002F357B" w:rsidRDefault="005E0980" w:rsidP="00C81C08">
            <w:pPr>
              <w:spacing w:after="0"/>
              <w:jc w:val="center"/>
              <w:rPr>
                <w:rFonts w:cs="Arial"/>
                <w:color w:val="000000"/>
                <w:szCs w:val="20"/>
              </w:rPr>
            </w:pPr>
            <w:r w:rsidRPr="002F357B">
              <w:rPr>
                <w:rFonts w:cs="Arial"/>
                <w:color w:val="000000"/>
                <w:szCs w:val="20"/>
              </w:rPr>
              <w:t>$1,096</w:t>
            </w:r>
          </w:p>
        </w:tc>
      </w:tr>
      <w:tr w:rsidR="0021047A" w14:paraId="149B916E" w14:textId="77777777" w:rsidTr="008D79FD">
        <w:trPr>
          <w:trHeight w:val="300"/>
        </w:trPr>
        <w:tc>
          <w:tcPr>
            <w:tcW w:w="2268" w:type="dxa"/>
            <w:noWrap/>
            <w:vAlign w:val="bottom"/>
          </w:tcPr>
          <w:p w14:paraId="746248E5" w14:textId="77777777" w:rsidR="005E0980" w:rsidRPr="002F357B" w:rsidRDefault="005E0980" w:rsidP="00FC63CE">
            <w:pPr>
              <w:spacing w:after="0"/>
              <w:rPr>
                <w:rFonts w:cs="Arial"/>
                <w:b/>
                <w:color w:val="000000"/>
                <w:szCs w:val="20"/>
              </w:rPr>
            </w:pPr>
            <w:r w:rsidRPr="002F357B">
              <w:rPr>
                <w:rFonts w:cs="Arial"/>
                <w:color w:val="000000"/>
                <w:szCs w:val="20"/>
              </w:rPr>
              <w:t>Canterbury</w:t>
            </w:r>
          </w:p>
        </w:tc>
        <w:tc>
          <w:tcPr>
            <w:tcW w:w="1933" w:type="dxa"/>
            <w:noWrap/>
            <w:vAlign w:val="bottom"/>
          </w:tcPr>
          <w:p w14:paraId="79937CC3"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c>
          <w:tcPr>
            <w:tcW w:w="1933" w:type="dxa"/>
            <w:noWrap/>
            <w:vAlign w:val="bottom"/>
          </w:tcPr>
          <w:p w14:paraId="2A26438C"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c>
          <w:tcPr>
            <w:tcW w:w="1933" w:type="dxa"/>
            <w:noWrap/>
            <w:vAlign w:val="bottom"/>
          </w:tcPr>
          <w:p w14:paraId="18FA0B55"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c>
          <w:tcPr>
            <w:tcW w:w="2045" w:type="dxa"/>
            <w:noWrap/>
            <w:vAlign w:val="bottom"/>
          </w:tcPr>
          <w:p w14:paraId="4B917B91"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c>
          <w:tcPr>
            <w:tcW w:w="2045" w:type="dxa"/>
            <w:vAlign w:val="bottom"/>
          </w:tcPr>
          <w:p w14:paraId="273E52A7"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c>
          <w:tcPr>
            <w:tcW w:w="2163" w:type="dxa"/>
          </w:tcPr>
          <w:p w14:paraId="1CF59681"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r>
      <w:tr w:rsidR="0021047A" w14:paraId="61BA3D4F" w14:textId="77777777" w:rsidTr="008D79FD">
        <w:trPr>
          <w:trHeight w:val="300"/>
        </w:trPr>
        <w:tc>
          <w:tcPr>
            <w:tcW w:w="2268" w:type="dxa"/>
            <w:noWrap/>
            <w:vAlign w:val="bottom"/>
          </w:tcPr>
          <w:p w14:paraId="2F26F623" w14:textId="77777777" w:rsidR="005E0980" w:rsidRPr="002F357B" w:rsidRDefault="005E0980" w:rsidP="00FC63CE">
            <w:pPr>
              <w:spacing w:after="0"/>
              <w:rPr>
                <w:rFonts w:cs="Arial"/>
                <w:b/>
                <w:color w:val="000000"/>
                <w:szCs w:val="20"/>
              </w:rPr>
            </w:pPr>
            <w:r w:rsidRPr="002F357B">
              <w:rPr>
                <w:rFonts w:cs="Arial"/>
                <w:color w:val="000000"/>
                <w:szCs w:val="20"/>
              </w:rPr>
              <w:t>Gisborne</w:t>
            </w:r>
          </w:p>
        </w:tc>
        <w:tc>
          <w:tcPr>
            <w:tcW w:w="1933" w:type="dxa"/>
            <w:noWrap/>
            <w:vAlign w:val="bottom"/>
          </w:tcPr>
          <w:p w14:paraId="04BD7A01"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c>
          <w:tcPr>
            <w:tcW w:w="1933" w:type="dxa"/>
            <w:noWrap/>
            <w:vAlign w:val="bottom"/>
          </w:tcPr>
          <w:p w14:paraId="73FE314E"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c>
          <w:tcPr>
            <w:tcW w:w="1933" w:type="dxa"/>
            <w:noWrap/>
            <w:vAlign w:val="bottom"/>
          </w:tcPr>
          <w:p w14:paraId="79B67F55"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c>
          <w:tcPr>
            <w:tcW w:w="2045" w:type="dxa"/>
            <w:noWrap/>
            <w:vAlign w:val="bottom"/>
          </w:tcPr>
          <w:p w14:paraId="693FE5C6"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c>
          <w:tcPr>
            <w:tcW w:w="2045" w:type="dxa"/>
            <w:vAlign w:val="bottom"/>
          </w:tcPr>
          <w:p w14:paraId="535ECD8C"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c>
          <w:tcPr>
            <w:tcW w:w="2163" w:type="dxa"/>
          </w:tcPr>
          <w:p w14:paraId="77004DEC"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r>
      <w:tr w:rsidR="0021047A" w14:paraId="25FA9F6E" w14:textId="77777777" w:rsidTr="008D79FD">
        <w:trPr>
          <w:trHeight w:val="300"/>
        </w:trPr>
        <w:tc>
          <w:tcPr>
            <w:tcW w:w="2268" w:type="dxa"/>
            <w:noWrap/>
            <w:vAlign w:val="bottom"/>
          </w:tcPr>
          <w:p w14:paraId="40CEF32A" w14:textId="77777777" w:rsidR="005E0980" w:rsidRPr="002F357B" w:rsidRDefault="005E0980" w:rsidP="00FC63CE">
            <w:pPr>
              <w:spacing w:after="0"/>
              <w:rPr>
                <w:rFonts w:cs="Arial"/>
                <w:b/>
                <w:color w:val="000000"/>
                <w:szCs w:val="20"/>
              </w:rPr>
            </w:pPr>
            <w:r w:rsidRPr="002F357B">
              <w:rPr>
                <w:rFonts w:cs="Arial"/>
                <w:color w:val="000000"/>
                <w:szCs w:val="20"/>
              </w:rPr>
              <w:t>Hawke's Bay</w:t>
            </w:r>
          </w:p>
        </w:tc>
        <w:tc>
          <w:tcPr>
            <w:tcW w:w="1933" w:type="dxa"/>
            <w:noWrap/>
            <w:vAlign w:val="bottom"/>
          </w:tcPr>
          <w:p w14:paraId="5E536893"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c>
          <w:tcPr>
            <w:tcW w:w="1933" w:type="dxa"/>
            <w:noWrap/>
            <w:vAlign w:val="bottom"/>
          </w:tcPr>
          <w:p w14:paraId="40DFB2D5"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c>
          <w:tcPr>
            <w:tcW w:w="1933" w:type="dxa"/>
            <w:noWrap/>
            <w:vAlign w:val="bottom"/>
          </w:tcPr>
          <w:p w14:paraId="60DC70A4"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c>
          <w:tcPr>
            <w:tcW w:w="2045" w:type="dxa"/>
            <w:noWrap/>
            <w:vAlign w:val="bottom"/>
          </w:tcPr>
          <w:p w14:paraId="03DA2690"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c>
          <w:tcPr>
            <w:tcW w:w="2045" w:type="dxa"/>
            <w:vAlign w:val="bottom"/>
          </w:tcPr>
          <w:p w14:paraId="630613C3"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c>
          <w:tcPr>
            <w:tcW w:w="2163" w:type="dxa"/>
          </w:tcPr>
          <w:p w14:paraId="7B311B8B"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r>
      <w:tr w:rsidR="0021047A" w14:paraId="74569585" w14:textId="77777777" w:rsidTr="008D79FD">
        <w:trPr>
          <w:trHeight w:val="300"/>
        </w:trPr>
        <w:tc>
          <w:tcPr>
            <w:tcW w:w="2268" w:type="dxa"/>
            <w:noWrap/>
            <w:vAlign w:val="bottom"/>
          </w:tcPr>
          <w:p w14:paraId="1AC30313" w14:textId="77777777" w:rsidR="005E0980" w:rsidRPr="002F357B" w:rsidRDefault="005E0980" w:rsidP="00FC63CE">
            <w:pPr>
              <w:spacing w:after="0"/>
              <w:rPr>
                <w:rFonts w:cs="Arial"/>
                <w:b/>
                <w:color w:val="000000"/>
                <w:szCs w:val="20"/>
              </w:rPr>
            </w:pPr>
            <w:r w:rsidRPr="002F357B">
              <w:rPr>
                <w:rFonts w:cs="Arial"/>
                <w:color w:val="000000"/>
                <w:szCs w:val="20"/>
              </w:rPr>
              <w:t>Manawatu-Wanganui</w:t>
            </w:r>
          </w:p>
        </w:tc>
        <w:tc>
          <w:tcPr>
            <w:tcW w:w="1933" w:type="dxa"/>
            <w:noWrap/>
            <w:vAlign w:val="bottom"/>
          </w:tcPr>
          <w:p w14:paraId="4659A7A6" w14:textId="77777777" w:rsidR="005E0980" w:rsidRPr="002F357B" w:rsidRDefault="005E0980" w:rsidP="00C81C08">
            <w:pPr>
              <w:spacing w:after="0"/>
              <w:jc w:val="center"/>
              <w:rPr>
                <w:rFonts w:cs="Arial"/>
                <w:color w:val="000000"/>
                <w:szCs w:val="20"/>
              </w:rPr>
            </w:pPr>
            <w:r w:rsidRPr="002F357B">
              <w:rPr>
                <w:rFonts w:cs="Arial"/>
                <w:color w:val="000000"/>
                <w:szCs w:val="20"/>
              </w:rPr>
              <w:t>$0.28 - $0.42</w:t>
            </w:r>
          </w:p>
        </w:tc>
        <w:tc>
          <w:tcPr>
            <w:tcW w:w="1933" w:type="dxa"/>
            <w:noWrap/>
            <w:vAlign w:val="bottom"/>
          </w:tcPr>
          <w:p w14:paraId="78816A89" w14:textId="77777777" w:rsidR="005E0980" w:rsidRPr="002F357B" w:rsidRDefault="005E0980" w:rsidP="00C81C08">
            <w:pPr>
              <w:spacing w:after="0"/>
              <w:jc w:val="center"/>
              <w:rPr>
                <w:rFonts w:cs="Arial"/>
                <w:color w:val="000000"/>
                <w:szCs w:val="20"/>
              </w:rPr>
            </w:pPr>
            <w:r w:rsidRPr="002F357B">
              <w:rPr>
                <w:rFonts w:cs="Arial"/>
                <w:color w:val="000000"/>
                <w:szCs w:val="20"/>
              </w:rPr>
              <w:t>$14 - $21</w:t>
            </w:r>
          </w:p>
        </w:tc>
        <w:tc>
          <w:tcPr>
            <w:tcW w:w="1933" w:type="dxa"/>
            <w:noWrap/>
            <w:vAlign w:val="bottom"/>
          </w:tcPr>
          <w:p w14:paraId="17E104CE"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c>
          <w:tcPr>
            <w:tcW w:w="2045" w:type="dxa"/>
            <w:noWrap/>
            <w:vAlign w:val="bottom"/>
          </w:tcPr>
          <w:p w14:paraId="2E82100E" w14:textId="77777777" w:rsidR="005E0980" w:rsidRPr="002F357B" w:rsidRDefault="005E0980" w:rsidP="00C81C08">
            <w:pPr>
              <w:spacing w:after="0"/>
              <w:jc w:val="center"/>
              <w:rPr>
                <w:rFonts w:cs="Arial"/>
                <w:color w:val="000000"/>
                <w:szCs w:val="20"/>
              </w:rPr>
            </w:pPr>
            <w:r w:rsidRPr="002F357B">
              <w:rPr>
                <w:rFonts w:cs="Arial"/>
                <w:color w:val="000000"/>
                <w:szCs w:val="20"/>
              </w:rPr>
              <w:t>$18 - $27</w:t>
            </w:r>
          </w:p>
        </w:tc>
        <w:tc>
          <w:tcPr>
            <w:tcW w:w="2045" w:type="dxa"/>
            <w:vAlign w:val="bottom"/>
          </w:tcPr>
          <w:p w14:paraId="4EAEABEC" w14:textId="77777777" w:rsidR="005E0980" w:rsidRPr="002F357B" w:rsidRDefault="005E0980" w:rsidP="00C81C08">
            <w:pPr>
              <w:spacing w:after="0"/>
              <w:jc w:val="center"/>
              <w:rPr>
                <w:rFonts w:cs="Arial"/>
                <w:color w:val="000000"/>
                <w:szCs w:val="20"/>
              </w:rPr>
            </w:pPr>
            <w:r w:rsidRPr="002F357B">
              <w:rPr>
                <w:rFonts w:cs="Arial"/>
                <w:color w:val="000000"/>
                <w:szCs w:val="20"/>
              </w:rPr>
              <w:t>$0.26 - $0.39</w:t>
            </w:r>
          </w:p>
        </w:tc>
        <w:tc>
          <w:tcPr>
            <w:tcW w:w="2163" w:type="dxa"/>
          </w:tcPr>
          <w:p w14:paraId="1E06577A" w14:textId="77777777" w:rsidR="005E0980" w:rsidRPr="002F357B" w:rsidRDefault="005E0980" w:rsidP="00C81C08">
            <w:pPr>
              <w:spacing w:after="0"/>
              <w:jc w:val="center"/>
              <w:rPr>
                <w:rFonts w:cs="Arial"/>
                <w:color w:val="000000"/>
                <w:szCs w:val="20"/>
              </w:rPr>
            </w:pPr>
            <w:r w:rsidRPr="002F357B">
              <w:rPr>
                <w:rFonts w:cs="Arial"/>
                <w:color w:val="000000"/>
                <w:szCs w:val="20"/>
              </w:rPr>
              <w:t>$2,453</w:t>
            </w:r>
          </w:p>
        </w:tc>
      </w:tr>
      <w:tr w:rsidR="0021047A" w14:paraId="25913851" w14:textId="77777777" w:rsidTr="008D79FD">
        <w:trPr>
          <w:trHeight w:val="300"/>
        </w:trPr>
        <w:tc>
          <w:tcPr>
            <w:tcW w:w="2268" w:type="dxa"/>
            <w:noWrap/>
            <w:vAlign w:val="bottom"/>
          </w:tcPr>
          <w:p w14:paraId="38B303FB" w14:textId="77777777" w:rsidR="005E0980" w:rsidRPr="002F357B" w:rsidRDefault="005E0980" w:rsidP="00FC63CE">
            <w:pPr>
              <w:spacing w:after="0"/>
              <w:rPr>
                <w:rFonts w:cs="Arial"/>
                <w:b/>
                <w:color w:val="000000"/>
                <w:szCs w:val="20"/>
              </w:rPr>
            </w:pPr>
            <w:r w:rsidRPr="002F357B">
              <w:rPr>
                <w:rFonts w:cs="Arial"/>
                <w:color w:val="000000"/>
                <w:szCs w:val="20"/>
              </w:rPr>
              <w:t>Marlborough</w:t>
            </w:r>
          </w:p>
        </w:tc>
        <w:tc>
          <w:tcPr>
            <w:tcW w:w="1933" w:type="dxa"/>
            <w:noWrap/>
            <w:vAlign w:val="bottom"/>
          </w:tcPr>
          <w:p w14:paraId="46AC86FB"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c>
          <w:tcPr>
            <w:tcW w:w="1933" w:type="dxa"/>
            <w:noWrap/>
            <w:vAlign w:val="bottom"/>
          </w:tcPr>
          <w:p w14:paraId="63C31A02"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c>
          <w:tcPr>
            <w:tcW w:w="1933" w:type="dxa"/>
            <w:noWrap/>
            <w:vAlign w:val="bottom"/>
          </w:tcPr>
          <w:p w14:paraId="4EC99BDD"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c>
          <w:tcPr>
            <w:tcW w:w="2045" w:type="dxa"/>
            <w:noWrap/>
            <w:vAlign w:val="bottom"/>
          </w:tcPr>
          <w:p w14:paraId="276D3EA9"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c>
          <w:tcPr>
            <w:tcW w:w="2045" w:type="dxa"/>
            <w:vAlign w:val="bottom"/>
          </w:tcPr>
          <w:p w14:paraId="250996EA"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c>
          <w:tcPr>
            <w:tcW w:w="2163" w:type="dxa"/>
          </w:tcPr>
          <w:p w14:paraId="7BEF475A"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r>
      <w:tr w:rsidR="0021047A" w14:paraId="7B9E030B" w14:textId="77777777" w:rsidTr="008D79FD">
        <w:trPr>
          <w:trHeight w:val="300"/>
        </w:trPr>
        <w:tc>
          <w:tcPr>
            <w:tcW w:w="2268" w:type="dxa"/>
            <w:noWrap/>
            <w:vAlign w:val="bottom"/>
          </w:tcPr>
          <w:p w14:paraId="4F2A2F33" w14:textId="77777777" w:rsidR="005E0980" w:rsidRPr="002F357B" w:rsidRDefault="005E0980" w:rsidP="00FC63CE">
            <w:pPr>
              <w:spacing w:after="0"/>
              <w:rPr>
                <w:rFonts w:cs="Arial"/>
                <w:b/>
                <w:color w:val="000000"/>
                <w:szCs w:val="20"/>
              </w:rPr>
            </w:pPr>
            <w:r w:rsidRPr="002F357B">
              <w:rPr>
                <w:rFonts w:cs="Arial"/>
                <w:color w:val="000000"/>
                <w:szCs w:val="20"/>
              </w:rPr>
              <w:t>Nelson</w:t>
            </w:r>
          </w:p>
        </w:tc>
        <w:tc>
          <w:tcPr>
            <w:tcW w:w="1933" w:type="dxa"/>
            <w:noWrap/>
            <w:vAlign w:val="bottom"/>
          </w:tcPr>
          <w:p w14:paraId="2061A513"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c>
          <w:tcPr>
            <w:tcW w:w="1933" w:type="dxa"/>
            <w:noWrap/>
            <w:vAlign w:val="bottom"/>
          </w:tcPr>
          <w:p w14:paraId="5D0692CE"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c>
          <w:tcPr>
            <w:tcW w:w="1933" w:type="dxa"/>
            <w:noWrap/>
            <w:vAlign w:val="bottom"/>
          </w:tcPr>
          <w:p w14:paraId="603ADEEC"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c>
          <w:tcPr>
            <w:tcW w:w="2045" w:type="dxa"/>
            <w:noWrap/>
            <w:vAlign w:val="bottom"/>
          </w:tcPr>
          <w:p w14:paraId="4D86E7C3"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c>
          <w:tcPr>
            <w:tcW w:w="2045" w:type="dxa"/>
            <w:vAlign w:val="bottom"/>
          </w:tcPr>
          <w:p w14:paraId="4B76107C"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c>
          <w:tcPr>
            <w:tcW w:w="2163" w:type="dxa"/>
          </w:tcPr>
          <w:p w14:paraId="0B634D6D"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r>
      <w:tr w:rsidR="0021047A" w14:paraId="723E32B2" w14:textId="77777777" w:rsidTr="008D79FD">
        <w:trPr>
          <w:trHeight w:val="300"/>
        </w:trPr>
        <w:tc>
          <w:tcPr>
            <w:tcW w:w="2268" w:type="dxa"/>
            <w:noWrap/>
            <w:vAlign w:val="bottom"/>
          </w:tcPr>
          <w:p w14:paraId="77E7C2E4" w14:textId="77777777" w:rsidR="005E0980" w:rsidRPr="002F357B" w:rsidRDefault="005E0980" w:rsidP="00FC63CE">
            <w:pPr>
              <w:spacing w:after="0"/>
              <w:rPr>
                <w:rFonts w:cs="Arial"/>
                <w:b/>
                <w:color w:val="000000"/>
                <w:szCs w:val="20"/>
              </w:rPr>
            </w:pPr>
            <w:r w:rsidRPr="002F357B">
              <w:rPr>
                <w:rFonts w:cs="Arial"/>
                <w:color w:val="000000"/>
                <w:szCs w:val="20"/>
              </w:rPr>
              <w:t>Northland</w:t>
            </w:r>
          </w:p>
        </w:tc>
        <w:tc>
          <w:tcPr>
            <w:tcW w:w="1933" w:type="dxa"/>
            <w:noWrap/>
            <w:vAlign w:val="bottom"/>
          </w:tcPr>
          <w:p w14:paraId="112C9573" w14:textId="77777777" w:rsidR="005E0980" w:rsidRPr="002F357B" w:rsidRDefault="005E0980" w:rsidP="00C81C08">
            <w:pPr>
              <w:spacing w:after="0"/>
              <w:jc w:val="center"/>
              <w:rPr>
                <w:rFonts w:cs="Arial"/>
                <w:color w:val="000000"/>
                <w:szCs w:val="20"/>
              </w:rPr>
            </w:pPr>
            <w:r w:rsidRPr="002F357B">
              <w:rPr>
                <w:rFonts w:cs="Arial"/>
                <w:color w:val="000000"/>
                <w:szCs w:val="20"/>
              </w:rPr>
              <w:t>$0.32 - $0.48</w:t>
            </w:r>
          </w:p>
        </w:tc>
        <w:tc>
          <w:tcPr>
            <w:tcW w:w="1933" w:type="dxa"/>
            <w:noWrap/>
            <w:vAlign w:val="bottom"/>
          </w:tcPr>
          <w:p w14:paraId="766E108D" w14:textId="77777777" w:rsidR="005E0980" w:rsidRPr="002F357B" w:rsidRDefault="005E0980" w:rsidP="00C81C08">
            <w:pPr>
              <w:spacing w:after="0"/>
              <w:jc w:val="center"/>
              <w:rPr>
                <w:rFonts w:cs="Arial"/>
                <w:color w:val="000000"/>
                <w:szCs w:val="20"/>
              </w:rPr>
            </w:pPr>
            <w:r w:rsidRPr="002F357B">
              <w:rPr>
                <w:rFonts w:cs="Arial"/>
                <w:color w:val="000000"/>
                <w:szCs w:val="20"/>
              </w:rPr>
              <w:t>$13 - $19</w:t>
            </w:r>
          </w:p>
        </w:tc>
        <w:tc>
          <w:tcPr>
            <w:tcW w:w="1933" w:type="dxa"/>
            <w:noWrap/>
            <w:vAlign w:val="bottom"/>
          </w:tcPr>
          <w:p w14:paraId="777DDEC4"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c>
          <w:tcPr>
            <w:tcW w:w="2045" w:type="dxa"/>
            <w:noWrap/>
            <w:vAlign w:val="bottom"/>
          </w:tcPr>
          <w:p w14:paraId="32D7F479" w14:textId="77777777" w:rsidR="005E0980" w:rsidRPr="002F357B" w:rsidRDefault="005E0980" w:rsidP="00C81C08">
            <w:pPr>
              <w:spacing w:after="0"/>
              <w:jc w:val="center"/>
              <w:rPr>
                <w:rFonts w:cs="Arial"/>
                <w:color w:val="000000"/>
                <w:szCs w:val="20"/>
              </w:rPr>
            </w:pPr>
            <w:r w:rsidRPr="002F357B">
              <w:rPr>
                <w:rFonts w:cs="Arial"/>
                <w:color w:val="000000"/>
                <w:szCs w:val="20"/>
              </w:rPr>
              <w:t>$17 - $25</w:t>
            </w:r>
          </w:p>
        </w:tc>
        <w:tc>
          <w:tcPr>
            <w:tcW w:w="2045" w:type="dxa"/>
            <w:vAlign w:val="bottom"/>
          </w:tcPr>
          <w:p w14:paraId="21CA95C2" w14:textId="77777777" w:rsidR="005E0980" w:rsidRPr="002F357B" w:rsidRDefault="005E0980" w:rsidP="00C81C08">
            <w:pPr>
              <w:spacing w:after="0"/>
              <w:jc w:val="center"/>
              <w:rPr>
                <w:rFonts w:cs="Arial"/>
                <w:color w:val="000000"/>
                <w:szCs w:val="20"/>
              </w:rPr>
            </w:pPr>
            <w:r w:rsidRPr="002F357B">
              <w:rPr>
                <w:rFonts w:cs="Arial"/>
                <w:color w:val="000000"/>
                <w:szCs w:val="20"/>
              </w:rPr>
              <w:t>$0.4 - $0.6</w:t>
            </w:r>
          </w:p>
        </w:tc>
        <w:tc>
          <w:tcPr>
            <w:tcW w:w="2163" w:type="dxa"/>
          </w:tcPr>
          <w:p w14:paraId="73DFF81C" w14:textId="77777777" w:rsidR="005E0980" w:rsidRPr="002F357B" w:rsidRDefault="005E0980" w:rsidP="00C81C08">
            <w:pPr>
              <w:spacing w:after="0"/>
              <w:jc w:val="center"/>
              <w:rPr>
                <w:rFonts w:cs="Arial"/>
                <w:color w:val="000000"/>
                <w:szCs w:val="20"/>
              </w:rPr>
            </w:pPr>
            <w:r w:rsidRPr="002F357B">
              <w:rPr>
                <w:rFonts w:cs="Arial"/>
                <w:color w:val="000000"/>
                <w:szCs w:val="20"/>
              </w:rPr>
              <w:t>$1,270</w:t>
            </w:r>
          </w:p>
        </w:tc>
      </w:tr>
      <w:tr w:rsidR="0021047A" w14:paraId="04D42FB6" w14:textId="77777777" w:rsidTr="008D79FD">
        <w:trPr>
          <w:trHeight w:val="300"/>
        </w:trPr>
        <w:tc>
          <w:tcPr>
            <w:tcW w:w="2268" w:type="dxa"/>
            <w:noWrap/>
            <w:vAlign w:val="bottom"/>
          </w:tcPr>
          <w:p w14:paraId="572BBF7D" w14:textId="77777777" w:rsidR="005E0980" w:rsidRPr="002F357B" w:rsidRDefault="005E0980" w:rsidP="00FC63CE">
            <w:pPr>
              <w:spacing w:after="0"/>
              <w:rPr>
                <w:rFonts w:cs="Arial"/>
                <w:b/>
                <w:color w:val="000000"/>
                <w:szCs w:val="20"/>
              </w:rPr>
            </w:pPr>
            <w:r w:rsidRPr="002F357B">
              <w:rPr>
                <w:rFonts w:cs="Arial"/>
                <w:color w:val="000000"/>
                <w:szCs w:val="20"/>
              </w:rPr>
              <w:t>Otago</w:t>
            </w:r>
          </w:p>
        </w:tc>
        <w:tc>
          <w:tcPr>
            <w:tcW w:w="1933" w:type="dxa"/>
            <w:noWrap/>
            <w:vAlign w:val="bottom"/>
          </w:tcPr>
          <w:p w14:paraId="445DFCBF" w14:textId="77777777" w:rsidR="005E0980" w:rsidRPr="002F357B" w:rsidRDefault="005E0980" w:rsidP="00C81C08">
            <w:pPr>
              <w:spacing w:after="0"/>
              <w:jc w:val="center"/>
              <w:rPr>
                <w:rFonts w:cs="Arial"/>
                <w:color w:val="000000"/>
                <w:szCs w:val="20"/>
              </w:rPr>
            </w:pPr>
            <w:r w:rsidRPr="002F357B">
              <w:rPr>
                <w:rFonts w:cs="Arial"/>
                <w:color w:val="000000"/>
                <w:szCs w:val="20"/>
              </w:rPr>
              <w:t>$0.11 - $0.16</w:t>
            </w:r>
          </w:p>
        </w:tc>
        <w:tc>
          <w:tcPr>
            <w:tcW w:w="1933" w:type="dxa"/>
            <w:noWrap/>
            <w:vAlign w:val="bottom"/>
          </w:tcPr>
          <w:p w14:paraId="64B5F929" w14:textId="77777777" w:rsidR="005E0980" w:rsidRPr="002F357B" w:rsidRDefault="005E0980" w:rsidP="00C81C08">
            <w:pPr>
              <w:spacing w:after="0"/>
              <w:jc w:val="center"/>
              <w:rPr>
                <w:rFonts w:cs="Arial"/>
                <w:color w:val="000000"/>
                <w:szCs w:val="20"/>
              </w:rPr>
            </w:pPr>
            <w:r w:rsidRPr="002F357B">
              <w:rPr>
                <w:rFonts w:cs="Arial"/>
                <w:color w:val="000000"/>
                <w:szCs w:val="20"/>
              </w:rPr>
              <w:t>$5.8 - $8.7</w:t>
            </w:r>
          </w:p>
        </w:tc>
        <w:tc>
          <w:tcPr>
            <w:tcW w:w="1933" w:type="dxa"/>
            <w:noWrap/>
            <w:vAlign w:val="bottom"/>
          </w:tcPr>
          <w:p w14:paraId="34248891"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c>
          <w:tcPr>
            <w:tcW w:w="2045" w:type="dxa"/>
            <w:noWrap/>
            <w:vAlign w:val="bottom"/>
          </w:tcPr>
          <w:p w14:paraId="7897E103" w14:textId="77777777" w:rsidR="005E0980" w:rsidRPr="002F357B" w:rsidRDefault="005E0980" w:rsidP="00C81C08">
            <w:pPr>
              <w:spacing w:after="0"/>
              <w:jc w:val="center"/>
              <w:rPr>
                <w:rFonts w:cs="Arial"/>
                <w:color w:val="000000"/>
                <w:szCs w:val="20"/>
              </w:rPr>
            </w:pPr>
            <w:r w:rsidRPr="002F357B">
              <w:rPr>
                <w:rFonts w:cs="Arial"/>
                <w:color w:val="000000"/>
                <w:szCs w:val="20"/>
              </w:rPr>
              <w:t>$7.4 - $11</w:t>
            </w:r>
          </w:p>
        </w:tc>
        <w:tc>
          <w:tcPr>
            <w:tcW w:w="2045" w:type="dxa"/>
            <w:vAlign w:val="bottom"/>
          </w:tcPr>
          <w:p w14:paraId="75A03516" w14:textId="77777777" w:rsidR="005E0980" w:rsidRPr="002F357B" w:rsidRDefault="005E0980" w:rsidP="00C81C08">
            <w:pPr>
              <w:spacing w:after="0"/>
              <w:jc w:val="center"/>
              <w:rPr>
                <w:rFonts w:cs="Arial"/>
                <w:color w:val="000000"/>
                <w:szCs w:val="20"/>
              </w:rPr>
            </w:pPr>
            <w:r w:rsidRPr="002F357B">
              <w:rPr>
                <w:rFonts w:cs="Arial"/>
                <w:color w:val="000000"/>
                <w:szCs w:val="20"/>
              </w:rPr>
              <w:t>$0.092 - $0.14</w:t>
            </w:r>
          </w:p>
        </w:tc>
        <w:tc>
          <w:tcPr>
            <w:tcW w:w="2163" w:type="dxa"/>
          </w:tcPr>
          <w:p w14:paraId="1E2176B8" w14:textId="77777777" w:rsidR="005E0980" w:rsidRPr="002F357B" w:rsidRDefault="005E0980" w:rsidP="00C81C08">
            <w:pPr>
              <w:spacing w:after="0"/>
              <w:jc w:val="center"/>
              <w:rPr>
                <w:rFonts w:cs="Arial"/>
                <w:color w:val="000000"/>
                <w:szCs w:val="20"/>
              </w:rPr>
            </w:pPr>
            <w:r w:rsidRPr="002F357B">
              <w:rPr>
                <w:rFonts w:cs="Arial"/>
                <w:color w:val="000000"/>
                <w:szCs w:val="20"/>
              </w:rPr>
              <w:t>$2,000</w:t>
            </w:r>
          </w:p>
        </w:tc>
      </w:tr>
      <w:tr w:rsidR="0021047A" w14:paraId="7BC53D43" w14:textId="77777777" w:rsidTr="008D79FD">
        <w:trPr>
          <w:trHeight w:val="300"/>
        </w:trPr>
        <w:tc>
          <w:tcPr>
            <w:tcW w:w="2268" w:type="dxa"/>
            <w:noWrap/>
            <w:vAlign w:val="bottom"/>
          </w:tcPr>
          <w:p w14:paraId="5B371BCD" w14:textId="77777777" w:rsidR="005E0980" w:rsidRPr="002F357B" w:rsidRDefault="005E0980" w:rsidP="00FC63CE">
            <w:pPr>
              <w:spacing w:after="0"/>
              <w:rPr>
                <w:rFonts w:cs="Arial"/>
                <w:b/>
                <w:color w:val="000000"/>
                <w:szCs w:val="20"/>
              </w:rPr>
            </w:pPr>
            <w:r w:rsidRPr="002F357B">
              <w:rPr>
                <w:rFonts w:cs="Arial"/>
                <w:color w:val="000000"/>
                <w:szCs w:val="20"/>
              </w:rPr>
              <w:t>Southland</w:t>
            </w:r>
          </w:p>
        </w:tc>
        <w:tc>
          <w:tcPr>
            <w:tcW w:w="1933" w:type="dxa"/>
            <w:noWrap/>
            <w:vAlign w:val="bottom"/>
          </w:tcPr>
          <w:p w14:paraId="6C327AA3" w14:textId="77777777" w:rsidR="005E0980" w:rsidRPr="002F357B" w:rsidRDefault="005E0980" w:rsidP="00C81C08">
            <w:pPr>
              <w:spacing w:after="0"/>
              <w:jc w:val="center"/>
              <w:rPr>
                <w:rFonts w:cs="Arial"/>
                <w:color w:val="000000"/>
                <w:szCs w:val="20"/>
              </w:rPr>
            </w:pPr>
            <w:r w:rsidRPr="002F357B">
              <w:rPr>
                <w:rFonts w:cs="Arial"/>
                <w:color w:val="000000"/>
                <w:szCs w:val="20"/>
              </w:rPr>
              <w:t>$0.24 - $0.36</w:t>
            </w:r>
          </w:p>
        </w:tc>
        <w:tc>
          <w:tcPr>
            <w:tcW w:w="1933" w:type="dxa"/>
            <w:noWrap/>
            <w:vAlign w:val="bottom"/>
          </w:tcPr>
          <w:p w14:paraId="6797A005" w14:textId="77777777" w:rsidR="005E0980" w:rsidRPr="002F357B" w:rsidRDefault="005E0980" w:rsidP="00C81C08">
            <w:pPr>
              <w:spacing w:after="0"/>
              <w:jc w:val="center"/>
              <w:rPr>
                <w:rFonts w:cs="Arial"/>
                <w:color w:val="000000"/>
                <w:szCs w:val="20"/>
              </w:rPr>
            </w:pPr>
            <w:r w:rsidRPr="002F357B">
              <w:rPr>
                <w:rFonts w:cs="Arial"/>
                <w:color w:val="000000"/>
                <w:szCs w:val="20"/>
              </w:rPr>
              <w:t>$10 - $16</w:t>
            </w:r>
          </w:p>
        </w:tc>
        <w:tc>
          <w:tcPr>
            <w:tcW w:w="1933" w:type="dxa"/>
            <w:noWrap/>
            <w:vAlign w:val="bottom"/>
          </w:tcPr>
          <w:p w14:paraId="3EE2D3BB"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c>
          <w:tcPr>
            <w:tcW w:w="2045" w:type="dxa"/>
            <w:noWrap/>
            <w:vAlign w:val="bottom"/>
          </w:tcPr>
          <w:p w14:paraId="1EE186B3" w14:textId="77777777" w:rsidR="005E0980" w:rsidRPr="002F357B" w:rsidRDefault="005E0980" w:rsidP="00C81C08">
            <w:pPr>
              <w:spacing w:after="0"/>
              <w:jc w:val="center"/>
              <w:rPr>
                <w:rFonts w:cs="Arial"/>
                <w:color w:val="000000"/>
                <w:szCs w:val="20"/>
              </w:rPr>
            </w:pPr>
            <w:r w:rsidRPr="002F357B">
              <w:rPr>
                <w:rFonts w:cs="Arial"/>
                <w:color w:val="000000"/>
                <w:szCs w:val="20"/>
              </w:rPr>
              <w:t>$13 - $20</w:t>
            </w:r>
          </w:p>
        </w:tc>
        <w:tc>
          <w:tcPr>
            <w:tcW w:w="2045" w:type="dxa"/>
            <w:vAlign w:val="bottom"/>
          </w:tcPr>
          <w:p w14:paraId="4CF94BBB" w14:textId="77777777" w:rsidR="005E0980" w:rsidRPr="002F357B" w:rsidRDefault="005E0980" w:rsidP="00C81C08">
            <w:pPr>
              <w:spacing w:after="0"/>
              <w:jc w:val="center"/>
              <w:rPr>
                <w:rFonts w:cs="Arial"/>
                <w:color w:val="000000"/>
                <w:szCs w:val="20"/>
              </w:rPr>
            </w:pPr>
            <w:r w:rsidRPr="002F357B">
              <w:rPr>
                <w:rFonts w:cs="Arial"/>
                <w:color w:val="000000"/>
                <w:szCs w:val="20"/>
              </w:rPr>
              <w:t>$0.27 - $0.41</w:t>
            </w:r>
          </w:p>
        </w:tc>
        <w:tc>
          <w:tcPr>
            <w:tcW w:w="2163" w:type="dxa"/>
          </w:tcPr>
          <w:p w14:paraId="12DB2272" w14:textId="77777777" w:rsidR="005E0980" w:rsidRPr="002F357B" w:rsidRDefault="005E0980" w:rsidP="00C81C08">
            <w:pPr>
              <w:spacing w:after="0"/>
              <w:jc w:val="center"/>
              <w:rPr>
                <w:rFonts w:cs="Arial"/>
                <w:color w:val="000000"/>
                <w:szCs w:val="20"/>
              </w:rPr>
            </w:pPr>
            <w:r w:rsidRPr="002F357B">
              <w:rPr>
                <w:rFonts w:cs="Arial"/>
                <w:color w:val="000000"/>
                <w:szCs w:val="20"/>
              </w:rPr>
              <w:t>$1,523</w:t>
            </w:r>
          </w:p>
        </w:tc>
      </w:tr>
      <w:tr w:rsidR="0021047A" w14:paraId="57760EA6" w14:textId="77777777" w:rsidTr="008D79FD">
        <w:trPr>
          <w:trHeight w:val="300"/>
        </w:trPr>
        <w:tc>
          <w:tcPr>
            <w:tcW w:w="2268" w:type="dxa"/>
            <w:noWrap/>
            <w:vAlign w:val="bottom"/>
          </w:tcPr>
          <w:p w14:paraId="58CC28FA" w14:textId="77777777" w:rsidR="005E0980" w:rsidRPr="002F357B" w:rsidRDefault="005E0980" w:rsidP="00FC63CE">
            <w:pPr>
              <w:spacing w:after="0"/>
              <w:rPr>
                <w:rFonts w:cs="Arial"/>
                <w:b/>
                <w:color w:val="000000"/>
                <w:szCs w:val="20"/>
              </w:rPr>
            </w:pPr>
            <w:r w:rsidRPr="002F357B">
              <w:rPr>
                <w:rFonts w:cs="Arial"/>
                <w:color w:val="000000"/>
                <w:szCs w:val="20"/>
              </w:rPr>
              <w:t>Taranaki</w:t>
            </w:r>
          </w:p>
        </w:tc>
        <w:tc>
          <w:tcPr>
            <w:tcW w:w="1933" w:type="dxa"/>
            <w:noWrap/>
            <w:vAlign w:val="bottom"/>
          </w:tcPr>
          <w:p w14:paraId="2B4CDF68"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c>
          <w:tcPr>
            <w:tcW w:w="1933" w:type="dxa"/>
            <w:noWrap/>
            <w:vAlign w:val="bottom"/>
          </w:tcPr>
          <w:p w14:paraId="3F23516D"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c>
          <w:tcPr>
            <w:tcW w:w="1933" w:type="dxa"/>
            <w:noWrap/>
            <w:vAlign w:val="bottom"/>
          </w:tcPr>
          <w:p w14:paraId="48F7A8BA"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c>
          <w:tcPr>
            <w:tcW w:w="2045" w:type="dxa"/>
            <w:noWrap/>
            <w:vAlign w:val="bottom"/>
          </w:tcPr>
          <w:p w14:paraId="6010B126"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c>
          <w:tcPr>
            <w:tcW w:w="2045" w:type="dxa"/>
            <w:vAlign w:val="bottom"/>
          </w:tcPr>
          <w:p w14:paraId="7B68E6E0"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c>
          <w:tcPr>
            <w:tcW w:w="2163" w:type="dxa"/>
          </w:tcPr>
          <w:p w14:paraId="026E2B0C"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r>
      <w:tr w:rsidR="0021047A" w14:paraId="6679323F" w14:textId="77777777" w:rsidTr="008D79FD">
        <w:trPr>
          <w:trHeight w:val="300"/>
        </w:trPr>
        <w:tc>
          <w:tcPr>
            <w:tcW w:w="2268" w:type="dxa"/>
            <w:noWrap/>
            <w:vAlign w:val="bottom"/>
          </w:tcPr>
          <w:p w14:paraId="671CE559" w14:textId="77777777" w:rsidR="005E0980" w:rsidRPr="002F357B" w:rsidRDefault="005E0980" w:rsidP="00FC63CE">
            <w:pPr>
              <w:spacing w:after="0"/>
              <w:rPr>
                <w:rFonts w:cs="Arial"/>
                <w:b/>
                <w:color w:val="000000"/>
                <w:szCs w:val="20"/>
              </w:rPr>
            </w:pPr>
            <w:r w:rsidRPr="002F357B">
              <w:rPr>
                <w:rFonts w:cs="Arial"/>
                <w:color w:val="000000"/>
                <w:szCs w:val="20"/>
              </w:rPr>
              <w:t>Tasman</w:t>
            </w:r>
          </w:p>
        </w:tc>
        <w:tc>
          <w:tcPr>
            <w:tcW w:w="1933" w:type="dxa"/>
            <w:noWrap/>
            <w:vAlign w:val="bottom"/>
          </w:tcPr>
          <w:p w14:paraId="5A977F84"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c>
          <w:tcPr>
            <w:tcW w:w="1933" w:type="dxa"/>
            <w:noWrap/>
            <w:vAlign w:val="bottom"/>
          </w:tcPr>
          <w:p w14:paraId="0103D249"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c>
          <w:tcPr>
            <w:tcW w:w="1933" w:type="dxa"/>
            <w:noWrap/>
            <w:vAlign w:val="bottom"/>
          </w:tcPr>
          <w:p w14:paraId="0AA6DA25"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c>
          <w:tcPr>
            <w:tcW w:w="2045" w:type="dxa"/>
            <w:noWrap/>
            <w:vAlign w:val="bottom"/>
          </w:tcPr>
          <w:p w14:paraId="3E0B6395"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c>
          <w:tcPr>
            <w:tcW w:w="2045" w:type="dxa"/>
            <w:vAlign w:val="bottom"/>
          </w:tcPr>
          <w:p w14:paraId="55F81B90"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c>
          <w:tcPr>
            <w:tcW w:w="2163" w:type="dxa"/>
          </w:tcPr>
          <w:p w14:paraId="2A465009"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r>
      <w:tr w:rsidR="0021047A" w14:paraId="0003A087" w14:textId="77777777" w:rsidTr="008D79FD">
        <w:trPr>
          <w:trHeight w:val="300"/>
        </w:trPr>
        <w:tc>
          <w:tcPr>
            <w:tcW w:w="2268" w:type="dxa"/>
            <w:noWrap/>
            <w:vAlign w:val="bottom"/>
          </w:tcPr>
          <w:p w14:paraId="528997F1" w14:textId="77777777" w:rsidR="005E0980" w:rsidRPr="002F357B" w:rsidRDefault="005E0980" w:rsidP="00FC63CE">
            <w:pPr>
              <w:spacing w:after="0"/>
              <w:rPr>
                <w:rFonts w:cs="Arial"/>
                <w:b/>
                <w:color w:val="000000"/>
                <w:szCs w:val="20"/>
              </w:rPr>
            </w:pPr>
            <w:r w:rsidRPr="002F357B">
              <w:rPr>
                <w:rFonts w:cs="Arial"/>
                <w:color w:val="000000"/>
                <w:szCs w:val="20"/>
              </w:rPr>
              <w:t>Waikato</w:t>
            </w:r>
          </w:p>
        </w:tc>
        <w:tc>
          <w:tcPr>
            <w:tcW w:w="1933" w:type="dxa"/>
            <w:noWrap/>
            <w:vAlign w:val="bottom"/>
          </w:tcPr>
          <w:p w14:paraId="0396D877"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c>
          <w:tcPr>
            <w:tcW w:w="1933" w:type="dxa"/>
            <w:noWrap/>
            <w:vAlign w:val="bottom"/>
          </w:tcPr>
          <w:p w14:paraId="4CFAED86" w14:textId="77777777" w:rsidR="005E0980" w:rsidRPr="002F357B" w:rsidRDefault="005E0980" w:rsidP="00C81C08">
            <w:pPr>
              <w:spacing w:after="0"/>
              <w:jc w:val="center"/>
              <w:rPr>
                <w:rFonts w:cs="Arial"/>
                <w:color w:val="000000"/>
                <w:szCs w:val="20"/>
              </w:rPr>
            </w:pPr>
            <w:r w:rsidRPr="002F357B">
              <w:rPr>
                <w:rFonts w:cs="Arial"/>
                <w:color w:val="000000"/>
                <w:szCs w:val="20"/>
              </w:rPr>
              <w:t>$33 - $50</w:t>
            </w:r>
          </w:p>
        </w:tc>
        <w:tc>
          <w:tcPr>
            <w:tcW w:w="1933" w:type="dxa"/>
            <w:noWrap/>
            <w:vAlign w:val="bottom"/>
          </w:tcPr>
          <w:p w14:paraId="51771288" w14:textId="77777777" w:rsidR="005E0980" w:rsidRPr="002F357B" w:rsidRDefault="005E0980" w:rsidP="00C81C08">
            <w:pPr>
              <w:spacing w:after="0"/>
              <w:jc w:val="center"/>
              <w:rPr>
                <w:rFonts w:cs="Arial"/>
                <w:color w:val="000000"/>
                <w:szCs w:val="20"/>
              </w:rPr>
            </w:pPr>
            <w:r w:rsidRPr="002F357B">
              <w:rPr>
                <w:rFonts w:cs="Arial"/>
                <w:color w:val="000000"/>
                <w:szCs w:val="20"/>
              </w:rPr>
              <w:t>$20 - $30</w:t>
            </w:r>
          </w:p>
        </w:tc>
        <w:tc>
          <w:tcPr>
            <w:tcW w:w="2045" w:type="dxa"/>
            <w:noWrap/>
            <w:vAlign w:val="bottom"/>
          </w:tcPr>
          <w:p w14:paraId="600ED7FA" w14:textId="77777777" w:rsidR="005E0980" w:rsidRPr="002F357B" w:rsidRDefault="005E0980" w:rsidP="00C81C08">
            <w:pPr>
              <w:spacing w:after="0"/>
              <w:jc w:val="center"/>
              <w:rPr>
                <w:rFonts w:cs="Arial"/>
                <w:color w:val="000000"/>
                <w:szCs w:val="20"/>
              </w:rPr>
            </w:pPr>
            <w:r w:rsidRPr="002F357B">
              <w:rPr>
                <w:rFonts w:cs="Arial"/>
                <w:color w:val="000000"/>
                <w:szCs w:val="20"/>
              </w:rPr>
              <w:t>$41 - $62</w:t>
            </w:r>
          </w:p>
        </w:tc>
        <w:tc>
          <w:tcPr>
            <w:tcW w:w="2045" w:type="dxa"/>
            <w:vAlign w:val="bottom"/>
          </w:tcPr>
          <w:p w14:paraId="3480733A" w14:textId="77777777" w:rsidR="005E0980" w:rsidRPr="002F357B" w:rsidRDefault="005E0980" w:rsidP="00C81C08">
            <w:pPr>
              <w:spacing w:after="0"/>
              <w:jc w:val="center"/>
              <w:rPr>
                <w:rFonts w:cs="Arial"/>
                <w:color w:val="000000"/>
                <w:szCs w:val="20"/>
              </w:rPr>
            </w:pPr>
            <w:r w:rsidRPr="002F357B">
              <w:rPr>
                <w:rFonts w:cs="Arial"/>
                <w:color w:val="000000"/>
                <w:szCs w:val="20"/>
              </w:rPr>
              <w:t>$1.2 - $1.8</w:t>
            </w:r>
          </w:p>
        </w:tc>
        <w:tc>
          <w:tcPr>
            <w:tcW w:w="2163" w:type="dxa"/>
          </w:tcPr>
          <w:p w14:paraId="3ED15701" w14:textId="77777777" w:rsidR="005E0980" w:rsidRPr="002F357B" w:rsidRDefault="005E0980" w:rsidP="00C81C08">
            <w:pPr>
              <w:spacing w:after="0"/>
              <w:jc w:val="center"/>
              <w:rPr>
                <w:rFonts w:cs="Arial"/>
                <w:color w:val="000000"/>
                <w:szCs w:val="20"/>
              </w:rPr>
            </w:pPr>
            <w:r w:rsidRPr="002F357B">
              <w:rPr>
                <w:rFonts w:cs="Arial"/>
                <w:color w:val="000000"/>
                <w:szCs w:val="20"/>
              </w:rPr>
              <w:t>$714</w:t>
            </w:r>
          </w:p>
        </w:tc>
      </w:tr>
      <w:tr w:rsidR="0021047A" w14:paraId="326AEFE6" w14:textId="77777777" w:rsidTr="008D79FD">
        <w:trPr>
          <w:trHeight w:val="300"/>
        </w:trPr>
        <w:tc>
          <w:tcPr>
            <w:tcW w:w="2268" w:type="dxa"/>
            <w:noWrap/>
            <w:vAlign w:val="bottom"/>
          </w:tcPr>
          <w:p w14:paraId="26320262" w14:textId="77777777" w:rsidR="005E0980" w:rsidRPr="002F357B" w:rsidRDefault="005E0980" w:rsidP="00FC63CE">
            <w:pPr>
              <w:spacing w:after="0"/>
              <w:rPr>
                <w:rFonts w:cs="Arial"/>
                <w:b/>
                <w:color w:val="000000"/>
                <w:szCs w:val="20"/>
              </w:rPr>
            </w:pPr>
            <w:r w:rsidRPr="002F357B">
              <w:rPr>
                <w:rFonts w:cs="Arial"/>
                <w:color w:val="000000"/>
                <w:szCs w:val="20"/>
              </w:rPr>
              <w:t>Wellington</w:t>
            </w:r>
          </w:p>
        </w:tc>
        <w:tc>
          <w:tcPr>
            <w:tcW w:w="1933" w:type="dxa"/>
            <w:noWrap/>
            <w:vAlign w:val="bottom"/>
          </w:tcPr>
          <w:p w14:paraId="67922AF0"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c>
          <w:tcPr>
            <w:tcW w:w="1933" w:type="dxa"/>
            <w:noWrap/>
            <w:vAlign w:val="bottom"/>
          </w:tcPr>
          <w:p w14:paraId="6D862FD6" w14:textId="77777777" w:rsidR="005E0980" w:rsidRPr="002F357B" w:rsidRDefault="005E0980" w:rsidP="00C81C08">
            <w:pPr>
              <w:spacing w:after="0"/>
              <w:jc w:val="center"/>
              <w:rPr>
                <w:rFonts w:cs="Arial"/>
                <w:color w:val="000000"/>
                <w:szCs w:val="20"/>
              </w:rPr>
            </w:pPr>
            <w:r w:rsidRPr="002F357B">
              <w:rPr>
                <w:rFonts w:cs="Arial"/>
                <w:color w:val="000000"/>
                <w:szCs w:val="20"/>
              </w:rPr>
              <w:t>$16 - $24</w:t>
            </w:r>
          </w:p>
        </w:tc>
        <w:tc>
          <w:tcPr>
            <w:tcW w:w="1933" w:type="dxa"/>
            <w:noWrap/>
            <w:vAlign w:val="bottom"/>
          </w:tcPr>
          <w:p w14:paraId="4FE60387"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c>
          <w:tcPr>
            <w:tcW w:w="2045" w:type="dxa"/>
            <w:noWrap/>
            <w:vAlign w:val="bottom"/>
          </w:tcPr>
          <w:p w14:paraId="46222357" w14:textId="77777777" w:rsidR="005E0980" w:rsidRPr="002F357B" w:rsidRDefault="005E0980" w:rsidP="00C81C08">
            <w:pPr>
              <w:spacing w:after="0"/>
              <w:jc w:val="center"/>
              <w:rPr>
                <w:rFonts w:cs="Arial"/>
                <w:color w:val="000000"/>
                <w:szCs w:val="20"/>
              </w:rPr>
            </w:pPr>
            <w:r w:rsidRPr="002F357B">
              <w:rPr>
                <w:rFonts w:cs="Arial"/>
                <w:color w:val="000000"/>
                <w:szCs w:val="20"/>
              </w:rPr>
              <w:t>$20 - $30</w:t>
            </w:r>
          </w:p>
        </w:tc>
        <w:tc>
          <w:tcPr>
            <w:tcW w:w="2045" w:type="dxa"/>
            <w:vAlign w:val="bottom"/>
          </w:tcPr>
          <w:p w14:paraId="26B29D85" w14:textId="77777777" w:rsidR="005E0980" w:rsidRPr="002F357B" w:rsidRDefault="005E0980" w:rsidP="00C81C08">
            <w:pPr>
              <w:spacing w:after="0"/>
              <w:jc w:val="center"/>
              <w:rPr>
                <w:rFonts w:cs="Arial"/>
                <w:color w:val="000000"/>
                <w:szCs w:val="20"/>
              </w:rPr>
            </w:pPr>
            <w:r w:rsidRPr="002F357B">
              <w:rPr>
                <w:rFonts w:cs="Arial"/>
                <w:color w:val="000000"/>
                <w:szCs w:val="20"/>
              </w:rPr>
              <w:t>$0.59 - $0.89</w:t>
            </w:r>
          </w:p>
        </w:tc>
        <w:tc>
          <w:tcPr>
            <w:tcW w:w="2163" w:type="dxa"/>
          </w:tcPr>
          <w:p w14:paraId="2D51B3C9" w14:textId="77777777" w:rsidR="005E0980" w:rsidRPr="002F357B" w:rsidRDefault="005E0980" w:rsidP="00C81C08">
            <w:pPr>
              <w:spacing w:after="0"/>
              <w:jc w:val="center"/>
              <w:rPr>
                <w:rFonts w:cs="Arial"/>
                <w:color w:val="000000"/>
                <w:szCs w:val="20"/>
              </w:rPr>
            </w:pPr>
            <w:r w:rsidRPr="002F357B">
              <w:rPr>
                <w:rFonts w:cs="Arial"/>
                <w:color w:val="000000"/>
                <w:szCs w:val="20"/>
              </w:rPr>
              <w:t>$2,672</w:t>
            </w:r>
          </w:p>
        </w:tc>
      </w:tr>
      <w:tr w:rsidR="0021047A" w14:paraId="3D681AD9" w14:textId="77777777" w:rsidTr="008D79FD">
        <w:trPr>
          <w:trHeight w:val="300"/>
        </w:trPr>
        <w:tc>
          <w:tcPr>
            <w:tcW w:w="2268" w:type="dxa"/>
            <w:noWrap/>
            <w:vAlign w:val="bottom"/>
          </w:tcPr>
          <w:p w14:paraId="4B822824" w14:textId="77777777" w:rsidR="005E0980" w:rsidRPr="002F357B" w:rsidRDefault="005E0980" w:rsidP="00FC63CE">
            <w:pPr>
              <w:spacing w:after="0"/>
              <w:rPr>
                <w:rFonts w:cs="Arial"/>
                <w:b/>
                <w:color w:val="000000"/>
                <w:szCs w:val="20"/>
              </w:rPr>
            </w:pPr>
            <w:r w:rsidRPr="002F357B">
              <w:rPr>
                <w:rFonts w:cs="Arial"/>
                <w:color w:val="000000"/>
                <w:szCs w:val="20"/>
              </w:rPr>
              <w:t>West Coast</w:t>
            </w:r>
          </w:p>
        </w:tc>
        <w:tc>
          <w:tcPr>
            <w:tcW w:w="1933" w:type="dxa"/>
            <w:noWrap/>
            <w:vAlign w:val="bottom"/>
          </w:tcPr>
          <w:p w14:paraId="5B4AC1E5" w14:textId="77777777" w:rsidR="005E0980" w:rsidRPr="002F357B" w:rsidRDefault="005E0980" w:rsidP="00C81C08">
            <w:pPr>
              <w:spacing w:after="0"/>
              <w:jc w:val="center"/>
              <w:rPr>
                <w:rFonts w:cs="Arial"/>
                <w:color w:val="000000"/>
                <w:szCs w:val="20"/>
              </w:rPr>
            </w:pPr>
            <w:r w:rsidRPr="002F357B">
              <w:rPr>
                <w:rFonts w:cs="Arial"/>
                <w:color w:val="000000"/>
                <w:szCs w:val="20"/>
              </w:rPr>
              <w:t>$0.42 - $0.64</w:t>
            </w:r>
          </w:p>
        </w:tc>
        <w:tc>
          <w:tcPr>
            <w:tcW w:w="1933" w:type="dxa"/>
            <w:noWrap/>
            <w:vAlign w:val="bottom"/>
          </w:tcPr>
          <w:p w14:paraId="5DFD5FB5" w14:textId="77777777" w:rsidR="005E0980" w:rsidRPr="002F357B" w:rsidRDefault="005E0980" w:rsidP="00C81C08">
            <w:pPr>
              <w:spacing w:after="0"/>
              <w:jc w:val="center"/>
              <w:rPr>
                <w:rFonts w:cs="Arial"/>
                <w:color w:val="000000"/>
                <w:szCs w:val="20"/>
              </w:rPr>
            </w:pPr>
            <w:r w:rsidRPr="002F357B">
              <w:rPr>
                <w:rFonts w:cs="Arial"/>
                <w:color w:val="000000"/>
                <w:szCs w:val="20"/>
              </w:rPr>
              <w:t>$19 - $28</w:t>
            </w:r>
          </w:p>
        </w:tc>
        <w:tc>
          <w:tcPr>
            <w:tcW w:w="1933" w:type="dxa"/>
            <w:noWrap/>
            <w:vAlign w:val="bottom"/>
          </w:tcPr>
          <w:p w14:paraId="5C4D83B6" w14:textId="77777777" w:rsidR="005E0980" w:rsidRPr="002F357B" w:rsidRDefault="005E0980" w:rsidP="00C81C08">
            <w:pPr>
              <w:spacing w:after="0"/>
              <w:jc w:val="center"/>
              <w:rPr>
                <w:rFonts w:cs="Arial"/>
                <w:color w:val="000000"/>
                <w:szCs w:val="20"/>
              </w:rPr>
            </w:pPr>
            <w:r w:rsidRPr="002F357B">
              <w:rPr>
                <w:rFonts w:cs="Arial"/>
                <w:color w:val="000000"/>
                <w:szCs w:val="20"/>
              </w:rPr>
              <w:t>-</w:t>
            </w:r>
          </w:p>
        </w:tc>
        <w:tc>
          <w:tcPr>
            <w:tcW w:w="2045" w:type="dxa"/>
            <w:noWrap/>
            <w:vAlign w:val="bottom"/>
          </w:tcPr>
          <w:p w14:paraId="24C2B89B" w14:textId="77777777" w:rsidR="005E0980" w:rsidRPr="002F357B" w:rsidRDefault="005E0980" w:rsidP="00C81C08">
            <w:pPr>
              <w:spacing w:after="0"/>
              <w:jc w:val="center"/>
              <w:rPr>
                <w:rFonts w:cs="Arial"/>
                <w:color w:val="000000"/>
                <w:szCs w:val="20"/>
              </w:rPr>
            </w:pPr>
            <w:r w:rsidRPr="002F357B">
              <w:rPr>
                <w:rFonts w:cs="Arial"/>
                <w:color w:val="000000"/>
                <w:szCs w:val="20"/>
              </w:rPr>
              <w:t>$24 - $36</w:t>
            </w:r>
          </w:p>
        </w:tc>
        <w:tc>
          <w:tcPr>
            <w:tcW w:w="2045" w:type="dxa"/>
            <w:vAlign w:val="bottom"/>
          </w:tcPr>
          <w:p w14:paraId="5D30E3D4" w14:textId="77777777" w:rsidR="005E0980" w:rsidRPr="002F357B" w:rsidRDefault="005E0980" w:rsidP="00C81C08">
            <w:pPr>
              <w:spacing w:after="0"/>
              <w:jc w:val="center"/>
              <w:rPr>
                <w:rFonts w:cs="Arial"/>
                <w:color w:val="000000"/>
                <w:szCs w:val="20"/>
              </w:rPr>
            </w:pPr>
            <w:r w:rsidRPr="002F357B">
              <w:rPr>
                <w:rFonts w:cs="Arial"/>
                <w:color w:val="000000"/>
                <w:szCs w:val="20"/>
              </w:rPr>
              <w:t>$0.48 - $0.72</w:t>
            </w:r>
          </w:p>
        </w:tc>
        <w:tc>
          <w:tcPr>
            <w:tcW w:w="2163" w:type="dxa"/>
          </w:tcPr>
          <w:p w14:paraId="37A12DD5" w14:textId="77777777" w:rsidR="005E0980" w:rsidRPr="002F357B" w:rsidRDefault="005E0980" w:rsidP="00C81C08">
            <w:pPr>
              <w:spacing w:after="0"/>
              <w:jc w:val="center"/>
              <w:rPr>
                <w:rFonts w:cs="Arial"/>
                <w:color w:val="000000"/>
                <w:szCs w:val="20"/>
              </w:rPr>
            </w:pPr>
            <w:r w:rsidRPr="002F357B">
              <w:rPr>
                <w:rFonts w:cs="Arial"/>
                <w:color w:val="000000"/>
                <w:szCs w:val="20"/>
              </w:rPr>
              <w:t>$5,070</w:t>
            </w:r>
          </w:p>
        </w:tc>
      </w:tr>
      <w:tr w:rsidR="0021047A" w14:paraId="6728A0D0" w14:textId="77777777" w:rsidTr="008D79FD">
        <w:trPr>
          <w:trHeight w:val="300"/>
        </w:trPr>
        <w:tc>
          <w:tcPr>
            <w:tcW w:w="2268" w:type="dxa"/>
            <w:noWrap/>
            <w:vAlign w:val="bottom"/>
          </w:tcPr>
          <w:p w14:paraId="5DDAC1D5" w14:textId="77777777" w:rsidR="005E0980" w:rsidRPr="002F357B" w:rsidRDefault="005E0980" w:rsidP="00FC63CE">
            <w:pPr>
              <w:spacing w:after="0"/>
              <w:rPr>
                <w:rFonts w:cs="Arial"/>
                <w:b/>
                <w:color w:val="000000"/>
                <w:szCs w:val="20"/>
              </w:rPr>
            </w:pPr>
            <w:r w:rsidRPr="002F357B">
              <w:rPr>
                <w:rFonts w:cs="Arial"/>
                <w:b/>
                <w:color w:val="000000"/>
                <w:szCs w:val="20"/>
              </w:rPr>
              <w:t>Total</w:t>
            </w:r>
          </w:p>
        </w:tc>
        <w:tc>
          <w:tcPr>
            <w:tcW w:w="1933" w:type="dxa"/>
            <w:noWrap/>
            <w:vAlign w:val="bottom"/>
          </w:tcPr>
          <w:p w14:paraId="2C4B01C4" w14:textId="77777777" w:rsidR="005E0980" w:rsidRPr="002F357B" w:rsidRDefault="005E0980" w:rsidP="00C81C08">
            <w:pPr>
              <w:spacing w:after="0"/>
              <w:jc w:val="center"/>
              <w:rPr>
                <w:rFonts w:cs="Arial"/>
                <w:b/>
                <w:color w:val="000000"/>
                <w:szCs w:val="20"/>
              </w:rPr>
            </w:pPr>
            <w:r w:rsidRPr="002F357B">
              <w:rPr>
                <w:rFonts w:cs="Arial"/>
                <w:b/>
                <w:color w:val="000000"/>
                <w:szCs w:val="20"/>
              </w:rPr>
              <w:t>$1.8 - $2.7</w:t>
            </w:r>
          </w:p>
        </w:tc>
        <w:tc>
          <w:tcPr>
            <w:tcW w:w="1933" w:type="dxa"/>
            <w:noWrap/>
            <w:vAlign w:val="bottom"/>
          </w:tcPr>
          <w:p w14:paraId="548F7992" w14:textId="77777777" w:rsidR="005E0980" w:rsidRPr="002F357B" w:rsidRDefault="005E0980" w:rsidP="00C81C08">
            <w:pPr>
              <w:spacing w:after="0"/>
              <w:jc w:val="center"/>
              <w:rPr>
                <w:rFonts w:cs="Arial"/>
                <w:b/>
                <w:color w:val="000000"/>
                <w:szCs w:val="20"/>
              </w:rPr>
            </w:pPr>
            <w:r w:rsidRPr="002F357B">
              <w:rPr>
                <w:rFonts w:cs="Arial"/>
                <w:b/>
                <w:color w:val="000000"/>
                <w:szCs w:val="20"/>
              </w:rPr>
              <w:t>$130 - $190</w:t>
            </w:r>
          </w:p>
        </w:tc>
        <w:tc>
          <w:tcPr>
            <w:tcW w:w="1933" w:type="dxa"/>
            <w:noWrap/>
            <w:vAlign w:val="bottom"/>
          </w:tcPr>
          <w:p w14:paraId="1F37A6D0" w14:textId="77777777" w:rsidR="005E0980" w:rsidRPr="002F357B" w:rsidRDefault="005E0980" w:rsidP="00C81C08">
            <w:pPr>
              <w:spacing w:after="0"/>
              <w:jc w:val="center"/>
              <w:rPr>
                <w:rFonts w:cs="Arial"/>
                <w:b/>
                <w:color w:val="000000"/>
                <w:szCs w:val="20"/>
              </w:rPr>
            </w:pPr>
            <w:r w:rsidRPr="002F357B">
              <w:rPr>
                <w:rFonts w:cs="Arial"/>
                <w:b/>
                <w:color w:val="000000"/>
                <w:szCs w:val="20"/>
              </w:rPr>
              <w:t>$20 - $30</w:t>
            </w:r>
          </w:p>
        </w:tc>
        <w:tc>
          <w:tcPr>
            <w:tcW w:w="2045" w:type="dxa"/>
            <w:noWrap/>
            <w:vAlign w:val="bottom"/>
          </w:tcPr>
          <w:p w14:paraId="35074C0F" w14:textId="77777777" w:rsidR="005E0980" w:rsidRPr="002F357B" w:rsidRDefault="005E0980" w:rsidP="00C81C08">
            <w:pPr>
              <w:spacing w:after="0"/>
              <w:jc w:val="center"/>
              <w:rPr>
                <w:rFonts w:cs="Arial"/>
                <w:b/>
                <w:color w:val="000000"/>
                <w:szCs w:val="20"/>
              </w:rPr>
            </w:pPr>
            <w:r w:rsidRPr="002F357B">
              <w:rPr>
                <w:rFonts w:cs="Arial"/>
                <w:b/>
                <w:color w:val="000000"/>
                <w:szCs w:val="20"/>
              </w:rPr>
              <w:t>$160 - $240</w:t>
            </w:r>
          </w:p>
        </w:tc>
        <w:tc>
          <w:tcPr>
            <w:tcW w:w="2045" w:type="dxa"/>
            <w:vAlign w:val="bottom"/>
          </w:tcPr>
          <w:p w14:paraId="73FDB4C3" w14:textId="77777777" w:rsidR="005E0980" w:rsidRPr="002F357B" w:rsidRDefault="005E0980" w:rsidP="00C81C08">
            <w:pPr>
              <w:spacing w:after="0"/>
              <w:jc w:val="center"/>
              <w:rPr>
                <w:rFonts w:cs="Arial"/>
                <w:b/>
                <w:color w:val="000000"/>
                <w:szCs w:val="20"/>
              </w:rPr>
            </w:pPr>
            <w:r w:rsidRPr="002F357B">
              <w:rPr>
                <w:rFonts w:cs="Arial"/>
                <w:b/>
                <w:color w:val="000000"/>
                <w:szCs w:val="20"/>
              </w:rPr>
              <w:t>$4 - $5.9</w:t>
            </w:r>
            <w:r w:rsidR="00BE766D" w:rsidRPr="002F357B">
              <w:rPr>
                <w:rFonts w:cs="Arial"/>
                <w:b/>
                <w:color w:val="000000"/>
                <w:szCs w:val="20"/>
              </w:rPr>
              <w:t xml:space="preserve"> Million per annum</w:t>
            </w:r>
          </w:p>
        </w:tc>
        <w:tc>
          <w:tcPr>
            <w:tcW w:w="2163" w:type="dxa"/>
          </w:tcPr>
          <w:p w14:paraId="670C8A75" w14:textId="77777777" w:rsidR="005E0980" w:rsidRPr="002F357B" w:rsidRDefault="005E0980" w:rsidP="00C81C08">
            <w:pPr>
              <w:spacing w:after="0"/>
              <w:jc w:val="center"/>
              <w:rPr>
                <w:rFonts w:cs="Arial"/>
                <w:b/>
                <w:color w:val="000000"/>
                <w:szCs w:val="20"/>
              </w:rPr>
            </w:pPr>
            <w:r w:rsidRPr="002F357B">
              <w:rPr>
                <w:rFonts w:cs="Arial"/>
                <w:b/>
                <w:color w:val="000000"/>
                <w:szCs w:val="20"/>
              </w:rPr>
              <w:t>$1,296</w:t>
            </w:r>
          </w:p>
        </w:tc>
      </w:tr>
    </w:tbl>
    <w:p w14:paraId="1CAE4480" w14:textId="77777777" w:rsidR="005E0980" w:rsidRDefault="005E0980" w:rsidP="00E66F34">
      <w:pPr>
        <w:pStyle w:val="Body"/>
        <w:ind w:left="0"/>
        <w:rPr>
          <w:lang w:eastAsia="en-AU"/>
        </w:rPr>
      </w:pPr>
    </w:p>
    <w:p w14:paraId="64869C6B" w14:textId="77777777" w:rsidR="00BB4DE2" w:rsidRDefault="00BB4DE2" w:rsidP="00E66F34">
      <w:pPr>
        <w:pStyle w:val="Body"/>
        <w:ind w:left="0"/>
        <w:rPr>
          <w:lang w:eastAsia="en-AU"/>
        </w:rPr>
      </w:pPr>
    </w:p>
    <w:p w14:paraId="1B2B9E5F" w14:textId="77777777" w:rsidR="00BB4DE2" w:rsidRDefault="00BB4DE2">
      <w:pPr>
        <w:spacing w:after="0"/>
        <w:rPr>
          <w:lang w:eastAsia="en-AU"/>
        </w:rPr>
      </w:pPr>
      <w:r>
        <w:rPr>
          <w:lang w:eastAsia="en-AU"/>
        </w:rPr>
        <w:br w:type="page"/>
      </w:r>
    </w:p>
    <w:p w14:paraId="736772C2" w14:textId="77777777" w:rsidR="00BB4DE2" w:rsidRDefault="00BB4DE2" w:rsidP="00A352AD">
      <w:pPr>
        <w:pStyle w:val="Caption"/>
      </w:pPr>
      <w:bookmarkStart w:id="582" w:name="_Toc521064802"/>
      <w:r>
        <w:lastRenderedPageBreak/>
        <w:t xml:space="preserve">Table </w:t>
      </w:r>
      <w:r w:rsidR="007B3D80">
        <w:rPr>
          <w:noProof/>
        </w:rPr>
        <w:fldChar w:fldCharType="begin"/>
      </w:r>
      <w:r w:rsidR="007B3D80">
        <w:rPr>
          <w:noProof/>
        </w:rPr>
        <w:instrText xml:space="preserve"> SEQ Table \* ARABIC </w:instrText>
      </w:r>
      <w:r w:rsidR="007B3D80">
        <w:rPr>
          <w:noProof/>
        </w:rPr>
        <w:fldChar w:fldCharType="separate"/>
      </w:r>
      <w:r w:rsidR="002777A8">
        <w:rPr>
          <w:noProof/>
        </w:rPr>
        <w:t>19</w:t>
      </w:r>
      <w:r w:rsidR="007B3D80">
        <w:rPr>
          <w:noProof/>
        </w:rPr>
        <w:fldChar w:fldCharType="end"/>
      </w:r>
      <w:r>
        <w:t xml:space="preserve">  </w:t>
      </w:r>
      <w:r w:rsidRPr="004F4351">
        <w:t>Summary of WWTP upgrade costs to meet B Attribute target of NP</w:t>
      </w:r>
      <w:r>
        <w:t>S Freshwater by region for moderate</w:t>
      </w:r>
      <w:r w:rsidRPr="004F4351">
        <w:t xml:space="preserve"> contributing plants</w:t>
      </w:r>
      <w:bookmarkEnd w:id="582"/>
    </w:p>
    <w:tbl>
      <w:tblPr>
        <w:tblStyle w:val="Table-Style3"/>
        <w:tblW w:w="14320" w:type="dxa"/>
        <w:tblInd w:w="40" w:type="dxa"/>
        <w:tblLayout w:type="fixed"/>
        <w:tblLook w:val="04A0" w:firstRow="1" w:lastRow="0" w:firstColumn="1" w:lastColumn="0" w:noHBand="0" w:noVBand="1"/>
      </w:tblPr>
      <w:tblGrid>
        <w:gridCol w:w="2268"/>
        <w:gridCol w:w="1933"/>
        <w:gridCol w:w="1933"/>
        <w:gridCol w:w="1933"/>
        <w:gridCol w:w="2045"/>
        <w:gridCol w:w="2045"/>
        <w:gridCol w:w="2163"/>
      </w:tblGrid>
      <w:tr w:rsidR="00BB4DE2" w:rsidRPr="00FE4F59" w14:paraId="4E5947A6" w14:textId="77777777" w:rsidTr="00381B57">
        <w:trPr>
          <w:cnfStyle w:val="100000000000" w:firstRow="1" w:lastRow="0" w:firstColumn="0" w:lastColumn="0" w:oddVBand="0" w:evenVBand="0" w:oddHBand="0" w:evenHBand="0" w:firstRowFirstColumn="0" w:firstRowLastColumn="0" w:lastRowFirstColumn="0" w:lastRowLastColumn="0"/>
          <w:trHeight w:val="300"/>
        </w:trPr>
        <w:tc>
          <w:tcPr>
            <w:tcW w:w="2268" w:type="dxa"/>
            <w:vMerge w:val="restart"/>
            <w:noWrap/>
            <w:vAlign w:val="center"/>
          </w:tcPr>
          <w:p w14:paraId="62AA6AEB" w14:textId="77777777" w:rsidR="00BB4DE2" w:rsidRPr="002F357B" w:rsidRDefault="00BB4DE2" w:rsidP="00E8468D">
            <w:pPr>
              <w:spacing w:before="45" w:after="30"/>
              <w:rPr>
                <w:rFonts w:cs="Arial"/>
                <w:bCs/>
                <w:color w:val="FFFFFF" w:themeColor="background1"/>
                <w:szCs w:val="20"/>
                <w:lang w:val="en-NZ" w:eastAsia="en-NZ"/>
              </w:rPr>
            </w:pPr>
            <w:r w:rsidRPr="002F357B">
              <w:rPr>
                <w:rFonts w:cs="Arial"/>
                <w:bCs/>
                <w:color w:val="FFFFFF" w:themeColor="background1"/>
                <w:szCs w:val="20"/>
                <w:lang w:val="en-NZ" w:eastAsia="en-NZ"/>
              </w:rPr>
              <w:t>Region</w:t>
            </w:r>
          </w:p>
        </w:tc>
        <w:tc>
          <w:tcPr>
            <w:tcW w:w="5799" w:type="dxa"/>
            <w:gridSpan w:val="3"/>
            <w:noWrap/>
          </w:tcPr>
          <w:p w14:paraId="3ED4AF89" w14:textId="77777777" w:rsidR="00BB4DE2" w:rsidRPr="00381B57" w:rsidRDefault="00BB4DE2" w:rsidP="00381B57">
            <w:pPr>
              <w:pStyle w:val="Body"/>
              <w:ind w:left="0"/>
              <w:jc w:val="center"/>
              <w:rPr>
                <w:lang w:eastAsia="en-AU"/>
              </w:rPr>
            </w:pPr>
            <w:r w:rsidRPr="00381B57">
              <w:rPr>
                <w:lang w:eastAsia="en-AU"/>
              </w:rPr>
              <w:t>Cost to meet NPS for ($ Million):</w:t>
            </w:r>
          </w:p>
        </w:tc>
        <w:tc>
          <w:tcPr>
            <w:tcW w:w="2045" w:type="dxa"/>
            <w:vMerge w:val="restart"/>
            <w:noWrap/>
          </w:tcPr>
          <w:p w14:paraId="005EDF68" w14:textId="77777777" w:rsidR="00BB4DE2" w:rsidRPr="00381B57" w:rsidRDefault="00BB4DE2" w:rsidP="00381B57">
            <w:pPr>
              <w:pStyle w:val="Body"/>
              <w:ind w:left="0"/>
              <w:jc w:val="center"/>
              <w:rPr>
                <w:lang w:eastAsia="en-AU"/>
              </w:rPr>
            </w:pPr>
            <w:r w:rsidRPr="00381B57">
              <w:rPr>
                <w:lang w:eastAsia="en-AU"/>
              </w:rPr>
              <w:t xml:space="preserve">Best </w:t>
            </w:r>
            <w:r w:rsidR="00BE766D" w:rsidRPr="00381B57">
              <w:rPr>
                <w:lang w:eastAsia="en-AU"/>
              </w:rPr>
              <w:t>practice</w:t>
            </w:r>
            <w:r w:rsidR="00381B57">
              <w:rPr>
                <w:lang w:eastAsia="en-AU"/>
              </w:rPr>
              <w:t xml:space="preserve"> </w:t>
            </w:r>
            <w:r w:rsidRPr="00381B57">
              <w:rPr>
                <w:lang w:eastAsia="en-AU"/>
              </w:rPr>
              <w:t>($</w:t>
            </w:r>
            <w:r w:rsidR="00381B57">
              <w:rPr>
                <w:lang w:eastAsia="en-AU"/>
              </w:rPr>
              <w:t> </w:t>
            </w:r>
            <w:r w:rsidRPr="00381B57">
              <w:rPr>
                <w:lang w:eastAsia="en-AU"/>
              </w:rPr>
              <w:t>Million)</w:t>
            </w:r>
          </w:p>
        </w:tc>
        <w:tc>
          <w:tcPr>
            <w:tcW w:w="2045" w:type="dxa"/>
            <w:vMerge w:val="restart"/>
          </w:tcPr>
          <w:p w14:paraId="52AD5AF1" w14:textId="77777777" w:rsidR="00BB4DE2" w:rsidRPr="00381B57" w:rsidRDefault="00BB4DE2" w:rsidP="00381B57">
            <w:pPr>
              <w:pStyle w:val="Body"/>
              <w:ind w:left="0"/>
              <w:jc w:val="center"/>
              <w:rPr>
                <w:lang w:eastAsia="en-AU"/>
              </w:rPr>
            </w:pPr>
            <w:r w:rsidRPr="00381B57">
              <w:rPr>
                <w:lang w:eastAsia="en-AU"/>
              </w:rPr>
              <w:t>Annual Opex</w:t>
            </w:r>
            <w:r w:rsidR="00381B57">
              <w:rPr>
                <w:lang w:eastAsia="en-AU"/>
              </w:rPr>
              <w:t xml:space="preserve"> </w:t>
            </w:r>
            <w:r w:rsidRPr="00381B57">
              <w:rPr>
                <w:lang w:eastAsia="en-AU"/>
              </w:rPr>
              <w:t>($</w:t>
            </w:r>
            <w:r w:rsidR="00381B57">
              <w:rPr>
                <w:lang w:eastAsia="en-AU"/>
              </w:rPr>
              <w:t> </w:t>
            </w:r>
            <w:r w:rsidRPr="00381B57">
              <w:rPr>
                <w:lang w:eastAsia="en-AU"/>
              </w:rPr>
              <w:t>Million/year)</w:t>
            </w:r>
          </w:p>
        </w:tc>
        <w:tc>
          <w:tcPr>
            <w:tcW w:w="2163" w:type="dxa"/>
            <w:vMerge w:val="restart"/>
          </w:tcPr>
          <w:p w14:paraId="5F86B84D" w14:textId="77777777" w:rsidR="00BB4DE2" w:rsidRPr="00381B57" w:rsidRDefault="00BB4DE2" w:rsidP="00381B57">
            <w:pPr>
              <w:pStyle w:val="Body"/>
              <w:ind w:left="0"/>
              <w:jc w:val="center"/>
              <w:rPr>
                <w:lang w:eastAsia="en-AU"/>
              </w:rPr>
            </w:pPr>
            <w:r w:rsidRPr="00381B57">
              <w:rPr>
                <w:lang w:eastAsia="en-AU"/>
              </w:rPr>
              <w:t xml:space="preserve">Annual </w:t>
            </w:r>
            <w:r w:rsidR="00BE766D" w:rsidRPr="00381B57">
              <w:rPr>
                <w:lang w:eastAsia="en-AU"/>
              </w:rPr>
              <w:t xml:space="preserve">cost impact </w:t>
            </w:r>
            <w:r w:rsidRPr="00381B57">
              <w:rPr>
                <w:lang w:eastAsia="en-AU"/>
              </w:rPr>
              <w:t xml:space="preserve">per </w:t>
            </w:r>
            <w:r w:rsidR="00BE766D" w:rsidRPr="00381B57">
              <w:rPr>
                <w:lang w:eastAsia="en-AU"/>
              </w:rPr>
              <w:t>affected household</w:t>
            </w:r>
            <w:r w:rsidR="00381B57">
              <w:rPr>
                <w:lang w:eastAsia="en-AU"/>
              </w:rPr>
              <w:t xml:space="preserve"> </w:t>
            </w:r>
            <w:r w:rsidRPr="00381B57">
              <w:rPr>
                <w:lang w:eastAsia="en-AU"/>
              </w:rPr>
              <w:t>($/year)</w:t>
            </w:r>
          </w:p>
        </w:tc>
      </w:tr>
      <w:tr w:rsidR="00BB4DE2" w:rsidRPr="00FE4F59" w14:paraId="0346B64C" w14:textId="77777777" w:rsidTr="00381B57">
        <w:trPr>
          <w:trHeight w:val="300"/>
        </w:trPr>
        <w:tc>
          <w:tcPr>
            <w:tcW w:w="2268" w:type="dxa"/>
            <w:vMerge/>
            <w:noWrap/>
            <w:vAlign w:val="center"/>
            <w:hideMark/>
          </w:tcPr>
          <w:p w14:paraId="521E97CD" w14:textId="77777777" w:rsidR="00BB4DE2" w:rsidRPr="002F357B" w:rsidRDefault="00BB4DE2" w:rsidP="00E8468D">
            <w:pPr>
              <w:spacing w:after="0"/>
              <w:jc w:val="center"/>
              <w:rPr>
                <w:rFonts w:cs="Arial"/>
                <w:b/>
                <w:color w:val="000000"/>
                <w:szCs w:val="20"/>
                <w:lang w:val="en-NZ" w:eastAsia="en-NZ"/>
              </w:rPr>
            </w:pPr>
          </w:p>
        </w:tc>
        <w:tc>
          <w:tcPr>
            <w:tcW w:w="1933" w:type="dxa"/>
            <w:shd w:val="clear" w:color="auto" w:fill="00599C"/>
            <w:noWrap/>
            <w:hideMark/>
          </w:tcPr>
          <w:p w14:paraId="7AB26DE8" w14:textId="77777777" w:rsidR="00BB4DE2" w:rsidRPr="00381B57" w:rsidRDefault="00BB4DE2" w:rsidP="00381B57">
            <w:pPr>
              <w:pStyle w:val="Body"/>
              <w:ind w:left="0"/>
              <w:jc w:val="center"/>
              <w:rPr>
                <w:color w:val="FFFFFF"/>
                <w:lang w:eastAsia="en-AU"/>
              </w:rPr>
            </w:pPr>
            <w:r w:rsidRPr="00381B57">
              <w:rPr>
                <w:color w:val="FFFFFF"/>
                <w:lang w:eastAsia="en-AU"/>
              </w:rPr>
              <w:t>E.coli</w:t>
            </w:r>
          </w:p>
        </w:tc>
        <w:tc>
          <w:tcPr>
            <w:tcW w:w="1933" w:type="dxa"/>
            <w:shd w:val="clear" w:color="auto" w:fill="00599C"/>
            <w:noWrap/>
            <w:hideMark/>
          </w:tcPr>
          <w:p w14:paraId="2A2F66B4" w14:textId="77777777" w:rsidR="00BB4DE2" w:rsidRPr="00381B57" w:rsidRDefault="00BB4DE2" w:rsidP="00381B57">
            <w:pPr>
              <w:pStyle w:val="Body"/>
              <w:ind w:left="0"/>
              <w:jc w:val="center"/>
              <w:rPr>
                <w:color w:val="FFFFFF"/>
                <w:lang w:eastAsia="en-AU"/>
              </w:rPr>
            </w:pPr>
            <w:r w:rsidRPr="00381B57">
              <w:rPr>
                <w:color w:val="FFFFFF"/>
                <w:lang w:eastAsia="en-AU"/>
              </w:rPr>
              <w:t>Ammonia</w:t>
            </w:r>
          </w:p>
        </w:tc>
        <w:tc>
          <w:tcPr>
            <w:tcW w:w="1933" w:type="dxa"/>
            <w:shd w:val="clear" w:color="auto" w:fill="00599C"/>
            <w:noWrap/>
            <w:hideMark/>
          </w:tcPr>
          <w:p w14:paraId="7783BFCF" w14:textId="77777777" w:rsidR="00BB4DE2" w:rsidRPr="00381B57" w:rsidRDefault="00BB4DE2" w:rsidP="00381B57">
            <w:pPr>
              <w:pStyle w:val="Body"/>
              <w:ind w:left="0"/>
              <w:jc w:val="center"/>
              <w:rPr>
                <w:color w:val="FFFFFF"/>
                <w:lang w:eastAsia="en-AU"/>
              </w:rPr>
            </w:pPr>
            <w:r w:rsidRPr="00381B57">
              <w:rPr>
                <w:color w:val="FFFFFF"/>
                <w:lang w:eastAsia="en-AU"/>
              </w:rPr>
              <w:t>Nitrate</w:t>
            </w:r>
          </w:p>
        </w:tc>
        <w:tc>
          <w:tcPr>
            <w:tcW w:w="2045" w:type="dxa"/>
            <w:vMerge/>
            <w:noWrap/>
            <w:hideMark/>
          </w:tcPr>
          <w:p w14:paraId="14625FCA" w14:textId="77777777" w:rsidR="00BB4DE2" w:rsidRPr="002F357B" w:rsidRDefault="00BB4DE2" w:rsidP="00E8468D">
            <w:pPr>
              <w:spacing w:after="0"/>
              <w:jc w:val="center"/>
              <w:rPr>
                <w:rFonts w:cs="Arial"/>
                <w:bCs/>
                <w:color w:val="000000"/>
                <w:szCs w:val="20"/>
                <w:lang w:val="en-NZ" w:eastAsia="en-NZ"/>
              </w:rPr>
            </w:pPr>
          </w:p>
        </w:tc>
        <w:tc>
          <w:tcPr>
            <w:tcW w:w="2045" w:type="dxa"/>
            <w:vMerge/>
          </w:tcPr>
          <w:p w14:paraId="1D0177F7" w14:textId="77777777" w:rsidR="00BB4DE2" w:rsidRPr="002F357B" w:rsidRDefault="00BB4DE2" w:rsidP="00E8468D">
            <w:pPr>
              <w:spacing w:after="0"/>
              <w:jc w:val="center"/>
              <w:rPr>
                <w:rFonts w:cs="Arial"/>
                <w:bCs/>
                <w:color w:val="000000"/>
                <w:szCs w:val="20"/>
                <w:lang w:val="en-NZ" w:eastAsia="en-NZ"/>
              </w:rPr>
            </w:pPr>
          </w:p>
        </w:tc>
        <w:tc>
          <w:tcPr>
            <w:tcW w:w="2163" w:type="dxa"/>
            <w:vMerge/>
          </w:tcPr>
          <w:p w14:paraId="5C63FF51" w14:textId="77777777" w:rsidR="00BB4DE2" w:rsidRPr="002F357B" w:rsidRDefault="00BB4DE2" w:rsidP="00E8468D">
            <w:pPr>
              <w:spacing w:after="0"/>
              <w:jc w:val="center"/>
              <w:rPr>
                <w:rFonts w:cs="Arial"/>
                <w:bCs/>
                <w:color w:val="000000"/>
                <w:szCs w:val="20"/>
                <w:lang w:val="en-NZ" w:eastAsia="en-NZ"/>
              </w:rPr>
            </w:pPr>
          </w:p>
        </w:tc>
      </w:tr>
      <w:tr w:rsidR="00BB4DE2" w14:paraId="55A51407" w14:textId="77777777" w:rsidTr="00A352AD">
        <w:trPr>
          <w:trHeight w:val="300"/>
        </w:trPr>
        <w:tc>
          <w:tcPr>
            <w:tcW w:w="2268" w:type="dxa"/>
            <w:noWrap/>
            <w:vAlign w:val="bottom"/>
          </w:tcPr>
          <w:p w14:paraId="4ACC3C5A" w14:textId="77777777" w:rsidR="00BB4DE2" w:rsidRPr="002F357B" w:rsidRDefault="00BB4DE2" w:rsidP="00BB4DE2">
            <w:pPr>
              <w:spacing w:after="0"/>
              <w:rPr>
                <w:rFonts w:cs="Arial"/>
                <w:b/>
                <w:bCs/>
                <w:color w:val="000000"/>
                <w:szCs w:val="20"/>
                <w:lang w:val="en-NZ" w:eastAsia="en-NZ"/>
              </w:rPr>
            </w:pPr>
            <w:r w:rsidRPr="002F357B">
              <w:rPr>
                <w:rFonts w:cs="Arial"/>
                <w:color w:val="000000"/>
                <w:szCs w:val="20"/>
              </w:rPr>
              <w:t>Auckland</w:t>
            </w:r>
          </w:p>
        </w:tc>
        <w:tc>
          <w:tcPr>
            <w:tcW w:w="1933" w:type="dxa"/>
            <w:noWrap/>
            <w:vAlign w:val="bottom"/>
          </w:tcPr>
          <w:p w14:paraId="18343220" w14:textId="77777777" w:rsidR="00BB4DE2" w:rsidRPr="002F357B" w:rsidRDefault="00BB4DE2" w:rsidP="00BB4DE2">
            <w:pPr>
              <w:spacing w:after="0"/>
              <w:jc w:val="center"/>
              <w:rPr>
                <w:rFonts w:cs="Arial"/>
                <w:color w:val="000000"/>
                <w:szCs w:val="20"/>
                <w:lang w:val="en-NZ" w:eastAsia="en-NZ"/>
              </w:rPr>
            </w:pPr>
            <w:r w:rsidRPr="002F357B">
              <w:rPr>
                <w:rFonts w:cs="Arial"/>
                <w:color w:val="000000"/>
                <w:szCs w:val="20"/>
              </w:rPr>
              <w:t xml:space="preserve"> $0.26 - $0.39 </w:t>
            </w:r>
          </w:p>
        </w:tc>
        <w:tc>
          <w:tcPr>
            <w:tcW w:w="1933" w:type="dxa"/>
            <w:noWrap/>
            <w:vAlign w:val="bottom"/>
          </w:tcPr>
          <w:p w14:paraId="2573AF8C" w14:textId="77777777" w:rsidR="00BB4DE2" w:rsidRPr="002F357B" w:rsidRDefault="00BB4DE2" w:rsidP="00BB4DE2">
            <w:pPr>
              <w:spacing w:after="0"/>
              <w:jc w:val="center"/>
              <w:rPr>
                <w:rFonts w:cs="Arial"/>
                <w:color w:val="000000"/>
                <w:szCs w:val="20"/>
                <w:lang w:val="en-NZ" w:eastAsia="en-NZ"/>
              </w:rPr>
            </w:pPr>
            <w:r w:rsidRPr="002F357B">
              <w:rPr>
                <w:rFonts w:cs="Arial"/>
                <w:color w:val="000000"/>
                <w:szCs w:val="20"/>
              </w:rPr>
              <w:t xml:space="preserve"> $13 - $19 </w:t>
            </w:r>
          </w:p>
        </w:tc>
        <w:tc>
          <w:tcPr>
            <w:tcW w:w="1933" w:type="dxa"/>
            <w:noWrap/>
            <w:vAlign w:val="bottom"/>
          </w:tcPr>
          <w:p w14:paraId="622250FE" w14:textId="77777777" w:rsidR="00BB4DE2" w:rsidRPr="002F357B" w:rsidRDefault="00BB4DE2" w:rsidP="00BB4DE2">
            <w:pPr>
              <w:spacing w:after="0"/>
              <w:jc w:val="center"/>
              <w:rPr>
                <w:rFonts w:cs="Arial"/>
                <w:color w:val="000000"/>
                <w:szCs w:val="20"/>
                <w:lang w:val="en-NZ" w:eastAsia="en-NZ"/>
              </w:rPr>
            </w:pPr>
            <w:r w:rsidRPr="002F357B">
              <w:rPr>
                <w:rFonts w:cs="Arial"/>
                <w:color w:val="000000"/>
                <w:szCs w:val="20"/>
              </w:rPr>
              <w:t xml:space="preserve"> $3.1 - $4.6 </w:t>
            </w:r>
          </w:p>
        </w:tc>
        <w:tc>
          <w:tcPr>
            <w:tcW w:w="2045" w:type="dxa"/>
            <w:noWrap/>
            <w:vAlign w:val="bottom"/>
          </w:tcPr>
          <w:p w14:paraId="598A16E2" w14:textId="77777777" w:rsidR="00BB4DE2" w:rsidRPr="002F357B" w:rsidRDefault="00BB4DE2" w:rsidP="00BB4DE2">
            <w:pPr>
              <w:spacing w:after="0"/>
              <w:jc w:val="center"/>
              <w:rPr>
                <w:rFonts w:cs="Arial"/>
                <w:color w:val="000000"/>
                <w:szCs w:val="20"/>
                <w:lang w:val="en-NZ" w:eastAsia="en-NZ"/>
              </w:rPr>
            </w:pPr>
            <w:r w:rsidRPr="002F357B">
              <w:rPr>
                <w:rFonts w:cs="Arial"/>
                <w:color w:val="000000"/>
                <w:szCs w:val="20"/>
              </w:rPr>
              <w:t xml:space="preserve"> $18 - $28 </w:t>
            </w:r>
          </w:p>
        </w:tc>
        <w:tc>
          <w:tcPr>
            <w:tcW w:w="2045" w:type="dxa"/>
            <w:vAlign w:val="bottom"/>
          </w:tcPr>
          <w:p w14:paraId="219CCA8C"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$0.3 - $0.45 </w:t>
            </w:r>
          </w:p>
        </w:tc>
        <w:tc>
          <w:tcPr>
            <w:tcW w:w="2163" w:type="dxa"/>
            <w:vAlign w:val="bottom"/>
          </w:tcPr>
          <w:p w14:paraId="17132CA9"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$1,001 </w:t>
            </w:r>
          </w:p>
        </w:tc>
      </w:tr>
      <w:tr w:rsidR="00BB4DE2" w14:paraId="50DE4A5F" w14:textId="77777777" w:rsidTr="00A352AD">
        <w:trPr>
          <w:trHeight w:val="300"/>
        </w:trPr>
        <w:tc>
          <w:tcPr>
            <w:tcW w:w="2268" w:type="dxa"/>
            <w:noWrap/>
            <w:vAlign w:val="bottom"/>
          </w:tcPr>
          <w:p w14:paraId="38FE3912" w14:textId="77777777" w:rsidR="00BB4DE2" w:rsidRPr="002F357B" w:rsidRDefault="00BB4DE2" w:rsidP="00BB4DE2">
            <w:pPr>
              <w:spacing w:after="0"/>
              <w:rPr>
                <w:rFonts w:cs="Arial"/>
                <w:b/>
                <w:color w:val="000000"/>
                <w:szCs w:val="20"/>
              </w:rPr>
            </w:pPr>
            <w:r w:rsidRPr="002F357B">
              <w:rPr>
                <w:rFonts w:cs="Arial"/>
                <w:color w:val="000000"/>
                <w:szCs w:val="20"/>
              </w:rPr>
              <w:t>Bay of Plenty</w:t>
            </w:r>
          </w:p>
        </w:tc>
        <w:tc>
          <w:tcPr>
            <w:tcW w:w="1933" w:type="dxa"/>
            <w:noWrap/>
            <w:vAlign w:val="bottom"/>
          </w:tcPr>
          <w:p w14:paraId="0BE029EE"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$0.43 - $0.64 </w:t>
            </w:r>
          </w:p>
        </w:tc>
        <w:tc>
          <w:tcPr>
            <w:tcW w:w="1933" w:type="dxa"/>
            <w:noWrap/>
            <w:vAlign w:val="bottom"/>
          </w:tcPr>
          <w:p w14:paraId="31B54064"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$20 - $30 </w:t>
            </w:r>
          </w:p>
        </w:tc>
        <w:tc>
          <w:tcPr>
            <w:tcW w:w="1933" w:type="dxa"/>
            <w:noWrap/>
            <w:vAlign w:val="bottom"/>
          </w:tcPr>
          <w:p w14:paraId="11740742"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$5.8 - $8.7 </w:t>
            </w:r>
          </w:p>
        </w:tc>
        <w:tc>
          <w:tcPr>
            <w:tcW w:w="2045" w:type="dxa"/>
            <w:noWrap/>
            <w:vAlign w:val="bottom"/>
          </w:tcPr>
          <w:p w14:paraId="2B473B08"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$29 - $44 </w:t>
            </w:r>
          </w:p>
        </w:tc>
        <w:tc>
          <w:tcPr>
            <w:tcW w:w="2045" w:type="dxa"/>
            <w:vAlign w:val="bottom"/>
          </w:tcPr>
          <w:p w14:paraId="66B06364"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$0.53 - $0.8 </w:t>
            </w:r>
          </w:p>
        </w:tc>
        <w:tc>
          <w:tcPr>
            <w:tcW w:w="2163" w:type="dxa"/>
            <w:vAlign w:val="bottom"/>
          </w:tcPr>
          <w:p w14:paraId="17E1EA18"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$788 </w:t>
            </w:r>
          </w:p>
        </w:tc>
      </w:tr>
      <w:tr w:rsidR="00BB4DE2" w14:paraId="3EB45A2E" w14:textId="77777777" w:rsidTr="00A352AD">
        <w:trPr>
          <w:trHeight w:val="300"/>
        </w:trPr>
        <w:tc>
          <w:tcPr>
            <w:tcW w:w="2268" w:type="dxa"/>
            <w:noWrap/>
            <w:vAlign w:val="bottom"/>
          </w:tcPr>
          <w:p w14:paraId="7AD80C6E" w14:textId="77777777" w:rsidR="00BB4DE2" w:rsidRPr="002F357B" w:rsidRDefault="00BB4DE2" w:rsidP="00BB4DE2">
            <w:pPr>
              <w:spacing w:after="0"/>
              <w:rPr>
                <w:rFonts w:cs="Arial"/>
                <w:b/>
                <w:color w:val="000000"/>
                <w:szCs w:val="20"/>
              </w:rPr>
            </w:pPr>
            <w:r w:rsidRPr="002F357B">
              <w:rPr>
                <w:rFonts w:cs="Arial"/>
                <w:color w:val="000000"/>
                <w:szCs w:val="20"/>
              </w:rPr>
              <w:t>Canterbury</w:t>
            </w:r>
          </w:p>
        </w:tc>
        <w:tc>
          <w:tcPr>
            <w:tcW w:w="1933" w:type="dxa"/>
            <w:noWrap/>
            <w:vAlign w:val="bottom"/>
          </w:tcPr>
          <w:p w14:paraId="4D61C3B5"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$0.13 - $0.19 </w:t>
            </w:r>
          </w:p>
        </w:tc>
        <w:tc>
          <w:tcPr>
            <w:tcW w:w="1933" w:type="dxa"/>
            <w:noWrap/>
            <w:vAlign w:val="bottom"/>
          </w:tcPr>
          <w:p w14:paraId="3A9DD83C"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$8.4 - $13 </w:t>
            </w:r>
          </w:p>
        </w:tc>
        <w:tc>
          <w:tcPr>
            <w:tcW w:w="1933" w:type="dxa"/>
            <w:noWrap/>
            <w:vAlign w:val="bottom"/>
          </w:tcPr>
          <w:p w14:paraId="547D5BB3"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c>
          <w:tcPr>
            <w:tcW w:w="2045" w:type="dxa"/>
            <w:noWrap/>
            <w:vAlign w:val="bottom"/>
          </w:tcPr>
          <w:p w14:paraId="6833BD10"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$8.7 - $13 </w:t>
            </w:r>
          </w:p>
        </w:tc>
        <w:tc>
          <w:tcPr>
            <w:tcW w:w="2045" w:type="dxa"/>
            <w:vAlign w:val="bottom"/>
          </w:tcPr>
          <w:p w14:paraId="23E90341"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$0.084 - $0.13 </w:t>
            </w:r>
          </w:p>
        </w:tc>
        <w:tc>
          <w:tcPr>
            <w:tcW w:w="2163" w:type="dxa"/>
            <w:vAlign w:val="bottom"/>
          </w:tcPr>
          <w:p w14:paraId="3D2E926E"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$1,193 </w:t>
            </w:r>
          </w:p>
        </w:tc>
      </w:tr>
      <w:tr w:rsidR="00BB4DE2" w14:paraId="0C5DA997" w14:textId="77777777" w:rsidTr="00A352AD">
        <w:trPr>
          <w:trHeight w:val="300"/>
        </w:trPr>
        <w:tc>
          <w:tcPr>
            <w:tcW w:w="2268" w:type="dxa"/>
            <w:noWrap/>
            <w:vAlign w:val="bottom"/>
          </w:tcPr>
          <w:p w14:paraId="27F476D9" w14:textId="77777777" w:rsidR="00BB4DE2" w:rsidRPr="002F357B" w:rsidRDefault="00BB4DE2" w:rsidP="00BB4DE2">
            <w:pPr>
              <w:spacing w:after="0"/>
              <w:rPr>
                <w:rFonts w:cs="Arial"/>
                <w:b/>
                <w:color w:val="000000"/>
                <w:szCs w:val="20"/>
              </w:rPr>
            </w:pPr>
            <w:r w:rsidRPr="002F357B">
              <w:rPr>
                <w:rFonts w:cs="Arial"/>
                <w:color w:val="000000"/>
                <w:szCs w:val="20"/>
              </w:rPr>
              <w:t>Gisborne</w:t>
            </w:r>
          </w:p>
        </w:tc>
        <w:tc>
          <w:tcPr>
            <w:tcW w:w="1933" w:type="dxa"/>
            <w:noWrap/>
            <w:vAlign w:val="bottom"/>
          </w:tcPr>
          <w:p w14:paraId="68801807"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c>
          <w:tcPr>
            <w:tcW w:w="1933" w:type="dxa"/>
            <w:noWrap/>
            <w:vAlign w:val="bottom"/>
          </w:tcPr>
          <w:p w14:paraId="1526C366"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c>
          <w:tcPr>
            <w:tcW w:w="1933" w:type="dxa"/>
            <w:noWrap/>
            <w:vAlign w:val="bottom"/>
          </w:tcPr>
          <w:p w14:paraId="0B22E764"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c>
          <w:tcPr>
            <w:tcW w:w="2045" w:type="dxa"/>
            <w:noWrap/>
            <w:vAlign w:val="bottom"/>
          </w:tcPr>
          <w:p w14:paraId="551397CE"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c>
          <w:tcPr>
            <w:tcW w:w="2045" w:type="dxa"/>
            <w:vAlign w:val="bottom"/>
          </w:tcPr>
          <w:p w14:paraId="6BB3A7AE"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c>
          <w:tcPr>
            <w:tcW w:w="2163" w:type="dxa"/>
            <w:vAlign w:val="bottom"/>
          </w:tcPr>
          <w:p w14:paraId="6634A2FD"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r>
      <w:tr w:rsidR="00BB4DE2" w14:paraId="4BBC5514" w14:textId="77777777" w:rsidTr="00A352AD">
        <w:trPr>
          <w:trHeight w:val="300"/>
        </w:trPr>
        <w:tc>
          <w:tcPr>
            <w:tcW w:w="2268" w:type="dxa"/>
            <w:noWrap/>
            <w:vAlign w:val="bottom"/>
          </w:tcPr>
          <w:p w14:paraId="003FCBFE" w14:textId="77777777" w:rsidR="00BB4DE2" w:rsidRPr="002F357B" w:rsidRDefault="00BB4DE2" w:rsidP="00BB4DE2">
            <w:pPr>
              <w:spacing w:after="0"/>
              <w:rPr>
                <w:rFonts w:cs="Arial"/>
                <w:b/>
                <w:color w:val="000000"/>
                <w:szCs w:val="20"/>
              </w:rPr>
            </w:pPr>
            <w:r w:rsidRPr="002F357B">
              <w:rPr>
                <w:rFonts w:cs="Arial"/>
                <w:color w:val="000000"/>
                <w:szCs w:val="20"/>
              </w:rPr>
              <w:t>Hawke's Bay</w:t>
            </w:r>
          </w:p>
        </w:tc>
        <w:tc>
          <w:tcPr>
            <w:tcW w:w="1933" w:type="dxa"/>
            <w:noWrap/>
            <w:vAlign w:val="bottom"/>
          </w:tcPr>
          <w:p w14:paraId="2A81835A"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$0.058 - $0.087 </w:t>
            </w:r>
          </w:p>
        </w:tc>
        <w:tc>
          <w:tcPr>
            <w:tcW w:w="1933" w:type="dxa"/>
            <w:noWrap/>
            <w:vAlign w:val="bottom"/>
          </w:tcPr>
          <w:p w14:paraId="4598D064"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$4.8 - $7.2 </w:t>
            </w:r>
          </w:p>
        </w:tc>
        <w:tc>
          <w:tcPr>
            <w:tcW w:w="1933" w:type="dxa"/>
            <w:noWrap/>
            <w:vAlign w:val="bottom"/>
          </w:tcPr>
          <w:p w14:paraId="127F5323"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c>
          <w:tcPr>
            <w:tcW w:w="2045" w:type="dxa"/>
            <w:noWrap/>
            <w:vAlign w:val="bottom"/>
          </w:tcPr>
          <w:p w14:paraId="39A53224"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$4.9 - $7.4 </w:t>
            </w:r>
          </w:p>
        </w:tc>
        <w:tc>
          <w:tcPr>
            <w:tcW w:w="2045" w:type="dxa"/>
            <w:vAlign w:val="bottom"/>
          </w:tcPr>
          <w:p w14:paraId="11817369"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$0.044 - $0.066 </w:t>
            </w:r>
          </w:p>
        </w:tc>
        <w:tc>
          <w:tcPr>
            <w:tcW w:w="2163" w:type="dxa"/>
            <w:vAlign w:val="bottom"/>
          </w:tcPr>
          <w:p w14:paraId="2E353EF0"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$1,424 </w:t>
            </w:r>
          </w:p>
        </w:tc>
      </w:tr>
      <w:tr w:rsidR="00BB4DE2" w14:paraId="19EB1116" w14:textId="77777777" w:rsidTr="00A352AD">
        <w:trPr>
          <w:trHeight w:val="300"/>
        </w:trPr>
        <w:tc>
          <w:tcPr>
            <w:tcW w:w="2268" w:type="dxa"/>
            <w:noWrap/>
            <w:vAlign w:val="bottom"/>
          </w:tcPr>
          <w:p w14:paraId="1318BC95" w14:textId="77777777" w:rsidR="00BB4DE2" w:rsidRPr="002F357B" w:rsidRDefault="00BB4DE2" w:rsidP="00BB4DE2">
            <w:pPr>
              <w:spacing w:after="0"/>
              <w:rPr>
                <w:rFonts w:cs="Arial"/>
                <w:b/>
                <w:color w:val="000000"/>
                <w:szCs w:val="20"/>
              </w:rPr>
            </w:pPr>
            <w:r w:rsidRPr="002F357B">
              <w:rPr>
                <w:rFonts w:cs="Arial"/>
                <w:color w:val="000000"/>
                <w:szCs w:val="20"/>
              </w:rPr>
              <w:t>Manawatu-Wanganui</w:t>
            </w:r>
          </w:p>
        </w:tc>
        <w:tc>
          <w:tcPr>
            <w:tcW w:w="1933" w:type="dxa"/>
            <w:noWrap/>
            <w:vAlign w:val="bottom"/>
          </w:tcPr>
          <w:p w14:paraId="37074B37"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$0.43 - $0.65 </w:t>
            </w:r>
          </w:p>
        </w:tc>
        <w:tc>
          <w:tcPr>
            <w:tcW w:w="1933" w:type="dxa"/>
            <w:noWrap/>
            <w:vAlign w:val="bottom"/>
          </w:tcPr>
          <w:p w14:paraId="2DDD4177"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$60 - $90 </w:t>
            </w:r>
          </w:p>
        </w:tc>
        <w:tc>
          <w:tcPr>
            <w:tcW w:w="1933" w:type="dxa"/>
            <w:noWrap/>
            <w:vAlign w:val="bottom"/>
          </w:tcPr>
          <w:p w14:paraId="1C254CD2"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$14 - $22 </w:t>
            </w:r>
          </w:p>
        </w:tc>
        <w:tc>
          <w:tcPr>
            <w:tcW w:w="2045" w:type="dxa"/>
            <w:noWrap/>
            <w:vAlign w:val="bottom"/>
          </w:tcPr>
          <w:p w14:paraId="5E00DEEB"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$73 - $110 </w:t>
            </w:r>
          </w:p>
        </w:tc>
        <w:tc>
          <w:tcPr>
            <w:tcW w:w="2045" w:type="dxa"/>
            <w:vAlign w:val="bottom"/>
          </w:tcPr>
          <w:p w14:paraId="6274B3E9"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$1.6 - $2.5 </w:t>
            </w:r>
          </w:p>
        </w:tc>
        <w:tc>
          <w:tcPr>
            <w:tcW w:w="2163" w:type="dxa"/>
            <w:vAlign w:val="bottom"/>
          </w:tcPr>
          <w:p w14:paraId="3226E9FB"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$1,548 </w:t>
            </w:r>
          </w:p>
        </w:tc>
      </w:tr>
      <w:tr w:rsidR="00BB4DE2" w14:paraId="2DA765B7" w14:textId="77777777" w:rsidTr="00A352AD">
        <w:trPr>
          <w:trHeight w:val="300"/>
        </w:trPr>
        <w:tc>
          <w:tcPr>
            <w:tcW w:w="2268" w:type="dxa"/>
            <w:noWrap/>
            <w:vAlign w:val="bottom"/>
          </w:tcPr>
          <w:p w14:paraId="69FB36BB" w14:textId="77777777" w:rsidR="00BB4DE2" w:rsidRPr="002F357B" w:rsidRDefault="00BB4DE2" w:rsidP="00BB4DE2">
            <w:pPr>
              <w:spacing w:after="0"/>
              <w:rPr>
                <w:rFonts w:cs="Arial"/>
                <w:b/>
                <w:color w:val="000000"/>
                <w:szCs w:val="20"/>
              </w:rPr>
            </w:pPr>
            <w:r w:rsidRPr="002F357B">
              <w:rPr>
                <w:rFonts w:cs="Arial"/>
                <w:color w:val="000000"/>
                <w:szCs w:val="20"/>
              </w:rPr>
              <w:t>Marlborough</w:t>
            </w:r>
          </w:p>
        </w:tc>
        <w:tc>
          <w:tcPr>
            <w:tcW w:w="1933" w:type="dxa"/>
            <w:noWrap/>
            <w:vAlign w:val="bottom"/>
          </w:tcPr>
          <w:p w14:paraId="656F978C"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c>
          <w:tcPr>
            <w:tcW w:w="1933" w:type="dxa"/>
            <w:noWrap/>
            <w:vAlign w:val="bottom"/>
          </w:tcPr>
          <w:p w14:paraId="0515BA1E"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c>
          <w:tcPr>
            <w:tcW w:w="1933" w:type="dxa"/>
            <w:noWrap/>
            <w:vAlign w:val="bottom"/>
          </w:tcPr>
          <w:p w14:paraId="2D91C5B9"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c>
          <w:tcPr>
            <w:tcW w:w="2045" w:type="dxa"/>
            <w:noWrap/>
            <w:vAlign w:val="bottom"/>
          </w:tcPr>
          <w:p w14:paraId="4C5B2638"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c>
          <w:tcPr>
            <w:tcW w:w="2045" w:type="dxa"/>
            <w:vAlign w:val="bottom"/>
          </w:tcPr>
          <w:p w14:paraId="5FD60E47"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c>
          <w:tcPr>
            <w:tcW w:w="2163" w:type="dxa"/>
            <w:vAlign w:val="bottom"/>
          </w:tcPr>
          <w:p w14:paraId="31EEB520"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r>
      <w:tr w:rsidR="00BB4DE2" w14:paraId="7784A348" w14:textId="77777777" w:rsidTr="00A352AD">
        <w:trPr>
          <w:trHeight w:val="300"/>
        </w:trPr>
        <w:tc>
          <w:tcPr>
            <w:tcW w:w="2268" w:type="dxa"/>
            <w:noWrap/>
            <w:vAlign w:val="bottom"/>
          </w:tcPr>
          <w:p w14:paraId="09F5F633" w14:textId="77777777" w:rsidR="00BB4DE2" w:rsidRPr="002F357B" w:rsidRDefault="00BB4DE2" w:rsidP="00BB4DE2">
            <w:pPr>
              <w:spacing w:after="0"/>
              <w:rPr>
                <w:rFonts w:cs="Arial"/>
                <w:b/>
                <w:color w:val="000000"/>
                <w:szCs w:val="20"/>
              </w:rPr>
            </w:pPr>
            <w:r w:rsidRPr="002F357B">
              <w:rPr>
                <w:rFonts w:cs="Arial"/>
                <w:color w:val="000000"/>
                <w:szCs w:val="20"/>
              </w:rPr>
              <w:t>Nelson</w:t>
            </w:r>
          </w:p>
        </w:tc>
        <w:tc>
          <w:tcPr>
            <w:tcW w:w="1933" w:type="dxa"/>
            <w:noWrap/>
            <w:vAlign w:val="bottom"/>
          </w:tcPr>
          <w:p w14:paraId="3BF2B867"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c>
          <w:tcPr>
            <w:tcW w:w="1933" w:type="dxa"/>
            <w:noWrap/>
            <w:vAlign w:val="bottom"/>
          </w:tcPr>
          <w:p w14:paraId="699911E5"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c>
          <w:tcPr>
            <w:tcW w:w="1933" w:type="dxa"/>
            <w:noWrap/>
            <w:vAlign w:val="bottom"/>
          </w:tcPr>
          <w:p w14:paraId="30506D29"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c>
          <w:tcPr>
            <w:tcW w:w="2045" w:type="dxa"/>
            <w:noWrap/>
            <w:vAlign w:val="bottom"/>
          </w:tcPr>
          <w:p w14:paraId="1878981C"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c>
          <w:tcPr>
            <w:tcW w:w="2045" w:type="dxa"/>
            <w:vAlign w:val="bottom"/>
          </w:tcPr>
          <w:p w14:paraId="65703852"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c>
          <w:tcPr>
            <w:tcW w:w="2163" w:type="dxa"/>
            <w:vAlign w:val="bottom"/>
          </w:tcPr>
          <w:p w14:paraId="1D2D8CF0"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r>
      <w:tr w:rsidR="00BB4DE2" w14:paraId="2BBBCC1C" w14:textId="77777777" w:rsidTr="00A352AD">
        <w:trPr>
          <w:trHeight w:val="300"/>
        </w:trPr>
        <w:tc>
          <w:tcPr>
            <w:tcW w:w="2268" w:type="dxa"/>
            <w:noWrap/>
            <w:vAlign w:val="bottom"/>
          </w:tcPr>
          <w:p w14:paraId="36790807" w14:textId="77777777" w:rsidR="00BB4DE2" w:rsidRPr="002F357B" w:rsidRDefault="00BB4DE2" w:rsidP="00BB4DE2">
            <w:pPr>
              <w:spacing w:after="0"/>
              <w:rPr>
                <w:rFonts w:cs="Arial"/>
                <w:b/>
                <w:color w:val="000000"/>
                <w:szCs w:val="20"/>
              </w:rPr>
            </w:pPr>
            <w:r w:rsidRPr="002F357B">
              <w:rPr>
                <w:rFonts w:cs="Arial"/>
                <w:color w:val="000000"/>
                <w:szCs w:val="20"/>
              </w:rPr>
              <w:t>Northland</w:t>
            </w:r>
          </w:p>
        </w:tc>
        <w:tc>
          <w:tcPr>
            <w:tcW w:w="1933" w:type="dxa"/>
            <w:noWrap/>
            <w:vAlign w:val="bottom"/>
          </w:tcPr>
          <w:p w14:paraId="5C35CC95"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$0.47 - $0.7 </w:t>
            </w:r>
          </w:p>
        </w:tc>
        <w:tc>
          <w:tcPr>
            <w:tcW w:w="1933" w:type="dxa"/>
            <w:noWrap/>
            <w:vAlign w:val="bottom"/>
          </w:tcPr>
          <w:p w14:paraId="16F65A61"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$37 - $55 </w:t>
            </w:r>
          </w:p>
        </w:tc>
        <w:tc>
          <w:tcPr>
            <w:tcW w:w="1933" w:type="dxa"/>
            <w:noWrap/>
            <w:vAlign w:val="bottom"/>
          </w:tcPr>
          <w:p w14:paraId="03F60472"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$8.6 - $13 </w:t>
            </w:r>
          </w:p>
        </w:tc>
        <w:tc>
          <w:tcPr>
            <w:tcW w:w="2045" w:type="dxa"/>
            <w:noWrap/>
            <w:vAlign w:val="bottom"/>
          </w:tcPr>
          <w:p w14:paraId="10154EA7"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$45 - $67 </w:t>
            </w:r>
          </w:p>
        </w:tc>
        <w:tc>
          <w:tcPr>
            <w:tcW w:w="2045" w:type="dxa"/>
            <w:vAlign w:val="bottom"/>
          </w:tcPr>
          <w:p w14:paraId="1C7709DA"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$0.85 - $1.3 </w:t>
            </w:r>
          </w:p>
        </w:tc>
        <w:tc>
          <w:tcPr>
            <w:tcW w:w="2163" w:type="dxa"/>
            <w:vAlign w:val="bottom"/>
          </w:tcPr>
          <w:p w14:paraId="1DC1B7FB"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$1,062 </w:t>
            </w:r>
          </w:p>
        </w:tc>
      </w:tr>
      <w:tr w:rsidR="00BB4DE2" w14:paraId="39EAD47F" w14:textId="77777777" w:rsidTr="00A352AD">
        <w:trPr>
          <w:trHeight w:val="300"/>
        </w:trPr>
        <w:tc>
          <w:tcPr>
            <w:tcW w:w="2268" w:type="dxa"/>
            <w:noWrap/>
            <w:vAlign w:val="bottom"/>
          </w:tcPr>
          <w:p w14:paraId="5E92234A" w14:textId="77777777" w:rsidR="00BB4DE2" w:rsidRPr="002F357B" w:rsidRDefault="00BB4DE2" w:rsidP="00BB4DE2">
            <w:pPr>
              <w:spacing w:after="0"/>
              <w:rPr>
                <w:rFonts w:cs="Arial"/>
                <w:b/>
                <w:color w:val="000000"/>
                <w:szCs w:val="20"/>
              </w:rPr>
            </w:pPr>
            <w:r w:rsidRPr="002F357B">
              <w:rPr>
                <w:rFonts w:cs="Arial"/>
                <w:color w:val="000000"/>
                <w:szCs w:val="20"/>
              </w:rPr>
              <w:t>Otago</w:t>
            </w:r>
          </w:p>
        </w:tc>
        <w:tc>
          <w:tcPr>
            <w:tcW w:w="1933" w:type="dxa"/>
            <w:noWrap/>
            <w:vAlign w:val="bottom"/>
          </w:tcPr>
          <w:p w14:paraId="2760B4E9"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$0.79 - $1.2 </w:t>
            </w:r>
          </w:p>
        </w:tc>
        <w:tc>
          <w:tcPr>
            <w:tcW w:w="1933" w:type="dxa"/>
            <w:noWrap/>
            <w:vAlign w:val="bottom"/>
          </w:tcPr>
          <w:p w14:paraId="44091F1E"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$45 - $67 </w:t>
            </w:r>
          </w:p>
        </w:tc>
        <w:tc>
          <w:tcPr>
            <w:tcW w:w="1933" w:type="dxa"/>
            <w:noWrap/>
            <w:vAlign w:val="bottom"/>
          </w:tcPr>
          <w:p w14:paraId="2CFB9EE3"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$23 - $35 </w:t>
            </w:r>
          </w:p>
        </w:tc>
        <w:tc>
          <w:tcPr>
            <w:tcW w:w="2045" w:type="dxa"/>
            <w:noWrap/>
            <w:vAlign w:val="bottom"/>
          </w:tcPr>
          <w:p w14:paraId="4C0B2DE6"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$52 - $78 </w:t>
            </w:r>
          </w:p>
        </w:tc>
        <w:tc>
          <w:tcPr>
            <w:tcW w:w="2045" w:type="dxa"/>
            <w:vAlign w:val="bottom"/>
          </w:tcPr>
          <w:p w14:paraId="63ECBCAD"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$0.93 - $1.4 </w:t>
            </w:r>
          </w:p>
        </w:tc>
        <w:tc>
          <w:tcPr>
            <w:tcW w:w="2163" w:type="dxa"/>
            <w:vAlign w:val="bottom"/>
          </w:tcPr>
          <w:p w14:paraId="0C0F16D0"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$1,899 </w:t>
            </w:r>
          </w:p>
        </w:tc>
      </w:tr>
      <w:tr w:rsidR="00BB4DE2" w14:paraId="307CA5B8" w14:textId="77777777" w:rsidTr="00A352AD">
        <w:trPr>
          <w:trHeight w:val="300"/>
        </w:trPr>
        <w:tc>
          <w:tcPr>
            <w:tcW w:w="2268" w:type="dxa"/>
            <w:noWrap/>
            <w:vAlign w:val="bottom"/>
          </w:tcPr>
          <w:p w14:paraId="00E6E90D" w14:textId="77777777" w:rsidR="00BB4DE2" w:rsidRPr="002F357B" w:rsidRDefault="00BB4DE2" w:rsidP="00BB4DE2">
            <w:pPr>
              <w:spacing w:after="0"/>
              <w:rPr>
                <w:rFonts w:cs="Arial"/>
                <w:b/>
                <w:color w:val="000000"/>
                <w:szCs w:val="20"/>
              </w:rPr>
            </w:pPr>
            <w:r w:rsidRPr="002F357B">
              <w:rPr>
                <w:rFonts w:cs="Arial"/>
                <w:color w:val="000000"/>
                <w:szCs w:val="20"/>
              </w:rPr>
              <w:t>Southland</w:t>
            </w:r>
          </w:p>
        </w:tc>
        <w:tc>
          <w:tcPr>
            <w:tcW w:w="1933" w:type="dxa"/>
            <w:noWrap/>
            <w:vAlign w:val="bottom"/>
          </w:tcPr>
          <w:p w14:paraId="35875431"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$0.2 - $0.3 </w:t>
            </w:r>
          </w:p>
        </w:tc>
        <w:tc>
          <w:tcPr>
            <w:tcW w:w="1933" w:type="dxa"/>
            <w:noWrap/>
            <w:vAlign w:val="bottom"/>
          </w:tcPr>
          <w:p w14:paraId="23B5A5AF"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$18 - $27 </w:t>
            </w:r>
          </w:p>
        </w:tc>
        <w:tc>
          <w:tcPr>
            <w:tcW w:w="1933" w:type="dxa"/>
            <w:noWrap/>
            <w:vAlign w:val="bottom"/>
          </w:tcPr>
          <w:p w14:paraId="0AA1ED44"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$6.2 - $9.3 </w:t>
            </w:r>
          </w:p>
        </w:tc>
        <w:tc>
          <w:tcPr>
            <w:tcW w:w="2045" w:type="dxa"/>
            <w:noWrap/>
            <w:vAlign w:val="bottom"/>
          </w:tcPr>
          <w:p w14:paraId="0117F025"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$18 - $28 </w:t>
            </w:r>
          </w:p>
        </w:tc>
        <w:tc>
          <w:tcPr>
            <w:tcW w:w="2045" w:type="dxa"/>
            <w:vAlign w:val="bottom"/>
          </w:tcPr>
          <w:p w14:paraId="0E6475E4"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$0.21 - $0.31 </w:t>
            </w:r>
          </w:p>
        </w:tc>
        <w:tc>
          <w:tcPr>
            <w:tcW w:w="2163" w:type="dxa"/>
            <w:vAlign w:val="bottom"/>
          </w:tcPr>
          <w:p w14:paraId="3F0B5304"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$1,874 </w:t>
            </w:r>
          </w:p>
        </w:tc>
      </w:tr>
      <w:tr w:rsidR="00BB4DE2" w14:paraId="3088D039" w14:textId="77777777" w:rsidTr="00A352AD">
        <w:trPr>
          <w:trHeight w:val="300"/>
        </w:trPr>
        <w:tc>
          <w:tcPr>
            <w:tcW w:w="2268" w:type="dxa"/>
            <w:noWrap/>
            <w:vAlign w:val="bottom"/>
          </w:tcPr>
          <w:p w14:paraId="38EE5D3C" w14:textId="77777777" w:rsidR="00BB4DE2" w:rsidRPr="002F357B" w:rsidRDefault="00BB4DE2" w:rsidP="00BB4DE2">
            <w:pPr>
              <w:spacing w:after="0"/>
              <w:rPr>
                <w:rFonts w:cs="Arial"/>
                <w:b/>
                <w:color w:val="000000"/>
                <w:szCs w:val="20"/>
              </w:rPr>
            </w:pPr>
            <w:r w:rsidRPr="002F357B">
              <w:rPr>
                <w:rFonts w:cs="Arial"/>
                <w:color w:val="000000"/>
                <w:szCs w:val="20"/>
              </w:rPr>
              <w:t>Taranaki</w:t>
            </w:r>
          </w:p>
        </w:tc>
        <w:tc>
          <w:tcPr>
            <w:tcW w:w="1933" w:type="dxa"/>
            <w:noWrap/>
            <w:vAlign w:val="bottom"/>
          </w:tcPr>
          <w:p w14:paraId="2B7B9506"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$1.5 - $2.3 </w:t>
            </w:r>
          </w:p>
        </w:tc>
        <w:tc>
          <w:tcPr>
            <w:tcW w:w="1933" w:type="dxa"/>
            <w:noWrap/>
            <w:vAlign w:val="bottom"/>
          </w:tcPr>
          <w:p w14:paraId="3F10D2EF"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$58 - $86 </w:t>
            </w:r>
          </w:p>
        </w:tc>
        <w:tc>
          <w:tcPr>
            <w:tcW w:w="1933" w:type="dxa"/>
            <w:noWrap/>
            <w:vAlign w:val="bottom"/>
          </w:tcPr>
          <w:p w14:paraId="0378E6CE"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c>
          <w:tcPr>
            <w:tcW w:w="2045" w:type="dxa"/>
            <w:noWrap/>
            <w:vAlign w:val="bottom"/>
          </w:tcPr>
          <w:p w14:paraId="503B275B"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$72 - $110 </w:t>
            </w:r>
          </w:p>
        </w:tc>
        <w:tc>
          <w:tcPr>
            <w:tcW w:w="2045" w:type="dxa"/>
            <w:vAlign w:val="bottom"/>
          </w:tcPr>
          <w:p w14:paraId="0861A295"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$2.5 - $3.8 </w:t>
            </w:r>
          </w:p>
        </w:tc>
        <w:tc>
          <w:tcPr>
            <w:tcW w:w="2163" w:type="dxa"/>
            <w:vAlign w:val="bottom"/>
          </w:tcPr>
          <w:p w14:paraId="24A6DD69"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$2,882 </w:t>
            </w:r>
          </w:p>
        </w:tc>
      </w:tr>
      <w:tr w:rsidR="00BB4DE2" w14:paraId="4103A21B" w14:textId="77777777" w:rsidTr="00A352AD">
        <w:trPr>
          <w:trHeight w:val="300"/>
        </w:trPr>
        <w:tc>
          <w:tcPr>
            <w:tcW w:w="2268" w:type="dxa"/>
            <w:noWrap/>
            <w:vAlign w:val="bottom"/>
          </w:tcPr>
          <w:p w14:paraId="0BA8F4B3" w14:textId="77777777" w:rsidR="00BB4DE2" w:rsidRPr="002F357B" w:rsidRDefault="00BB4DE2" w:rsidP="00BB4DE2">
            <w:pPr>
              <w:spacing w:after="0"/>
              <w:rPr>
                <w:rFonts w:cs="Arial"/>
                <w:b/>
                <w:color w:val="000000"/>
                <w:szCs w:val="20"/>
              </w:rPr>
            </w:pPr>
            <w:r w:rsidRPr="002F357B">
              <w:rPr>
                <w:rFonts w:cs="Arial"/>
                <w:color w:val="000000"/>
                <w:szCs w:val="20"/>
              </w:rPr>
              <w:t>Tasman</w:t>
            </w:r>
          </w:p>
        </w:tc>
        <w:tc>
          <w:tcPr>
            <w:tcW w:w="1933" w:type="dxa"/>
            <w:noWrap/>
            <w:vAlign w:val="bottom"/>
          </w:tcPr>
          <w:p w14:paraId="6BC03045"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$0.25 - $0.38 </w:t>
            </w:r>
          </w:p>
        </w:tc>
        <w:tc>
          <w:tcPr>
            <w:tcW w:w="1933" w:type="dxa"/>
            <w:noWrap/>
            <w:vAlign w:val="bottom"/>
          </w:tcPr>
          <w:p w14:paraId="4708BE94"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$14 - $21 </w:t>
            </w:r>
          </w:p>
        </w:tc>
        <w:tc>
          <w:tcPr>
            <w:tcW w:w="1933" w:type="dxa"/>
            <w:noWrap/>
            <w:vAlign w:val="bottom"/>
          </w:tcPr>
          <w:p w14:paraId="358402D1"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c>
          <w:tcPr>
            <w:tcW w:w="2045" w:type="dxa"/>
            <w:noWrap/>
            <w:vAlign w:val="bottom"/>
          </w:tcPr>
          <w:p w14:paraId="246CD79B"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$16 - $24 </w:t>
            </w:r>
          </w:p>
        </w:tc>
        <w:tc>
          <w:tcPr>
            <w:tcW w:w="2045" w:type="dxa"/>
            <w:vAlign w:val="bottom"/>
          </w:tcPr>
          <w:p w14:paraId="7E981A50"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$0.22 - $0.32 </w:t>
            </w:r>
          </w:p>
        </w:tc>
        <w:tc>
          <w:tcPr>
            <w:tcW w:w="2163" w:type="dxa"/>
            <w:vAlign w:val="bottom"/>
          </w:tcPr>
          <w:p w14:paraId="2C367A6E"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$1,926 </w:t>
            </w:r>
          </w:p>
        </w:tc>
      </w:tr>
      <w:tr w:rsidR="00BB4DE2" w14:paraId="549D0BB7" w14:textId="77777777" w:rsidTr="00A352AD">
        <w:trPr>
          <w:trHeight w:val="300"/>
        </w:trPr>
        <w:tc>
          <w:tcPr>
            <w:tcW w:w="2268" w:type="dxa"/>
            <w:noWrap/>
            <w:vAlign w:val="bottom"/>
          </w:tcPr>
          <w:p w14:paraId="436EBEF9" w14:textId="77777777" w:rsidR="00BB4DE2" w:rsidRPr="002F357B" w:rsidRDefault="00BB4DE2" w:rsidP="00BB4DE2">
            <w:pPr>
              <w:spacing w:after="0"/>
              <w:rPr>
                <w:rFonts w:cs="Arial"/>
                <w:b/>
                <w:color w:val="000000"/>
                <w:szCs w:val="20"/>
              </w:rPr>
            </w:pPr>
            <w:r w:rsidRPr="002F357B">
              <w:rPr>
                <w:rFonts w:cs="Arial"/>
                <w:color w:val="000000"/>
                <w:szCs w:val="20"/>
              </w:rPr>
              <w:t>Waikato</w:t>
            </w:r>
          </w:p>
        </w:tc>
        <w:tc>
          <w:tcPr>
            <w:tcW w:w="1933" w:type="dxa"/>
            <w:noWrap/>
            <w:vAlign w:val="bottom"/>
          </w:tcPr>
          <w:p w14:paraId="0AA13625"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$0.85 - $1.3 </w:t>
            </w:r>
          </w:p>
        </w:tc>
        <w:tc>
          <w:tcPr>
            <w:tcW w:w="1933" w:type="dxa"/>
            <w:noWrap/>
            <w:vAlign w:val="bottom"/>
          </w:tcPr>
          <w:p w14:paraId="65A6DB31"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$70 - $110 </w:t>
            </w:r>
          </w:p>
        </w:tc>
        <w:tc>
          <w:tcPr>
            <w:tcW w:w="1933" w:type="dxa"/>
            <w:noWrap/>
            <w:vAlign w:val="bottom"/>
          </w:tcPr>
          <w:p w14:paraId="4D33D804"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$33 - $50 </w:t>
            </w:r>
          </w:p>
        </w:tc>
        <w:tc>
          <w:tcPr>
            <w:tcW w:w="2045" w:type="dxa"/>
            <w:noWrap/>
            <w:vAlign w:val="bottom"/>
          </w:tcPr>
          <w:p w14:paraId="58F2FCE6"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$92 - $140 </w:t>
            </w:r>
          </w:p>
        </w:tc>
        <w:tc>
          <w:tcPr>
            <w:tcW w:w="2045" w:type="dxa"/>
            <w:vAlign w:val="bottom"/>
          </w:tcPr>
          <w:p w14:paraId="7CDCEF86"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$1.9 - $2.9 </w:t>
            </w:r>
          </w:p>
        </w:tc>
        <w:tc>
          <w:tcPr>
            <w:tcW w:w="2163" w:type="dxa"/>
            <w:vAlign w:val="bottom"/>
          </w:tcPr>
          <w:p w14:paraId="42DDDE11"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$1,175 </w:t>
            </w:r>
          </w:p>
        </w:tc>
      </w:tr>
      <w:tr w:rsidR="00BB4DE2" w14:paraId="6EE31BBF" w14:textId="77777777" w:rsidTr="00A352AD">
        <w:trPr>
          <w:trHeight w:val="300"/>
        </w:trPr>
        <w:tc>
          <w:tcPr>
            <w:tcW w:w="2268" w:type="dxa"/>
            <w:noWrap/>
            <w:vAlign w:val="bottom"/>
          </w:tcPr>
          <w:p w14:paraId="27D747A5" w14:textId="77777777" w:rsidR="00BB4DE2" w:rsidRPr="002F357B" w:rsidRDefault="00BB4DE2" w:rsidP="00BB4DE2">
            <w:pPr>
              <w:spacing w:after="0"/>
              <w:rPr>
                <w:rFonts w:cs="Arial"/>
                <w:b/>
                <w:color w:val="000000"/>
                <w:szCs w:val="20"/>
              </w:rPr>
            </w:pPr>
            <w:r w:rsidRPr="002F357B">
              <w:rPr>
                <w:rFonts w:cs="Arial"/>
                <w:color w:val="000000"/>
                <w:szCs w:val="20"/>
              </w:rPr>
              <w:t>Wellington</w:t>
            </w:r>
          </w:p>
        </w:tc>
        <w:tc>
          <w:tcPr>
            <w:tcW w:w="1933" w:type="dxa"/>
            <w:noWrap/>
            <w:vAlign w:val="bottom"/>
          </w:tcPr>
          <w:p w14:paraId="08E44875"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$2 - $2.9 </w:t>
            </w:r>
          </w:p>
        </w:tc>
        <w:tc>
          <w:tcPr>
            <w:tcW w:w="1933" w:type="dxa"/>
            <w:noWrap/>
            <w:vAlign w:val="bottom"/>
          </w:tcPr>
          <w:p w14:paraId="38BC56DE"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$85 - $130 </w:t>
            </w:r>
          </w:p>
        </w:tc>
        <w:tc>
          <w:tcPr>
            <w:tcW w:w="1933" w:type="dxa"/>
            <w:noWrap/>
            <w:vAlign w:val="bottom"/>
          </w:tcPr>
          <w:p w14:paraId="2C5D5C7D"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c>
          <w:tcPr>
            <w:tcW w:w="2045" w:type="dxa"/>
            <w:noWrap/>
            <w:vAlign w:val="bottom"/>
          </w:tcPr>
          <w:p w14:paraId="14B1F916"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$110 - $160 </w:t>
            </w:r>
          </w:p>
        </w:tc>
        <w:tc>
          <w:tcPr>
            <w:tcW w:w="2045" w:type="dxa"/>
            <w:vAlign w:val="bottom"/>
          </w:tcPr>
          <w:p w14:paraId="0AAD7406"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$4.1 - $6.2 </w:t>
            </w:r>
          </w:p>
        </w:tc>
        <w:tc>
          <w:tcPr>
            <w:tcW w:w="2163" w:type="dxa"/>
            <w:vAlign w:val="bottom"/>
          </w:tcPr>
          <w:p w14:paraId="3B48B20B"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$1,209 </w:t>
            </w:r>
          </w:p>
        </w:tc>
      </w:tr>
      <w:tr w:rsidR="00BB4DE2" w14:paraId="6764C1F6" w14:textId="77777777" w:rsidTr="00A352AD">
        <w:trPr>
          <w:trHeight w:val="300"/>
        </w:trPr>
        <w:tc>
          <w:tcPr>
            <w:tcW w:w="2268" w:type="dxa"/>
            <w:noWrap/>
            <w:vAlign w:val="bottom"/>
          </w:tcPr>
          <w:p w14:paraId="19AC60BB" w14:textId="77777777" w:rsidR="00BB4DE2" w:rsidRPr="002F357B" w:rsidRDefault="00BB4DE2" w:rsidP="00BB4DE2">
            <w:pPr>
              <w:spacing w:after="0"/>
              <w:rPr>
                <w:rFonts w:cs="Arial"/>
                <w:b/>
                <w:color w:val="000000"/>
                <w:szCs w:val="20"/>
              </w:rPr>
            </w:pPr>
            <w:r w:rsidRPr="002F357B">
              <w:rPr>
                <w:rFonts w:cs="Arial"/>
                <w:color w:val="000000"/>
                <w:szCs w:val="20"/>
              </w:rPr>
              <w:t>West Coast</w:t>
            </w:r>
          </w:p>
        </w:tc>
        <w:tc>
          <w:tcPr>
            <w:tcW w:w="1933" w:type="dxa"/>
            <w:noWrap/>
            <w:vAlign w:val="bottom"/>
          </w:tcPr>
          <w:p w14:paraId="0507A075"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$0.77 - $1.2 </w:t>
            </w:r>
          </w:p>
        </w:tc>
        <w:tc>
          <w:tcPr>
            <w:tcW w:w="1933" w:type="dxa"/>
            <w:noWrap/>
            <w:vAlign w:val="bottom"/>
          </w:tcPr>
          <w:p w14:paraId="10A356AA"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$72 - $110 </w:t>
            </w:r>
          </w:p>
        </w:tc>
        <w:tc>
          <w:tcPr>
            <w:tcW w:w="1933" w:type="dxa"/>
            <w:noWrap/>
            <w:vAlign w:val="bottom"/>
          </w:tcPr>
          <w:p w14:paraId="65406709"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$5 - $7.6 </w:t>
            </w:r>
          </w:p>
        </w:tc>
        <w:tc>
          <w:tcPr>
            <w:tcW w:w="2045" w:type="dxa"/>
            <w:noWrap/>
            <w:vAlign w:val="bottom"/>
          </w:tcPr>
          <w:p w14:paraId="72BDB5B5"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$94 - $140 </w:t>
            </w:r>
          </w:p>
        </w:tc>
        <w:tc>
          <w:tcPr>
            <w:tcW w:w="2045" w:type="dxa"/>
            <w:vAlign w:val="bottom"/>
          </w:tcPr>
          <w:p w14:paraId="72F0E11A"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$2.7 - $4 </w:t>
            </w:r>
          </w:p>
        </w:tc>
        <w:tc>
          <w:tcPr>
            <w:tcW w:w="2163" w:type="dxa"/>
            <w:vAlign w:val="bottom"/>
          </w:tcPr>
          <w:p w14:paraId="1DF8A87F"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$2,054 </w:t>
            </w:r>
          </w:p>
        </w:tc>
      </w:tr>
      <w:tr w:rsidR="00BB4DE2" w14:paraId="660F829C" w14:textId="77777777" w:rsidTr="00A352AD">
        <w:trPr>
          <w:trHeight w:val="300"/>
        </w:trPr>
        <w:tc>
          <w:tcPr>
            <w:tcW w:w="2268" w:type="dxa"/>
            <w:noWrap/>
            <w:vAlign w:val="bottom"/>
          </w:tcPr>
          <w:p w14:paraId="1F71F28E" w14:textId="77777777" w:rsidR="00BB4DE2" w:rsidRPr="002F357B" w:rsidRDefault="00BB4DE2" w:rsidP="00BB4DE2">
            <w:pPr>
              <w:spacing w:after="0"/>
              <w:rPr>
                <w:rFonts w:cs="Arial"/>
                <w:b/>
                <w:color w:val="000000"/>
                <w:szCs w:val="20"/>
              </w:rPr>
            </w:pPr>
            <w:r w:rsidRPr="002F357B">
              <w:rPr>
                <w:rFonts w:cs="Arial"/>
                <w:b/>
                <w:color w:val="000000"/>
                <w:szCs w:val="20"/>
              </w:rPr>
              <w:t>Total</w:t>
            </w:r>
          </w:p>
        </w:tc>
        <w:tc>
          <w:tcPr>
            <w:tcW w:w="1933" w:type="dxa"/>
            <w:noWrap/>
            <w:vAlign w:val="bottom"/>
          </w:tcPr>
          <w:p w14:paraId="7172F28C" w14:textId="77777777" w:rsidR="00BB4DE2" w:rsidRPr="002F357B" w:rsidRDefault="00BB4DE2" w:rsidP="00BB4DE2">
            <w:pPr>
              <w:spacing w:after="0"/>
              <w:jc w:val="center"/>
              <w:rPr>
                <w:rFonts w:cs="Arial"/>
                <w:b/>
                <w:color w:val="000000"/>
                <w:szCs w:val="20"/>
              </w:rPr>
            </w:pPr>
            <w:r w:rsidRPr="002F357B">
              <w:rPr>
                <w:rFonts w:cs="Arial"/>
                <w:b/>
                <w:color w:val="000000"/>
                <w:szCs w:val="20"/>
              </w:rPr>
              <w:t xml:space="preserve"> $8.1 - $12 </w:t>
            </w:r>
          </w:p>
        </w:tc>
        <w:tc>
          <w:tcPr>
            <w:tcW w:w="1933" w:type="dxa"/>
            <w:noWrap/>
            <w:vAlign w:val="bottom"/>
          </w:tcPr>
          <w:p w14:paraId="61CFD134" w14:textId="77777777" w:rsidR="00BB4DE2" w:rsidRPr="002F357B" w:rsidRDefault="00BB4DE2" w:rsidP="00BB4DE2">
            <w:pPr>
              <w:spacing w:after="0"/>
              <w:jc w:val="center"/>
              <w:rPr>
                <w:rFonts w:cs="Arial"/>
                <w:b/>
                <w:color w:val="000000"/>
                <w:szCs w:val="20"/>
              </w:rPr>
            </w:pPr>
            <w:r w:rsidRPr="002F357B">
              <w:rPr>
                <w:rFonts w:cs="Arial"/>
                <w:b/>
                <w:color w:val="000000"/>
                <w:szCs w:val="20"/>
              </w:rPr>
              <w:t xml:space="preserve"> $500 - $760 </w:t>
            </w:r>
          </w:p>
        </w:tc>
        <w:tc>
          <w:tcPr>
            <w:tcW w:w="1933" w:type="dxa"/>
            <w:noWrap/>
            <w:vAlign w:val="bottom"/>
          </w:tcPr>
          <w:p w14:paraId="7C99AAC1" w14:textId="77777777" w:rsidR="00BB4DE2" w:rsidRPr="002F357B" w:rsidRDefault="00BB4DE2" w:rsidP="00BB4DE2">
            <w:pPr>
              <w:spacing w:after="0"/>
              <w:jc w:val="center"/>
              <w:rPr>
                <w:rFonts w:cs="Arial"/>
                <w:b/>
                <w:color w:val="000000"/>
                <w:szCs w:val="20"/>
              </w:rPr>
            </w:pPr>
            <w:r w:rsidRPr="002F357B">
              <w:rPr>
                <w:rFonts w:cs="Arial"/>
                <w:b/>
                <w:color w:val="000000"/>
                <w:szCs w:val="20"/>
              </w:rPr>
              <w:t xml:space="preserve"> $100 - $150 </w:t>
            </w:r>
          </w:p>
        </w:tc>
        <w:tc>
          <w:tcPr>
            <w:tcW w:w="2045" w:type="dxa"/>
            <w:noWrap/>
            <w:vAlign w:val="bottom"/>
          </w:tcPr>
          <w:p w14:paraId="2E389969" w14:textId="77777777" w:rsidR="00BB4DE2" w:rsidRPr="002F357B" w:rsidRDefault="00BB4DE2" w:rsidP="00BB4DE2">
            <w:pPr>
              <w:spacing w:after="0"/>
              <w:jc w:val="center"/>
              <w:rPr>
                <w:rFonts w:cs="Arial"/>
                <w:b/>
                <w:color w:val="000000"/>
                <w:szCs w:val="20"/>
              </w:rPr>
            </w:pPr>
            <w:r w:rsidRPr="002F357B">
              <w:rPr>
                <w:rFonts w:cs="Arial"/>
                <w:b/>
                <w:color w:val="000000"/>
                <w:szCs w:val="20"/>
              </w:rPr>
              <w:t xml:space="preserve"> $630 - $950 </w:t>
            </w:r>
          </w:p>
        </w:tc>
        <w:tc>
          <w:tcPr>
            <w:tcW w:w="2045" w:type="dxa"/>
            <w:vAlign w:val="bottom"/>
          </w:tcPr>
          <w:p w14:paraId="4C622F2E" w14:textId="77777777" w:rsidR="00BB4DE2" w:rsidRPr="002F357B" w:rsidRDefault="00BB4DE2" w:rsidP="00BB4DE2">
            <w:pPr>
              <w:spacing w:after="0"/>
              <w:jc w:val="center"/>
              <w:rPr>
                <w:rFonts w:cs="Arial"/>
                <w:b/>
                <w:color w:val="000000"/>
                <w:szCs w:val="20"/>
              </w:rPr>
            </w:pPr>
            <w:r w:rsidRPr="002F357B">
              <w:rPr>
                <w:rFonts w:cs="Arial"/>
                <w:b/>
                <w:color w:val="000000"/>
                <w:szCs w:val="20"/>
              </w:rPr>
              <w:t xml:space="preserve"> $16 - $24</w:t>
            </w:r>
            <w:r w:rsidR="00BE766D" w:rsidRPr="002F357B">
              <w:rPr>
                <w:rFonts w:cs="Arial"/>
                <w:b/>
                <w:color w:val="000000"/>
                <w:szCs w:val="20"/>
              </w:rPr>
              <w:t xml:space="preserve"> Million per annum</w:t>
            </w:r>
            <w:r w:rsidRPr="002F357B">
              <w:rPr>
                <w:rFonts w:cs="Arial"/>
                <w:b/>
                <w:color w:val="000000"/>
                <w:szCs w:val="20"/>
              </w:rPr>
              <w:t xml:space="preserve"> </w:t>
            </w:r>
          </w:p>
        </w:tc>
        <w:tc>
          <w:tcPr>
            <w:tcW w:w="2163" w:type="dxa"/>
            <w:vAlign w:val="bottom"/>
          </w:tcPr>
          <w:p w14:paraId="6DB8CFF9" w14:textId="77777777" w:rsidR="00BB4DE2" w:rsidRPr="002F357B" w:rsidRDefault="00BB4DE2" w:rsidP="00BB4DE2">
            <w:pPr>
              <w:spacing w:after="0"/>
              <w:jc w:val="center"/>
              <w:rPr>
                <w:rFonts w:cs="Arial"/>
                <w:b/>
                <w:color w:val="000000"/>
                <w:szCs w:val="20"/>
              </w:rPr>
            </w:pPr>
            <w:r w:rsidRPr="002F357B">
              <w:rPr>
                <w:rFonts w:cs="Arial"/>
                <w:b/>
                <w:color w:val="000000"/>
                <w:szCs w:val="20"/>
              </w:rPr>
              <w:t xml:space="preserve"> $1,447 </w:t>
            </w:r>
          </w:p>
        </w:tc>
      </w:tr>
    </w:tbl>
    <w:p w14:paraId="7C127DF3" w14:textId="77777777" w:rsidR="00BB4DE2" w:rsidRDefault="00BB4DE2" w:rsidP="00E66F34">
      <w:pPr>
        <w:pStyle w:val="Body"/>
        <w:ind w:left="0"/>
        <w:rPr>
          <w:lang w:eastAsia="en-AU"/>
        </w:rPr>
      </w:pPr>
    </w:p>
    <w:p w14:paraId="6C76C6F7" w14:textId="77777777" w:rsidR="00BB4DE2" w:rsidRDefault="00BB4DE2">
      <w:pPr>
        <w:spacing w:after="0"/>
        <w:rPr>
          <w:lang w:eastAsia="en-AU"/>
        </w:rPr>
      </w:pPr>
      <w:r>
        <w:rPr>
          <w:lang w:eastAsia="en-AU"/>
        </w:rPr>
        <w:br w:type="page"/>
      </w:r>
    </w:p>
    <w:p w14:paraId="23BBDCF4" w14:textId="77777777" w:rsidR="00BB4DE2" w:rsidRDefault="00BB4DE2" w:rsidP="00A352AD">
      <w:pPr>
        <w:pStyle w:val="Caption"/>
      </w:pPr>
      <w:bookmarkStart w:id="583" w:name="_Ref521052199"/>
      <w:bookmarkStart w:id="584" w:name="_Toc521064803"/>
      <w:r>
        <w:lastRenderedPageBreak/>
        <w:t xml:space="preserve">Table </w:t>
      </w:r>
      <w:r w:rsidR="007B3D80">
        <w:rPr>
          <w:noProof/>
        </w:rPr>
        <w:fldChar w:fldCharType="begin"/>
      </w:r>
      <w:r w:rsidR="007B3D80">
        <w:rPr>
          <w:noProof/>
        </w:rPr>
        <w:instrText xml:space="preserve"> SEQ Table \* ARABIC </w:instrText>
      </w:r>
      <w:r w:rsidR="007B3D80">
        <w:rPr>
          <w:noProof/>
        </w:rPr>
        <w:fldChar w:fldCharType="separate"/>
      </w:r>
      <w:r w:rsidR="002777A8">
        <w:rPr>
          <w:noProof/>
        </w:rPr>
        <w:t>20</w:t>
      </w:r>
      <w:r w:rsidR="007B3D80">
        <w:rPr>
          <w:noProof/>
        </w:rPr>
        <w:fldChar w:fldCharType="end"/>
      </w:r>
      <w:bookmarkEnd w:id="583"/>
      <w:r>
        <w:t xml:space="preserve">  </w:t>
      </w:r>
      <w:r w:rsidRPr="001E2E0B">
        <w:t>Summary of WWTP upgrade costs to meet B Attribute target of NPS</w:t>
      </w:r>
      <w:r>
        <w:t xml:space="preserve"> Freshwater by region for small</w:t>
      </w:r>
      <w:r w:rsidRPr="001E2E0B">
        <w:t xml:space="preserve"> contributing plants</w:t>
      </w:r>
      <w:bookmarkEnd w:id="584"/>
    </w:p>
    <w:tbl>
      <w:tblPr>
        <w:tblStyle w:val="Table-Style3"/>
        <w:tblW w:w="14320" w:type="dxa"/>
        <w:tblInd w:w="40" w:type="dxa"/>
        <w:tblLayout w:type="fixed"/>
        <w:tblLook w:val="04A0" w:firstRow="1" w:lastRow="0" w:firstColumn="1" w:lastColumn="0" w:noHBand="0" w:noVBand="1"/>
      </w:tblPr>
      <w:tblGrid>
        <w:gridCol w:w="2268"/>
        <w:gridCol w:w="1933"/>
        <w:gridCol w:w="1933"/>
        <w:gridCol w:w="1933"/>
        <w:gridCol w:w="2045"/>
        <w:gridCol w:w="2045"/>
        <w:gridCol w:w="2163"/>
      </w:tblGrid>
      <w:tr w:rsidR="00BB4DE2" w:rsidRPr="002F357B" w14:paraId="2C9EF03F" w14:textId="77777777" w:rsidTr="00381B57">
        <w:trPr>
          <w:cnfStyle w:val="100000000000" w:firstRow="1" w:lastRow="0" w:firstColumn="0" w:lastColumn="0" w:oddVBand="0" w:evenVBand="0" w:oddHBand="0" w:evenHBand="0" w:firstRowFirstColumn="0" w:firstRowLastColumn="0" w:lastRowFirstColumn="0" w:lastRowLastColumn="0"/>
          <w:trHeight w:val="300"/>
        </w:trPr>
        <w:tc>
          <w:tcPr>
            <w:tcW w:w="2268" w:type="dxa"/>
            <w:vMerge w:val="restart"/>
            <w:noWrap/>
            <w:vAlign w:val="center"/>
          </w:tcPr>
          <w:p w14:paraId="791853C7" w14:textId="77777777" w:rsidR="00BB4DE2" w:rsidRPr="002F357B" w:rsidRDefault="00BB4DE2" w:rsidP="00E8468D">
            <w:pPr>
              <w:spacing w:before="45" w:after="30"/>
              <w:rPr>
                <w:rFonts w:cs="Arial"/>
                <w:bCs/>
                <w:color w:val="FFFFFF" w:themeColor="background1"/>
                <w:szCs w:val="20"/>
                <w:lang w:val="en-NZ" w:eastAsia="en-NZ"/>
              </w:rPr>
            </w:pPr>
            <w:r w:rsidRPr="002F357B">
              <w:rPr>
                <w:rFonts w:cs="Arial"/>
                <w:bCs/>
                <w:color w:val="FFFFFF" w:themeColor="background1"/>
                <w:szCs w:val="20"/>
                <w:lang w:val="en-NZ" w:eastAsia="en-NZ"/>
              </w:rPr>
              <w:t>Region</w:t>
            </w:r>
          </w:p>
        </w:tc>
        <w:tc>
          <w:tcPr>
            <w:tcW w:w="5799" w:type="dxa"/>
            <w:gridSpan w:val="3"/>
            <w:noWrap/>
          </w:tcPr>
          <w:p w14:paraId="35530303" w14:textId="77777777" w:rsidR="00BB4DE2" w:rsidRPr="00381B57" w:rsidRDefault="00BB4DE2" w:rsidP="00381B57">
            <w:pPr>
              <w:pStyle w:val="Body"/>
              <w:ind w:left="0"/>
              <w:jc w:val="center"/>
              <w:rPr>
                <w:lang w:eastAsia="en-AU"/>
              </w:rPr>
            </w:pPr>
            <w:r w:rsidRPr="00381B57">
              <w:rPr>
                <w:lang w:eastAsia="en-AU"/>
              </w:rPr>
              <w:t>Cost to meet NPS for ($ Million):</w:t>
            </w:r>
          </w:p>
        </w:tc>
        <w:tc>
          <w:tcPr>
            <w:tcW w:w="2045" w:type="dxa"/>
            <w:vMerge w:val="restart"/>
            <w:noWrap/>
          </w:tcPr>
          <w:p w14:paraId="4CA75E62" w14:textId="77777777" w:rsidR="00BB4DE2" w:rsidRPr="00381B57" w:rsidRDefault="00BB4DE2" w:rsidP="00381B57">
            <w:pPr>
              <w:pStyle w:val="Body"/>
              <w:ind w:left="0"/>
              <w:jc w:val="center"/>
              <w:rPr>
                <w:lang w:eastAsia="en-AU"/>
              </w:rPr>
            </w:pPr>
            <w:r w:rsidRPr="00381B57">
              <w:rPr>
                <w:lang w:eastAsia="en-AU"/>
              </w:rPr>
              <w:t xml:space="preserve">Best </w:t>
            </w:r>
            <w:r w:rsidR="00BE766D" w:rsidRPr="00381B57">
              <w:rPr>
                <w:lang w:eastAsia="en-AU"/>
              </w:rPr>
              <w:t>practice</w:t>
            </w:r>
            <w:r w:rsidR="00381B57">
              <w:rPr>
                <w:lang w:eastAsia="en-AU"/>
              </w:rPr>
              <w:t xml:space="preserve"> </w:t>
            </w:r>
            <w:r w:rsidRPr="00381B57">
              <w:rPr>
                <w:lang w:eastAsia="en-AU"/>
              </w:rPr>
              <w:t>($</w:t>
            </w:r>
            <w:r w:rsidR="00381B57">
              <w:rPr>
                <w:lang w:eastAsia="en-AU"/>
              </w:rPr>
              <w:t> </w:t>
            </w:r>
            <w:r w:rsidRPr="00381B57">
              <w:rPr>
                <w:lang w:eastAsia="en-AU"/>
              </w:rPr>
              <w:t>Million)</w:t>
            </w:r>
          </w:p>
        </w:tc>
        <w:tc>
          <w:tcPr>
            <w:tcW w:w="2045" w:type="dxa"/>
            <w:vMerge w:val="restart"/>
          </w:tcPr>
          <w:p w14:paraId="4BDCBCB4" w14:textId="77777777" w:rsidR="00BB4DE2" w:rsidRPr="00381B57" w:rsidRDefault="00BB4DE2" w:rsidP="00381B57">
            <w:pPr>
              <w:pStyle w:val="Body"/>
              <w:ind w:left="0"/>
              <w:jc w:val="center"/>
              <w:rPr>
                <w:lang w:eastAsia="en-AU"/>
              </w:rPr>
            </w:pPr>
            <w:r w:rsidRPr="00381B57">
              <w:rPr>
                <w:lang w:eastAsia="en-AU"/>
              </w:rPr>
              <w:t>Annual Opex</w:t>
            </w:r>
            <w:r w:rsidR="00381B57">
              <w:rPr>
                <w:lang w:eastAsia="en-AU"/>
              </w:rPr>
              <w:t xml:space="preserve"> </w:t>
            </w:r>
            <w:r w:rsidRPr="00381B57">
              <w:rPr>
                <w:lang w:eastAsia="en-AU"/>
              </w:rPr>
              <w:t>($</w:t>
            </w:r>
            <w:r w:rsidR="00381B57">
              <w:rPr>
                <w:lang w:eastAsia="en-AU"/>
              </w:rPr>
              <w:t> </w:t>
            </w:r>
            <w:r w:rsidRPr="00381B57">
              <w:rPr>
                <w:lang w:eastAsia="en-AU"/>
              </w:rPr>
              <w:t>Million/year)</w:t>
            </w:r>
          </w:p>
        </w:tc>
        <w:tc>
          <w:tcPr>
            <w:tcW w:w="2163" w:type="dxa"/>
            <w:vMerge w:val="restart"/>
          </w:tcPr>
          <w:p w14:paraId="6E401CD4" w14:textId="77777777" w:rsidR="00BB4DE2" w:rsidRPr="00381B57" w:rsidRDefault="00BB4DE2" w:rsidP="00381B57">
            <w:pPr>
              <w:pStyle w:val="Body"/>
              <w:ind w:left="0"/>
              <w:jc w:val="center"/>
              <w:rPr>
                <w:lang w:eastAsia="en-AU"/>
              </w:rPr>
            </w:pPr>
            <w:r w:rsidRPr="00381B57">
              <w:rPr>
                <w:lang w:eastAsia="en-AU"/>
              </w:rPr>
              <w:t xml:space="preserve">Annual </w:t>
            </w:r>
            <w:r w:rsidR="00BE766D" w:rsidRPr="00381B57">
              <w:rPr>
                <w:lang w:eastAsia="en-AU"/>
              </w:rPr>
              <w:t xml:space="preserve">cost impact </w:t>
            </w:r>
            <w:r w:rsidRPr="00381B57">
              <w:rPr>
                <w:lang w:eastAsia="en-AU"/>
              </w:rPr>
              <w:t xml:space="preserve">per </w:t>
            </w:r>
            <w:r w:rsidR="00BE766D" w:rsidRPr="00381B57">
              <w:rPr>
                <w:lang w:eastAsia="en-AU"/>
              </w:rPr>
              <w:t>affected household</w:t>
            </w:r>
            <w:r w:rsidR="00381B57">
              <w:rPr>
                <w:lang w:eastAsia="en-AU"/>
              </w:rPr>
              <w:t xml:space="preserve"> </w:t>
            </w:r>
            <w:r w:rsidRPr="00381B57">
              <w:rPr>
                <w:lang w:eastAsia="en-AU"/>
              </w:rPr>
              <w:t>($/year)</w:t>
            </w:r>
          </w:p>
        </w:tc>
      </w:tr>
      <w:tr w:rsidR="00BB4DE2" w:rsidRPr="002F357B" w14:paraId="01480D47" w14:textId="77777777" w:rsidTr="00381B57">
        <w:trPr>
          <w:trHeight w:val="300"/>
        </w:trPr>
        <w:tc>
          <w:tcPr>
            <w:tcW w:w="2268" w:type="dxa"/>
            <w:vMerge/>
            <w:noWrap/>
            <w:vAlign w:val="center"/>
            <w:hideMark/>
          </w:tcPr>
          <w:p w14:paraId="687364B2" w14:textId="77777777" w:rsidR="00BB4DE2" w:rsidRPr="002F357B" w:rsidRDefault="00BB4DE2" w:rsidP="00E8468D">
            <w:pPr>
              <w:spacing w:after="0"/>
              <w:jc w:val="center"/>
              <w:rPr>
                <w:rFonts w:cs="Arial"/>
                <w:b/>
                <w:color w:val="000000"/>
                <w:szCs w:val="20"/>
                <w:lang w:val="en-NZ" w:eastAsia="en-NZ"/>
              </w:rPr>
            </w:pPr>
          </w:p>
        </w:tc>
        <w:tc>
          <w:tcPr>
            <w:tcW w:w="1933" w:type="dxa"/>
            <w:shd w:val="clear" w:color="auto" w:fill="00599C"/>
            <w:noWrap/>
            <w:hideMark/>
          </w:tcPr>
          <w:p w14:paraId="2DEAE944" w14:textId="77777777" w:rsidR="00BB4DE2" w:rsidRPr="00381B57" w:rsidRDefault="00BB4DE2" w:rsidP="00381B57">
            <w:pPr>
              <w:pStyle w:val="Body"/>
              <w:ind w:left="0"/>
              <w:jc w:val="center"/>
              <w:rPr>
                <w:color w:val="FFFFFF"/>
                <w:lang w:eastAsia="en-AU"/>
              </w:rPr>
            </w:pPr>
            <w:r w:rsidRPr="00381B57">
              <w:rPr>
                <w:color w:val="FFFFFF"/>
                <w:lang w:eastAsia="en-AU"/>
              </w:rPr>
              <w:t>E.coli</w:t>
            </w:r>
          </w:p>
        </w:tc>
        <w:tc>
          <w:tcPr>
            <w:tcW w:w="1933" w:type="dxa"/>
            <w:shd w:val="clear" w:color="auto" w:fill="00599C"/>
            <w:noWrap/>
            <w:hideMark/>
          </w:tcPr>
          <w:p w14:paraId="28039F0F" w14:textId="77777777" w:rsidR="00BB4DE2" w:rsidRPr="00381B57" w:rsidRDefault="00BB4DE2" w:rsidP="00381B57">
            <w:pPr>
              <w:pStyle w:val="Body"/>
              <w:ind w:left="0"/>
              <w:jc w:val="center"/>
              <w:rPr>
                <w:color w:val="FFFFFF"/>
                <w:lang w:eastAsia="en-AU"/>
              </w:rPr>
            </w:pPr>
            <w:r w:rsidRPr="00381B57">
              <w:rPr>
                <w:color w:val="FFFFFF"/>
                <w:lang w:eastAsia="en-AU"/>
              </w:rPr>
              <w:t>Ammonia</w:t>
            </w:r>
          </w:p>
        </w:tc>
        <w:tc>
          <w:tcPr>
            <w:tcW w:w="1933" w:type="dxa"/>
            <w:shd w:val="clear" w:color="auto" w:fill="00599C"/>
            <w:noWrap/>
            <w:hideMark/>
          </w:tcPr>
          <w:p w14:paraId="2DF9D59F" w14:textId="77777777" w:rsidR="00BB4DE2" w:rsidRPr="00381B57" w:rsidRDefault="00BB4DE2" w:rsidP="00381B57">
            <w:pPr>
              <w:pStyle w:val="Body"/>
              <w:ind w:left="0"/>
              <w:jc w:val="center"/>
              <w:rPr>
                <w:color w:val="FFFFFF"/>
                <w:lang w:eastAsia="en-AU"/>
              </w:rPr>
            </w:pPr>
            <w:r w:rsidRPr="00381B57">
              <w:rPr>
                <w:color w:val="FFFFFF"/>
                <w:lang w:eastAsia="en-AU"/>
              </w:rPr>
              <w:t>Nitrate</w:t>
            </w:r>
          </w:p>
        </w:tc>
        <w:tc>
          <w:tcPr>
            <w:tcW w:w="2045" w:type="dxa"/>
            <w:vMerge/>
            <w:noWrap/>
            <w:hideMark/>
          </w:tcPr>
          <w:p w14:paraId="64850010" w14:textId="77777777" w:rsidR="00BB4DE2" w:rsidRPr="002F357B" w:rsidRDefault="00BB4DE2" w:rsidP="00E8468D">
            <w:pPr>
              <w:spacing w:after="0"/>
              <w:jc w:val="center"/>
              <w:rPr>
                <w:rFonts w:cs="Arial"/>
                <w:bCs/>
                <w:color w:val="000000"/>
                <w:szCs w:val="20"/>
                <w:lang w:val="en-NZ" w:eastAsia="en-NZ"/>
              </w:rPr>
            </w:pPr>
          </w:p>
        </w:tc>
        <w:tc>
          <w:tcPr>
            <w:tcW w:w="2045" w:type="dxa"/>
            <w:vMerge/>
          </w:tcPr>
          <w:p w14:paraId="5D6054B4" w14:textId="77777777" w:rsidR="00BB4DE2" w:rsidRPr="002F357B" w:rsidRDefault="00BB4DE2" w:rsidP="00E8468D">
            <w:pPr>
              <w:spacing w:after="0"/>
              <w:jc w:val="center"/>
              <w:rPr>
                <w:rFonts w:cs="Arial"/>
                <w:bCs/>
                <w:color w:val="000000"/>
                <w:szCs w:val="20"/>
                <w:lang w:val="en-NZ" w:eastAsia="en-NZ"/>
              </w:rPr>
            </w:pPr>
          </w:p>
        </w:tc>
        <w:tc>
          <w:tcPr>
            <w:tcW w:w="2163" w:type="dxa"/>
            <w:vMerge/>
          </w:tcPr>
          <w:p w14:paraId="539E7700" w14:textId="77777777" w:rsidR="00BB4DE2" w:rsidRPr="002F357B" w:rsidRDefault="00BB4DE2" w:rsidP="00E8468D">
            <w:pPr>
              <w:spacing w:after="0"/>
              <w:jc w:val="center"/>
              <w:rPr>
                <w:rFonts w:cs="Arial"/>
                <w:bCs/>
                <w:color w:val="000000"/>
                <w:szCs w:val="20"/>
                <w:lang w:val="en-NZ" w:eastAsia="en-NZ"/>
              </w:rPr>
            </w:pPr>
          </w:p>
        </w:tc>
      </w:tr>
      <w:tr w:rsidR="00BB4DE2" w:rsidRPr="002F357B" w14:paraId="7E2B9ABE" w14:textId="77777777" w:rsidTr="00BB4DE2">
        <w:trPr>
          <w:trHeight w:val="300"/>
        </w:trPr>
        <w:tc>
          <w:tcPr>
            <w:tcW w:w="2268" w:type="dxa"/>
            <w:noWrap/>
            <w:vAlign w:val="bottom"/>
          </w:tcPr>
          <w:p w14:paraId="4431FAD7" w14:textId="77777777" w:rsidR="00BB4DE2" w:rsidRPr="002F357B" w:rsidRDefault="00BB4DE2" w:rsidP="00BB4DE2">
            <w:pPr>
              <w:spacing w:after="0"/>
              <w:rPr>
                <w:rFonts w:cs="Arial"/>
                <w:b/>
                <w:bCs/>
                <w:color w:val="000000"/>
                <w:szCs w:val="20"/>
                <w:lang w:val="en-NZ" w:eastAsia="en-NZ"/>
              </w:rPr>
            </w:pPr>
            <w:r w:rsidRPr="002F357B">
              <w:rPr>
                <w:rFonts w:cs="Arial"/>
                <w:color w:val="000000"/>
                <w:szCs w:val="20"/>
              </w:rPr>
              <w:t>Auckland</w:t>
            </w:r>
          </w:p>
        </w:tc>
        <w:tc>
          <w:tcPr>
            <w:tcW w:w="1933" w:type="dxa"/>
            <w:noWrap/>
            <w:vAlign w:val="bottom"/>
          </w:tcPr>
          <w:p w14:paraId="4C70DDBA" w14:textId="77777777" w:rsidR="00BB4DE2" w:rsidRPr="002F357B" w:rsidRDefault="00BB4DE2" w:rsidP="00BB4DE2">
            <w:pPr>
              <w:spacing w:after="0"/>
              <w:jc w:val="center"/>
              <w:rPr>
                <w:rFonts w:cs="Arial"/>
                <w:color w:val="000000"/>
                <w:szCs w:val="20"/>
                <w:lang w:val="en-NZ" w:eastAsia="en-NZ"/>
              </w:rPr>
            </w:pPr>
            <w:r w:rsidRPr="002F357B">
              <w:rPr>
                <w:rFonts w:cs="Arial"/>
                <w:color w:val="000000"/>
                <w:szCs w:val="20"/>
              </w:rPr>
              <w:t xml:space="preserve"> - </w:t>
            </w:r>
          </w:p>
        </w:tc>
        <w:tc>
          <w:tcPr>
            <w:tcW w:w="1933" w:type="dxa"/>
            <w:noWrap/>
            <w:vAlign w:val="bottom"/>
          </w:tcPr>
          <w:p w14:paraId="20F702C9" w14:textId="77777777" w:rsidR="00BB4DE2" w:rsidRPr="002F357B" w:rsidRDefault="00BB4DE2" w:rsidP="00BB4DE2">
            <w:pPr>
              <w:spacing w:after="0"/>
              <w:jc w:val="center"/>
              <w:rPr>
                <w:rFonts w:cs="Arial"/>
                <w:color w:val="000000"/>
                <w:szCs w:val="20"/>
                <w:lang w:val="en-NZ" w:eastAsia="en-NZ"/>
              </w:rPr>
            </w:pPr>
            <w:r w:rsidRPr="002F357B">
              <w:rPr>
                <w:rFonts w:cs="Arial"/>
                <w:color w:val="000000"/>
                <w:szCs w:val="20"/>
              </w:rPr>
              <w:t xml:space="preserve"> $11 - $16 </w:t>
            </w:r>
          </w:p>
        </w:tc>
        <w:tc>
          <w:tcPr>
            <w:tcW w:w="1933" w:type="dxa"/>
            <w:noWrap/>
            <w:vAlign w:val="bottom"/>
          </w:tcPr>
          <w:p w14:paraId="3F32A72C" w14:textId="77777777" w:rsidR="00BB4DE2" w:rsidRPr="002F357B" w:rsidRDefault="00BB4DE2" w:rsidP="00BB4DE2">
            <w:pPr>
              <w:spacing w:after="0"/>
              <w:jc w:val="center"/>
              <w:rPr>
                <w:rFonts w:cs="Arial"/>
                <w:color w:val="000000"/>
                <w:szCs w:val="20"/>
                <w:lang w:val="en-NZ" w:eastAsia="en-NZ"/>
              </w:rPr>
            </w:pPr>
            <w:r w:rsidRPr="002F357B">
              <w:rPr>
                <w:rFonts w:cs="Arial"/>
                <w:color w:val="000000"/>
                <w:szCs w:val="20"/>
              </w:rPr>
              <w:t xml:space="preserve"> - </w:t>
            </w:r>
          </w:p>
        </w:tc>
        <w:tc>
          <w:tcPr>
            <w:tcW w:w="2045" w:type="dxa"/>
            <w:noWrap/>
            <w:vAlign w:val="bottom"/>
          </w:tcPr>
          <w:p w14:paraId="154407C5" w14:textId="77777777" w:rsidR="00BB4DE2" w:rsidRPr="002F357B" w:rsidRDefault="00BB4DE2" w:rsidP="00BB4DE2">
            <w:pPr>
              <w:spacing w:after="0"/>
              <w:jc w:val="center"/>
              <w:rPr>
                <w:rFonts w:cs="Arial"/>
                <w:color w:val="000000"/>
                <w:szCs w:val="20"/>
                <w:lang w:val="en-NZ" w:eastAsia="en-NZ"/>
              </w:rPr>
            </w:pPr>
            <w:r w:rsidRPr="002F357B">
              <w:rPr>
                <w:rFonts w:cs="Arial"/>
                <w:color w:val="000000"/>
                <w:szCs w:val="20"/>
              </w:rPr>
              <w:t xml:space="preserve"> $14 - $20 </w:t>
            </w:r>
          </w:p>
        </w:tc>
        <w:tc>
          <w:tcPr>
            <w:tcW w:w="2045" w:type="dxa"/>
            <w:vAlign w:val="bottom"/>
          </w:tcPr>
          <w:p w14:paraId="6DEAE0AA"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$0.29 - $0.44 </w:t>
            </w:r>
          </w:p>
        </w:tc>
        <w:tc>
          <w:tcPr>
            <w:tcW w:w="2163" w:type="dxa"/>
            <w:vAlign w:val="bottom"/>
          </w:tcPr>
          <w:p w14:paraId="66B9BA43"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$1,106 </w:t>
            </w:r>
          </w:p>
        </w:tc>
      </w:tr>
      <w:tr w:rsidR="00BB4DE2" w:rsidRPr="002F357B" w14:paraId="0C2AF4B3" w14:textId="77777777" w:rsidTr="00BB4DE2">
        <w:trPr>
          <w:trHeight w:val="300"/>
        </w:trPr>
        <w:tc>
          <w:tcPr>
            <w:tcW w:w="2268" w:type="dxa"/>
            <w:noWrap/>
            <w:vAlign w:val="bottom"/>
          </w:tcPr>
          <w:p w14:paraId="69DC5545" w14:textId="77777777" w:rsidR="00BB4DE2" w:rsidRPr="002F357B" w:rsidRDefault="00BB4DE2" w:rsidP="00BB4DE2">
            <w:pPr>
              <w:spacing w:after="0"/>
              <w:rPr>
                <w:rFonts w:cs="Arial"/>
                <w:b/>
                <w:color w:val="000000"/>
                <w:szCs w:val="20"/>
              </w:rPr>
            </w:pPr>
            <w:r w:rsidRPr="002F357B">
              <w:rPr>
                <w:rFonts w:cs="Arial"/>
                <w:color w:val="000000"/>
                <w:szCs w:val="20"/>
              </w:rPr>
              <w:t>Bay of Plenty</w:t>
            </w:r>
          </w:p>
        </w:tc>
        <w:tc>
          <w:tcPr>
            <w:tcW w:w="1933" w:type="dxa"/>
            <w:noWrap/>
            <w:vAlign w:val="bottom"/>
          </w:tcPr>
          <w:p w14:paraId="44C027A2"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$0.064 - $0.096 </w:t>
            </w:r>
          </w:p>
        </w:tc>
        <w:tc>
          <w:tcPr>
            <w:tcW w:w="1933" w:type="dxa"/>
            <w:noWrap/>
            <w:vAlign w:val="bottom"/>
          </w:tcPr>
          <w:p w14:paraId="1ABD5D74"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$4 - $6 </w:t>
            </w:r>
          </w:p>
        </w:tc>
        <w:tc>
          <w:tcPr>
            <w:tcW w:w="1933" w:type="dxa"/>
            <w:noWrap/>
            <w:vAlign w:val="bottom"/>
          </w:tcPr>
          <w:p w14:paraId="6DB6D852"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c>
          <w:tcPr>
            <w:tcW w:w="2045" w:type="dxa"/>
            <w:noWrap/>
            <w:vAlign w:val="bottom"/>
          </w:tcPr>
          <w:p w14:paraId="1A95AFF0"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$4.1 - $6.1 </w:t>
            </w:r>
          </w:p>
        </w:tc>
        <w:tc>
          <w:tcPr>
            <w:tcW w:w="2045" w:type="dxa"/>
            <w:vAlign w:val="bottom"/>
          </w:tcPr>
          <w:p w14:paraId="7B8B3E1C"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$0.046 - $0.068 </w:t>
            </w:r>
          </w:p>
        </w:tc>
        <w:tc>
          <w:tcPr>
            <w:tcW w:w="2163" w:type="dxa"/>
            <w:vAlign w:val="bottom"/>
          </w:tcPr>
          <w:p w14:paraId="27DAB3A8"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$1,277 </w:t>
            </w:r>
          </w:p>
        </w:tc>
      </w:tr>
      <w:tr w:rsidR="00BB4DE2" w:rsidRPr="002F357B" w14:paraId="426C099A" w14:textId="77777777" w:rsidTr="00BB4DE2">
        <w:trPr>
          <w:trHeight w:val="300"/>
        </w:trPr>
        <w:tc>
          <w:tcPr>
            <w:tcW w:w="2268" w:type="dxa"/>
            <w:noWrap/>
            <w:vAlign w:val="bottom"/>
          </w:tcPr>
          <w:p w14:paraId="66FA2123" w14:textId="77777777" w:rsidR="00BB4DE2" w:rsidRPr="002F357B" w:rsidRDefault="00BB4DE2" w:rsidP="00BB4DE2">
            <w:pPr>
              <w:spacing w:after="0"/>
              <w:rPr>
                <w:rFonts w:cs="Arial"/>
                <w:b/>
                <w:color w:val="000000"/>
                <w:szCs w:val="20"/>
              </w:rPr>
            </w:pPr>
            <w:r w:rsidRPr="002F357B">
              <w:rPr>
                <w:rFonts w:cs="Arial"/>
                <w:color w:val="000000"/>
                <w:szCs w:val="20"/>
              </w:rPr>
              <w:t>Canterbury</w:t>
            </w:r>
          </w:p>
        </w:tc>
        <w:tc>
          <w:tcPr>
            <w:tcW w:w="1933" w:type="dxa"/>
            <w:noWrap/>
            <w:vAlign w:val="bottom"/>
          </w:tcPr>
          <w:p w14:paraId="24D618B4"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$0.31 - $0.46 </w:t>
            </w:r>
          </w:p>
        </w:tc>
        <w:tc>
          <w:tcPr>
            <w:tcW w:w="1933" w:type="dxa"/>
            <w:noWrap/>
            <w:vAlign w:val="bottom"/>
          </w:tcPr>
          <w:p w14:paraId="447E74D3"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$21 - $32 </w:t>
            </w:r>
          </w:p>
        </w:tc>
        <w:tc>
          <w:tcPr>
            <w:tcW w:w="1933" w:type="dxa"/>
            <w:noWrap/>
            <w:vAlign w:val="bottom"/>
          </w:tcPr>
          <w:p w14:paraId="4254AEC6"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c>
          <w:tcPr>
            <w:tcW w:w="2045" w:type="dxa"/>
            <w:noWrap/>
            <w:vAlign w:val="bottom"/>
          </w:tcPr>
          <w:p w14:paraId="45C1BFE4"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$22 - $33 </w:t>
            </w:r>
          </w:p>
        </w:tc>
        <w:tc>
          <w:tcPr>
            <w:tcW w:w="2045" w:type="dxa"/>
            <w:vAlign w:val="bottom"/>
          </w:tcPr>
          <w:p w14:paraId="34EB5F20"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$0.19 - $0.29 </w:t>
            </w:r>
          </w:p>
        </w:tc>
        <w:tc>
          <w:tcPr>
            <w:tcW w:w="2163" w:type="dxa"/>
            <w:vAlign w:val="bottom"/>
          </w:tcPr>
          <w:p w14:paraId="44AD2B89"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$2,082 </w:t>
            </w:r>
          </w:p>
        </w:tc>
      </w:tr>
      <w:tr w:rsidR="00BB4DE2" w:rsidRPr="002F357B" w14:paraId="5A427E46" w14:textId="77777777" w:rsidTr="00BB4DE2">
        <w:trPr>
          <w:trHeight w:val="300"/>
        </w:trPr>
        <w:tc>
          <w:tcPr>
            <w:tcW w:w="2268" w:type="dxa"/>
            <w:noWrap/>
            <w:vAlign w:val="bottom"/>
          </w:tcPr>
          <w:p w14:paraId="45B922D3" w14:textId="77777777" w:rsidR="00BB4DE2" w:rsidRPr="002F357B" w:rsidRDefault="00BB4DE2" w:rsidP="00BB4DE2">
            <w:pPr>
              <w:spacing w:after="0"/>
              <w:rPr>
                <w:rFonts w:cs="Arial"/>
                <w:b/>
                <w:color w:val="000000"/>
                <w:szCs w:val="20"/>
              </w:rPr>
            </w:pPr>
            <w:r w:rsidRPr="002F357B">
              <w:rPr>
                <w:rFonts w:cs="Arial"/>
                <w:color w:val="000000"/>
                <w:szCs w:val="20"/>
              </w:rPr>
              <w:t>Gisborne</w:t>
            </w:r>
          </w:p>
        </w:tc>
        <w:tc>
          <w:tcPr>
            <w:tcW w:w="1933" w:type="dxa"/>
            <w:noWrap/>
            <w:vAlign w:val="bottom"/>
          </w:tcPr>
          <w:p w14:paraId="6A79D63C"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$0.051 - $0.077 </w:t>
            </w:r>
          </w:p>
        </w:tc>
        <w:tc>
          <w:tcPr>
            <w:tcW w:w="1933" w:type="dxa"/>
            <w:noWrap/>
            <w:vAlign w:val="bottom"/>
          </w:tcPr>
          <w:p w14:paraId="5F1CB6FA"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$3.4 - $5.1 </w:t>
            </w:r>
          </w:p>
        </w:tc>
        <w:tc>
          <w:tcPr>
            <w:tcW w:w="1933" w:type="dxa"/>
            <w:noWrap/>
            <w:vAlign w:val="bottom"/>
          </w:tcPr>
          <w:p w14:paraId="6BA48656"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c>
          <w:tcPr>
            <w:tcW w:w="2045" w:type="dxa"/>
            <w:noWrap/>
            <w:vAlign w:val="bottom"/>
          </w:tcPr>
          <w:p w14:paraId="21C27234"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$3.5 - $5.2 </w:t>
            </w:r>
          </w:p>
        </w:tc>
        <w:tc>
          <w:tcPr>
            <w:tcW w:w="2045" w:type="dxa"/>
            <w:vAlign w:val="bottom"/>
          </w:tcPr>
          <w:p w14:paraId="3BA3EA04"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$0.034 - $0.05 </w:t>
            </w:r>
          </w:p>
        </w:tc>
        <w:tc>
          <w:tcPr>
            <w:tcW w:w="2163" w:type="dxa"/>
            <w:vAlign w:val="bottom"/>
          </w:tcPr>
          <w:p w14:paraId="1A556CFA"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$1,620 </w:t>
            </w:r>
          </w:p>
        </w:tc>
      </w:tr>
      <w:tr w:rsidR="00BB4DE2" w:rsidRPr="002F357B" w14:paraId="73F4C9CD" w14:textId="77777777" w:rsidTr="00BB4DE2">
        <w:trPr>
          <w:trHeight w:val="300"/>
        </w:trPr>
        <w:tc>
          <w:tcPr>
            <w:tcW w:w="2268" w:type="dxa"/>
            <w:noWrap/>
            <w:vAlign w:val="bottom"/>
          </w:tcPr>
          <w:p w14:paraId="43F319E6" w14:textId="77777777" w:rsidR="00BB4DE2" w:rsidRPr="002F357B" w:rsidRDefault="00BB4DE2" w:rsidP="00BB4DE2">
            <w:pPr>
              <w:spacing w:after="0"/>
              <w:rPr>
                <w:rFonts w:cs="Arial"/>
                <w:b/>
                <w:color w:val="000000"/>
                <w:szCs w:val="20"/>
              </w:rPr>
            </w:pPr>
            <w:r w:rsidRPr="002F357B">
              <w:rPr>
                <w:rFonts w:cs="Arial"/>
                <w:color w:val="000000"/>
                <w:szCs w:val="20"/>
              </w:rPr>
              <w:t>Hawke's Bay</w:t>
            </w:r>
          </w:p>
        </w:tc>
        <w:tc>
          <w:tcPr>
            <w:tcW w:w="1933" w:type="dxa"/>
            <w:noWrap/>
            <w:vAlign w:val="bottom"/>
          </w:tcPr>
          <w:p w14:paraId="6035578E"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$0.067 - $0.1 </w:t>
            </w:r>
          </w:p>
        </w:tc>
        <w:tc>
          <w:tcPr>
            <w:tcW w:w="1933" w:type="dxa"/>
            <w:noWrap/>
            <w:vAlign w:val="bottom"/>
          </w:tcPr>
          <w:p w14:paraId="796CDBF7"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$24 - $37 </w:t>
            </w:r>
          </w:p>
        </w:tc>
        <w:tc>
          <w:tcPr>
            <w:tcW w:w="1933" w:type="dxa"/>
            <w:noWrap/>
            <w:vAlign w:val="bottom"/>
          </w:tcPr>
          <w:p w14:paraId="603F9CD2"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c>
          <w:tcPr>
            <w:tcW w:w="2045" w:type="dxa"/>
            <w:noWrap/>
            <w:vAlign w:val="bottom"/>
          </w:tcPr>
          <w:p w14:paraId="03701B81"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$30 - $44 </w:t>
            </w:r>
          </w:p>
        </w:tc>
        <w:tc>
          <w:tcPr>
            <w:tcW w:w="2045" w:type="dxa"/>
            <w:vAlign w:val="bottom"/>
          </w:tcPr>
          <w:p w14:paraId="7EDBD6F6"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$0.58 - $0.87 </w:t>
            </w:r>
          </w:p>
        </w:tc>
        <w:tc>
          <w:tcPr>
            <w:tcW w:w="2163" w:type="dxa"/>
            <w:vAlign w:val="bottom"/>
          </w:tcPr>
          <w:p w14:paraId="52D296EC"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$1,406 </w:t>
            </w:r>
          </w:p>
        </w:tc>
      </w:tr>
      <w:tr w:rsidR="00BB4DE2" w:rsidRPr="002F357B" w14:paraId="76ACA593" w14:textId="77777777" w:rsidTr="00BB4DE2">
        <w:trPr>
          <w:trHeight w:val="300"/>
        </w:trPr>
        <w:tc>
          <w:tcPr>
            <w:tcW w:w="2268" w:type="dxa"/>
            <w:noWrap/>
            <w:vAlign w:val="bottom"/>
          </w:tcPr>
          <w:p w14:paraId="10EEB729" w14:textId="77777777" w:rsidR="00BB4DE2" w:rsidRPr="002F357B" w:rsidRDefault="00BB4DE2" w:rsidP="00BB4DE2">
            <w:pPr>
              <w:spacing w:after="0"/>
              <w:rPr>
                <w:rFonts w:cs="Arial"/>
                <w:b/>
                <w:color w:val="000000"/>
                <w:szCs w:val="20"/>
              </w:rPr>
            </w:pPr>
            <w:r w:rsidRPr="002F357B">
              <w:rPr>
                <w:rFonts w:cs="Arial"/>
                <w:color w:val="000000"/>
                <w:szCs w:val="20"/>
              </w:rPr>
              <w:t>Manawatu-Wanganui</w:t>
            </w:r>
          </w:p>
        </w:tc>
        <w:tc>
          <w:tcPr>
            <w:tcW w:w="1933" w:type="dxa"/>
            <w:noWrap/>
            <w:vAlign w:val="bottom"/>
          </w:tcPr>
          <w:p w14:paraId="30F552C6"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$1.9 - $2.8 </w:t>
            </w:r>
          </w:p>
        </w:tc>
        <w:tc>
          <w:tcPr>
            <w:tcW w:w="1933" w:type="dxa"/>
            <w:noWrap/>
            <w:vAlign w:val="bottom"/>
          </w:tcPr>
          <w:p w14:paraId="4E753638"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$190 - $290 </w:t>
            </w:r>
          </w:p>
        </w:tc>
        <w:tc>
          <w:tcPr>
            <w:tcW w:w="1933" w:type="dxa"/>
            <w:noWrap/>
            <w:vAlign w:val="bottom"/>
          </w:tcPr>
          <w:p w14:paraId="01ADD658"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$2.1 - $3.2 </w:t>
            </w:r>
          </w:p>
        </w:tc>
        <w:tc>
          <w:tcPr>
            <w:tcW w:w="2045" w:type="dxa"/>
            <w:noWrap/>
            <w:vAlign w:val="bottom"/>
          </w:tcPr>
          <w:p w14:paraId="050492D6"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$240 - $360 </w:t>
            </w:r>
          </w:p>
        </w:tc>
        <w:tc>
          <w:tcPr>
            <w:tcW w:w="2045" w:type="dxa"/>
            <w:vAlign w:val="bottom"/>
          </w:tcPr>
          <w:p w14:paraId="1B81DD4F"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$11 - $17 </w:t>
            </w:r>
          </w:p>
        </w:tc>
        <w:tc>
          <w:tcPr>
            <w:tcW w:w="2163" w:type="dxa"/>
            <w:vAlign w:val="bottom"/>
          </w:tcPr>
          <w:p w14:paraId="6013E7B3"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$888 </w:t>
            </w:r>
          </w:p>
        </w:tc>
      </w:tr>
      <w:tr w:rsidR="00BB4DE2" w:rsidRPr="002F357B" w14:paraId="47B0EC67" w14:textId="77777777" w:rsidTr="00BB4DE2">
        <w:trPr>
          <w:trHeight w:val="300"/>
        </w:trPr>
        <w:tc>
          <w:tcPr>
            <w:tcW w:w="2268" w:type="dxa"/>
            <w:noWrap/>
            <w:vAlign w:val="bottom"/>
          </w:tcPr>
          <w:p w14:paraId="5858F9A7" w14:textId="77777777" w:rsidR="00BB4DE2" w:rsidRPr="002F357B" w:rsidRDefault="00BB4DE2" w:rsidP="00BB4DE2">
            <w:pPr>
              <w:spacing w:after="0"/>
              <w:rPr>
                <w:rFonts w:cs="Arial"/>
                <w:b/>
                <w:color w:val="000000"/>
                <w:szCs w:val="20"/>
              </w:rPr>
            </w:pPr>
            <w:r w:rsidRPr="002F357B">
              <w:rPr>
                <w:rFonts w:cs="Arial"/>
                <w:color w:val="000000"/>
                <w:szCs w:val="20"/>
              </w:rPr>
              <w:t>Marlborough</w:t>
            </w:r>
          </w:p>
        </w:tc>
        <w:tc>
          <w:tcPr>
            <w:tcW w:w="1933" w:type="dxa"/>
            <w:noWrap/>
            <w:vAlign w:val="bottom"/>
          </w:tcPr>
          <w:p w14:paraId="686E623E"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$0.036 - $0.054 </w:t>
            </w:r>
          </w:p>
        </w:tc>
        <w:tc>
          <w:tcPr>
            <w:tcW w:w="1933" w:type="dxa"/>
            <w:noWrap/>
            <w:vAlign w:val="bottom"/>
          </w:tcPr>
          <w:p w14:paraId="6DBBD7E9"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$2.7 - $4 </w:t>
            </w:r>
          </w:p>
        </w:tc>
        <w:tc>
          <w:tcPr>
            <w:tcW w:w="1933" w:type="dxa"/>
            <w:noWrap/>
            <w:vAlign w:val="bottom"/>
          </w:tcPr>
          <w:p w14:paraId="5A56FB5B"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c>
          <w:tcPr>
            <w:tcW w:w="2045" w:type="dxa"/>
            <w:noWrap/>
            <w:vAlign w:val="bottom"/>
          </w:tcPr>
          <w:p w14:paraId="55F5B9AF"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$2.7 - $4.1 </w:t>
            </w:r>
          </w:p>
        </w:tc>
        <w:tc>
          <w:tcPr>
            <w:tcW w:w="2045" w:type="dxa"/>
            <w:vAlign w:val="bottom"/>
          </w:tcPr>
          <w:p w14:paraId="4EE1506E"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$0.021 - $0.032 </w:t>
            </w:r>
          </w:p>
        </w:tc>
        <w:tc>
          <w:tcPr>
            <w:tcW w:w="2163" w:type="dxa"/>
            <w:vAlign w:val="bottom"/>
          </w:tcPr>
          <w:p w14:paraId="34D76E58"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$1,154 </w:t>
            </w:r>
          </w:p>
        </w:tc>
      </w:tr>
      <w:tr w:rsidR="00BB4DE2" w:rsidRPr="002F357B" w14:paraId="247339DD" w14:textId="77777777" w:rsidTr="00BB4DE2">
        <w:trPr>
          <w:trHeight w:val="300"/>
        </w:trPr>
        <w:tc>
          <w:tcPr>
            <w:tcW w:w="2268" w:type="dxa"/>
            <w:noWrap/>
            <w:vAlign w:val="bottom"/>
          </w:tcPr>
          <w:p w14:paraId="6969FB5D" w14:textId="77777777" w:rsidR="00BB4DE2" w:rsidRPr="002F357B" w:rsidRDefault="00BB4DE2" w:rsidP="00BB4DE2">
            <w:pPr>
              <w:spacing w:after="0"/>
              <w:rPr>
                <w:rFonts w:cs="Arial"/>
                <w:b/>
                <w:color w:val="000000"/>
                <w:szCs w:val="20"/>
              </w:rPr>
            </w:pPr>
            <w:r w:rsidRPr="002F357B">
              <w:rPr>
                <w:rFonts w:cs="Arial"/>
                <w:color w:val="000000"/>
                <w:szCs w:val="20"/>
              </w:rPr>
              <w:t>Nelson</w:t>
            </w:r>
          </w:p>
        </w:tc>
        <w:tc>
          <w:tcPr>
            <w:tcW w:w="1933" w:type="dxa"/>
            <w:noWrap/>
            <w:vAlign w:val="bottom"/>
          </w:tcPr>
          <w:p w14:paraId="21DD17B9"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c>
          <w:tcPr>
            <w:tcW w:w="1933" w:type="dxa"/>
            <w:noWrap/>
            <w:vAlign w:val="bottom"/>
          </w:tcPr>
          <w:p w14:paraId="39E3CE21"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c>
          <w:tcPr>
            <w:tcW w:w="1933" w:type="dxa"/>
            <w:noWrap/>
            <w:vAlign w:val="bottom"/>
          </w:tcPr>
          <w:p w14:paraId="73678B1F"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c>
          <w:tcPr>
            <w:tcW w:w="2045" w:type="dxa"/>
            <w:noWrap/>
            <w:vAlign w:val="bottom"/>
          </w:tcPr>
          <w:p w14:paraId="66511ADF"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c>
          <w:tcPr>
            <w:tcW w:w="2045" w:type="dxa"/>
            <w:vAlign w:val="bottom"/>
          </w:tcPr>
          <w:p w14:paraId="5080CB88"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c>
          <w:tcPr>
            <w:tcW w:w="2163" w:type="dxa"/>
            <w:vAlign w:val="bottom"/>
          </w:tcPr>
          <w:p w14:paraId="780CF72C"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r>
      <w:tr w:rsidR="00BB4DE2" w:rsidRPr="002F357B" w14:paraId="3F1E61EE" w14:textId="77777777" w:rsidTr="00BB4DE2">
        <w:trPr>
          <w:trHeight w:val="300"/>
        </w:trPr>
        <w:tc>
          <w:tcPr>
            <w:tcW w:w="2268" w:type="dxa"/>
            <w:noWrap/>
            <w:vAlign w:val="bottom"/>
          </w:tcPr>
          <w:p w14:paraId="737F95E5" w14:textId="77777777" w:rsidR="00BB4DE2" w:rsidRPr="002F357B" w:rsidRDefault="00BB4DE2" w:rsidP="00BB4DE2">
            <w:pPr>
              <w:spacing w:after="0"/>
              <w:rPr>
                <w:rFonts w:cs="Arial"/>
                <w:b/>
                <w:color w:val="000000"/>
                <w:szCs w:val="20"/>
              </w:rPr>
            </w:pPr>
            <w:r w:rsidRPr="002F357B">
              <w:rPr>
                <w:rFonts w:cs="Arial"/>
                <w:color w:val="000000"/>
                <w:szCs w:val="20"/>
              </w:rPr>
              <w:t>Northland</w:t>
            </w:r>
          </w:p>
        </w:tc>
        <w:tc>
          <w:tcPr>
            <w:tcW w:w="1933" w:type="dxa"/>
            <w:noWrap/>
            <w:vAlign w:val="bottom"/>
          </w:tcPr>
          <w:p w14:paraId="00A65E64"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$0.5 - $0.74 </w:t>
            </w:r>
          </w:p>
        </w:tc>
        <w:tc>
          <w:tcPr>
            <w:tcW w:w="1933" w:type="dxa"/>
            <w:noWrap/>
            <w:vAlign w:val="bottom"/>
          </w:tcPr>
          <w:p w14:paraId="097FE0E6"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$35 - $52 </w:t>
            </w:r>
          </w:p>
        </w:tc>
        <w:tc>
          <w:tcPr>
            <w:tcW w:w="1933" w:type="dxa"/>
            <w:noWrap/>
            <w:vAlign w:val="bottom"/>
          </w:tcPr>
          <w:p w14:paraId="09E37E5F"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$13 - $19 </w:t>
            </w:r>
          </w:p>
        </w:tc>
        <w:tc>
          <w:tcPr>
            <w:tcW w:w="2045" w:type="dxa"/>
            <w:noWrap/>
            <w:vAlign w:val="bottom"/>
          </w:tcPr>
          <w:p w14:paraId="7773C4EF"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$41 - $62 </w:t>
            </w:r>
          </w:p>
        </w:tc>
        <w:tc>
          <w:tcPr>
            <w:tcW w:w="2045" w:type="dxa"/>
            <w:vAlign w:val="bottom"/>
          </w:tcPr>
          <w:p w14:paraId="2F56F2C8"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$0.86 - $1.3 </w:t>
            </w:r>
          </w:p>
        </w:tc>
        <w:tc>
          <w:tcPr>
            <w:tcW w:w="2163" w:type="dxa"/>
            <w:vAlign w:val="bottom"/>
          </w:tcPr>
          <w:p w14:paraId="35ACBEBE"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$1,661 </w:t>
            </w:r>
          </w:p>
        </w:tc>
      </w:tr>
      <w:tr w:rsidR="00BB4DE2" w:rsidRPr="002F357B" w14:paraId="66D8BD06" w14:textId="77777777" w:rsidTr="00BB4DE2">
        <w:trPr>
          <w:trHeight w:val="300"/>
        </w:trPr>
        <w:tc>
          <w:tcPr>
            <w:tcW w:w="2268" w:type="dxa"/>
            <w:noWrap/>
            <w:vAlign w:val="bottom"/>
          </w:tcPr>
          <w:p w14:paraId="0B9FB850" w14:textId="77777777" w:rsidR="00BB4DE2" w:rsidRPr="002F357B" w:rsidRDefault="00BB4DE2" w:rsidP="00BB4DE2">
            <w:pPr>
              <w:spacing w:after="0"/>
              <w:rPr>
                <w:rFonts w:cs="Arial"/>
                <w:b/>
                <w:color w:val="000000"/>
                <w:szCs w:val="20"/>
              </w:rPr>
            </w:pPr>
            <w:r w:rsidRPr="002F357B">
              <w:rPr>
                <w:rFonts w:cs="Arial"/>
                <w:color w:val="000000"/>
                <w:szCs w:val="20"/>
              </w:rPr>
              <w:t>Otago</w:t>
            </w:r>
          </w:p>
        </w:tc>
        <w:tc>
          <w:tcPr>
            <w:tcW w:w="1933" w:type="dxa"/>
            <w:noWrap/>
            <w:vAlign w:val="bottom"/>
          </w:tcPr>
          <w:p w14:paraId="096E882B"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$0.82 - $1.2 </w:t>
            </w:r>
          </w:p>
        </w:tc>
        <w:tc>
          <w:tcPr>
            <w:tcW w:w="1933" w:type="dxa"/>
            <w:noWrap/>
            <w:vAlign w:val="bottom"/>
          </w:tcPr>
          <w:p w14:paraId="706A8873"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$49 - $74 </w:t>
            </w:r>
          </w:p>
        </w:tc>
        <w:tc>
          <w:tcPr>
            <w:tcW w:w="1933" w:type="dxa"/>
            <w:noWrap/>
            <w:vAlign w:val="bottom"/>
          </w:tcPr>
          <w:p w14:paraId="420191C6"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$14 - $21 </w:t>
            </w:r>
          </w:p>
        </w:tc>
        <w:tc>
          <w:tcPr>
            <w:tcW w:w="2045" w:type="dxa"/>
            <w:noWrap/>
            <w:vAlign w:val="bottom"/>
          </w:tcPr>
          <w:p w14:paraId="51422548"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$59 - $89 </w:t>
            </w:r>
          </w:p>
        </w:tc>
        <w:tc>
          <w:tcPr>
            <w:tcW w:w="2045" w:type="dxa"/>
            <w:vAlign w:val="bottom"/>
          </w:tcPr>
          <w:p w14:paraId="719D1884"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$1 - $1.5 </w:t>
            </w:r>
          </w:p>
        </w:tc>
        <w:tc>
          <w:tcPr>
            <w:tcW w:w="2163" w:type="dxa"/>
            <w:vAlign w:val="bottom"/>
          </w:tcPr>
          <w:p w14:paraId="32C2663B"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$1,402 </w:t>
            </w:r>
          </w:p>
        </w:tc>
      </w:tr>
      <w:tr w:rsidR="00BB4DE2" w:rsidRPr="002F357B" w14:paraId="1C313184" w14:textId="77777777" w:rsidTr="00BB4DE2">
        <w:trPr>
          <w:trHeight w:val="300"/>
        </w:trPr>
        <w:tc>
          <w:tcPr>
            <w:tcW w:w="2268" w:type="dxa"/>
            <w:noWrap/>
            <w:vAlign w:val="bottom"/>
          </w:tcPr>
          <w:p w14:paraId="23D875FC" w14:textId="77777777" w:rsidR="00BB4DE2" w:rsidRPr="002F357B" w:rsidRDefault="00BB4DE2" w:rsidP="00BB4DE2">
            <w:pPr>
              <w:spacing w:after="0"/>
              <w:rPr>
                <w:rFonts w:cs="Arial"/>
                <w:b/>
                <w:color w:val="000000"/>
                <w:szCs w:val="20"/>
              </w:rPr>
            </w:pPr>
            <w:r w:rsidRPr="002F357B">
              <w:rPr>
                <w:rFonts w:cs="Arial"/>
                <w:color w:val="000000"/>
                <w:szCs w:val="20"/>
              </w:rPr>
              <w:t>Southland</w:t>
            </w:r>
          </w:p>
        </w:tc>
        <w:tc>
          <w:tcPr>
            <w:tcW w:w="1933" w:type="dxa"/>
            <w:noWrap/>
            <w:vAlign w:val="bottom"/>
          </w:tcPr>
          <w:p w14:paraId="4233001D"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$0.47 - $0.71 </w:t>
            </w:r>
          </w:p>
        </w:tc>
        <w:tc>
          <w:tcPr>
            <w:tcW w:w="1933" w:type="dxa"/>
            <w:noWrap/>
            <w:vAlign w:val="bottom"/>
          </w:tcPr>
          <w:p w14:paraId="399841E3"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$42 - $63 </w:t>
            </w:r>
          </w:p>
        </w:tc>
        <w:tc>
          <w:tcPr>
            <w:tcW w:w="1933" w:type="dxa"/>
            <w:noWrap/>
            <w:vAlign w:val="bottom"/>
          </w:tcPr>
          <w:p w14:paraId="212463C7"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$0.25 - $0.37 </w:t>
            </w:r>
          </w:p>
        </w:tc>
        <w:tc>
          <w:tcPr>
            <w:tcW w:w="2045" w:type="dxa"/>
            <w:noWrap/>
            <w:vAlign w:val="bottom"/>
          </w:tcPr>
          <w:p w14:paraId="0C14999F"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$52 - $77 </w:t>
            </w:r>
          </w:p>
        </w:tc>
        <w:tc>
          <w:tcPr>
            <w:tcW w:w="2045" w:type="dxa"/>
            <w:vAlign w:val="bottom"/>
          </w:tcPr>
          <w:p w14:paraId="0D561174"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$1.1 - $1.7 </w:t>
            </w:r>
          </w:p>
        </w:tc>
        <w:tc>
          <w:tcPr>
            <w:tcW w:w="2163" w:type="dxa"/>
            <w:vAlign w:val="bottom"/>
          </w:tcPr>
          <w:p w14:paraId="39E83475"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$1,229 </w:t>
            </w:r>
          </w:p>
        </w:tc>
      </w:tr>
      <w:tr w:rsidR="00BB4DE2" w:rsidRPr="002F357B" w14:paraId="6418B5F8" w14:textId="77777777" w:rsidTr="00BB4DE2">
        <w:trPr>
          <w:trHeight w:val="300"/>
        </w:trPr>
        <w:tc>
          <w:tcPr>
            <w:tcW w:w="2268" w:type="dxa"/>
            <w:noWrap/>
            <w:vAlign w:val="bottom"/>
          </w:tcPr>
          <w:p w14:paraId="26455398" w14:textId="77777777" w:rsidR="00BB4DE2" w:rsidRPr="002F357B" w:rsidRDefault="00BB4DE2" w:rsidP="00BB4DE2">
            <w:pPr>
              <w:spacing w:after="0"/>
              <w:rPr>
                <w:rFonts w:cs="Arial"/>
                <w:b/>
                <w:color w:val="000000"/>
                <w:szCs w:val="20"/>
              </w:rPr>
            </w:pPr>
            <w:r w:rsidRPr="002F357B">
              <w:rPr>
                <w:rFonts w:cs="Arial"/>
                <w:color w:val="000000"/>
                <w:szCs w:val="20"/>
              </w:rPr>
              <w:t>Taranaki</w:t>
            </w:r>
          </w:p>
        </w:tc>
        <w:tc>
          <w:tcPr>
            <w:tcW w:w="1933" w:type="dxa"/>
            <w:noWrap/>
            <w:vAlign w:val="bottom"/>
          </w:tcPr>
          <w:p w14:paraId="4CA4C25D"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$0.028 - $0.042 </w:t>
            </w:r>
          </w:p>
        </w:tc>
        <w:tc>
          <w:tcPr>
            <w:tcW w:w="1933" w:type="dxa"/>
            <w:noWrap/>
            <w:vAlign w:val="bottom"/>
          </w:tcPr>
          <w:p w14:paraId="67C142F3"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$2.1 - $3.1 </w:t>
            </w:r>
          </w:p>
        </w:tc>
        <w:tc>
          <w:tcPr>
            <w:tcW w:w="1933" w:type="dxa"/>
            <w:noWrap/>
            <w:vAlign w:val="bottom"/>
          </w:tcPr>
          <w:p w14:paraId="7C3243F5"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c>
          <w:tcPr>
            <w:tcW w:w="2045" w:type="dxa"/>
            <w:noWrap/>
            <w:vAlign w:val="bottom"/>
          </w:tcPr>
          <w:p w14:paraId="2F660C7C"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$2.2 - $3.2 </w:t>
            </w:r>
          </w:p>
        </w:tc>
        <w:tc>
          <w:tcPr>
            <w:tcW w:w="2045" w:type="dxa"/>
            <w:vAlign w:val="bottom"/>
          </w:tcPr>
          <w:p w14:paraId="78F9BBE6"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$0.015 - $0.022 </w:t>
            </w:r>
          </w:p>
        </w:tc>
        <w:tc>
          <w:tcPr>
            <w:tcW w:w="2163" w:type="dxa"/>
            <w:vAlign w:val="bottom"/>
          </w:tcPr>
          <w:p w14:paraId="1FAA5201"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$10,800 </w:t>
            </w:r>
          </w:p>
        </w:tc>
      </w:tr>
      <w:tr w:rsidR="00BB4DE2" w:rsidRPr="002F357B" w14:paraId="325771B7" w14:textId="77777777" w:rsidTr="00BB4DE2">
        <w:trPr>
          <w:trHeight w:val="300"/>
        </w:trPr>
        <w:tc>
          <w:tcPr>
            <w:tcW w:w="2268" w:type="dxa"/>
            <w:noWrap/>
            <w:vAlign w:val="bottom"/>
          </w:tcPr>
          <w:p w14:paraId="2309E17C" w14:textId="77777777" w:rsidR="00BB4DE2" w:rsidRPr="002F357B" w:rsidRDefault="00BB4DE2" w:rsidP="00BB4DE2">
            <w:pPr>
              <w:spacing w:after="0"/>
              <w:rPr>
                <w:rFonts w:cs="Arial"/>
                <w:b/>
                <w:color w:val="000000"/>
                <w:szCs w:val="20"/>
              </w:rPr>
            </w:pPr>
            <w:r w:rsidRPr="002F357B">
              <w:rPr>
                <w:rFonts w:cs="Arial"/>
                <w:color w:val="000000"/>
                <w:szCs w:val="20"/>
              </w:rPr>
              <w:t>Tasman</w:t>
            </w:r>
          </w:p>
        </w:tc>
        <w:tc>
          <w:tcPr>
            <w:tcW w:w="1933" w:type="dxa"/>
            <w:noWrap/>
            <w:vAlign w:val="bottom"/>
          </w:tcPr>
          <w:p w14:paraId="4D1C0539"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c>
          <w:tcPr>
            <w:tcW w:w="1933" w:type="dxa"/>
            <w:noWrap/>
            <w:vAlign w:val="bottom"/>
          </w:tcPr>
          <w:p w14:paraId="470137DE"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c>
          <w:tcPr>
            <w:tcW w:w="1933" w:type="dxa"/>
            <w:noWrap/>
            <w:vAlign w:val="bottom"/>
          </w:tcPr>
          <w:p w14:paraId="14C92986"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c>
          <w:tcPr>
            <w:tcW w:w="2045" w:type="dxa"/>
            <w:noWrap/>
            <w:vAlign w:val="bottom"/>
          </w:tcPr>
          <w:p w14:paraId="044AC669"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c>
          <w:tcPr>
            <w:tcW w:w="2045" w:type="dxa"/>
            <w:vAlign w:val="bottom"/>
          </w:tcPr>
          <w:p w14:paraId="43AA5D9F"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c>
          <w:tcPr>
            <w:tcW w:w="2163" w:type="dxa"/>
            <w:vAlign w:val="bottom"/>
          </w:tcPr>
          <w:p w14:paraId="79D66E6E"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r>
      <w:tr w:rsidR="00BB4DE2" w:rsidRPr="002F357B" w14:paraId="5ED94AF9" w14:textId="77777777" w:rsidTr="00BB4DE2">
        <w:trPr>
          <w:trHeight w:val="300"/>
        </w:trPr>
        <w:tc>
          <w:tcPr>
            <w:tcW w:w="2268" w:type="dxa"/>
            <w:noWrap/>
            <w:vAlign w:val="bottom"/>
          </w:tcPr>
          <w:p w14:paraId="5FB247C7" w14:textId="77777777" w:rsidR="00BB4DE2" w:rsidRPr="002F357B" w:rsidRDefault="00BB4DE2" w:rsidP="00BB4DE2">
            <w:pPr>
              <w:spacing w:after="0"/>
              <w:rPr>
                <w:rFonts w:cs="Arial"/>
                <w:b/>
                <w:color w:val="000000"/>
                <w:szCs w:val="20"/>
              </w:rPr>
            </w:pPr>
            <w:r w:rsidRPr="002F357B">
              <w:rPr>
                <w:rFonts w:cs="Arial"/>
                <w:color w:val="000000"/>
                <w:szCs w:val="20"/>
              </w:rPr>
              <w:t>Waikato</w:t>
            </w:r>
          </w:p>
        </w:tc>
        <w:tc>
          <w:tcPr>
            <w:tcW w:w="1933" w:type="dxa"/>
            <w:noWrap/>
            <w:vAlign w:val="bottom"/>
          </w:tcPr>
          <w:p w14:paraId="55789660"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$0.81 - $1.2 </w:t>
            </w:r>
          </w:p>
        </w:tc>
        <w:tc>
          <w:tcPr>
            <w:tcW w:w="1933" w:type="dxa"/>
            <w:noWrap/>
            <w:vAlign w:val="bottom"/>
          </w:tcPr>
          <w:p w14:paraId="0E2DCF19"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$72 - $110 </w:t>
            </w:r>
          </w:p>
        </w:tc>
        <w:tc>
          <w:tcPr>
            <w:tcW w:w="1933" w:type="dxa"/>
            <w:noWrap/>
            <w:vAlign w:val="bottom"/>
          </w:tcPr>
          <w:p w14:paraId="0E6EACFB"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$23 - $34 </w:t>
            </w:r>
          </w:p>
        </w:tc>
        <w:tc>
          <w:tcPr>
            <w:tcW w:w="2045" w:type="dxa"/>
            <w:noWrap/>
            <w:vAlign w:val="bottom"/>
          </w:tcPr>
          <w:p w14:paraId="46EEC3D1"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$110 - $160 </w:t>
            </w:r>
          </w:p>
        </w:tc>
        <w:tc>
          <w:tcPr>
            <w:tcW w:w="2045" w:type="dxa"/>
            <w:vAlign w:val="bottom"/>
          </w:tcPr>
          <w:p w14:paraId="50DB1053"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$3.3 - $5 </w:t>
            </w:r>
          </w:p>
        </w:tc>
        <w:tc>
          <w:tcPr>
            <w:tcW w:w="2163" w:type="dxa"/>
            <w:vAlign w:val="bottom"/>
          </w:tcPr>
          <w:p w14:paraId="7F0E3377"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$570 </w:t>
            </w:r>
          </w:p>
        </w:tc>
      </w:tr>
      <w:tr w:rsidR="00BB4DE2" w:rsidRPr="002F357B" w14:paraId="61C56769" w14:textId="77777777" w:rsidTr="00BB4DE2">
        <w:trPr>
          <w:trHeight w:val="300"/>
        </w:trPr>
        <w:tc>
          <w:tcPr>
            <w:tcW w:w="2268" w:type="dxa"/>
            <w:noWrap/>
            <w:vAlign w:val="bottom"/>
          </w:tcPr>
          <w:p w14:paraId="511E1E21" w14:textId="77777777" w:rsidR="00BB4DE2" w:rsidRPr="002F357B" w:rsidRDefault="00BB4DE2" w:rsidP="00BB4DE2">
            <w:pPr>
              <w:spacing w:after="0"/>
              <w:rPr>
                <w:rFonts w:cs="Arial"/>
                <w:b/>
                <w:color w:val="000000"/>
                <w:szCs w:val="20"/>
              </w:rPr>
            </w:pPr>
            <w:r w:rsidRPr="002F357B">
              <w:rPr>
                <w:rFonts w:cs="Arial"/>
                <w:color w:val="000000"/>
                <w:szCs w:val="20"/>
              </w:rPr>
              <w:t>Wellington</w:t>
            </w:r>
          </w:p>
        </w:tc>
        <w:tc>
          <w:tcPr>
            <w:tcW w:w="1933" w:type="dxa"/>
            <w:noWrap/>
            <w:vAlign w:val="bottom"/>
          </w:tcPr>
          <w:p w14:paraId="0B76B281"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c>
          <w:tcPr>
            <w:tcW w:w="1933" w:type="dxa"/>
            <w:noWrap/>
            <w:vAlign w:val="bottom"/>
          </w:tcPr>
          <w:p w14:paraId="63AAC286"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$4.7 - $7.1 </w:t>
            </w:r>
          </w:p>
        </w:tc>
        <w:tc>
          <w:tcPr>
            <w:tcW w:w="1933" w:type="dxa"/>
            <w:noWrap/>
            <w:vAlign w:val="bottom"/>
          </w:tcPr>
          <w:p w14:paraId="28F56958"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c>
          <w:tcPr>
            <w:tcW w:w="2045" w:type="dxa"/>
            <w:noWrap/>
            <w:vAlign w:val="bottom"/>
          </w:tcPr>
          <w:p w14:paraId="69D72690"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$4.7 - $7.1 </w:t>
            </w:r>
          </w:p>
        </w:tc>
        <w:tc>
          <w:tcPr>
            <w:tcW w:w="2045" w:type="dxa"/>
            <w:vAlign w:val="bottom"/>
          </w:tcPr>
          <w:p w14:paraId="7DEF5B18"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$0.063 - $0.094 </w:t>
            </w:r>
          </w:p>
        </w:tc>
        <w:tc>
          <w:tcPr>
            <w:tcW w:w="2163" w:type="dxa"/>
            <w:vAlign w:val="bottom"/>
          </w:tcPr>
          <w:p w14:paraId="6286A06D"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$888 </w:t>
            </w:r>
          </w:p>
        </w:tc>
      </w:tr>
      <w:tr w:rsidR="00BB4DE2" w:rsidRPr="002F357B" w14:paraId="509DBC26" w14:textId="77777777" w:rsidTr="00BB4DE2">
        <w:trPr>
          <w:trHeight w:val="300"/>
        </w:trPr>
        <w:tc>
          <w:tcPr>
            <w:tcW w:w="2268" w:type="dxa"/>
            <w:noWrap/>
            <w:vAlign w:val="bottom"/>
          </w:tcPr>
          <w:p w14:paraId="6D1D23F9" w14:textId="77777777" w:rsidR="00BB4DE2" w:rsidRPr="002F357B" w:rsidRDefault="00BB4DE2" w:rsidP="00BB4DE2">
            <w:pPr>
              <w:spacing w:after="0"/>
              <w:rPr>
                <w:rFonts w:cs="Arial"/>
                <w:b/>
                <w:color w:val="000000"/>
                <w:szCs w:val="20"/>
              </w:rPr>
            </w:pPr>
            <w:r w:rsidRPr="002F357B">
              <w:rPr>
                <w:rFonts w:cs="Arial"/>
                <w:color w:val="000000"/>
                <w:szCs w:val="20"/>
              </w:rPr>
              <w:t>West Coast</w:t>
            </w:r>
          </w:p>
        </w:tc>
        <w:tc>
          <w:tcPr>
            <w:tcW w:w="1933" w:type="dxa"/>
            <w:noWrap/>
            <w:vAlign w:val="bottom"/>
          </w:tcPr>
          <w:p w14:paraId="11F9F8D4"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c>
          <w:tcPr>
            <w:tcW w:w="1933" w:type="dxa"/>
            <w:noWrap/>
            <w:vAlign w:val="bottom"/>
          </w:tcPr>
          <w:p w14:paraId="3DCB89C0"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c>
          <w:tcPr>
            <w:tcW w:w="1933" w:type="dxa"/>
            <w:noWrap/>
            <w:vAlign w:val="bottom"/>
          </w:tcPr>
          <w:p w14:paraId="44704F16"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c>
          <w:tcPr>
            <w:tcW w:w="2045" w:type="dxa"/>
            <w:noWrap/>
            <w:vAlign w:val="bottom"/>
          </w:tcPr>
          <w:p w14:paraId="2396CBA5"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c>
          <w:tcPr>
            <w:tcW w:w="2045" w:type="dxa"/>
            <w:vAlign w:val="bottom"/>
          </w:tcPr>
          <w:p w14:paraId="6B0F4BCF"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c>
          <w:tcPr>
            <w:tcW w:w="2163" w:type="dxa"/>
            <w:vAlign w:val="bottom"/>
          </w:tcPr>
          <w:p w14:paraId="44DC405B" w14:textId="77777777" w:rsidR="00BB4DE2" w:rsidRPr="002F357B" w:rsidRDefault="00BB4DE2" w:rsidP="00BB4DE2">
            <w:pPr>
              <w:spacing w:after="0"/>
              <w:jc w:val="center"/>
              <w:rPr>
                <w:rFonts w:cs="Arial"/>
                <w:color w:val="000000"/>
                <w:szCs w:val="20"/>
              </w:rPr>
            </w:pPr>
            <w:r w:rsidRPr="002F357B">
              <w:rPr>
                <w:rFonts w:cs="Arial"/>
                <w:color w:val="000000"/>
                <w:szCs w:val="20"/>
              </w:rPr>
              <w:t xml:space="preserve"> - </w:t>
            </w:r>
          </w:p>
        </w:tc>
      </w:tr>
      <w:tr w:rsidR="00BB4DE2" w:rsidRPr="002F357B" w14:paraId="4E41F74C" w14:textId="77777777" w:rsidTr="00BB4DE2">
        <w:trPr>
          <w:trHeight w:val="300"/>
        </w:trPr>
        <w:tc>
          <w:tcPr>
            <w:tcW w:w="2268" w:type="dxa"/>
            <w:noWrap/>
            <w:vAlign w:val="bottom"/>
          </w:tcPr>
          <w:p w14:paraId="4E47D685" w14:textId="77777777" w:rsidR="00BB4DE2" w:rsidRPr="002F357B" w:rsidRDefault="00BB4DE2" w:rsidP="00BB4DE2">
            <w:pPr>
              <w:spacing w:after="0"/>
              <w:rPr>
                <w:rFonts w:cs="Arial"/>
                <w:b/>
                <w:color w:val="000000"/>
                <w:szCs w:val="20"/>
              </w:rPr>
            </w:pPr>
            <w:r w:rsidRPr="002F357B">
              <w:rPr>
                <w:rFonts w:cs="Arial"/>
                <w:b/>
                <w:color w:val="000000"/>
                <w:szCs w:val="20"/>
              </w:rPr>
              <w:t>Total</w:t>
            </w:r>
          </w:p>
        </w:tc>
        <w:tc>
          <w:tcPr>
            <w:tcW w:w="1933" w:type="dxa"/>
            <w:noWrap/>
            <w:vAlign w:val="bottom"/>
          </w:tcPr>
          <w:p w14:paraId="34FD888E" w14:textId="77777777" w:rsidR="00BB4DE2" w:rsidRPr="002F357B" w:rsidRDefault="00BB4DE2" w:rsidP="00BB4DE2">
            <w:pPr>
              <w:spacing w:after="0"/>
              <w:jc w:val="center"/>
              <w:rPr>
                <w:rFonts w:cs="Arial"/>
                <w:b/>
                <w:color w:val="000000"/>
                <w:szCs w:val="20"/>
              </w:rPr>
            </w:pPr>
            <w:r w:rsidRPr="002F357B">
              <w:rPr>
                <w:rFonts w:cs="Arial"/>
                <w:b/>
                <w:color w:val="000000"/>
                <w:szCs w:val="20"/>
              </w:rPr>
              <w:t xml:space="preserve"> $5 - $7.5 </w:t>
            </w:r>
          </w:p>
        </w:tc>
        <w:tc>
          <w:tcPr>
            <w:tcW w:w="1933" w:type="dxa"/>
            <w:noWrap/>
            <w:vAlign w:val="bottom"/>
          </w:tcPr>
          <w:p w14:paraId="7D6C7A10" w14:textId="77777777" w:rsidR="00BB4DE2" w:rsidRPr="002F357B" w:rsidRDefault="00BB4DE2" w:rsidP="00BB4DE2">
            <w:pPr>
              <w:spacing w:after="0"/>
              <w:jc w:val="center"/>
              <w:rPr>
                <w:rFonts w:cs="Arial"/>
                <w:b/>
                <w:color w:val="000000"/>
                <w:szCs w:val="20"/>
              </w:rPr>
            </w:pPr>
            <w:r w:rsidRPr="002F357B">
              <w:rPr>
                <w:rFonts w:cs="Arial"/>
                <w:b/>
                <w:color w:val="000000"/>
                <w:szCs w:val="20"/>
              </w:rPr>
              <w:t xml:space="preserve"> $460 - $700 </w:t>
            </w:r>
          </w:p>
        </w:tc>
        <w:tc>
          <w:tcPr>
            <w:tcW w:w="1933" w:type="dxa"/>
            <w:noWrap/>
            <w:vAlign w:val="bottom"/>
          </w:tcPr>
          <w:p w14:paraId="4593A6C8" w14:textId="77777777" w:rsidR="00BB4DE2" w:rsidRPr="002F357B" w:rsidRDefault="00BB4DE2" w:rsidP="00BB4DE2">
            <w:pPr>
              <w:spacing w:after="0"/>
              <w:jc w:val="center"/>
              <w:rPr>
                <w:rFonts w:cs="Arial"/>
                <w:b/>
                <w:color w:val="000000"/>
                <w:szCs w:val="20"/>
              </w:rPr>
            </w:pPr>
            <w:r w:rsidRPr="002F357B">
              <w:rPr>
                <w:rFonts w:cs="Arial"/>
                <w:b/>
                <w:color w:val="000000"/>
                <w:szCs w:val="20"/>
              </w:rPr>
              <w:t xml:space="preserve"> $52 - $78 </w:t>
            </w:r>
          </w:p>
        </w:tc>
        <w:tc>
          <w:tcPr>
            <w:tcW w:w="2045" w:type="dxa"/>
            <w:noWrap/>
            <w:vAlign w:val="bottom"/>
          </w:tcPr>
          <w:p w14:paraId="4C7220F2" w14:textId="77777777" w:rsidR="00BB4DE2" w:rsidRPr="002F357B" w:rsidRDefault="00BB4DE2" w:rsidP="00BB4DE2">
            <w:pPr>
              <w:spacing w:after="0"/>
              <w:jc w:val="center"/>
              <w:rPr>
                <w:rFonts w:cs="Arial"/>
                <w:b/>
                <w:color w:val="000000"/>
                <w:szCs w:val="20"/>
              </w:rPr>
            </w:pPr>
            <w:r w:rsidRPr="002F357B">
              <w:rPr>
                <w:rFonts w:cs="Arial"/>
                <w:b/>
                <w:color w:val="000000"/>
                <w:szCs w:val="20"/>
              </w:rPr>
              <w:t xml:space="preserve"> $580 - $880 </w:t>
            </w:r>
          </w:p>
        </w:tc>
        <w:tc>
          <w:tcPr>
            <w:tcW w:w="2045" w:type="dxa"/>
            <w:vAlign w:val="bottom"/>
          </w:tcPr>
          <w:p w14:paraId="5166B908" w14:textId="77777777" w:rsidR="00BB4DE2" w:rsidRPr="002F357B" w:rsidRDefault="00BB4DE2" w:rsidP="00BB4DE2">
            <w:pPr>
              <w:spacing w:after="0"/>
              <w:jc w:val="center"/>
              <w:rPr>
                <w:rFonts w:cs="Arial"/>
                <w:b/>
                <w:color w:val="000000"/>
                <w:szCs w:val="20"/>
              </w:rPr>
            </w:pPr>
            <w:r w:rsidRPr="002F357B">
              <w:rPr>
                <w:rFonts w:cs="Arial"/>
                <w:b/>
                <w:color w:val="000000"/>
                <w:szCs w:val="20"/>
              </w:rPr>
              <w:t xml:space="preserve"> $19 - $28 </w:t>
            </w:r>
            <w:r w:rsidR="00BE766D" w:rsidRPr="002F357B">
              <w:rPr>
                <w:rFonts w:cs="Arial"/>
                <w:b/>
                <w:color w:val="000000"/>
                <w:szCs w:val="20"/>
              </w:rPr>
              <w:t>Million per annum</w:t>
            </w:r>
          </w:p>
        </w:tc>
        <w:tc>
          <w:tcPr>
            <w:tcW w:w="2163" w:type="dxa"/>
            <w:vAlign w:val="bottom"/>
          </w:tcPr>
          <w:p w14:paraId="6CD54EEE" w14:textId="77777777" w:rsidR="00BB4DE2" w:rsidRPr="002F357B" w:rsidRDefault="00BB4DE2" w:rsidP="00BB4DE2">
            <w:pPr>
              <w:spacing w:after="0"/>
              <w:jc w:val="center"/>
              <w:rPr>
                <w:rFonts w:cs="Arial"/>
                <w:b/>
                <w:color w:val="000000"/>
                <w:szCs w:val="20"/>
              </w:rPr>
            </w:pPr>
            <w:r w:rsidRPr="002F357B">
              <w:rPr>
                <w:rFonts w:cs="Arial"/>
                <w:b/>
                <w:color w:val="000000"/>
                <w:szCs w:val="20"/>
              </w:rPr>
              <w:t xml:space="preserve"> $912 </w:t>
            </w:r>
          </w:p>
        </w:tc>
      </w:tr>
    </w:tbl>
    <w:p w14:paraId="53B8FB98" w14:textId="77777777" w:rsidR="00BB4DE2" w:rsidRDefault="00BB4DE2" w:rsidP="00BB4DE2">
      <w:pPr>
        <w:pStyle w:val="Body"/>
        <w:ind w:left="0"/>
        <w:rPr>
          <w:lang w:eastAsia="en-AU"/>
        </w:rPr>
      </w:pPr>
    </w:p>
    <w:p w14:paraId="7A98E004" w14:textId="77777777" w:rsidR="00BB4DE2" w:rsidRDefault="00BB4DE2" w:rsidP="00E66F34">
      <w:pPr>
        <w:pStyle w:val="Body"/>
        <w:ind w:left="0"/>
        <w:rPr>
          <w:lang w:eastAsia="en-AU"/>
        </w:rPr>
      </w:pPr>
    </w:p>
    <w:p w14:paraId="55D6E593" w14:textId="77777777" w:rsidR="005E0980" w:rsidRDefault="005E0980" w:rsidP="005E0980">
      <w:pPr>
        <w:pStyle w:val="Body"/>
        <w:ind w:left="0"/>
        <w:rPr>
          <w:lang w:eastAsia="en-AU"/>
        </w:rPr>
        <w:sectPr w:rsidR="005E0980" w:rsidSect="0021047A">
          <w:pgSz w:w="16839" w:h="11907" w:orient="landscape" w:code="9"/>
          <w:pgMar w:top="1701" w:right="1134" w:bottom="1134" w:left="1134" w:header="181" w:footer="227" w:gutter="0"/>
          <w:cols w:space="340"/>
          <w:docGrid w:linePitch="360"/>
        </w:sectPr>
      </w:pPr>
    </w:p>
    <w:bookmarkEnd w:id="574"/>
    <w:p w14:paraId="30321670" w14:textId="77777777" w:rsidR="00A609EA" w:rsidRDefault="00B4618E" w:rsidP="00F71F8D">
      <w:pPr>
        <w:pStyle w:val="Heading3"/>
        <w:rPr>
          <w:lang w:eastAsia="en-AU"/>
        </w:rPr>
      </w:pPr>
      <w:r>
        <w:rPr>
          <w:lang w:eastAsia="en-AU"/>
        </w:rPr>
        <w:lastRenderedPageBreak/>
        <w:t>S</w:t>
      </w:r>
      <w:r w:rsidR="002E6C6A">
        <w:rPr>
          <w:lang w:eastAsia="en-AU"/>
        </w:rPr>
        <w:t>upplementary</w:t>
      </w:r>
      <w:r>
        <w:rPr>
          <w:lang w:eastAsia="en-AU"/>
        </w:rPr>
        <w:t xml:space="preserve"> assessment two - </w:t>
      </w:r>
      <w:r w:rsidR="002E6C6A">
        <w:rPr>
          <w:lang w:eastAsia="en-AU"/>
        </w:rPr>
        <w:t>receiving environment targeted upgrades</w:t>
      </w:r>
    </w:p>
    <w:p w14:paraId="0C939EF5" w14:textId="77777777" w:rsidR="001926AB" w:rsidRDefault="003972E4" w:rsidP="005C43AD">
      <w:pPr>
        <w:pStyle w:val="Body"/>
        <w:rPr>
          <w:lang w:eastAsia="en-AU"/>
        </w:rPr>
      </w:pPr>
      <w:r>
        <w:rPr>
          <w:lang w:eastAsia="en-AU"/>
        </w:rPr>
        <w:t xml:space="preserve">The upgrade cost summaries presented in </w:t>
      </w:r>
      <w:r w:rsidR="0073312B">
        <w:rPr>
          <w:lang w:eastAsia="en-AU"/>
        </w:rPr>
        <w:t xml:space="preserve">section </w:t>
      </w:r>
      <w:r w:rsidR="0073312B">
        <w:rPr>
          <w:highlight w:val="yellow"/>
          <w:lang w:eastAsia="en-AU"/>
        </w:rPr>
        <w:fldChar w:fldCharType="begin"/>
      </w:r>
      <w:r w:rsidR="0073312B">
        <w:rPr>
          <w:lang w:eastAsia="en-AU"/>
        </w:rPr>
        <w:instrText xml:space="preserve"> REF _Ref518641001 \n \h </w:instrText>
      </w:r>
      <w:r w:rsidR="0073312B">
        <w:rPr>
          <w:highlight w:val="yellow"/>
          <w:lang w:eastAsia="en-AU"/>
        </w:rPr>
      </w:r>
      <w:r w:rsidR="0073312B">
        <w:rPr>
          <w:highlight w:val="yellow"/>
          <w:lang w:eastAsia="en-AU"/>
        </w:rPr>
        <w:fldChar w:fldCharType="separate"/>
      </w:r>
      <w:r w:rsidR="002777A8">
        <w:rPr>
          <w:lang w:eastAsia="en-AU"/>
        </w:rPr>
        <w:t>7.1.1</w:t>
      </w:r>
      <w:r w:rsidR="0073312B">
        <w:rPr>
          <w:highlight w:val="yellow"/>
          <w:lang w:eastAsia="en-AU"/>
        </w:rPr>
        <w:fldChar w:fldCharType="end"/>
      </w:r>
      <w:r>
        <w:rPr>
          <w:lang w:eastAsia="en-AU"/>
        </w:rPr>
        <w:t xml:space="preserve"> are developed with the aim of upgrading all WWTPs discharging to freshwater to the B standard. T</w:t>
      </w:r>
      <w:r w:rsidR="0073312B">
        <w:rPr>
          <w:lang w:eastAsia="en-AU"/>
        </w:rPr>
        <w:t xml:space="preserve">o supplement the primary assessment, </w:t>
      </w:r>
      <w:r w:rsidR="00C81C08">
        <w:rPr>
          <w:lang w:eastAsia="en-AU"/>
        </w:rPr>
        <w:t>t</w:t>
      </w:r>
      <w:r>
        <w:rPr>
          <w:lang w:eastAsia="en-AU"/>
        </w:rPr>
        <w:t xml:space="preserve">his section evaluates the cost by targeting WWTP discharges to receiving environments that do not meet the B standard for each attribute. </w:t>
      </w:r>
    </w:p>
    <w:p w14:paraId="1645CF6F" w14:textId="77777777" w:rsidR="00754113" w:rsidRPr="00754113" w:rsidRDefault="002D44C8" w:rsidP="0003448F">
      <w:pPr>
        <w:pStyle w:val="Body"/>
        <w:rPr>
          <w:lang w:eastAsia="en-AU"/>
        </w:rPr>
      </w:pPr>
      <w:r>
        <w:rPr>
          <w:lang w:eastAsia="en-AU"/>
        </w:rPr>
        <w:t xml:space="preserve">Analysis of the receiving environments in section </w:t>
      </w:r>
      <w:r>
        <w:rPr>
          <w:lang w:eastAsia="en-AU"/>
        </w:rPr>
        <w:fldChar w:fldCharType="begin"/>
      </w:r>
      <w:r>
        <w:rPr>
          <w:lang w:eastAsia="en-AU"/>
        </w:rPr>
        <w:instrText xml:space="preserve"> REF _Ref516840164 \n \h </w:instrText>
      </w:r>
      <w:r>
        <w:rPr>
          <w:lang w:eastAsia="en-AU"/>
        </w:rPr>
      </w:r>
      <w:r>
        <w:rPr>
          <w:lang w:eastAsia="en-AU"/>
        </w:rPr>
        <w:fldChar w:fldCharType="separate"/>
      </w:r>
      <w:r w:rsidR="002777A8">
        <w:rPr>
          <w:lang w:eastAsia="en-AU"/>
        </w:rPr>
        <w:t>3.4.3</w:t>
      </w:r>
      <w:r>
        <w:rPr>
          <w:lang w:eastAsia="en-AU"/>
        </w:rPr>
        <w:fldChar w:fldCharType="end"/>
      </w:r>
      <w:r>
        <w:rPr>
          <w:lang w:eastAsia="en-AU"/>
        </w:rPr>
        <w:t xml:space="preserve"> shows poor compliance with </w:t>
      </w:r>
      <w:r w:rsidR="008F06EE">
        <w:rPr>
          <w:i/>
          <w:lang w:eastAsia="en-AU"/>
        </w:rPr>
        <w:t>E.coli</w:t>
      </w:r>
      <w:r>
        <w:rPr>
          <w:lang w:eastAsia="en-AU"/>
        </w:rPr>
        <w:t xml:space="preserve"> standards with more than 50% of WWTPs discharging to an environment below the NPS </w:t>
      </w:r>
      <w:r w:rsidR="00C81C08">
        <w:rPr>
          <w:lang w:eastAsia="en-AU"/>
        </w:rPr>
        <w:t>F</w:t>
      </w:r>
      <w:r w:rsidR="008709C2">
        <w:rPr>
          <w:lang w:eastAsia="en-AU"/>
        </w:rPr>
        <w:t>reshwater Attribute C</w:t>
      </w:r>
      <w:r>
        <w:rPr>
          <w:lang w:eastAsia="en-AU"/>
        </w:rPr>
        <w:t xml:space="preserve"> standard. Ammonia and </w:t>
      </w:r>
      <w:r w:rsidR="00F07C07">
        <w:rPr>
          <w:lang w:eastAsia="en-AU"/>
        </w:rPr>
        <w:t xml:space="preserve">nitrate </w:t>
      </w:r>
      <w:r>
        <w:rPr>
          <w:lang w:eastAsia="en-AU"/>
        </w:rPr>
        <w:t>compliance was better</w:t>
      </w:r>
      <w:r w:rsidR="008709C2">
        <w:rPr>
          <w:lang w:eastAsia="en-AU"/>
        </w:rPr>
        <w:t>,</w:t>
      </w:r>
      <w:r>
        <w:rPr>
          <w:lang w:eastAsia="en-AU"/>
        </w:rPr>
        <w:t xml:space="preserve"> with less than 5% </w:t>
      </w:r>
      <w:r w:rsidR="007C141A">
        <w:rPr>
          <w:lang w:eastAsia="en-AU"/>
        </w:rPr>
        <w:t>of WWTPs discharging to an environment of</w:t>
      </w:r>
      <w:r w:rsidR="00E66DB9">
        <w:rPr>
          <w:lang w:eastAsia="en-AU"/>
        </w:rPr>
        <w:t xml:space="preserve"> </w:t>
      </w:r>
      <w:r w:rsidR="008709C2">
        <w:rPr>
          <w:lang w:eastAsia="en-AU"/>
        </w:rPr>
        <w:t>Attribute C standard</w:t>
      </w:r>
      <w:r w:rsidR="00E66DB9">
        <w:rPr>
          <w:lang w:eastAsia="en-AU"/>
        </w:rPr>
        <w:t xml:space="preserve"> or lower</w:t>
      </w:r>
      <w:r w:rsidR="00FA1C0A">
        <w:rPr>
          <w:lang w:eastAsia="en-AU"/>
        </w:rPr>
        <w:t>, though there is potential for notable error in this number due to the lack of site-specific data, particularly for the Ammonia attribute.</w:t>
      </w:r>
    </w:p>
    <w:p w14:paraId="0F33922B" w14:textId="77777777" w:rsidR="005C43AD" w:rsidRPr="00754113" w:rsidRDefault="008F06EE" w:rsidP="00E66F34">
      <w:pPr>
        <w:pStyle w:val="Heading4"/>
        <w:rPr>
          <w:lang w:eastAsia="en-AU"/>
        </w:rPr>
      </w:pPr>
      <w:r>
        <w:rPr>
          <w:lang w:eastAsia="en-AU"/>
        </w:rPr>
        <w:t>E.coli</w:t>
      </w:r>
      <w:r w:rsidR="005C43AD">
        <w:rPr>
          <w:lang w:eastAsia="en-AU"/>
        </w:rPr>
        <w:t xml:space="preserve"> compliance</w:t>
      </w:r>
    </w:p>
    <w:p w14:paraId="487B41FB" w14:textId="77777777" w:rsidR="008709C2" w:rsidRDefault="001F67A5" w:rsidP="0003448F">
      <w:pPr>
        <w:pStyle w:val="Body"/>
        <w:rPr>
          <w:lang w:eastAsia="en-AU"/>
        </w:rPr>
      </w:pPr>
      <w:r>
        <w:rPr>
          <w:lang w:eastAsia="en-AU"/>
        </w:rPr>
        <w:t>Considering t</w:t>
      </w:r>
      <w:r w:rsidR="007C141A">
        <w:rPr>
          <w:lang w:eastAsia="en-AU"/>
        </w:rPr>
        <w:t xml:space="preserve">he low levels of </w:t>
      </w:r>
      <w:r w:rsidR="008F06EE">
        <w:rPr>
          <w:i/>
          <w:lang w:eastAsia="en-AU"/>
        </w:rPr>
        <w:t>E.coli</w:t>
      </w:r>
      <w:r w:rsidR="007C141A">
        <w:rPr>
          <w:lang w:eastAsia="en-AU"/>
        </w:rPr>
        <w:t xml:space="preserve"> compliance in the receiving environment</w:t>
      </w:r>
      <w:r>
        <w:rPr>
          <w:lang w:eastAsia="en-AU"/>
        </w:rPr>
        <w:t>s</w:t>
      </w:r>
      <w:r w:rsidR="007C141A">
        <w:rPr>
          <w:lang w:eastAsia="en-AU"/>
        </w:rPr>
        <w:t xml:space="preserve"> and relative costs associated with reducing </w:t>
      </w:r>
      <w:r w:rsidR="008F06EE">
        <w:rPr>
          <w:i/>
          <w:lang w:eastAsia="en-AU"/>
        </w:rPr>
        <w:t>E.coli</w:t>
      </w:r>
      <w:r w:rsidR="007C141A">
        <w:rPr>
          <w:lang w:eastAsia="en-AU"/>
        </w:rPr>
        <w:t xml:space="preserve"> in WWTP discharges, there is merit in </w:t>
      </w:r>
      <w:r>
        <w:rPr>
          <w:lang w:eastAsia="en-AU"/>
        </w:rPr>
        <w:t xml:space="preserve">upgrading </w:t>
      </w:r>
      <w:r w:rsidR="007C141A">
        <w:rPr>
          <w:lang w:eastAsia="en-AU"/>
        </w:rPr>
        <w:t xml:space="preserve">WWTPs discharging to </w:t>
      </w:r>
      <w:r>
        <w:rPr>
          <w:lang w:eastAsia="en-AU"/>
        </w:rPr>
        <w:t xml:space="preserve">environments with poor </w:t>
      </w:r>
      <w:r w:rsidR="008F06EE">
        <w:rPr>
          <w:i/>
          <w:lang w:eastAsia="en-AU"/>
        </w:rPr>
        <w:t>E.coli</w:t>
      </w:r>
      <w:r>
        <w:rPr>
          <w:lang w:eastAsia="en-AU"/>
        </w:rPr>
        <w:t xml:space="preserve"> compliance. </w:t>
      </w:r>
    </w:p>
    <w:p w14:paraId="3B9F032A" w14:textId="77777777" w:rsidR="008709C2" w:rsidRDefault="001F67A5" w:rsidP="0003448F">
      <w:pPr>
        <w:pStyle w:val="Body"/>
        <w:rPr>
          <w:lang w:eastAsia="en-AU"/>
        </w:rPr>
      </w:pPr>
      <w:r>
        <w:rPr>
          <w:lang w:eastAsia="en-AU"/>
        </w:rPr>
        <w:t>These upgrades can represent the best value for money spent where the goal is to elevate water quality to at least the NPS</w:t>
      </w:r>
      <w:r w:rsidR="008709C2">
        <w:rPr>
          <w:lang w:eastAsia="en-AU"/>
        </w:rPr>
        <w:t xml:space="preserve"> Freshwater Attribute B </w:t>
      </w:r>
      <w:r>
        <w:rPr>
          <w:lang w:eastAsia="en-AU"/>
        </w:rPr>
        <w:t>standard across the three attributes.</w:t>
      </w:r>
    </w:p>
    <w:p w14:paraId="5E4938F3" w14:textId="77777777" w:rsidR="008709C2" w:rsidRDefault="001F67A5" w:rsidP="0003448F">
      <w:pPr>
        <w:pStyle w:val="Body"/>
        <w:rPr>
          <w:lang w:eastAsia="en-AU"/>
        </w:rPr>
      </w:pPr>
      <w:r>
        <w:rPr>
          <w:lang w:eastAsia="en-AU"/>
        </w:rPr>
        <w:fldChar w:fldCharType="begin"/>
      </w:r>
      <w:r>
        <w:rPr>
          <w:lang w:eastAsia="en-AU"/>
        </w:rPr>
        <w:instrText xml:space="preserve"> REF _Ref517779491 \h </w:instrText>
      </w:r>
      <w:r>
        <w:rPr>
          <w:lang w:eastAsia="en-AU"/>
        </w:rPr>
      </w:r>
      <w:r>
        <w:rPr>
          <w:lang w:eastAsia="en-AU"/>
        </w:rPr>
        <w:fldChar w:fldCharType="separate"/>
      </w:r>
      <w:r w:rsidR="002777A8">
        <w:t xml:space="preserve">Table </w:t>
      </w:r>
      <w:r w:rsidR="002777A8">
        <w:rPr>
          <w:noProof/>
        </w:rPr>
        <w:t>21</w:t>
      </w:r>
      <w:r>
        <w:rPr>
          <w:lang w:eastAsia="en-AU"/>
        </w:rPr>
        <w:fldChar w:fldCharType="end"/>
      </w:r>
      <w:r>
        <w:rPr>
          <w:lang w:eastAsia="en-AU"/>
        </w:rPr>
        <w:t xml:space="preserve"> shows the estimated U</w:t>
      </w:r>
      <w:r w:rsidR="00D17650">
        <w:rPr>
          <w:lang w:eastAsia="en-AU"/>
        </w:rPr>
        <w:t>ltra Violet</w:t>
      </w:r>
      <w:r>
        <w:rPr>
          <w:lang w:eastAsia="en-AU"/>
        </w:rPr>
        <w:t xml:space="preserve"> upgrade costs for WWTPs discharging to environments that do not meet the </w:t>
      </w:r>
      <w:r w:rsidR="008709C2">
        <w:rPr>
          <w:lang w:eastAsia="en-AU"/>
        </w:rPr>
        <w:t xml:space="preserve">Attribute </w:t>
      </w:r>
      <w:r>
        <w:rPr>
          <w:lang w:eastAsia="en-AU"/>
        </w:rPr>
        <w:t xml:space="preserve">B standard for </w:t>
      </w:r>
      <w:r w:rsidR="008F06EE">
        <w:rPr>
          <w:i/>
          <w:lang w:eastAsia="en-AU"/>
        </w:rPr>
        <w:t>E.coli</w:t>
      </w:r>
      <w:r>
        <w:rPr>
          <w:lang w:eastAsia="en-AU"/>
        </w:rPr>
        <w:t xml:space="preserve"> by region</w:t>
      </w:r>
      <w:r w:rsidR="00857D04">
        <w:rPr>
          <w:lang w:eastAsia="en-AU"/>
        </w:rPr>
        <w:t xml:space="preserve"> (where UV treatment is not already installed)</w:t>
      </w:r>
      <w:r>
        <w:rPr>
          <w:lang w:eastAsia="en-AU"/>
        </w:rPr>
        <w:t xml:space="preserve">. These upgrade costs are </w:t>
      </w:r>
      <w:r w:rsidR="00F928B6">
        <w:rPr>
          <w:lang w:eastAsia="en-AU"/>
        </w:rPr>
        <w:t>split</w:t>
      </w:r>
      <w:r>
        <w:rPr>
          <w:lang w:eastAsia="en-AU"/>
        </w:rPr>
        <w:t xml:space="preserve"> into three benefit </w:t>
      </w:r>
      <w:r w:rsidR="00E32D00">
        <w:rPr>
          <w:lang w:eastAsia="en-AU"/>
        </w:rPr>
        <w:t>categories that</w:t>
      </w:r>
      <w:r w:rsidR="00F928B6">
        <w:rPr>
          <w:lang w:eastAsia="en-AU"/>
        </w:rPr>
        <w:t xml:space="preserve"> represent the relative contribution of the WWTP to the receiving environment flows</w:t>
      </w:r>
      <w:r w:rsidR="00F73A81">
        <w:rPr>
          <w:lang w:eastAsia="en-AU"/>
        </w:rPr>
        <w:t xml:space="preserve"> (see </w:t>
      </w:r>
      <w:r w:rsidR="007B452A">
        <w:rPr>
          <w:lang w:eastAsia="en-AU"/>
        </w:rPr>
        <w:fldChar w:fldCharType="begin"/>
      </w:r>
      <w:r w:rsidR="007B452A">
        <w:rPr>
          <w:lang w:eastAsia="en-AU"/>
        </w:rPr>
        <w:instrText xml:space="preserve"> REF _Ref520970648 \h </w:instrText>
      </w:r>
      <w:r w:rsidR="007B452A">
        <w:rPr>
          <w:lang w:eastAsia="en-AU"/>
        </w:rPr>
      </w:r>
      <w:r w:rsidR="007B452A">
        <w:rPr>
          <w:lang w:eastAsia="en-AU"/>
        </w:rPr>
        <w:fldChar w:fldCharType="separate"/>
      </w:r>
      <w:r w:rsidR="002777A8">
        <w:t xml:space="preserve">Table </w:t>
      </w:r>
      <w:r w:rsidR="002777A8">
        <w:rPr>
          <w:noProof/>
        </w:rPr>
        <w:t>5</w:t>
      </w:r>
      <w:r w:rsidR="007B452A">
        <w:rPr>
          <w:lang w:eastAsia="en-AU"/>
        </w:rPr>
        <w:fldChar w:fldCharType="end"/>
      </w:r>
      <w:r w:rsidR="00F73A81">
        <w:rPr>
          <w:lang w:eastAsia="en-AU"/>
        </w:rPr>
        <w:t xml:space="preserve"> for category divisions)</w:t>
      </w:r>
      <w:r w:rsidR="00F928B6">
        <w:rPr>
          <w:lang w:eastAsia="en-AU"/>
        </w:rPr>
        <w:t xml:space="preserve">. </w:t>
      </w:r>
      <w:r w:rsidR="00857D04">
        <w:rPr>
          <w:lang w:eastAsia="en-AU"/>
        </w:rPr>
        <w:fldChar w:fldCharType="begin"/>
      </w:r>
      <w:r w:rsidR="00857D04">
        <w:rPr>
          <w:lang w:eastAsia="en-AU"/>
        </w:rPr>
        <w:instrText xml:space="preserve"> REF _Ref517779491 \h </w:instrText>
      </w:r>
      <w:r w:rsidR="00857D04">
        <w:rPr>
          <w:lang w:eastAsia="en-AU"/>
        </w:rPr>
      </w:r>
      <w:r w:rsidR="00857D04">
        <w:rPr>
          <w:lang w:eastAsia="en-AU"/>
        </w:rPr>
        <w:fldChar w:fldCharType="separate"/>
      </w:r>
      <w:r w:rsidR="002777A8">
        <w:t xml:space="preserve">Table </w:t>
      </w:r>
      <w:r w:rsidR="002777A8">
        <w:rPr>
          <w:noProof/>
        </w:rPr>
        <w:t>21</w:t>
      </w:r>
      <w:r w:rsidR="00857D04">
        <w:rPr>
          <w:lang w:eastAsia="en-AU"/>
        </w:rPr>
        <w:fldChar w:fldCharType="end"/>
      </w:r>
      <w:r w:rsidR="00857D04">
        <w:rPr>
          <w:lang w:eastAsia="en-AU"/>
        </w:rPr>
        <w:t xml:space="preserve"> considers upgrades to 57 WWTPs with </w:t>
      </w:r>
      <w:r w:rsidR="005E6C87">
        <w:rPr>
          <w:lang w:eastAsia="en-AU"/>
        </w:rPr>
        <w:t xml:space="preserve">11 </w:t>
      </w:r>
      <w:r w:rsidR="00857D04">
        <w:rPr>
          <w:lang w:eastAsia="en-AU"/>
        </w:rPr>
        <w:t xml:space="preserve">of these falling within the </w:t>
      </w:r>
      <w:r w:rsidR="00C2726E">
        <w:rPr>
          <w:lang w:eastAsia="en-AU"/>
        </w:rPr>
        <w:t xml:space="preserve">large </w:t>
      </w:r>
      <w:r w:rsidR="005E6C87">
        <w:rPr>
          <w:lang w:eastAsia="en-AU"/>
        </w:rPr>
        <w:t>c</w:t>
      </w:r>
      <w:r w:rsidR="00C2726E">
        <w:rPr>
          <w:lang w:eastAsia="en-AU"/>
        </w:rPr>
        <w:t>ontributor</w:t>
      </w:r>
      <w:r w:rsidR="005E6C87">
        <w:rPr>
          <w:lang w:eastAsia="en-AU"/>
        </w:rPr>
        <w:t xml:space="preserve"> </w:t>
      </w:r>
      <w:r w:rsidR="00857D04">
        <w:rPr>
          <w:lang w:eastAsia="en-AU"/>
        </w:rPr>
        <w:t>category</w:t>
      </w:r>
      <w:r w:rsidR="00193B03">
        <w:rPr>
          <w:lang w:eastAsia="en-AU"/>
        </w:rPr>
        <w:t>. A total cost of $</w:t>
      </w:r>
      <w:r w:rsidR="005E6C87">
        <w:rPr>
          <w:lang w:eastAsia="en-AU"/>
        </w:rPr>
        <w:t>7.09</w:t>
      </w:r>
      <w:r w:rsidR="00193B03">
        <w:rPr>
          <w:lang w:eastAsia="en-AU"/>
        </w:rPr>
        <w:t xml:space="preserve"> – $</w:t>
      </w:r>
      <w:r w:rsidR="005E6C87">
        <w:rPr>
          <w:lang w:eastAsia="en-AU"/>
        </w:rPr>
        <w:t>10.64</w:t>
      </w:r>
      <w:r w:rsidR="00193B03">
        <w:rPr>
          <w:lang w:eastAsia="en-AU"/>
        </w:rPr>
        <w:t xml:space="preserve"> </w:t>
      </w:r>
      <w:r w:rsidR="00D17650">
        <w:rPr>
          <w:lang w:eastAsia="en-AU"/>
        </w:rPr>
        <w:t xml:space="preserve">Million </w:t>
      </w:r>
      <w:r w:rsidR="00193B03">
        <w:rPr>
          <w:lang w:eastAsia="en-AU"/>
        </w:rPr>
        <w:t>is estimated to carry out these upgrade</w:t>
      </w:r>
      <w:r w:rsidR="0044652B">
        <w:rPr>
          <w:lang w:eastAsia="en-AU"/>
        </w:rPr>
        <w:t>s</w:t>
      </w:r>
      <w:r w:rsidR="00193B03">
        <w:rPr>
          <w:lang w:eastAsia="en-AU"/>
        </w:rPr>
        <w:t>.</w:t>
      </w:r>
    </w:p>
    <w:p w14:paraId="3A1AA230" w14:textId="77777777" w:rsidR="007B452A" w:rsidRDefault="007B452A" w:rsidP="007B452A">
      <w:pPr>
        <w:pStyle w:val="Heading4"/>
        <w:rPr>
          <w:lang w:eastAsia="en-AU"/>
        </w:rPr>
      </w:pPr>
      <w:r>
        <w:rPr>
          <w:lang w:eastAsia="en-AU"/>
        </w:rPr>
        <w:t>Ammonia and nitrate compliance</w:t>
      </w:r>
    </w:p>
    <w:p w14:paraId="2ACCD219" w14:textId="77777777" w:rsidR="007B452A" w:rsidRDefault="007B452A" w:rsidP="007B452A">
      <w:pPr>
        <w:pStyle w:val="Body"/>
        <w:rPr>
          <w:lang w:eastAsia="en-AU"/>
        </w:rPr>
      </w:pPr>
      <w:r>
        <w:rPr>
          <w:lang w:eastAsia="en-AU"/>
        </w:rPr>
        <w:t xml:space="preserve">Section </w:t>
      </w:r>
      <w:r>
        <w:rPr>
          <w:lang w:eastAsia="en-AU"/>
        </w:rPr>
        <w:fldChar w:fldCharType="begin"/>
      </w:r>
      <w:r>
        <w:rPr>
          <w:lang w:eastAsia="en-AU"/>
        </w:rPr>
        <w:instrText xml:space="preserve"> REF _Ref516840164 \n \h </w:instrText>
      </w:r>
      <w:r>
        <w:rPr>
          <w:lang w:eastAsia="en-AU"/>
        </w:rPr>
      </w:r>
      <w:r>
        <w:rPr>
          <w:lang w:eastAsia="en-AU"/>
        </w:rPr>
        <w:fldChar w:fldCharType="separate"/>
      </w:r>
      <w:r w:rsidR="002777A8">
        <w:rPr>
          <w:lang w:eastAsia="en-AU"/>
        </w:rPr>
        <w:t>3.4.3</w:t>
      </w:r>
      <w:r>
        <w:rPr>
          <w:lang w:eastAsia="en-AU"/>
        </w:rPr>
        <w:fldChar w:fldCharType="end"/>
      </w:r>
      <w:r>
        <w:rPr>
          <w:lang w:eastAsia="en-AU"/>
        </w:rPr>
        <w:t xml:space="preserve"> indicates that there is relatively high compliance with the NPS Freshwater B standard for ammonia and nitrates in the receiving environments containing WWTP discharges. However this assessment is impeded by lack of data, particularly for ammonia.</w:t>
      </w:r>
    </w:p>
    <w:p w14:paraId="0EA4C793" w14:textId="77777777" w:rsidR="007B452A" w:rsidRDefault="007B452A" w:rsidP="007B452A">
      <w:pPr>
        <w:pStyle w:val="Body"/>
        <w:rPr>
          <w:lang w:eastAsia="en-AU"/>
        </w:rPr>
      </w:pPr>
      <w:r>
        <w:rPr>
          <w:lang w:eastAsia="en-AU"/>
        </w:rPr>
        <w:t xml:space="preserve">Considering the category of plants with discharges that likely negatively affect receiving environments already below the B standard (i.e. those that likely have ammonia or nitrate discharge concentrations below the B standard where the receiving environment is assessed to be below the B standard), five plants are found. These five plants are highlighted by the ammonia attribute and the nitrate attribute does not suggest any upgrades for this analysis. </w:t>
      </w:r>
    </w:p>
    <w:p w14:paraId="6289189C" w14:textId="77777777" w:rsidR="007B452A" w:rsidRDefault="007B452A" w:rsidP="007B452A">
      <w:pPr>
        <w:pStyle w:val="Body"/>
        <w:rPr>
          <w:lang w:eastAsia="en-AU"/>
        </w:rPr>
      </w:pPr>
      <w:r>
        <w:rPr>
          <w:lang w:eastAsia="en-AU"/>
        </w:rPr>
        <w:t xml:space="preserve">The upgrade costs for this category are estimated to be $67 - $91 Million; however, the lack of ammonia compliance data and the small sample indicates a greater (un-quantifiable) uncertainty exists than suggested by this range. </w:t>
      </w:r>
    </w:p>
    <w:p w14:paraId="4081FA14" w14:textId="77777777" w:rsidR="007B452A" w:rsidRDefault="007B452A" w:rsidP="007B452A">
      <w:pPr>
        <w:pStyle w:val="Body"/>
        <w:rPr>
          <w:lang w:eastAsia="en-AU"/>
        </w:rPr>
      </w:pPr>
      <w:r>
        <w:rPr>
          <w:lang w:eastAsia="en-AU"/>
        </w:rPr>
        <w:t>Targeted analysis of these plants would be required to improve certainty.</w:t>
      </w:r>
    </w:p>
    <w:p w14:paraId="5563B033" w14:textId="77777777" w:rsidR="007B452A" w:rsidRDefault="007B452A" w:rsidP="0003448F">
      <w:pPr>
        <w:pStyle w:val="Body"/>
        <w:rPr>
          <w:lang w:eastAsia="en-AU"/>
        </w:rPr>
      </w:pPr>
    </w:p>
    <w:p w14:paraId="6C6B73AF" w14:textId="77777777" w:rsidR="007B452A" w:rsidRDefault="007B452A">
      <w:pPr>
        <w:spacing w:after="0"/>
        <w:rPr>
          <w:lang w:eastAsia="en-AU"/>
        </w:rPr>
      </w:pPr>
      <w:r>
        <w:rPr>
          <w:lang w:eastAsia="en-AU"/>
        </w:rPr>
        <w:br w:type="page"/>
      </w:r>
    </w:p>
    <w:p w14:paraId="7141F4A3" w14:textId="77777777" w:rsidR="00754113" w:rsidRDefault="00754113" w:rsidP="0003448F">
      <w:pPr>
        <w:pStyle w:val="Caption"/>
      </w:pPr>
      <w:bookmarkStart w:id="585" w:name="_Ref517779491"/>
      <w:bookmarkStart w:id="586" w:name="_Toc518653136"/>
      <w:bookmarkStart w:id="587" w:name="_Toc521064804"/>
      <w:bookmarkStart w:id="588" w:name="_Toc517788328"/>
      <w:bookmarkStart w:id="589" w:name="_Toc517793897"/>
      <w:bookmarkStart w:id="590" w:name="_Toc518042096"/>
      <w:r>
        <w:lastRenderedPageBreak/>
        <w:t xml:space="preserve">Table </w:t>
      </w:r>
      <w:r w:rsidR="007B3D80">
        <w:rPr>
          <w:noProof/>
        </w:rPr>
        <w:fldChar w:fldCharType="begin"/>
      </w:r>
      <w:r w:rsidR="007B3D80">
        <w:rPr>
          <w:noProof/>
        </w:rPr>
        <w:instrText xml:space="preserve"> SEQ Table \* ARABIC </w:instrText>
      </w:r>
      <w:r w:rsidR="007B3D80">
        <w:rPr>
          <w:noProof/>
        </w:rPr>
        <w:fldChar w:fldCharType="separate"/>
      </w:r>
      <w:r w:rsidR="002777A8">
        <w:rPr>
          <w:noProof/>
        </w:rPr>
        <w:t>21</w:t>
      </w:r>
      <w:r w:rsidR="007B3D80">
        <w:rPr>
          <w:noProof/>
        </w:rPr>
        <w:fldChar w:fldCharType="end"/>
      </w:r>
      <w:bookmarkEnd w:id="585"/>
      <w:r>
        <w:t xml:space="preserve">  Estimated UV upgrade expenses for WWTPs discharging to environments failing the NPS-FW B standard for </w:t>
      </w:r>
      <w:r w:rsidR="008F06EE">
        <w:rPr>
          <w:i/>
        </w:rPr>
        <w:t>E.coli</w:t>
      </w:r>
      <w:r>
        <w:t>.</w:t>
      </w:r>
      <w:bookmarkEnd w:id="586"/>
      <w:bookmarkEnd w:id="587"/>
      <w:r>
        <w:t xml:space="preserve"> </w:t>
      </w:r>
      <w:bookmarkEnd w:id="588"/>
      <w:bookmarkEnd w:id="589"/>
      <w:bookmarkEnd w:id="590"/>
    </w:p>
    <w:tbl>
      <w:tblPr>
        <w:tblStyle w:val="Table-Style3"/>
        <w:tblW w:w="4853" w:type="pct"/>
        <w:tblInd w:w="607" w:type="dxa"/>
        <w:tblLook w:val="04A0" w:firstRow="1" w:lastRow="0" w:firstColumn="1" w:lastColumn="0" w:noHBand="0" w:noVBand="1"/>
      </w:tblPr>
      <w:tblGrid>
        <w:gridCol w:w="2309"/>
        <w:gridCol w:w="1614"/>
        <w:gridCol w:w="1614"/>
        <w:gridCol w:w="1619"/>
        <w:gridCol w:w="1859"/>
      </w:tblGrid>
      <w:tr w:rsidR="002941A7" w14:paraId="7781A209" w14:textId="77777777" w:rsidTr="007B452A">
        <w:trPr>
          <w:cnfStyle w:val="100000000000" w:firstRow="1" w:lastRow="0" w:firstColumn="0" w:lastColumn="0" w:oddVBand="0" w:evenVBand="0" w:oddHBand="0" w:evenHBand="0" w:firstRowFirstColumn="0" w:firstRowLastColumn="0" w:lastRowFirstColumn="0" w:lastRowLastColumn="0"/>
          <w:tblHeader/>
        </w:trPr>
        <w:tc>
          <w:tcPr>
            <w:tcW w:w="1281" w:type="pct"/>
            <w:vMerge w:val="restart"/>
            <w:vAlign w:val="center"/>
          </w:tcPr>
          <w:p w14:paraId="0A52F8FE" w14:textId="77777777" w:rsidR="002941A7" w:rsidRPr="002F357B" w:rsidRDefault="002941A7" w:rsidP="002941A7">
            <w:pPr>
              <w:pStyle w:val="Body"/>
              <w:ind w:left="0"/>
              <w:rPr>
                <w:rFonts w:cs="Arial"/>
                <w:szCs w:val="20"/>
              </w:rPr>
            </w:pPr>
            <w:r w:rsidRPr="002F357B">
              <w:rPr>
                <w:rFonts w:cs="Arial"/>
                <w:szCs w:val="20"/>
              </w:rPr>
              <w:t>Region</w:t>
            </w:r>
          </w:p>
        </w:tc>
        <w:tc>
          <w:tcPr>
            <w:tcW w:w="2688" w:type="pct"/>
            <w:gridSpan w:val="3"/>
          </w:tcPr>
          <w:p w14:paraId="2C26F1C8" w14:textId="77777777" w:rsidR="002941A7" w:rsidRPr="00381B57" w:rsidRDefault="002941A7" w:rsidP="007B452A">
            <w:pPr>
              <w:pStyle w:val="Body"/>
              <w:ind w:left="0"/>
              <w:jc w:val="center"/>
              <w:rPr>
                <w:lang w:eastAsia="en-AU"/>
              </w:rPr>
            </w:pPr>
            <w:r w:rsidRPr="00381B57">
              <w:rPr>
                <w:lang w:eastAsia="en-AU"/>
              </w:rPr>
              <w:t xml:space="preserve">UV Upgrade </w:t>
            </w:r>
            <w:r w:rsidR="00494438" w:rsidRPr="00381B57">
              <w:rPr>
                <w:lang w:eastAsia="en-AU"/>
              </w:rPr>
              <w:t>b</w:t>
            </w:r>
            <w:r w:rsidRPr="00381B57">
              <w:rPr>
                <w:lang w:eastAsia="en-AU"/>
              </w:rPr>
              <w:t xml:space="preserve">enefit </w:t>
            </w:r>
            <w:r w:rsidR="00494438" w:rsidRPr="00381B57">
              <w:rPr>
                <w:lang w:eastAsia="en-AU"/>
              </w:rPr>
              <w:t>b</w:t>
            </w:r>
            <w:r w:rsidRPr="00381B57">
              <w:rPr>
                <w:lang w:eastAsia="en-AU"/>
              </w:rPr>
              <w:t xml:space="preserve">ased on </w:t>
            </w:r>
            <w:r w:rsidR="00494438" w:rsidRPr="00381B57">
              <w:rPr>
                <w:lang w:eastAsia="en-AU"/>
              </w:rPr>
              <w:t>r</w:t>
            </w:r>
            <w:r w:rsidRPr="00381B57">
              <w:rPr>
                <w:lang w:eastAsia="en-AU"/>
              </w:rPr>
              <w:t xml:space="preserve">elative </w:t>
            </w:r>
            <w:r w:rsidR="00494438" w:rsidRPr="00381B57">
              <w:rPr>
                <w:lang w:eastAsia="en-AU"/>
              </w:rPr>
              <w:t>d</w:t>
            </w:r>
            <w:r w:rsidRPr="00381B57">
              <w:rPr>
                <w:lang w:eastAsia="en-AU"/>
              </w:rPr>
              <w:t>ischarge</w:t>
            </w:r>
            <w:r w:rsidR="007B452A">
              <w:rPr>
                <w:lang w:eastAsia="en-AU"/>
              </w:rPr>
              <w:t xml:space="preserve"> </w:t>
            </w:r>
            <w:r w:rsidRPr="00381B57">
              <w:rPr>
                <w:lang w:eastAsia="en-AU"/>
              </w:rPr>
              <w:t>($</w:t>
            </w:r>
            <w:r w:rsidR="007B452A">
              <w:rPr>
                <w:lang w:eastAsia="en-AU"/>
              </w:rPr>
              <w:t> </w:t>
            </w:r>
            <w:r w:rsidRPr="00381B57">
              <w:rPr>
                <w:lang w:eastAsia="en-AU"/>
              </w:rPr>
              <w:t>Million)</w:t>
            </w:r>
          </w:p>
        </w:tc>
        <w:tc>
          <w:tcPr>
            <w:tcW w:w="1032" w:type="pct"/>
            <w:vMerge w:val="restart"/>
          </w:tcPr>
          <w:p w14:paraId="6D164066" w14:textId="77777777" w:rsidR="007B452A" w:rsidRDefault="002941A7" w:rsidP="007B452A">
            <w:pPr>
              <w:pStyle w:val="Body"/>
              <w:ind w:left="0"/>
              <w:jc w:val="center"/>
              <w:rPr>
                <w:lang w:eastAsia="en-AU"/>
              </w:rPr>
            </w:pPr>
            <w:r w:rsidRPr="00381B57">
              <w:rPr>
                <w:lang w:eastAsia="en-AU"/>
              </w:rPr>
              <w:t>Total</w:t>
            </w:r>
          </w:p>
          <w:p w14:paraId="09B1727C" w14:textId="77777777" w:rsidR="002941A7" w:rsidRPr="002F357B" w:rsidRDefault="002941A7" w:rsidP="007B452A">
            <w:pPr>
              <w:pStyle w:val="Body"/>
              <w:ind w:left="0"/>
              <w:jc w:val="center"/>
              <w:rPr>
                <w:rFonts w:cs="Arial"/>
                <w:szCs w:val="20"/>
              </w:rPr>
            </w:pPr>
            <w:r w:rsidRPr="00381B57">
              <w:rPr>
                <w:lang w:eastAsia="en-AU"/>
              </w:rPr>
              <w:t>($</w:t>
            </w:r>
            <w:r w:rsidR="00381B57">
              <w:rPr>
                <w:lang w:eastAsia="en-AU"/>
              </w:rPr>
              <w:t> </w:t>
            </w:r>
            <w:r w:rsidRPr="00381B57">
              <w:rPr>
                <w:lang w:eastAsia="en-AU"/>
              </w:rPr>
              <w:t>Million)</w:t>
            </w:r>
          </w:p>
        </w:tc>
      </w:tr>
      <w:tr w:rsidR="0021047A" w14:paraId="7A533559" w14:textId="77777777" w:rsidTr="007B452A">
        <w:trPr>
          <w:cnfStyle w:val="100000000000" w:firstRow="1" w:lastRow="0" w:firstColumn="0" w:lastColumn="0" w:oddVBand="0" w:evenVBand="0" w:oddHBand="0" w:evenHBand="0" w:firstRowFirstColumn="0" w:firstRowLastColumn="0" w:lastRowFirstColumn="0" w:lastRowLastColumn="0"/>
          <w:tblHeader/>
        </w:trPr>
        <w:tc>
          <w:tcPr>
            <w:tcW w:w="1281" w:type="pct"/>
            <w:vMerge/>
          </w:tcPr>
          <w:p w14:paraId="43322CCE" w14:textId="77777777" w:rsidR="002941A7" w:rsidRPr="002F357B" w:rsidRDefault="002941A7" w:rsidP="003C10A2">
            <w:pPr>
              <w:pStyle w:val="Body"/>
              <w:ind w:left="0"/>
              <w:rPr>
                <w:rFonts w:cs="Arial"/>
                <w:color w:val="FFFFFF" w:themeColor="background1"/>
                <w:szCs w:val="20"/>
              </w:rPr>
            </w:pPr>
          </w:p>
        </w:tc>
        <w:tc>
          <w:tcPr>
            <w:tcW w:w="895" w:type="pct"/>
          </w:tcPr>
          <w:p w14:paraId="76EDA623" w14:textId="77777777" w:rsidR="002941A7" w:rsidRPr="007B452A" w:rsidRDefault="00C2726E" w:rsidP="007B452A">
            <w:pPr>
              <w:pStyle w:val="Body"/>
              <w:ind w:left="0"/>
              <w:jc w:val="center"/>
              <w:rPr>
                <w:lang w:eastAsia="en-AU"/>
              </w:rPr>
            </w:pPr>
            <w:r w:rsidRPr="007B452A">
              <w:rPr>
                <w:lang w:eastAsia="en-AU"/>
              </w:rPr>
              <w:t>Small</w:t>
            </w:r>
          </w:p>
        </w:tc>
        <w:tc>
          <w:tcPr>
            <w:tcW w:w="895" w:type="pct"/>
          </w:tcPr>
          <w:p w14:paraId="160B7B9D" w14:textId="77777777" w:rsidR="002941A7" w:rsidRPr="00381B57" w:rsidRDefault="002941A7" w:rsidP="007B452A">
            <w:pPr>
              <w:pStyle w:val="Body"/>
              <w:ind w:left="0"/>
              <w:jc w:val="center"/>
              <w:rPr>
                <w:lang w:eastAsia="en-AU"/>
              </w:rPr>
            </w:pPr>
            <w:r w:rsidRPr="00381B57">
              <w:rPr>
                <w:lang w:eastAsia="en-AU"/>
              </w:rPr>
              <w:t>Moderate</w:t>
            </w:r>
          </w:p>
        </w:tc>
        <w:tc>
          <w:tcPr>
            <w:tcW w:w="897" w:type="pct"/>
          </w:tcPr>
          <w:p w14:paraId="5191E2EB" w14:textId="77777777" w:rsidR="002941A7" w:rsidRPr="00381B57" w:rsidRDefault="00C2726E" w:rsidP="007B452A">
            <w:pPr>
              <w:pStyle w:val="Body"/>
              <w:ind w:left="0"/>
              <w:jc w:val="center"/>
              <w:rPr>
                <w:lang w:eastAsia="en-AU"/>
              </w:rPr>
            </w:pPr>
            <w:r w:rsidRPr="00381B57">
              <w:rPr>
                <w:lang w:eastAsia="en-AU"/>
              </w:rPr>
              <w:t>Large</w:t>
            </w:r>
          </w:p>
        </w:tc>
        <w:tc>
          <w:tcPr>
            <w:tcW w:w="1032" w:type="pct"/>
            <w:vMerge/>
          </w:tcPr>
          <w:p w14:paraId="64BB23A4" w14:textId="77777777" w:rsidR="002941A7" w:rsidRPr="002F357B" w:rsidRDefault="002941A7" w:rsidP="00D50F54">
            <w:pPr>
              <w:pStyle w:val="Body"/>
              <w:ind w:left="0"/>
              <w:jc w:val="center"/>
              <w:rPr>
                <w:rFonts w:cs="Arial"/>
                <w:color w:val="FFFFFF" w:themeColor="background1"/>
                <w:szCs w:val="20"/>
              </w:rPr>
            </w:pPr>
          </w:p>
        </w:tc>
      </w:tr>
      <w:tr w:rsidR="0021047A" w14:paraId="0371299B" w14:textId="77777777" w:rsidTr="002941A7">
        <w:tc>
          <w:tcPr>
            <w:tcW w:w="1281" w:type="pct"/>
            <w:vAlign w:val="bottom"/>
          </w:tcPr>
          <w:p w14:paraId="65329150" w14:textId="77777777" w:rsidR="002941A7" w:rsidRPr="002F357B" w:rsidRDefault="002941A7" w:rsidP="002941A7">
            <w:pPr>
              <w:pStyle w:val="Body"/>
              <w:ind w:left="0"/>
              <w:rPr>
                <w:rFonts w:cs="Arial"/>
                <w:szCs w:val="20"/>
              </w:rPr>
            </w:pPr>
            <w:r w:rsidRPr="002F357B">
              <w:rPr>
                <w:rFonts w:cs="Arial"/>
                <w:color w:val="000000"/>
                <w:szCs w:val="20"/>
              </w:rPr>
              <w:t xml:space="preserve"> Auckland </w:t>
            </w:r>
          </w:p>
        </w:tc>
        <w:tc>
          <w:tcPr>
            <w:tcW w:w="895" w:type="pct"/>
            <w:vAlign w:val="bottom"/>
          </w:tcPr>
          <w:p w14:paraId="5FFD9F2C" w14:textId="77777777" w:rsidR="002941A7" w:rsidRPr="002F357B" w:rsidRDefault="002941A7" w:rsidP="00D50F54">
            <w:pPr>
              <w:pStyle w:val="Body"/>
              <w:ind w:left="0"/>
              <w:jc w:val="center"/>
              <w:rPr>
                <w:rFonts w:cs="Arial"/>
                <w:szCs w:val="20"/>
              </w:rPr>
            </w:pPr>
            <w:r w:rsidRPr="002F357B">
              <w:rPr>
                <w:rFonts w:cs="Arial"/>
                <w:color w:val="000000"/>
                <w:szCs w:val="20"/>
              </w:rPr>
              <w:t>-</w:t>
            </w:r>
          </w:p>
        </w:tc>
        <w:tc>
          <w:tcPr>
            <w:tcW w:w="895" w:type="pct"/>
            <w:vAlign w:val="bottom"/>
          </w:tcPr>
          <w:p w14:paraId="1FD05784" w14:textId="77777777" w:rsidR="002941A7" w:rsidRPr="002F357B" w:rsidRDefault="002941A7" w:rsidP="00D50F54">
            <w:pPr>
              <w:pStyle w:val="Body"/>
              <w:ind w:left="0"/>
              <w:jc w:val="center"/>
              <w:rPr>
                <w:rFonts w:cs="Arial"/>
                <w:szCs w:val="20"/>
              </w:rPr>
            </w:pPr>
            <w:r w:rsidRPr="002F357B">
              <w:rPr>
                <w:rFonts w:cs="Arial"/>
                <w:color w:val="000000"/>
                <w:szCs w:val="20"/>
              </w:rPr>
              <w:t>$0.09 - $0.14</w:t>
            </w:r>
          </w:p>
        </w:tc>
        <w:tc>
          <w:tcPr>
            <w:tcW w:w="897" w:type="pct"/>
            <w:vAlign w:val="bottom"/>
          </w:tcPr>
          <w:p w14:paraId="16BA3873" w14:textId="77777777" w:rsidR="002941A7" w:rsidRPr="002F357B" w:rsidRDefault="002941A7" w:rsidP="00D50F54">
            <w:pPr>
              <w:pStyle w:val="Body"/>
              <w:ind w:left="0"/>
              <w:jc w:val="center"/>
              <w:rPr>
                <w:rFonts w:cs="Arial"/>
                <w:szCs w:val="20"/>
              </w:rPr>
            </w:pPr>
            <w:r w:rsidRPr="002F357B">
              <w:rPr>
                <w:rFonts w:cs="Arial"/>
                <w:color w:val="000000"/>
                <w:szCs w:val="20"/>
              </w:rPr>
              <w:t>$0.17 - $0.25</w:t>
            </w:r>
          </w:p>
        </w:tc>
        <w:tc>
          <w:tcPr>
            <w:tcW w:w="1032" w:type="pct"/>
            <w:vAlign w:val="bottom"/>
          </w:tcPr>
          <w:p w14:paraId="011450EC" w14:textId="77777777" w:rsidR="002941A7" w:rsidRPr="002F357B" w:rsidRDefault="002941A7" w:rsidP="00D50F54">
            <w:pPr>
              <w:pStyle w:val="Body"/>
              <w:ind w:left="0"/>
              <w:jc w:val="center"/>
              <w:rPr>
                <w:rFonts w:cs="Arial"/>
                <w:szCs w:val="20"/>
              </w:rPr>
            </w:pPr>
            <w:r w:rsidRPr="002F357B">
              <w:rPr>
                <w:rFonts w:cs="Arial"/>
                <w:color w:val="000000"/>
                <w:szCs w:val="20"/>
              </w:rPr>
              <w:t>$0.26 - $0.39</w:t>
            </w:r>
          </w:p>
        </w:tc>
      </w:tr>
      <w:tr w:rsidR="0021047A" w14:paraId="086E5B00" w14:textId="77777777" w:rsidTr="002941A7">
        <w:tc>
          <w:tcPr>
            <w:tcW w:w="1281" w:type="pct"/>
            <w:vAlign w:val="bottom"/>
          </w:tcPr>
          <w:p w14:paraId="2755D7CF" w14:textId="77777777" w:rsidR="002941A7" w:rsidRPr="002F357B" w:rsidRDefault="002941A7" w:rsidP="002941A7">
            <w:pPr>
              <w:pStyle w:val="Body"/>
              <w:ind w:left="0"/>
              <w:rPr>
                <w:rFonts w:cs="Arial"/>
                <w:szCs w:val="20"/>
              </w:rPr>
            </w:pPr>
            <w:r w:rsidRPr="002F357B">
              <w:rPr>
                <w:rFonts w:cs="Arial"/>
                <w:color w:val="000000"/>
                <w:szCs w:val="20"/>
              </w:rPr>
              <w:t xml:space="preserve"> Bay of Plenty </w:t>
            </w:r>
          </w:p>
        </w:tc>
        <w:tc>
          <w:tcPr>
            <w:tcW w:w="895" w:type="pct"/>
            <w:vAlign w:val="bottom"/>
          </w:tcPr>
          <w:p w14:paraId="2344DD88" w14:textId="77777777" w:rsidR="002941A7" w:rsidRPr="002F357B" w:rsidRDefault="002941A7" w:rsidP="00D50F54">
            <w:pPr>
              <w:pStyle w:val="Body"/>
              <w:ind w:left="0"/>
              <w:jc w:val="center"/>
              <w:rPr>
                <w:rFonts w:cs="Arial"/>
                <w:szCs w:val="20"/>
              </w:rPr>
            </w:pPr>
            <w:r w:rsidRPr="002F357B">
              <w:rPr>
                <w:rFonts w:cs="Arial"/>
                <w:color w:val="000000"/>
                <w:szCs w:val="20"/>
              </w:rPr>
              <w:t>$0.06 - $0.10</w:t>
            </w:r>
          </w:p>
        </w:tc>
        <w:tc>
          <w:tcPr>
            <w:tcW w:w="895" w:type="pct"/>
            <w:vAlign w:val="bottom"/>
          </w:tcPr>
          <w:p w14:paraId="23F36484" w14:textId="77777777" w:rsidR="002941A7" w:rsidRPr="002F357B" w:rsidRDefault="002941A7" w:rsidP="00D50F54">
            <w:pPr>
              <w:pStyle w:val="Body"/>
              <w:ind w:left="0"/>
              <w:jc w:val="center"/>
              <w:rPr>
                <w:rFonts w:cs="Arial"/>
                <w:szCs w:val="20"/>
              </w:rPr>
            </w:pPr>
            <w:r w:rsidRPr="002F357B">
              <w:rPr>
                <w:rFonts w:cs="Arial"/>
                <w:color w:val="000000"/>
                <w:szCs w:val="20"/>
              </w:rPr>
              <w:t>-</w:t>
            </w:r>
          </w:p>
        </w:tc>
        <w:tc>
          <w:tcPr>
            <w:tcW w:w="897" w:type="pct"/>
            <w:vAlign w:val="bottom"/>
          </w:tcPr>
          <w:p w14:paraId="4B63DD54" w14:textId="77777777" w:rsidR="002941A7" w:rsidRPr="002F357B" w:rsidRDefault="002941A7" w:rsidP="00D50F54">
            <w:pPr>
              <w:pStyle w:val="Body"/>
              <w:ind w:left="0"/>
              <w:jc w:val="center"/>
              <w:rPr>
                <w:rFonts w:cs="Arial"/>
                <w:szCs w:val="20"/>
              </w:rPr>
            </w:pPr>
            <w:r w:rsidRPr="002F357B">
              <w:rPr>
                <w:rFonts w:cs="Arial"/>
                <w:color w:val="000000"/>
                <w:szCs w:val="20"/>
              </w:rPr>
              <w:t>-</w:t>
            </w:r>
          </w:p>
        </w:tc>
        <w:tc>
          <w:tcPr>
            <w:tcW w:w="1032" w:type="pct"/>
            <w:vAlign w:val="bottom"/>
          </w:tcPr>
          <w:p w14:paraId="512EB8A4" w14:textId="77777777" w:rsidR="002941A7" w:rsidRPr="002F357B" w:rsidRDefault="002941A7" w:rsidP="00D50F54">
            <w:pPr>
              <w:pStyle w:val="Body"/>
              <w:ind w:left="0"/>
              <w:jc w:val="center"/>
              <w:rPr>
                <w:rFonts w:cs="Arial"/>
                <w:szCs w:val="20"/>
              </w:rPr>
            </w:pPr>
            <w:r w:rsidRPr="002F357B">
              <w:rPr>
                <w:rFonts w:cs="Arial"/>
                <w:color w:val="000000"/>
                <w:szCs w:val="20"/>
              </w:rPr>
              <w:t>$0.06 - $0.10</w:t>
            </w:r>
          </w:p>
        </w:tc>
      </w:tr>
      <w:tr w:rsidR="0021047A" w14:paraId="62EDEC2D" w14:textId="77777777" w:rsidTr="002941A7">
        <w:tc>
          <w:tcPr>
            <w:tcW w:w="1281" w:type="pct"/>
            <w:vAlign w:val="bottom"/>
          </w:tcPr>
          <w:p w14:paraId="0CA5C64D" w14:textId="77777777" w:rsidR="002941A7" w:rsidRPr="002F357B" w:rsidRDefault="002941A7" w:rsidP="002941A7">
            <w:pPr>
              <w:pStyle w:val="Body"/>
              <w:ind w:left="0"/>
              <w:rPr>
                <w:rFonts w:cs="Arial"/>
                <w:szCs w:val="20"/>
              </w:rPr>
            </w:pPr>
            <w:r w:rsidRPr="002F357B">
              <w:rPr>
                <w:rFonts w:cs="Arial"/>
                <w:color w:val="000000"/>
                <w:szCs w:val="20"/>
              </w:rPr>
              <w:t xml:space="preserve"> Canterbury </w:t>
            </w:r>
          </w:p>
        </w:tc>
        <w:tc>
          <w:tcPr>
            <w:tcW w:w="895" w:type="pct"/>
            <w:vAlign w:val="bottom"/>
          </w:tcPr>
          <w:p w14:paraId="4EB52D65" w14:textId="77777777" w:rsidR="002941A7" w:rsidRPr="002F357B" w:rsidRDefault="002941A7" w:rsidP="00D50F54">
            <w:pPr>
              <w:pStyle w:val="Body"/>
              <w:ind w:left="0"/>
              <w:jc w:val="center"/>
              <w:rPr>
                <w:rFonts w:cs="Arial"/>
                <w:szCs w:val="20"/>
              </w:rPr>
            </w:pPr>
            <w:r w:rsidRPr="002F357B">
              <w:rPr>
                <w:rFonts w:cs="Arial"/>
                <w:color w:val="000000"/>
                <w:szCs w:val="20"/>
              </w:rPr>
              <w:t>$0.08 - $0.13</w:t>
            </w:r>
          </w:p>
        </w:tc>
        <w:tc>
          <w:tcPr>
            <w:tcW w:w="895" w:type="pct"/>
            <w:vAlign w:val="bottom"/>
          </w:tcPr>
          <w:p w14:paraId="179B6917" w14:textId="77777777" w:rsidR="002941A7" w:rsidRPr="002F357B" w:rsidRDefault="002941A7" w:rsidP="00D50F54">
            <w:pPr>
              <w:pStyle w:val="Body"/>
              <w:ind w:left="0"/>
              <w:jc w:val="center"/>
              <w:rPr>
                <w:rFonts w:cs="Arial"/>
                <w:szCs w:val="20"/>
              </w:rPr>
            </w:pPr>
            <w:r w:rsidRPr="002F357B">
              <w:rPr>
                <w:rFonts w:cs="Arial"/>
                <w:color w:val="000000"/>
                <w:szCs w:val="20"/>
              </w:rPr>
              <w:t>$0.01 - $0.01</w:t>
            </w:r>
          </w:p>
        </w:tc>
        <w:tc>
          <w:tcPr>
            <w:tcW w:w="897" w:type="pct"/>
            <w:vAlign w:val="bottom"/>
          </w:tcPr>
          <w:p w14:paraId="401B5253" w14:textId="77777777" w:rsidR="002941A7" w:rsidRPr="002F357B" w:rsidRDefault="002941A7" w:rsidP="00D50F54">
            <w:pPr>
              <w:pStyle w:val="Body"/>
              <w:ind w:left="0"/>
              <w:jc w:val="center"/>
              <w:rPr>
                <w:rFonts w:cs="Arial"/>
                <w:szCs w:val="20"/>
              </w:rPr>
            </w:pPr>
            <w:r w:rsidRPr="002F357B">
              <w:rPr>
                <w:rFonts w:cs="Arial"/>
                <w:color w:val="000000"/>
                <w:szCs w:val="20"/>
              </w:rPr>
              <w:t>-</w:t>
            </w:r>
          </w:p>
        </w:tc>
        <w:tc>
          <w:tcPr>
            <w:tcW w:w="1032" w:type="pct"/>
            <w:vAlign w:val="bottom"/>
          </w:tcPr>
          <w:p w14:paraId="7332121E" w14:textId="77777777" w:rsidR="002941A7" w:rsidRPr="002F357B" w:rsidRDefault="002941A7" w:rsidP="00D50F54">
            <w:pPr>
              <w:pStyle w:val="Body"/>
              <w:ind w:left="0"/>
              <w:jc w:val="center"/>
              <w:rPr>
                <w:rFonts w:cs="Arial"/>
                <w:szCs w:val="20"/>
              </w:rPr>
            </w:pPr>
            <w:r w:rsidRPr="002F357B">
              <w:rPr>
                <w:rFonts w:cs="Arial"/>
                <w:color w:val="000000"/>
                <w:szCs w:val="20"/>
              </w:rPr>
              <w:t>$0.09 - $0.14</w:t>
            </w:r>
          </w:p>
        </w:tc>
      </w:tr>
      <w:tr w:rsidR="0021047A" w14:paraId="62159312" w14:textId="77777777" w:rsidTr="002941A7">
        <w:tc>
          <w:tcPr>
            <w:tcW w:w="1281" w:type="pct"/>
            <w:vAlign w:val="bottom"/>
          </w:tcPr>
          <w:p w14:paraId="5C8A6E1C" w14:textId="77777777" w:rsidR="002941A7" w:rsidRPr="002F357B" w:rsidRDefault="002941A7" w:rsidP="002941A7">
            <w:pPr>
              <w:pStyle w:val="Body"/>
              <w:ind w:left="0"/>
              <w:rPr>
                <w:rFonts w:cs="Arial"/>
                <w:szCs w:val="20"/>
              </w:rPr>
            </w:pPr>
            <w:r w:rsidRPr="002F357B">
              <w:rPr>
                <w:rFonts w:cs="Arial"/>
                <w:color w:val="000000"/>
                <w:szCs w:val="20"/>
              </w:rPr>
              <w:t xml:space="preserve"> Gisborne </w:t>
            </w:r>
          </w:p>
        </w:tc>
        <w:tc>
          <w:tcPr>
            <w:tcW w:w="895" w:type="pct"/>
            <w:vAlign w:val="bottom"/>
          </w:tcPr>
          <w:p w14:paraId="45AF1A5D" w14:textId="77777777" w:rsidR="002941A7" w:rsidRPr="002F357B" w:rsidRDefault="002941A7" w:rsidP="00D50F54">
            <w:pPr>
              <w:pStyle w:val="Body"/>
              <w:ind w:left="0"/>
              <w:jc w:val="center"/>
              <w:rPr>
                <w:rFonts w:cs="Arial"/>
                <w:szCs w:val="20"/>
              </w:rPr>
            </w:pPr>
            <w:r w:rsidRPr="002F357B">
              <w:rPr>
                <w:rFonts w:cs="Arial"/>
                <w:color w:val="000000"/>
                <w:szCs w:val="20"/>
              </w:rPr>
              <w:t>$0.05 - $0.08</w:t>
            </w:r>
          </w:p>
        </w:tc>
        <w:tc>
          <w:tcPr>
            <w:tcW w:w="895" w:type="pct"/>
            <w:vAlign w:val="bottom"/>
          </w:tcPr>
          <w:p w14:paraId="699334BB" w14:textId="77777777" w:rsidR="002941A7" w:rsidRPr="002F357B" w:rsidRDefault="002941A7" w:rsidP="00D50F54">
            <w:pPr>
              <w:pStyle w:val="Body"/>
              <w:ind w:left="0"/>
              <w:jc w:val="center"/>
              <w:rPr>
                <w:rFonts w:cs="Arial"/>
                <w:szCs w:val="20"/>
              </w:rPr>
            </w:pPr>
            <w:r w:rsidRPr="002F357B">
              <w:rPr>
                <w:rFonts w:cs="Arial"/>
                <w:color w:val="000000"/>
                <w:szCs w:val="20"/>
              </w:rPr>
              <w:t>-</w:t>
            </w:r>
          </w:p>
        </w:tc>
        <w:tc>
          <w:tcPr>
            <w:tcW w:w="897" w:type="pct"/>
            <w:vAlign w:val="bottom"/>
          </w:tcPr>
          <w:p w14:paraId="4F5AC6B2" w14:textId="77777777" w:rsidR="002941A7" w:rsidRPr="002F357B" w:rsidRDefault="002941A7" w:rsidP="00D50F54">
            <w:pPr>
              <w:pStyle w:val="Body"/>
              <w:ind w:left="0"/>
              <w:jc w:val="center"/>
              <w:rPr>
                <w:rFonts w:cs="Arial"/>
                <w:szCs w:val="20"/>
              </w:rPr>
            </w:pPr>
            <w:r w:rsidRPr="002F357B">
              <w:rPr>
                <w:rFonts w:cs="Arial"/>
                <w:color w:val="000000"/>
                <w:szCs w:val="20"/>
              </w:rPr>
              <w:t>-</w:t>
            </w:r>
          </w:p>
        </w:tc>
        <w:tc>
          <w:tcPr>
            <w:tcW w:w="1032" w:type="pct"/>
            <w:vAlign w:val="bottom"/>
          </w:tcPr>
          <w:p w14:paraId="68856F8E" w14:textId="77777777" w:rsidR="002941A7" w:rsidRPr="002F357B" w:rsidRDefault="002941A7" w:rsidP="00D50F54">
            <w:pPr>
              <w:pStyle w:val="Body"/>
              <w:ind w:left="0"/>
              <w:jc w:val="center"/>
              <w:rPr>
                <w:rFonts w:cs="Arial"/>
                <w:szCs w:val="20"/>
              </w:rPr>
            </w:pPr>
            <w:r w:rsidRPr="002F357B">
              <w:rPr>
                <w:rFonts w:cs="Arial"/>
                <w:color w:val="000000"/>
                <w:szCs w:val="20"/>
              </w:rPr>
              <w:t>$0.05 - $0.08</w:t>
            </w:r>
          </w:p>
        </w:tc>
      </w:tr>
      <w:tr w:rsidR="0021047A" w14:paraId="2B4BF611" w14:textId="77777777" w:rsidTr="002941A7">
        <w:tc>
          <w:tcPr>
            <w:tcW w:w="1281" w:type="pct"/>
            <w:vAlign w:val="bottom"/>
          </w:tcPr>
          <w:p w14:paraId="70B7F65F" w14:textId="77777777" w:rsidR="002941A7" w:rsidRPr="002F357B" w:rsidRDefault="002941A7" w:rsidP="002941A7">
            <w:pPr>
              <w:pStyle w:val="Body"/>
              <w:ind w:left="0"/>
              <w:rPr>
                <w:rFonts w:cs="Arial"/>
                <w:szCs w:val="20"/>
              </w:rPr>
            </w:pPr>
            <w:r w:rsidRPr="002F357B">
              <w:rPr>
                <w:rFonts w:cs="Arial"/>
                <w:color w:val="000000"/>
                <w:szCs w:val="20"/>
              </w:rPr>
              <w:t xml:space="preserve"> Hawke's Bay </w:t>
            </w:r>
          </w:p>
        </w:tc>
        <w:tc>
          <w:tcPr>
            <w:tcW w:w="895" w:type="pct"/>
            <w:vAlign w:val="bottom"/>
          </w:tcPr>
          <w:p w14:paraId="5C739CBC" w14:textId="77777777" w:rsidR="002941A7" w:rsidRPr="002F357B" w:rsidRDefault="002941A7" w:rsidP="00D50F54">
            <w:pPr>
              <w:pStyle w:val="Body"/>
              <w:ind w:left="0"/>
              <w:jc w:val="center"/>
              <w:rPr>
                <w:rFonts w:cs="Arial"/>
                <w:szCs w:val="20"/>
              </w:rPr>
            </w:pPr>
            <w:r w:rsidRPr="002F357B">
              <w:rPr>
                <w:rFonts w:cs="Arial"/>
                <w:color w:val="000000"/>
                <w:szCs w:val="20"/>
              </w:rPr>
              <w:t>-</w:t>
            </w:r>
          </w:p>
        </w:tc>
        <w:tc>
          <w:tcPr>
            <w:tcW w:w="895" w:type="pct"/>
            <w:vAlign w:val="bottom"/>
          </w:tcPr>
          <w:p w14:paraId="5A50CCA9" w14:textId="77777777" w:rsidR="002941A7" w:rsidRPr="002F357B" w:rsidRDefault="002941A7" w:rsidP="00D50F54">
            <w:pPr>
              <w:pStyle w:val="Body"/>
              <w:ind w:left="0"/>
              <w:jc w:val="center"/>
              <w:rPr>
                <w:rFonts w:cs="Arial"/>
                <w:szCs w:val="20"/>
              </w:rPr>
            </w:pPr>
            <w:r w:rsidRPr="002F357B">
              <w:rPr>
                <w:rFonts w:cs="Arial"/>
                <w:color w:val="000000"/>
                <w:szCs w:val="20"/>
              </w:rPr>
              <w:t>$0.07 - $0.10</w:t>
            </w:r>
          </w:p>
        </w:tc>
        <w:tc>
          <w:tcPr>
            <w:tcW w:w="897" w:type="pct"/>
            <w:vAlign w:val="bottom"/>
          </w:tcPr>
          <w:p w14:paraId="68C84C9A" w14:textId="77777777" w:rsidR="002941A7" w:rsidRPr="002F357B" w:rsidRDefault="002941A7" w:rsidP="00D50F54">
            <w:pPr>
              <w:pStyle w:val="Body"/>
              <w:ind w:left="0"/>
              <w:jc w:val="center"/>
              <w:rPr>
                <w:rFonts w:cs="Arial"/>
                <w:szCs w:val="20"/>
              </w:rPr>
            </w:pPr>
            <w:r w:rsidRPr="002F357B">
              <w:rPr>
                <w:rFonts w:cs="Arial"/>
                <w:color w:val="000000"/>
                <w:szCs w:val="20"/>
              </w:rPr>
              <w:t>-</w:t>
            </w:r>
          </w:p>
        </w:tc>
        <w:tc>
          <w:tcPr>
            <w:tcW w:w="1032" w:type="pct"/>
            <w:vAlign w:val="bottom"/>
          </w:tcPr>
          <w:p w14:paraId="672FAEA6" w14:textId="77777777" w:rsidR="002941A7" w:rsidRPr="002F357B" w:rsidRDefault="002941A7" w:rsidP="00D50F54">
            <w:pPr>
              <w:pStyle w:val="Body"/>
              <w:ind w:left="0"/>
              <w:jc w:val="center"/>
              <w:rPr>
                <w:rFonts w:cs="Arial"/>
                <w:szCs w:val="20"/>
              </w:rPr>
            </w:pPr>
            <w:r w:rsidRPr="002F357B">
              <w:rPr>
                <w:rFonts w:cs="Arial"/>
                <w:color w:val="000000"/>
                <w:szCs w:val="20"/>
              </w:rPr>
              <w:t>$0.07 - $0.10</w:t>
            </w:r>
          </w:p>
        </w:tc>
      </w:tr>
      <w:tr w:rsidR="0021047A" w14:paraId="53FBD80F" w14:textId="77777777" w:rsidTr="002941A7">
        <w:tc>
          <w:tcPr>
            <w:tcW w:w="1281" w:type="pct"/>
            <w:vAlign w:val="bottom"/>
          </w:tcPr>
          <w:p w14:paraId="1C2BA2E6" w14:textId="77777777" w:rsidR="002941A7" w:rsidRPr="002F357B" w:rsidRDefault="002941A7" w:rsidP="002941A7">
            <w:pPr>
              <w:pStyle w:val="Body"/>
              <w:ind w:left="0"/>
              <w:rPr>
                <w:rFonts w:cs="Arial"/>
                <w:szCs w:val="20"/>
              </w:rPr>
            </w:pPr>
            <w:r w:rsidRPr="002F357B">
              <w:rPr>
                <w:rFonts w:cs="Arial"/>
                <w:color w:val="000000"/>
                <w:szCs w:val="20"/>
              </w:rPr>
              <w:t xml:space="preserve"> Manawatu-Wanganui </w:t>
            </w:r>
          </w:p>
        </w:tc>
        <w:tc>
          <w:tcPr>
            <w:tcW w:w="895" w:type="pct"/>
            <w:vAlign w:val="bottom"/>
          </w:tcPr>
          <w:p w14:paraId="51151849" w14:textId="77777777" w:rsidR="002941A7" w:rsidRPr="002F357B" w:rsidRDefault="002941A7" w:rsidP="00D50F54">
            <w:pPr>
              <w:pStyle w:val="Body"/>
              <w:ind w:left="0"/>
              <w:jc w:val="center"/>
              <w:rPr>
                <w:rFonts w:cs="Arial"/>
                <w:szCs w:val="20"/>
              </w:rPr>
            </w:pPr>
            <w:r w:rsidRPr="002F357B">
              <w:rPr>
                <w:rFonts w:cs="Arial"/>
                <w:color w:val="000000"/>
                <w:szCs w:val="20"/>
              </w:rPr>
              <w:t>$0.40 - $0.60</w:t>
            </w:r>
          </w:p>
        </w:tc>
        <w:tc>
          <w:tcPr>
            <w:tcW w:w="895" w:type="pct"/>
            <w:vAlign w:val="bottom"/>
          </w:tcPr>
          <w:p w14:paraId="31519458" w14:textId="77777777" w:rsidR="002941A7" w:rsidRPr="002F357B" w:rsidRDefault="002941A7" w:rsidP="00D50F54">
            <w:pPr>
              <w:pStyle w:val="Body"/>
              <w:ind w:left="0"/>
              <w:jc w:val="center"/>
              <w:rPr>
                <w:rFonts w:cs="Arial"/>
                <w:szCs w:val="20"/>
              </w:rPr>
            </w:pPr>
            <w:r w:rsidRPr="002F357B">
              <w:rPr>
                <w:rFonts w:cs="Arial"/>
                <w:color w:val="000000"/>
                <w:szCs w:val="20"/>
              </w:rPr>
              <w:t>$1.74 - $2.62</w:t>
            </w:r>
          </w:p>
        </w:tc>
        <w:tc>
          <w:tcPr>
            <w:tcW w:w="897" w:type="pct"/>
            <w:vAlign w:val="bottom"/>
          </w:tcPr>
          <w:p w14:paraId="21B4B60F" w14:textId="77777777" w:rsidR="002941A7" w:rsidRPr="002F357B" w:rsidRDefault="002941A7" w:rsidP="00D50F54">
            <w:pPr>
              <w:pStyle w:val="Body"/>
              <w:ind w:left="0"/>
              <w:jc w:val="center"/>
              <w:rPr>
                <w:rFonts w:cs="Arial"/>
                <w:szCs w:val="20"/>
              </w:rPr>
            </w:pPr>
            <w:r w:rsidRPr="002F357B">
              <w:rPr>
                <w:rFonts w:cs="Arial"/>
                <w:color w:val="000000"/>
                <w:szCs w:val="20"/>
              </w:rPr>
              <w:t>$0.16 - $0.24</w:t>
            </w:r>
          </w:p>
        </w:tc>
        <w:tc>
          <w:tcPr>
            <w:tcW w:w="1032" w:type="pct"/>
            <w:vAlign w:val="bottom"/>
          </w:tcPr>
          <w:p w14:paraId="2CB918DE" w14:textId="77777777" w:rsidR="002941A7" w:rsidRPr="002F357B" w:rsidRDefault="002941A7" w:rsidP="00D50F54">
            <w:pPr>
              <w:pStyle w:val="Body"/>
              <w:ind w:left="0"/>
              <w:jc w:val="center"/>
              <w:rPr>
                <w:rFonts w:cs="Arial"/>
                <w:szCs w:val="20"/>
              </w:rPr>
            </w:pPr>
            <w:r w:rsidRPr="002F357B">
              <w:rPr>
                <w:rFonts w:cs="Arial"/>
                <w:color w:val="000000"/>
                <w:szCs w:val="20"/>
              </w:rPr>
              <w:t>$2.30 - $3.45</w:t>
            </w:r>
          </w:p>
        </w:tc>
      </w:tr>
      <w:tr w:rsidR="0021047A" w14:paraId="21554DB3" w14:textId="77777777" w:rsidTr="002941A7">
        <w:tc>
          <w:tcPr>
            <w:tcW w:w="1281" w:type="pct"/>
            <w:vAlign w:val="bottom"/>
          </w:tcPr>
          <w:p w14:paraId="7F9CA85D" w14:textId="77777777" w:rsidR="002941A7" w:rsidRPr="002F357B" w:rsidRDefault="002941A7" w:rsidP="002941A7">
            <w:pPr>
              <w:pStyle w:val="Body"/>
              <w:ind w:left="0"/>
              <w:rPr>
                <w:rFonts w:cs="Arial"/>
                <w:szCs w:val="20"/>
              </w:rPr>
            </w:pPr>
            <w:r w:rsidRPr="002F357B">
              <w:rPr>
                <w:rFonts w:cs="Arial"/>
                <w:color w:val="000000"/>
                <w:szCs w:val="20"/>
              </w:rPr>
              <w:t xml:space="preserve"> Marlborough </w:t>
            </w:r>
          </w:p>
        </w:tc>
        <w:tc>
          <w:tcPr>
            <w:tcW w:w="895" w:type="pct"/>
            <w:vAlign w:val="bottom"/>
          </w:tcPr>
          <w:p w14:paraId="37F3EDB9" w14:textId="77777777" w:rsidR="002941A7" w:rsidRPr="002F357B" w:rsidRDefault="002941A7" w:rsidP="00D50F54">
            <w:pPr>
              <w:pStyle w:val="Body"/>
              <w:ind w:left="0"/>
              <w:jc w:val="center"/>
              <w:rPr>
                <w:rFonts w:cs="Arial"/>
                <w:szCs w:val="20"/>
              </w:rPr>
            </w:pPr>
            <w:r w:rsidRPr="002F357B">
              <w:rPr>
                <w:rFonts w:cs="Arial"/>
                <w:color w:val="000000"/>
                <w:szCs w:val="20"/>
              </w:rPr>
              <w:t>$0.04 - $0.05</w:t>
            </w:r>
          </w:p>
        </w:tc>
        <w:tc>
          <w:tcPr>
            <w:tcW w:w="895" w:type="pct"/>
            <w:vAlign w:val="bottom"/>
          </w:tcPr>
          <w:p w14:paraId="23F3A84D" w14:textId="77777777" w:rsidR="002941A7" w:rsidRPr="002F357B" w:rsidRDefault="002941A7" w:rsidP="00D50F54">
            <w:pPr>
              <w:pStyle w:val="Body"/>
              <w:ind w:left="0"/>
              <w:jc w:val="center"/>
              <w:rPr>
                <w:rFonts w:cs="Arial"/>
                <w:szCs w:val="20"/>
              </w:rPr>
            </w:pPr>
            <w:r w:rsidRPr="002F357B">
              <w:rPr>
                <w:rFonts w:cs="Arial"/>
                <w:color w:val="000000"/>
                <w:szCs w:val="20"/>
              </w:rPr>
              <w:t>-</w:t>
            </w:r>
          </w:p>
        </w:tc>
        <w:tc>
          <w:tcPr>
            <w:tcW w:w="897" w:type="pct"/>
            <w:vAlign w:val="bottom"/>
          </w:tcPr>
          <w:p w14:paraId="558C607F" w14:textId="77777777" w:rsidR="002941A7" w:rsidRPr="002F357B" w:rsidRDefault="002941A7" w:rsidP="00D50F54">
            <w:pPr>
              <w:pStyle w:val="Body"/>
              <w:ind w:left="0"/>
              <w:jc w:val="center"/>
              <w:rPr>
                <w:rFonts w:cs="Arial"/>
                <w:szCs w:val="20"/>
              </w:rPr>
            </w:pPr>
            <w:r w:rsidRPr="002F357B">
              <w:rPr>
                <w:rFonts w:cs="Arial"/>
                <w:color w:val="000000"/>
                <w:szCs w:val="20"/>
              </w:rPr>
              <w:t>-</w:t>
            </w:r>
          </w:p>
        </w:tc>
        <w:tc>
          <w:tcPr>
            <w:tcW w:w="1032" w:type="pct"/>
            <w:vAlign w:val="bottom"/>
          </w:tcPr>
          <w:p w14:paraId="055ECFC4" w14:textId="77777777" w:rsidR="002941A7" w:rsidRPr="002F357B" w:rsidRDefault="002941A7" w:rsidP="00D50F54">
            <w:pPr>
              <w:pStyle w:val="Body"/>
              <w:ind w:left="0"/>
              <w:jc w:val="center"/>
              <w:rPr>
                <w:rFonts w:cs="Arial"/>
                <w:szCs w:val="20"/>
              </w:rPr>
            </w:pPr>
            <w:r w:rsidRPr="002F357B">
              <w:rPr>
                <w:rFonts w:cs="Arial"/>
                <w:color w:val="000000"/>
                <w:szCs w:val="20"/>
              </w:rPr>
              <w:t>$0.04 - $0.05</w:t>
            </w:r>
          </w:p>
        </w:tc>
      </w:tr>
      <w:tr w:rsidR="0021047A" w14:paraId="711CF0A7" w14:textId="77777777" w:rsidTr="002941A7">
        <w:tc>
          <w:tcPr>
            <w:tcW w:w="1281" w:type="pct"/>
            <w:vAlign w:val="bottom"/>
          </w:tcPr>
          <w:p w14:paraId="6092880B" w14:textId="77777777" w:rsidR="002941A7" w:rsidRPr="002F357B" w:rsidRDefault="002941A7" w:rsidP="002941A7">
            <w:pPr>
              <w:pStyle w:val="Body"/>
              <w:ind w:left="0"/>
              <w:rPr>
                <w:rFonts w:cs="Arial"/>
                <w:szCs w:val="20"/>
              </w:rPr>
            </w:pPr>
            <w:r w:rsidRPr="002F357B">
              <w:rPr>
                <w:rFonts w:cs="Arial"/>
                <w:color w:val="000000"/>
                <w:szCs w:val="20"/>
              </w:rPr>
              <w:t xml:space="preserve"> Nelson </w:t>
            </w:r>
          </w:p>
        </w:tc>
        <w:tc>
          <w:tcPr>
            <w:tcW w:w="895" w:type="pct"/>
            <w:vAlign w:val="bottom"/>
          </w:tcPr>
          <w:p w14:paraId="7079FACA" w14:textId="77777777" w:rsidR="002941A7" w:rsidRPr="002F357B" w:rsidRDefault="002941A7" w:rsidP="00D50F54">
            <w:pPr>
              <w:pStyle w:val="Body"/>
              <w:ind w:left="0"/>
              <w:jc w:val="center"/>
              <w:rPr>
                <w:rFonts w:cs="Arial"/>
                <w:szCs w:val="20"/>
              </w:rPr>
            </w:pPr>
            <w:r w:rsidRPr="002F357B">
              <w:rPr>
                <w:rFonts w:cs="Arial"/>
                <w:color w:val="000000"/>
                <w:szCs w:val="20"/>
              </w:rPr>
              <w:t>-</w:t>
            </w:r>
          </w:p>
        </w:tc>
        <w:tc>
          <w:tcPr>
            <w:tcW w:w="895" w:type="pct"/>
            <w:vAlign w:val="bottom"/>
          </w:tcPr>
          <w:p w14:paraId="12970DB3" w14:textId="77777777" w:rsidR="002941A7" w:rsidRPr="002F357B" w:rsidRDefault="002941A7" w:rsidP="00D50F54">
            <w:pPr>
              <w:pStyle w:val="Body"/>
              <w:ind w:left="0"/>
              <w:jc w:val="center"/>
              <w:rPr>
                <w:rFonts w:cs="Arial"/>
                <w:szCs w:val="20"/>
              </w:rPr>
            </w:pPr>
            <w:r w:rsidRPr="002F357B">
              <w:rPr>
                <w:rFonts w:cs="Arial"/>
                <w:color w:val="000000"/>
                <w:szCs w:val="20"/>
              </w:rPr>
              <w:t>-</w:t>
            </w:r>
          </w:p>
        </w:tc>
        <w:tc>
          <w:tcPr>
            <w:tcW w:w="897" w:type="pct"/>
            <w:vAlign w:val="bottom"/>
          </w:tcPr>
          <w:p w14:paraId="47F5384F" w14:textId="77777777" w:rsidR="002941A7" w:rsidRPr="002F357B" w:rsidRDefault="002941A7" w:rsidP="00D50F54">
            <w:pPr>
              <w:pStyle w:val="Body"/>
              <w:ind w:left="0"/>
              <w:jc w:val="center"/>
              <w:rPr>
                <w:rFonts w:cs="Arial"/>
                <w:szCs w:val="20"/>
              </w:rPr>
            </w:pPr>
            <w:r w:rsidRPr="002F357B">
              <w:rPr>
                <w:rFonts w:cs="Arial"/>
                <w:color w:val="000000"/>
                <w:szCs w:val="20"/>
              </w:rPr>
              <w:t>-</w:t>
            </w:r>
          </w:p>
        </w:tc>
        <w:tc>
          <w:tcPr>
            <w:tcW w:w="1032" w:type="pct"/>
            <w:vAlign w:val="bottom"/>
          </w:tcPr>
          <w:p w14:paraId="257E15F4" w14:textId="77777777" w:rsidR="002941A7" w:rsidRPr="002F357B" w:rsidRDefault="002941A7" w:rsidP="00D50F54">
            <w:pPr>
              <w:pStyle w:val="Body"/>
              <w:ind w:left="0"/>
              <w:jc w:val="center"/>
              <w:rPr>
                <w:rFonts w:cs="Arial"/>
                <w:szCs w:val="20"/>
              </w:rPr>
            </w:pPr>
            <w:r w:rsidRPr="002F357B">
              <w:rPr>
                <w:rFonts w:cs="Arial"/>
                <w:color w:val="000000"/>
                <w:szCs w:val="20"/>
              </w:rPr>
              <w:t>-</w:t>
            </w:r>
          </w:p>
        </w:tc>
      </w:tr>
      <w:tr w:rsidR="0021047A" w14:paraId="302BB02A" w14:textId="77777777" w:rsidTr="002941A7">
        <w:tc>
          <w:tcPr>
            <w:tcW w:w="1281" w:type="pct"/>
            <w:vAlign w:val="bottom"/>
          </w:tcPr>
          <w:p w14:paraId="7E492DA7" w14:textId="77777777" w:rsidR="002941A7" w:rsidRPr="002F357B" w:rsidRDefault="002941A7" w:rsidP="002941A7">
            <w:pPr>
              <w:pStyle w:val="Body"/>
              <w:ind w:left="0"/>
              <w:rPr>
                <w:rFonts w:cs="Arial"/>
                <w:szCs w:val="20"/>
              </w:rPr>
            </w:pPr>
            <w:r w:rsidRPr="002F357B">
              <w:rPr>
                <w:rFonts w:cs="Arial"/>
                <w:color w:val="000000"/>
                <w:szCs w:val="20"/>
              </w:rPr>
              <w:t xml:space="preserve"> Northland </w:t>
            </w:r>
          </w:p>
        </w:tc>
        <w:tc>
          <w:tcPr>
            <w:tcW w:w="895" w:type="pct"/>
            <w:vAlign w:val="bottom"/>
          </w:tcPr>
          <w:p w14:paraId="58694A97" w14:textId="77777777" w:rsidR="002941A7" w:rsidRPr="002F357B" w:rsidRDefault="002941A7" w:rsidP="00D50F54">
            <w:pPr>
              <w:pStyle w:val="Body"/>
              <w:ind w:left="0"/>
              <w:jc w:val="center"/>
              <w:rPr>
                <w:rFonts w:cs="Arial"/>
                <w:szCs w:val="20"/>
              </w:rPr>
            </w:pPr>
            <w:r w:rsidRPr="002F357B">
              <w:rPr>
                <w:rFonts w:cs="Arial"/>
                <w:color w:val="000000"/>
                <w:szCs w:val="20"/>
              </w:rPr>
              <w:t>$0.06 - $0.10</w:t>
            </w:r>
          </w:p>
        </w:tc>
        <w:tc>
          <w:tcPr>
            <w:tcW w:w="895" w:type="pct"/>
            <w:vAlign w:val="bottom"/>
          </w:tcPr>
          <w:p w14:paraId="5A5F647C" w14:textId="77777777" w:rsidR="002941A7" w:rsidRPr="002F357B" w:rsidRDefault="002941A7" w:rsidP="00D50F54">
            <w:pPr>
              <w:pStyle w:val="Body"/>
              <w:ind w:left="0"/>
              <w:jc w:val="center"/>
              <w:rPr>
                <w:rFonts w:cs="Arial"/>
                <w:szCs w:val="20"/>
              </w:rPr>
            </w:pPr>
            <w:r w:rsidRPr="002F357B">
              <w:rPr>
                <w:rFonts w:cs="Arial"/>
                <w:color w:val="000000"/>
                <w:szCs w:val="20"/>
              </w:rPr>
              <w:t>$0.40 - $0.61</w:t>
            </w:r>
          </w:p>
        </w:tc>
        <w:tc>
          <w:tcPr>
            <w:tcW w:w="897" w:type="pct"/>
            <w:vAlign w:val="bottom"/>
          </w:tcPr>
          <w:p w14:paraId="189EDCE4" w14:textId="77777777" w:rsidR="002941A7" w:rsidRPr="002F357B" w:rsidRDefault="002941A7" w:rsidP="00D50F54">
            <w:pPr>
              <w:pStyle w:val="Body"/>
              <w:ind w:left="0"/>
              <w:jc w:val="center"/>
              <w:rPr>
                <w:rFonts w:cs="Arial"/>
                <w:szCs w:val="20"/>
              </w:rPr>
            </w:pPr>
            <w:r w:rsidRPr="002F357B">
              <w:rPr>
                <w:rFonts w:cs="Arial"/>
                <w:color w:val="000000"/>
                <w:szCs w:val="20"/>
              </w:rPr>
              <w:t>$0.32 - $0.48</w:t>
            </w:r>
          </w:p>
        </w:tc>
        <w:tc>
          <w:tcPr>
            <w:tcW w:w="1032" w:type="pct"/>
            <w:vAlign w:val="bottom"/>
          </w:tcPr>
          <w:p w14:paraId="218CC343" w14:textId="77777777" w:rsidR="002941A7" w:rsidRPr="002F357B" w:rsidRDefault="002941A7" w:rsidP="00D50F54">
            <w:pPr>
              <w:pStyle w:val="Body"/>
              <w:ind w:left="0"/>
              <w:jc w:val="center"/>
              <w:rPr>
                <w:rFonts w:cs="Arial"/>
                <w:szCs w:val="20"/>
              </w:rPr>
            </w:pPr>
            <w:r w:rsidRPr="002F357B">
              <w:rPr>
                <w:rFonts w:cs="Arial"/>
                <w:color w:val="000000"/>
                <w:szCs w:val="20"/>
              </w:rPr>
              <w:t>$0.79 - $1.18</w:t>
            </w:r>
          </w:p>
        </w:tc>
      </w:tr>
      <w:tr w:rsidR="0021047A" w14:paraId="22295909" w14:textId="77777777" w:rsidTr="002941A7">
        <w:tc>
          <w:tcPr>
            <w:tcW w:w="1281" w:type="pct"/>
            <w:vAlign w:val="bottom"/>
          </w:tcPr>
          <w:p w14:paraId="17121866" w14:textId="77777777" w:rsidR="002941A7" w:rsidRPr="002F357B" w:rsidRDefault="002941A7" w:rsidP="002941A7">
            <w:pPr>
              <w:pStyle w:val="Body"/>
              <w:ind w:left="0"/>
              <w:rPr>
                <w:rFonts w:cs="Arial"/>
                <w:szCs w:val="20"/>
              </w:rPr>
            </w:pPr>
            <w:r w:rsidRPr="002F357B">
              <w:rPr>
                <w:rFonts w:cs="Arial"/>
                <w:color w:val="000000"/>
                <w:szCs w:val="20"/>
              </w:rPr>
              <w:t xml:space="preserve"> Otago </w:t>
            </w:r>
          </w:p>
        </w:tc>
        <w:tc>
          <w:tcPr>
            <w:tcW w:w="895" w:type="pct"/>
            <w:vAlign w:val="bottom"/>
          </w:tcPr>
          <w:p w14:paraId="2C3EAC11" w14:textId="77777777" w:rsidR="002941A7" w:rsidRPr="002F357B" w:rsidRDefault="002941A7" w:rsidP="00D50F54">
            <w:pPr>
              <w:pStyle w:val="Body"/>
              <w:ind w:left="0"/>
              <w:jc w:val="center"/>
              <w:rPr>
                <w:rFonts w:cs="Arial"/>
                <w:szCs w:val="20"/>
              </w:rPr>
            </w:pPr>
            <w:r w:rsidRPr="002F357B">
              <w:rPr>
                <w:rFonts w:cs="Arial"/>
                <w:color w:val="000000"/>
                <w:szCs w:val="20"/>
              </w:rPr>
              <w:t>$0.42 - $0.63</w:t>
            </w:r>
          </w:p>
        </w:tc>
        <w:tc>
          <w:tcPr>
            <w:tcW w:w="895" w:type="pct"/>
            <w:vAlign w:val="bottom"/>
          </w:tcPr>
          <w:p w14:paraId="7B5BC5B0" w14:textId="77777777" w:rsidR="002941A7" w:rsidRPr="002F357B" w:rsidRDefault="002941A7" w:rsidP="00D50F54">
            <w:pPr>
              <w:pStyle w:val="Body"/>
              <w:ind w:left="0"/>
              <w:jc w:val="center"/>
              <w:rPr>
                <w:rFonts w:cs="Arial"/>
                <w:szCs w:val="20"/>
              </w:rPr>
            </w:pPr>
            <w:r w:rsidRPr="002F357B">
              <w:rPr>
                <w:rFonts w:cs="Arial"/>
                <w:color w:val="000000"/>
                <w:szCs w:val="20"/>
              </w:rPr>
              <w:t>$0.45 - $0.68</w:t>
            </w:r>
          </w:p>
        </w:tc>
        <w:tc>
          <w:tcPr>
            <w:tcW w:w="897" w:type="pct"/>
            <w:vAlign w:val="bottom"/>
          </w:tcPr>
          <w:p w14:paraId="0ABBF604" w14:textId="77777777" w:rsidR="002941A7" w:rsidRPr="002F357B" w:rsidRDefault="002941A7" w:rsidP="00D50F54">
            <w:pPr>
              <w:pStyle w:val="Body"/>
              <w:ind w:left="0"/>
              <w:jc w:val="center"/>
              <w:rPr>
                <w:rFonts w:cs="Arial"/>
                <w:szCs w:val="20"/>
              </w:rPr>
            </w:pPr>
            <w:r w:rsidRPr="002F357B">
              <w:rPr>
                <w:rFonts w:cs="Arial"/>
                <w:color w:val="000000"/>
                <w:szCs w:val="20"/>
              </w:rPr>
              <w:t>$0.09 - $0.13</w:t>
            </w:r>
          </w:p>
        </w:tc>
        <w:tc>
          <w:tcPr>
            <w:tcW w:w="1032" w:type="pct"/>
            <w:vAlign w:val="bottom"/>
          </w:tcPr>
          <w:p w14:paraId="67D99B57" w14:textId="77777777" w:rsidR="002941A7" w:rsidRPr="002F357B" w:rsidRDefault="002941A7" w:rsidP="00D50F54">
            <w:pPr>
              <w:pStyle w:val="Body"/>
              <w:ind w:left="0"/>
              <w:jc w:val="center"/>
              <w:rPr>
                <w:rFonts w:cs="Arial"/>
                <w:szCs w:val="20"/>
              </w:rPr>
            </w:pPr>
            <w:r w:rsidRPr="002F357B">
              <w:rPr>
                <w:rFonts w:cs="Arial"/>
                <w:color w:val="000000"/>
                <w:szCs w:val="20"/>
              </w:rPr>
              <w:t>$0.96 - $1.43</w:t>
            </w:r>
          </w:p>
        </w:tc>
      </w:tr>
      <w:tr w:rsidR="0021047A" w14:paraId="22CE24ED" w14:textId="77777777" w:rsidTr="002941A7">
        <w:tc>
          <w:tcPr>
            <w:tcW w:w="1281" w:type="pct"/>
            <w:vAlign w:val="bottom"/>
          </w:tcPr>
          <w:p w14:paraId="27496E7C" w14:textId="77777777" w:rsidR="002941A7" w:rsidRPr="002F357B" w:rsidRDefault="002941A7" w:rsidP="002941A7">
            <w:pPr>
              <w:pStyle w:val="Body"/>
              <w:ind w:left="0"/>
              <w:rPr>
                <w:rFonts w:cs="Arial"/>
                <w:szCs w:val="20"/>
              </w:rPr>
            </w:pPr>
            <w:r w:rsidRPr="002F357B">
              <w:rPr>
                <w:rFonts w:cs="Arial"/>
                <w:color w:val="000000"/>
                <w:szCs w:val="20"/>
              </w:rPr>
              <w:t xml:space="preserve"> Southland </w:t>
            </w:r>
          </w:p>
        </w:tc>
        <w:tc>
          <w:tcPr>
            <w:tcW w:w="895" w:type="pct"/>
            <w:vAlign w:val="bottom"/>
          </w:tcPr>
          <w:p w14:paraId="47205813" w14:textId="77777777" w:rsidR="002941A7" w:rsidRPr="002F357B" w:rsidRDefault="002941A7" w:rsidP="00D50F54">
            <w:pPr>
              <w:pStyle w:val="Body"/>
              <w:ind w:left="0"/>
              <w:jc w:val="center"/>
              <w:rPr>
                <w:rFonts w:cs="Arial"/>
                <w:szCs w:val="20"/>
              </w:rPr>
            </w:pPr>
            <w:r w:rsidRPr="002F357B">
              <w:rPr>
                <w:rFonts w:cs="Arial"/>
                <w:color w:val="000000"/>
                <w:szCs w:val="20"/>
              </w:rPr>
              <w:t>$0.28 - $0.42</w:t>
            </w:r>
          </w:p>
        </w:tc>
        <w:tc>
          <w:tcPr>
            <w:tcW w:w="895" w:type="pct"/>
            <w:vAlign w:val="bottom"/>
          </w:tcPr>
          <w:p w14:paraId="3EDFA040" w14:textId="77777777" w:rsidR="002941A7" w:rsidRPr="002F357B" w:rsidRDefault="002941A7" w:rsidP="00D50F54">
            <w:pPr>
              <w:pStyle w:val="Body"/>
              <w:ind w:left="0"/>
              <w:jc w:val="center"/>
              <w:rPr>
                <w:rFonts w:cs="Arial"/>
                <w:szCs w:val="20"/>
              </w:rPr>
            </w:pPr>
            <w:r w:rsidRPr="002F357B">
              <w:rPr>
                <w:rFonts w:cs="Arial"/>
                <w:color w:val="000000"/>
                <w:szCs w:val="20"/>
              </w:rPr>
              <w:t>$0.57 - $0.85</w:t>
            </w:r>
          </w:p>
        </w:tc>
        <w:tc>
          <w:tcPr>
            <w:tcW w:w="897" w:type="pct"/>
            <w:vAlign w:val="bottom"/>
          </w:tcPr>
          <w:p w14:paraId="24139ECE" w14:textId="77777777" w:rsidR="002941A7" w:rsidRPr="002F357B" w:rsidRDefault="002941A7" w:rsidP="00D50F54">
            <w:pPr>
              <w:pStyle w:val="Body"/>
              <w:ind w:left="0"/>
              <w:jc w:val="center"/>
              <w:rPr>
                <w:rFonts w:cs="Arial"/>
                <w:szCs w:val="20"/>
              </w:rPr>
            </w:pPr>
            <w:r w:rsidRPr="002F357B">
              <w:rPr>
                <w:rFonts w:cs="Arial"/>
                <w:color w:val="000000"/>
                <w:szCs w:val="20"/>
              </w:rPr>
              <w:t>$0.07 - $0.11</w:t>
            </w:r>
          </w:p>
        </w:tc>
        <w:tc>
          <w:tcPr>
            <w:tcW w:w="1032" w:type="pct"/>
            <w:vAlign w:val="bottom"/>
          </w:tcPr>
          <w:p w14:paraId="1FBFF95D" w14:textId="77777777" w:rsidR="002941A7" w:rsidRPr="002F357B" w:rsidRDefault="002941A7" w:rsidP="00D50F54">
            <w:pPr>
              <w:pStyle w:val="Body"/>
              <w:ind w:left="0"/>
              <w:jc w:val="center"/>
              <w:rPr>
                <w:rFonts w:cs="Arial"/>
                <w:szCs w:val="20"/>
              </w:rPr>
            </w:pPr>
            <w:r w:rsidRPr="002F357B">
              <w:rPr>
                <w:rFonts w:cs="Arial"/>
                <w:color w:val="000000"/>
                <w:szCs w:val="20"/>
              </w:rPr>
              <w:t>$0.92 - $1.38</w:t>
            </w:r>
          </w:p>
        </w:tc>
      </w:tr>
      <w:tr w:rsidR="0021047A" w14:paraId="452BB0E4" w14:textId="77777777" w:rsidTr="002941A7">
        <w:tc>
          <w:tcPr>
            <w:tcW w:w="1281" w:type="pct"/>
            <w:vAlign w:val="bottom"/>
          </w:tcPr>
          <w:p w14:paraId="596B5E28" w14:textId="77777777" w:rsidR="002941A7" w:rsidRPr="002F357B" w:rsidRDefault="002941A7" w:rsidP="002941A7">
            <w:pPr>
              <w:pStyle w:val="Body"/>
              <w:ind w:left="0"/>
              <w:rPr>
                <w:rFonts w:cs="Arial"/>
                <w:szCs w:val="20"/>
              </w:rPr>
            </w:pPr>
            <w:r w:rsidRPr="002F357B">
              <w:rPr>
                <w:rFonts w:cs="Arial"/>
                <w:color w:val="000000"/>
                <w:szCs w:val="20"/>
              </w:rPr>
              <w:t xml:space="preserve"> Taranaki </w:t>
            </w:r>
          </w:p>
        </w:tc>
        <w:tc>
          <w:tcPr>
            <w:tcW w:w="895" w:type="pct"/>
            <w:vAlign w:val="bottom"/>
          </w:tcPr>
          <w:p w14:paraId="0707F801" w14:textId="77777777" w:rsidR="002941A7" w:rsidRPr="002F357B" w:rsidRDefault="002941A7" w:rsidP="00D50F54">
            <w:pPr>
              <w:pStyle w:val="Body"/>
              <w:ind w:left="0"/>
              <w:jc w:val="center"/>
              <w:rPr>
                <w:rFonts w:cs="Arial"/>
                <w:szCs w:val="20"/>
              </w:rPr>
            </w:pPr>
            <w:r w:rsidRPr="002F357B">
              <w:rPr>
                <w:rFonts w:cs="Arial"/>
                <w:color w:val="000000"/>
                <w:szCs w:val="20"/>
              </w:rPr>
              <w:t>$0.03 - $0.04</w:t>
            </w:r>
          </w:p>
        </w:tc>
        <w:tc>
          <w:tcPr>
            <w:tcW w:w="895" w:type="pct"/>
            <w:vAlign w:val="bottom"/>
          </w:tcPr>
          <w:p w14:paraId="57C1FF2D" w14:textId="77777777" w:rsidR="002941A7" w:rsidRPr="002F357B" w:rsidRDefault="002941A7" w:rsidP="00D50F54">
            <w:pPr>
              <w:pStyle w:val="Body"/>
              <w:ind w:left="0"/>
              <w:jc w:val="center"/>
              <w:rPr>
                <w:rFonts w:cs="Arial"/>
                <w:szCs w:val="20"/>
              </w:rPr>
            </w:pPr>
            <w:r w:rsidRPr="002F357B">
              <w:rPr>
                <w:rFonts w:cs="Arial"/>
                <w:color w:val="000000"/>
                <w:szCs w:val="20"/>
              </w:rPr>
              <w:t>-</w:t>
            </w:r>
          </w:p>
        </w:tc>
        <w:tc>
          <w:tcPr>
            <w:tcW w:w="897" w:type="pct"/>
            <w:vAlign w:val="bottom"/>
          </w:tcPr>
          <w:p w14:paraId="48673FC2" w14:textId="77777777" w:rsidR="002941A7" w:rsidRPr="002F357B" w:rsidRDefault="002941A7" w:rsidP="00D50F54">
            <w:pPr>
              <w:pStyle w:val="Body"/>
              <w:ind w:left="0"/>
              <w:jc w:val="center"/>
              <w:rPr>
                <w:rFonts w:cs="Arial"/>
                <w:szCs w:val="20"/>
              </w:rPr>
            </w:pPr>
            <w:r w:rsidRPr="002F357B">
              <w:rPr>
                <w:rFonts w:cs="Arial"/>
                <w:color w:val="000000"/>
                <w:szCs w:val="20"/>
              </w:rPr>
              <w:t>$0.29 - $0.43</w:t>
            </w:r>
          </w:p>
        </w:tc>
        <w:tc>
          <w:tcPr>
            <w:tcW w:w="1032" w:type="pct"/>
            <w:vAlign w:val="bottom"/>
          </w:tcPr>
          <w:p w14:paraId="3C05CA39" w14:textId="77777777" w:rsidR="002941A7" w:rsidRPr="002F357B" w:rsidRDefault="002941A7" w:rsidP="00D50F54">
            <w:pPr>
              <w:pStyle w:val="Body"/>
              <w:ind w:left="0"/>
              <w:jc w:val="center"/>
              <w:rPr>
                <w:rFonts w:cs="Arial"/>
                <w:szCs w:val="20"/>
              </w:rPr>
            </w:pPr>
            <w:r w:rsidRPr="002F357B">
              <w:rPr>
                <w:rFonts w:cs="Arial"/>
                <w:color w:val="000000"/>
                <w:szCs w:val="20"/>
              </w:rPr>
              <w:t>$0.31 - $0.47</w:t>
            </w:r>
          </w:p>
        </w:tc>
      </w:tr>
      <w:tr w:rsidR="0021047A" w14:paraId="42BA3F5B" w14:textId="77777777" w:rsidTr="002941A7">
        <w:tc>
          <w:tcPr>
            <w:tcW w:w="1281" w:type="pct"/>
            <w:vAlign w:val="bottom"/>
          </w:tcPr>
          <w:p w14:paraId="382DFFE8" w14:textId="77777777" w:rsidR="002941A7" w:rsidRPr="002F357B" w:rsidRDefault="002941A7" w:rsidP="002941A7">
            <w:pPr>
              <w:pStyle w:val="Body"/>
              <w:ind w:left="0"/>
              <w:rPr>
                <w:rFonts w:cs="Arial"/>
                <w:szCs w:val="20"/>
              </w:rPr>
            </w:pPr>
            <w:r w:rsidRPr="002F357B">
              <w:rPr>
                <w:rFonts w:cs="Arial"/>
                <w:color w:val="000000"/>
                <w:szCs w:val="20"/>
              </w:rPr>
              <w:t xml:space="preserve"> Tasman </w:t>
            </w:r>
          </w:p>
        </w:tc>
        <w:tc>
          <w:tcPr>
            <w:tcW w:w="895" w:type="pct"/>
            <w:vAlign w:val="bottom"/>
          </w:tcPr>
          <w:p w14:paraId="57BF4265" w14:textId="77777777" w:rsidR="002941A7" w:rsidRPr="002F357B" w:rsidRDefault="002941A7" w:rsidP="00D50F54">
            <w:pPr>
              <w:pStyle w:val="Body"/>
              <w:ind w:left="0"/>
              <w:jc w:val="center"/>
              <w:rPr>
                <w:rFonts w:cs="Arial"/>
                <w:szCs w:val="20"/>
              </w:rPr>
            </w:pPr>
            <w:r w:rsidRPr="002F357B">
              <w:rPr>
                <w:rFonts w:cs="Arial"/>
                <w:color w:val="000000"/>
                <w:szCs w:val="20"/>
              </w:rPr>
              <w:t>$0.16 - $0.24</w:t>
            </w:r>
          </w:p>
        </w:tc>
        <w:tc>
          <w:tcPr>
            <w:tcW w:w="895" w:type="pct"/>
            <w:vAlign w:val="bottom"/>
          </w:tcPr>
          <w:p w14:paraId="5F62F1BC" w14:textId="77777777" w:rsidR="002941A7" w:rsidRPr="002F357B" w:rsidRDefault="002941A7" w:rsidP="00D50F54">
            <w:pPr>
              <w:pStyle w:val="Body"/>
              <w:ind w:left="0"/>
              <w:jc w:val="center"/>
              <w:rPr>
                <w:rFonts w:cs="Arial"/>
                <w:szCs w:val="20"/>
              </w:rPr>
            </w:pPr>
            <w:r w:rsidRPr="002F357B">
              <w:rPr>
                <w:rFonts w:cs="Arial"/>
                <w:color w:val="000000"/>
                <w:szCs w:val="20"/>
              </w:rPr>
              <w:t>-</w:t>
            </w:r>
          </w:p>
        </w:tc>
        <w:tc>
          <w:tcPr>
            <w:tcW w:w="897" w:type="pct"/>
            <w:vAlign w:val="bottom"/>
          </w:tcPr>
          <w:p w14:paraId="71E0995A" w14:textId="77777777" w:rsidR="002941A7" w:rsidRPr="002F357B" w:rsidRDefault="002941A7" w:rsidP="00D50F54">
            <w:pPr>
              <w:pStyle w:val="Body"/>
              <w:ind w:left="0"/>
              <w:jc w:val="center"/>
              <w:rPr>
                <w:rFonts w:cs="Arial"/>
                <w:szCs w:val="20"/>
              </w:rPr>
            </w:pPr>
            <w:r w:rsidRPr="002F357B">
              <w:rPr>
                <w:rFonts w:cs="Arial"/>
                <w:color w:val="000000"/>
                <w:szCs w:val="20"/>
              </w:rPr>
              <w:t>-</w:t>
            </w:r>
          </w:p>
        </w:tc>
        <w:tc>
          <w:tcPr>
            <w:tcW w:w="1032" w:type="pct"/>
            <w:vAlign w:val="bottom"/>
          </w:tcPr>
          <w:p w14:paraId="50680CA7" w14:textId="77777777" w:rsidR="002941A7" w:rsidRPr="002F357B" w:rsidRDefault="002941A7" w:rsidP="00D50F54">
            <w:pPr>
              <w:pStyle w:val="Body"/>
              <w:ind w:left="0"/>
              <w:jc w:val="center"/>
              <w:rPr>
                <w:rFonts w:cs="Arial"/>
                <w:szCs w:val="20"/>
              </w:rPr>
            </w:pPr>
            <w:r w:rsidRPr="002F357B">
              <w:rPr>
                <w:rFonts w:cs="Arial"/>
                <w:color w:val="000000"/>
                <w:szCs w:val="20"/>
              </w:rPr>
              <w:t>$0.16 - $0.24</w:t>
            </w:r>
          </w:p>
        </w:tc>
      </w:tr>
      <w:tr w:rsidR="0021047A" w14:paraId="51176703" w14:textId="77777777" w:rsidTr="002941A7">
        <w:tc>
          <w:tcPr>
            <w:tcW w:w="1281" w:type="pct"/>
            <w:vAlign w:val="bottom"/>
          </w:tcPr>
          <w:p w14:paraId="7E1D53FB" w14:textId="77777777" w:rsidR="002941A7" w:rsidRPr="002F357B" w:rsidRDefault="002941A7" w:rsidP="002941A7">
            <w:pPr>
              <w:pStyle w:val="Body"/>
              <w:ind w:left="0"/>
              <w:rPr>
                <w:rFonts w:cs="Arial"/>
                <w:szCs w:val="20"/>
              </w:rPr>
            </w:pPr>
            <w:r w:rsidRPr="002F357B">
              <w:rPr>
                <w:rFonts w:cs="Arial"/>
                <w:color w:val="000000"/>
                <w:szCs w:val="20"/>
              </w:rPr>
              <w:t xml:space="preserve"> Waikato </w:t>
            </w:r>
          </w:p>
        </w:tc>
        <w:tc>
          <w:tcPr>
            <w:tcW w:w="895" w:type="pct"/>
            <w:vAlign w:val="bottom"/>
          </w:tcPr>
          <w:p w14:paraId="462BC0CA" w14:textId="77777777" w:rsidR="002941A7" w:rsidRPr="002F357B" w:rsidRDefault="002941A7" w:rsidP="00D50F54">
            <w:pPr>
              <w:pStyle w:val="Body"/>
              <w:ind w:left="0"/>
              <w:jc w:val="center"/>
              <w:rPr>
                <w:rFonts w:cs="Arial"/>
                <w:szCs w:val="20"/>
              </w:rPr>
            </w:pPr>
            <w:r w:rsidRPr="002F357B">
              <w:rPr>
                <w:rFonts w:cs="Arial"/>
                <w:color w:val="000000"/>
                <w:szCs w:val="20"/>
              </w:rPr>
              <w:t>$0.04 - $0.07</w:t>
            </w:r>
          </w:p>
        </w:tc>
        <w:tc>
          <w:tcPr>
            <w:tcW w:w="895" w:type="pct"/>
            <w:vAlign w:val="bottom"/>
          </w:tcPr>
          <w:p w14:paraId="178FE1EC" w14:textId="77777777" w:rsidR="002941A7" w:rsidRPr="002F357B" w:rsidRDefault="002941A7" w:rsidP="00D50F54">
            <w:pPr>
              <w:pStyle w:val="Body"/>
              <w:ind w:left="0"/>
              <w:jc w:val="center"/>
              <w:rPr>
                <w:rFonts w:cs="Arial"/>
                <w:szCs w:val="20"/>
              </w:rPr>
            </w:pPr>
            <w:r w:rsidRPr="002F357B">
              <w:rPr>
                <w:rFonts w:cs="Arial"/>
                <w:color w:val="000000"/>
                <w:szCs w:val="20"/>
              </w:rPr>
              <w:t>$0.34 - $0.51</w:t>
            </w:r>
          </w:p>
        </w:tc>
        <w:tc>
          <w:tcPr>
            <w:tcW w:w="897" w:type="pct"/>
            <w:vAlign w:val="bottom"/>
          </w:tcPr>
          <w:p w14:paraId="05DADABA" w14:textId="77777777" w:rsidR="002941A7" w:rsidRPr="002F357B" w:rsidRDefault="002941A7" w:rsidP="00D50F54">
            <w:pPr>
              <w:pStyle w:val="Body"/>
              <w:ind w:left="0"/>
              <w:jc w:val="center"/>
              <w:rPr>
                <w:rFonts w:cs="Arial"/>
                <w:szCs w:val="20"/>
              </w:rPr>
            </w:pPr>
            <w:r w:rsidRPr="002F357B">
              <w:rPr>
                <w:rFonts w:cs="Arial"/>
                <w:color w:val="000000"/>
                <w:szCs w:val="20"/>
              </w:rPr>
              <w:t>$0.51 - $0.77</w:t>
            </w:r>
          </w:p>
        </w:tc>
        <w:tc>
          <w:tcPr>
            <w:tcW w:w="1032" w:type="pct"/>
            <w:vAlign w:val="bottom"/>
          </w:tcPr>
          <w:p w14:paraId="3805C9B1" w14:textId="77777777" w:rsidR="002941A7" w:rsidRPr="002F357B" w:rsidRDefault="002941A7" w:rsidP="00D50F54">
            <w:pPr>
              <w:pStyle w:val="Body"/>
              <w:ind w:left="0"/>
              <w:jc w:val="center"/>
              <w:rPr>
                <w:rFonts w:cs="Arial"/>
                <w:szCs w:val="20"/>
              </w:rPr>
            </w:pPr>
            <w:r w:rsidRPr="002F357B">
              <w:rPr>
                <w:rFonts w:cs="Arial"/>
                <w:color w:val="000000"/>
                <w:szCs w:val="20"/>
              </w:rPr>
              <w:t>$0.90 - $1.34</w:t>
            </w:r>
          </w:p>
        </w:tc>
      </w:tr>
      <w:tr w:rsidR="0021047A" w14:paraId="5A03ECB2" w14:textId="77777777" w:rsidTr="002941A7">
        <w:tc>
          <w:tcPr>
            <w:tcW w:w="1281" w:type="pct"/>
            <w:vAlign w:val="bottom"/>
          </w:tcPr>
          <w:p w14:paraId="09D7C485" w14:textId="77777777" w:rsidR="002941A7" w:rsidRPr="002F357B" w:rsidRDefault="002941A7" w:rsidP="002941A7">
            <w:pPr>
              <w:pStyle w:val="Body"/>
              <w:ind w:left="0"/>
              <w:rPr>
                <w:rFonts w:cs="Arial"/>
                <w:szCs w:val="20"/>
              </w:rPr>
            </w:pPr>
            <w:r w:rsidRPr="002F357B">
              <w:rPr>
                <w:rFonts w:cs="Arial"/>
                <w:color w:val="000000"/>
                <w:szCs w:val="20"/>
              </w:rPr>
              <w:t xml:space="preserve"> Wellington </w:t>
            </w:r>
          </w:p>
        </w:tc>
        <w:tc>
          <w:tcPr>
            <w:tcW w:w="895" w:type="pct"/>
            <w:vAlign w:val="bottom"/>
          </w:tcPr>
          <w:p w14:paraId="359AE168" w14:textId="77777777" w:rsidR="002941A7" w:rsidRPr="002F357B" w:rsidRDefault="002941A7" w:rsidP="00D50F54">
            <w:pPr>
              <w:pStyle w:val="Body"/>
              <w:ind w:left="0"/>
              <w:jc w:val="center"/>
              <w:rPr>
                <w:rFonts w:cs="Arial"/>
                <w:szCs w:val="20"/>
              </w:rPr>
            </w:pPr>
            <w:r w:rsidRPr="002F357B">
              <w:rPr>
                <w:rFonts w:cs="Arial"/>
                <w:color w:val="000000"/>
                <w:szCs w:val="20"/>
              </w:rPr>
              <w:t>-</w:t>
            </w:r>
          </w:p>
        </w:tc>
        <w:tc>
          <w:tcPr>
            <w:tcW w:w="895" w:type="pct"/>
            <w:vAlign w:val="bottom"/>
          </w:tcPr>
          <w:p w14:paraId="11C62A60" w14:textId="77777777" w:rsidR="002941A7" w:rsidRPr="002F357B" w:rsidRDefault="002941A7" w:rsidP="00D50F54">
            <w:pPr>
              <w:pStyle w:val="Body"/>
              <w:ind w:left="0"/>
              <w:jc w:val="center"/>
              <w:rPr>
                <w:rFonts w:cs="Arial"/>
                <w:szCs w:val="20"/>
              </w:rPr>
            </w:pPr>
            <w:r w:rsidRPr="002F357B">
              <w:rPr>
                <w:rFonts w:cs="Arial"/>
                <w:color w:val="000000"/>
                <w:szCs w:val="20"/>
              </w:rPr>
              <w:t>-</w:t>
            </w:r>
          </w:p>
        </w:tc>
        <w:tc>
          <w:tcPr>
            <w:tcW w:w="897" w:type="pct"/>
            <w:vAlign w:val="bottom"/>
          </w:tcPr>
          <w:p w14:paraId="7A54654F" w14:textId="77777777" w:rsidR="002941A7" w:rsidRPr="002F357B" w:rsidRDefault="002941A7" w:rsidP="00D50F54">
            <w:pPr>
              <w:pStyle w:val="Body"/>
              <w:ind w:left="0"/>
              <w:jc w:val="center"/>
              <w:rPr>
                <w:rFonts w:cs="Arial"/>
                <w:szCs w:val="20"/>
              </w:rPr>
            </w:pPr>
            <w:r w:rsidRPr="002F357B">
              <w:rPr>
                <w:rFonts w:cs="Arial"/>
                <w:color w:val="000000"/>
                <w:szCs w:val="20"/>
              </w:rPr>
              <w:t>-</w:t>
            </w:r>
          </w:p>
        </w:tc>
        <w:tc>
          <w:tcPr>
            <w:tcW w:w="1032" w:type="pct"/>
            <w:vAlign w:val="bottom"/>
          </w:tcPr>
          <w:p w14:paraId="12BF8FFF" w14:textId="77777777" w:rsidR="002941A7" w:rsidRPr="002F357B" w:rsidRDefault="002941A7" w:rsidP="00D50F54">
            <w:pPr>
              <w:pStyle w:val="Body"/>
              <w:ind w:left="0"/>
              <w:jc w:val="center"/>
              <w:rPr>
                <w:rFonts w:cs="Arial"/>
                <w:szCs w:val="20"/>
              </w:rPr>
            </w:pPr>
            <w:r w:rsidRPr="002F357B">
              <w:rPr>
                <w:rFonts w:cs="Arial"/>
                <w:color w:val="000000"/>
                <w:szCs w:val="20"/>
              </w:rPr>
              <w:t>-</w:t>
            </w:r>
          </w:p>
        </w:tc>
      </w:tr>
      <w:tr w:rsidR="0021047A" w14:paraId="16C85035" w14:textId="77777777" w:rsidTr="002941A7">
        <w:tc>
          <w:tcPr>
            <w:tcW w:w="1281" w:type="pct"/>
            <w:vAlign w:val="bottom"/>
          </w:tcPr>
          <w:p w14:paraId="639C584E" w14:textId="77777777" w:rsidR="002941A7" w:rsidRPr="002F357B" w:rsidRDefault="002941A7" w:rsidP="002941A7">
            <w:pPr>
              <w:pStyle w:val="Body"/>
              <w:ind w:left="0"/>
              <w:rPr>
                <w:rFonts w:cs="Arial"/>
                <w:szCs w:val="20"/>
              </w:rPr>
            </w:pPr>
            <w:r w:rsidRPr="002F357B">
              <w:rPr>
                <w:rFonts w:cs="Arial"/>
                <w:color w:val="000000"/>
                <w:szCs w:val="20"/>
              </w:rPr>
              <w:t xml:space="preserve"> West Coast </w:t>
            </w:r>
          </w:p>
        </w:tc>
        <w:tc>
          <w:tcPr>
            <w:tcW w:w="895" w:type="pct"/>
            <w:vAlign w:val="bottom"/>
          </w:tcPr>
          <w:p w14:paraId="7FF49AE6" w14:textId="77777777" w:rsidR="002941A7" w:rsidRPr="002F357B" w:rsidRDefault="002941A7" w:rsidP="00D50F54">
            <w:pPr>
              <w:pStyle w:val="Body"/>
              <w:ind w:left="0"/>
              <w:jc w:val="center"/>
              <w:rPr>
                <w:rFonts w:cs="Arial"/>
                <w:szCs w:val="20"/>
              </w:rPr>
            </w:pPr>
            <w:r w:rsidRPr="002F357B">
              <w:rPr>
                <w:rFonts w:cs="Arial"/>
                <w:color w:val="000000"/>
                <w:szCs w:val="20"/>
              </w:rPr>
              <w:t>$0.19 - $0.28</w:t>
            </w:r>
          </w:p>
        </w:tc>
        <w:tc>
          <w:tcPr>
            <w:tcW w:w="895" w:type="pct"/>
            <w:vAlign w:val="bottom"/>
          </w:tcPr>
          <w:p w14:paraId="65E75F57" w14:textId="77777777" w:rsidR="002941A7" w:rsidRPr="002F357B" w:rsidRDefault="002941A7" w:rsidP="00D50F54">
            <w:pPr>
              <w:pStyle w:val="Body"/>
              <w:ind w:left="0"/>
              <w:jc w:val="center"/>
              <w:rPr>
                <w:rFonts w:cs="Arial"/>
                <w:szCs w:val="20"/>
              </w:rPr>
            </w:pPr>
            <w:r w:rsidRPr="002F357B">
              <w:rPr>
                <w:rFonts w:cs="Arial"/>
                <w:color w:val="000000"/>
                <w:szCs w:val="20"/>
              </w:rPr>
              <w:t>-</w:t>
            </w:r>
          </w:p>
        </w:tc>
        <w:tc>
          <w:tcPr>
            <w:tcW w:w="897" w:type="pct"/>
            <w:vAlign w:val="bottom"/>
          </w:tcPr>
          <w:p w14:paraId="78417B1F" w14:textId="77777777" w:rsidR="002941A7" w:rsidRPr="002F357B" w:rsidRDefault="002941A7" w:rsidP="00D50F54">
            <w:pPr>
              <w:pStyle w:val="Body"/>
              <w:ind w:left="0"/>
              <w:jc w:val="center"/>
              <w:rPr>
                <w:rFonts w:cs="Arial"/>
                <w:szCs w:val="20"/>
              </w:rPr>
            </w:pPr>
            <w:r w:rsidRPr="002F357B">
              <w:rPr>
                <w:rFonts w:cs="Arial"/>
                <w:color w:val="000000"/>
                <w:szCs w:val="20"/>
              </w:rPr>
              <w:t>-</w:t>
            </w:r>
          </w:p>
        </w:tc>
        <w:tc>
          <w:tcPr>
            <w:tcW w:w="1032" w:type="pct"/>
            <w:vAlign w:val="bottom"/>
          </w:tcPr>
          <w:p w14:paraId="031D5165" w14:textId="77777777" w:rsidR="002941A7" w:rsidRPr="002F357B" w:rsidRDefault="002941A7" w:rsidP="00D50F54">
            <w:pPr>
              <w:pStyle w:val="Body"/>
              <w:ind w:left="0"/>
              <w:jc w:val="center"/>
              <w:rPr>
                <w:rFonts w:cs="Arial"/>
                <w:szCs w:val="20"/>
              </w:rPr>
            </w:pPr>
            <w:r w:rsidRPr="002F357B">
              <w:rPr>
                <w:rFonts w:cs="Arial"/>
                <w:color w:val="000000"/>
                <w:szCs w:val="20"/>
              </w:rPr>
              <w:t>$0.19 - $0.28</w:t>
            </w:r>
          </w:p>
        </w:tc>
      </w:tr>
      <w:tr w:rsidR="0021047A" w14:paraId="4E8ED27E" w14:textId="77777777" w:rsidTr="002941A7">
        <w:tc>
          <w:tcPr>
            <w:tcW w:w="1281" w:type="pct"/>
            <w:vAlign w:val="bottom"/>
          </w:tcPr>
          <w:p w14:paraId="1DB9C3CC" w14:textId="77777777" w:rsidR="002941A7" w:rsidRPr="002F357B" w:rsidRDefault="002941A7" w:rsidP="002941A7">
            <w:pPr>
              <w:pStyle w:val="Body"/>
              <w:ind w:left="0"/>
              <w:rPr>
                <w:rFonts w:cs="Arial"/>
                <w:b/>
                <w:szCs w:val="20"/>
              </w:rPr>
            </w:pPr>
            <w:r w:rsidRPr="002F357B">
              <w:rPr>
                <w:rFonts w:cs="Arial"/>
                <w:b/>
                <w:color w:val="000000"/>
                <w:szCs w:val="20"/>
              </w:rPr>
              <w:t xml:space="preserve"> Total </w:t>
            </w:r>
          </w:p>
        </w:tc>
        <w:tc>
          <w:tcPr>
            <w:tcW w:w="895" w:type="pct"/>
            <w:vAlign w:val="bottom"/>
          </w:tcPr>
          <w:p w14:paraId="7A99189C" w14:textId="77777777" w:rsidR="002941A7" w:rsidRPr="002F357B" w:rsidRDefault="002941A7" w:rsidP="00D50F54">
            <w:pPr>
              <w:pStyle w:val="Body"/>
              <w:ind w:left="0"/>
              <w:jc w:val="center"/>
              <w:rPr>
                <w:rFonts w:cs="Arial"/>
                <w:b/>
                <w:szCs w:val="20"/>
              </w:rPr>
            </w:pPr>
            <w:r w:rsidRPr="002F357B">
              <w:rPr>
                <w:rFonts w:cs="Arial"/>
                <w:b/>
                <w:color w:val="000000"/>
                <w:szCs w:val="20"/>
              </w:rPr>
              <w:t>$1.82 - $2.73</w:t>
            </w:r>
          </w:p>
        </w:tc>
        <w:tc>
          <w:tcPr>
            <w:tcW w:w="895" w:type="pct"/>
            <w:vAlign w:val="bottom"/>
          </w:tcPr>
          <w:p w14:paraId="5E521F04" w14:textId="77777777" w:rsidR="002941A7" w:rsidRPr="002F357B" w:rsidRDefault="002941A7" w:rsidP="00D50F54">
            <w:pPr>
              <w:pStyle w:val="Body"/>
              <w:ind w:left="0"/>
              <w:jc w:val="center"/>
              <w:rPr>
                <w:rFonts w:cs="Arial"/>
                <w:b/>
                <w:szCs w:val="20"/>
              </w:rPr>
            </w:pPr>
            <w:r w:rsidRPr="002F357B">
              <w:rPr>
                <w:rFonts w:cs="Arial"/>
                <w:b/>
                <w:color w:val="000000"/>
                <w:szCs w:val="20"/>
              </w:rPr>
              <w:t>$3.67 - $5.51</w:t>
            </w:r>
          </w:p>
        </w:tc>
        <w:tc>
          <w:tcPr>
            <w:tcW w:w="897" w:type="pct"/>
            <w:vAlign w:val="bottom"/>
          </w:tcPr>
          <w:p w14:paraId="0F7CD085" w14:textId="77777777" w:rsidR="002941A7" w:rsidRPr="002F357B" w:rsidRDefault="002941A7" w:rsidP="00D50F54">
            <w:pPr>
              <w:pStyle w:val="Body"/>
              <w:ind w:left="0"/>
              <w:jc w:val="center"/>
              <w:rPr>
                <w:rFonts w:cs="Arial"/>
                <w:b/>
                <w:szCs w:val="20"/>
              </w:rPr>
            </w:pPr>
            <w:r w:rsidRPr="002F357B">
              <w:rPr>
                <w:rFonts w:cs="Arial"/>
                <w:b/>
                <w:color w:val="000000"/>
                <w:szCs w:val="20"/>
              </w:rPr>
              <w:t>$1.60 - $2.40</w:t>
            </w:r>
          </w:p>
        </w:tc>
        <w:tc>
          <w:tcPr>
            <w:tcW w:w="1032" w:type="pct"/>
            <w:vAlign w:val="bottom"/>
          </w:tcPr>
          <w:p w14:paraId="42583FA7" w14:textId="77777777" w:rsidR="002941A7" w:rsidRPr="002F357B" w:rsidRDefault="002941A7" w:rsidP="00A352AD">
            <w:pPr>
              <w:pStyle w:val="Body"/>
              <w:ind w:left="0"/>
              <w:jc w:val="center"/>
              <w:rPr>
                <w:rFonts w:cs="Arial"/>
                <w:b/>
                <w:szCs w:val="20"/>
              </w:rPr>
            </w:pPr>
            <w:r w:rsidRPr="002F357B">
              <w:rPr>
                <w:rFonts w:cs="Arial"/>
                <w:b/>
                <w:color w:val="000000"/>
                <w:szCs w:val="20"/>
              </w:rPr>
              <w:t>$7.09 - $10.64</w:t>
            </w:r>
          </w:p>
        </w:tc>
      </w:tr>
    </w:tbl>
    <w:p w14:paraId="582E0A08" w14:textId="77777777" w:rsidR="0012375F" w:rsidRDefault="0012375F" w:rsidP="005E6C87">
      <w:pPr>
        <w:pStyle w:val="Body"/>
        <w:rPr>
          <w:lang w:eastAsia="en-AU"/>
        </w:rPr>
      </w:pPr>
    </w:p>
    <w:p w14:paraId="7943C213" w14:textId="77777777" w:rsidR="0012375F" w:rsidRDefault="0012375F">
      <w:pPr>
        <w:spacing w:after="0"/>
        <w:rPr>
          <w:lang w:eastAsia="en-AU"/>
        </w:rPr>
      </w:pPr>
      <w:r>
        <w:rPr>
          <w:lang w:eastAsia="en-AU"/>
        </w:rPr>
        <w:br w:type="page"/>
      </w:r>
    </w:p>
    <w:p w14:paraId="377945B1" w14:textId="77777777" w:rsidR="00FB66EA" w:rsidRDefault="00FB66EA" w:rsidP="0012375F">
      <w:pPr>
        <w:pStyle w:val="Heading2"/>
        <w:rPr>
          <w:lang w:eastAsia="en-AU"/>
        </w:rPr>
      </w:pPr>
      <w:bookmarkStart w:id="591" w:name="_Toc518646235"/>
      <w:bookmarkStart w:id="592" w:name="_Toc518653103"/>
      <w:bookmarkStart w:id="593" w:name="_Toc527638659"/>
      <w:r>
        <w:rPr>
          <w:lang w:eastAsia="en-AU"/>
        </w:rPr>
        <w:lastRenderedPageBreak/>
        <w:t>Waikato Region example - compliance with existing resource consents</w:t>
      </w:r>
      <w:bookmarkEnd w:id="591"/>
      <w:bookmarkEnd w:id="592"/>
      <w:bookmarkEnd w:id="593"/>
    </w:p>
    <w:p w14:paraId="42737BA1" w14:textId="77777777" w:rsidR="00FB66EA" w:rsidRPr="005E3F3B" w:rsidRDefault="00FB66EA" w:rsidP="00FB66EA">
      <w:pPr>
        <w:pStyle w:val="Body"/>
        <w:rPr>
          <w:lang w:eastAsia="en-AU"/>
        </w:rPr>
      </w:pPr>
      <w:r>
        <w:rPr>
          <w:lang w:eastAsia="en-AU"/>
        </w:rPr>
        <w:t xml:space="preserve">As discussed in section </w:t>
      </w:r>
      <w:r>
        <w:rPr>
          <w:lang w:eastAsia="en-AU"/>
        </w:rPr>
        <w:fldChar w:fldCharType="begin"/>
      </w:r>
      <w:r>
        <w:rPr>
          <w:lang w:eastAsia="en-AU"/>
        </w:rPr>
        <w:instrText xml:space="preserve"> REF _Ref517784292 \r \h </w:instrText>
      </w:r>
      <w:r>
        <w:rPr>
          <w:lang w:eastAsia="en-AU"/>
        </w:rPr>
      </w:r>
      <w:r>
        <w:rPr>
          <w:lang w:eastAsia="en-AU"/>
        </w:rPr>
        <w:fldChar w:fldCharType="separate"/>
      </w:r>
      <w:r w:rsidR="002777A8">
        <w:rPr>
          <w:lang w:eastAsia="en-AU"/>
        </w:rPr>
        <w:t>3.2.4</w:t>
      </w:r>
      <w:r>
        <w:rPr>
          <w:lang w:eastAsia="en-AU"/>
        </w:rPr>
        <w:fldChar w:fldCharType="end"/>
      </w:r>
      <w:r>
        <w:rPr>
          <w:lang w:eastAsia="en-AU"/>
        </w:rPr>
        <w:t>, the level of consent compliance in the Waikato Region for the considered parameters is lower than expected. Levels of non</w:t>
      </w:r>
      <w:r w:rsidR="00784BA4">
        <w:rPr>
          <w:lang w:eastAsia="en-AU"/>
        </w:rPr>
        <w:t>-</w:t>
      </w:r>
      <w:r>
        <w:rPr>
          <w:lang w:eastAsia="en-AU"/>
        </w:rPr>
        <w:t xml:space="preserve">compliance in the key </w:t>
      </w:r>
      <w:r>
        <w:t>parameters</w:t>
      </w:r>
      <w:r>
        <w:rPr>
          <w:lang w:eastAsia="en-AU"/>
        </w:rPr>
        <w:t xml:space="preserve"> are listed below:</w:t>
      </w:r>
    </w:p>
    <w:p w14:paraId="635AB1A4" w14:textId="77777777" w:rsidR="00FB66EA" w:rsidRPr="00FE4F59" w:rsidRDefault="0048638F" w:rsidP="00FB66EA">
      <w:pPr>
        <w:pStyle w:val="Bullet"/>
        <w:numPr>
          <w:ilvl w:val="0"/>
          <w:numId w:val="63"/>
        </w:numPr>
        <w:tabs>
          <w:tab w:val="clear" w:pos="1134"/>
        </w:tabs>
        <w:spacing w:before="0" w:after="100"/>
      </w:pPr>
      <w:r>
        <w:t>30</w:t>
      </w:r>
      <w:r w:rsidR="00FB66EA" w:rsidRPr="00FE4F59">
        <w:t xml:space="preserve">% </w:t>
      </w:r>
      <w:r w:rsidR="00FB66EA">
        <w:rPr>
          <w:i/>
        </w:rPr>
        <w:t>E.coli</w:t>
      </w:r>
      <w:r w:rsidR="00FB66EA" w:rsidRPr="00E66F34">
        <w:rPr>
          <w:i/>
        </w:rPr>
        <w:t xml:space="preserve"> </w:t>
      </w:r>
      <w:r w:rsidR="00FB66EA" w:rsidRPr="00FE4F59">
        <w:t>non-compliance</w:t>
      </w:r>
    </w:p>
    <w:p w14:paraId="295DDED6" w14:textId="77777777" w:rsidR="00FB66EA" w:rsidRPr="00FE4F59" w:rsidRDefault="0048638F" w:rsidP="00FB66EA">
      <w:pPr>
        <w:pStyle w:val="Bullet"/>
        <w:numPr>
          <w:ilvl w:val="0"/>
          <w:numId w:val="63"/>
        </w:numPr>
        <w:tabs>
          <w:tab w:val="clear" w:pos="1134"/>
        </w:tabs>
        <w:spacing w:before="0" w:after="100"/>
      </w:pPr>
      <w:r>
        <w:t>30</w:t>
      </w:r>
      <w:r w:rsidR="00FB66EA" w:rsidRPr="00FE4F59">
        <w:t>% ammonia non-compliance</w:t>
      </w:r>
    </w:p>
    <w:p w14:paraId="113A6DB2" w14:textId="77777777" w:rsidR="00FB66EA" w:rsidRPr="00FE4F59" w:rsidRDefault="0048638F" w:rsidP="00FB66EA">
      <w:pPr>
        <w:pStyle w:val="Bullet"/>
        <w:numPr>
          <w:ilvl w:val="0"/>
          <w:numId w:val="63"/>
        </w:numPr>
        <w:tabs>
          <w:tab w:val="clear" w:pos="1134"/>
        </w:tabs>
        <w:spacing w:before="0" w:after="100"/>
      </w:pPr>
      <w:r>
        <w:t>18</w:t>
      </w:r>
      <w:r w:rsidR="00FB66EA" w:rsidRPr="00FE4F59">
        <w:t>% total nitrogen (TN) non-compliance</w:t>
      </w:r>
    </w:p>
    <w:p w14:paraId="098EF0C0" w14:textId="77777777" w:rsidR="00FB66EA" w:rsidRDefault="00FB66EA" w:rsidP="00FB66EA">
      <w:pPr>
        <w:pStyle w:val="Body"/>
        <w:rPr>
          <w:lang w:eastAsia="en-AU"/>
        </w:rPr>
      </w:pPr>
      <w:r>
        <w:rPr>
          <w:lang w:eastAsia="en-AU"/>
        </w:rPr>
        <w:t>This level of non</w:t>
      </w:r>
      <w:r>
        <w:t>-</w:t>
      </w:r>
      <w:r>
        <w:rPr>
          <w:lang w:eastAsia="en-AU"/>
        </w:rPr>
        <w:t xml:space="preserve">compliance at particular sites drives a need for plant upgrades to ensure that the plants comply. This is important to ensure that the impact on the environment is managed, but also that the consent holder complies with the consent order and is not at risk of enforcement action by the regulator. By understanding the parameters that each plant failed to comply against, the cost curves were able to be utilised to develop a total cost of upgrade needed for a plant to meet its consent. </w:t>
      </w:r>
    </w:p>
    <w:p w14:paraId="4BB6BA3C" w14:textId="77777777" w:rsidR="00FB66EA" w:rsidRDefault="00FB66EA" w:rsidP="00FB66EA">
      <w:pPr>
        <w:pStyle w:val="Body"/>
      </w:pPr>
      <w:r>
        <w:rPr>
          <w:lang w:eastAsia="en-AU"/>
        </w:rPr>
        <w:t>This</w:t>
      </w:r>
      <w:r w:rsidDel="00B23686">
        <w:rPr>
          <w:lang w:eastAsia="en-AU"/>
        </w:rPr>
        <w:t xml:space="preserve"> </w:t>
      </w:r>
      <w:r>
        <w:rPr>
          <w:lang w:eastAsia="en-AU"/>
        </w:rPr>
        <w:t>has been done and the results of this analysis is in the first column of</w:t>
      </w:r>
      <w:r>
        <w:t xml:space="preserve"> </w:t>
      </w:r>
      <w:r w:rsidR="004F51E5">
        <w:fldChar w:fldCharType="begin"/>
      </w:r>
      <w:r w:rsidR="004F51E5">
        <w:instrText xml:space="preserve"> REF _Ref518659958 \h </w:instrText>
      </w:r>
      <w:r w:rsidR="004F51E5">
        <w:fldChar w:fldCharType="separate"/>
      </w:r>
      <w:r w:rsidR="002777A8">
        <w:t xml:space="preserve">Table </w:t>
      </w:r>
      <w:r w:rsidR="002777A8">
        <w:rPr>
          <w:noProof/>
        </w:rPr>
        <w:t>22</w:t>
      </w:r>
      <w:r w:rsidR="004F51E5">
        <w:fldChar w:fldCharType="end"/>
      </w:r>
      <w:r>
        <w:t>.</w:t>
      </w:r>
    </w:p>
    <w:p w14:paraId="3C136A63" w14:textId="77777777" w:rsidR="007B452A" w:rsidRDefault="007B452A" w:rsidP="00FB66EA">
      <w:pPr>
        <w:pStyle w:val="Body"/>
        <w:rPr>
          <w:lang w:eastAsia="en-AU"/>
        </w:rPr>
      </w:pPr>
    </w:p>
    <w:p w14:paraId="4FE52298" w14:textId="77777777" w:rsidR="00FB66EA" w:rsidRDefault="00FB66EA" w:rsidP="00FB66EA">
      <w:pPr>
        <w:pStyle w:val="Caption"/>
      </w:pPr>
      <w:bookmarkStart w:id="594" w:name="_Ref518659958"/>
      <w:bookmarkStart w:id="595" w:name="_Toc518653137"/>
      <w:bookmarkStart w:id="596" w:name="_Toc521064805"/>
      <w:r>
        <w:t xml:space="preserve">Table </w:t>
      </w:r>
      <w:r w:rsidR="007B3D80">
        <w:rPr>
          <w:noProof/>
        </w:rPr>
        <w:fldChar w:fldCharType="begin"/>
      </w:r>
      <w:r w:rsidR="007B3D80">
        <w:rPr>
          <w:noProof/>
        </w:rPr>
        <w:instrText xml:space="preserve"> SEQ Table \* ARABIC </w:instrText>
      </w:r>
      <w:r w:rsidR="007B3D80">
        <w:rPr>
          <w:noProof/>
        </w:rPr>
        <w:fldChar w:fldCharType="separate"/>
      </w:r>
      <w:r w:rsidR="002777A8">
        <w:rPr>
          <w:noProof/>
        </w:rPr>
        <w:t>22</w:t>
      </w:r>
      <w:r w:rsidR="007B3D80">
        <w:rPr>
          <w:noProof/>
        </w:rPr>
        <w:fldChar w:fldCharType="end"/>
      </w:r>
      <w:bookmarkEnd w:id="594"/>
      <w:r>
        <w:t xml:space="preserve">  Estimated </w:t>
      </w:r>
      <w:r w:rsidRPr="005819E5">
        <w:t xml:space="preserve">Cost to meet </w:t>
      </w:r>
      <w:r>
        <w:t>c</w:t>
      </w:r>
      <w:r w:rsidRPr="005819E5">
        <w:t xml:space="preserve">onsent </w:t>
      </w:r>
      <w:r>
        <w:t>c</w:t>
      </w:r>
      <w:r w:rsidRPr="005819E5">
        <w:t>ompliance Waikato Region</w:t>
      </w:r>
      <w:bookmarkEnd w:id="595"/>
      <w:bookmarkEnd w:id="596"/>
      <w:r w:rsidRPr="005819E5">
        <w:t xml:space="preserve"> </w:t>
      </w:r>
    </w:p>
    <w:tbl>
      <w:tblPr>
        <w:tblStyle w:val="Table-Style3"/>
        <w:tblW w:w="5000" w:type="pct"/>
        <w:tblLook w:val="04A0" w:firstRow="1" w:lastRow="0" w:firstColumn="1" w:lastColumn="0" w:noHBand="0" w:noVBand="1"/>
      </w:tblPr>
      <w:tblGrid>
        <w:gridCol w:w="3826"/>
        <w:gridCol w:w="2824"/>
        <w:gridCol w:w="2638"/>
      </w:tblGrid>
      <w:tr w:rsidR="00FB66EA" w:rsidRPr="00223930" w14:paraId="40B111F9" w14:textId="77777777" w:rsidTr="007B452A">
        <w:trPr>
          <w:cnfStyle w:val="100000000000" w:firstRow="1" w:lastRow="0" w:firstColumn="0" w:lastColumn="0" w:oddVBand="0" w:evenVBand="0" w:oddHBand="0" w:evenHBand="0" w:firstRowFirstColumn="0" w:firstRowLastColumn="0" w:lastRowFirstColumn="0" w:lastRowLastColumn="0"/>
          <w:trHeight w:val="584"/>
        </w:trPr>
        <w:tc>
          <w:tcPr>
            <w:tcW w:w="2060" w:type="pct"/>
            <w:vAlign w:val="center"/>
            <w:hideMark/>
          </w:tcPr>
          <w:p w14:paraId="246CF7C3" w14:textId="77777777" w:rsidR="00FB66EA" w:rsidRPr="002F357B" w:rsidRDefault="00FB66EA" w:rsidP="007B452A">
            <w:pPr>
              <w:spacing w:before="45" w:after="30"/>
              <w:rPr>
                <w:rFonts w:cs="Arial"/>
                <w:szCs w:val="20"/>
              </w:rPr>
            </w:pPr>
            <w:r w:rsidRPr="002F357B">
              <w:rPr>
                <w:rFonts w:cs="Arial"/>
                <w:szCs w:val="20"/>
              </w:rPr>
              <w:t>Parameter</w:t>
            </w:r>
          </w:p>
        </w:tc>
        <w:tc>
          <w:tcPr>
            <w:tcW w:w="1520" w:type="pct"/>
            <w:hideMark/>
          </w:tcPr>
          <w:p w14:paraId="0369C5D1" w14:textId="77777777" w:rsidR="00A352AD" w:rsidRPr="007B452A" w:rsidRDefault="00FB66EA" w:rsidP="003D4DD8">
            <w:pPr>
              <w:pStyle w:val="Body"/>
              <w:ind w:left="0"/>
              <w:jc w:val="center"/>
              <w:rPr>
                <w:lang w:eastAsia="en-AU"/>
              </w:rPr>
            </w:pPr>
            <w:r w:rsidRPr="007B452A">
              <w:rPr>
                <w:lang w:eastAsia="en-AU"/>
              </w:rPr>
              <w:t>To comply with consents*</w:t>
            </w:r>
            <w:r w:rsidR="007B452A">
              <w:rPr>
                <w:lang w:eastAsia="en-AU"/>
              </w:rPr>
              <w:t xml:space="preserve"> </w:t>
            </w:r>
            <w:r w:rsidR="00A352AD" w:rsidRPr="007B452A">
              <w:rPr>
                <w:lang w:eastAsia="en-AU"/>
              </w:rPr>
              <w:t>($</w:t>
            </w:r>
            <w:r w:rsidR="007B452A">
              <w:rPr>
                <w:lang w:eastAsia="en-AU"/>
              </w:rPr>
              <w:t> </w:t>
            </w:r>
            <w:r w:rsidR="00A352AD" w:rsidRPr="007B452A">
              <w:rPr>
                <w:lang w:eastAsia="en-AU"/>
              </w:rPr>
              <w:t>Million)</w:t>
            </w:r>
          </w:p>
        </w:tc>
        <w:tc>
          <w:tcPr>
            <w:tcW w:w="1420" w:type="pct"/>
            <w:hideMark/>
          </w:tcPr>
          <w:p w14:paraId="0BD68B77" w14:textId="77777777" w:rsidR="00A352AD" w:rsidRPr="007B452A" w:rsidRDefault="00FB66EA" w:rsidP="003D4DD8">
            <w:pPr>
              <w:pStyle w:val="Body"/>
              <w:ind w:left="0"/>
              <w:jc w:val="center"/>
              <w:rPr>
                <w:lang w:eastAsia="en-AU"/>
              </w:rPr>
            </w:pPr>
            <w:r w:rsidRPr="007B452A">
              <w:rPr>
                <w:lang w:eastAsia="en-AU"/>
              </w:rPr>
              <w:t>To comply with consents^</w:t>
            </w:r>
            <w:r w:rsidR="007B452A">
              <w:rPr>
                <w:lang w:eastAsia="en-AU"/>
              </w:rPr>
              <w:t xml:space="preserve"> </w:t>
            </w:r>
            <w:r w:rsidR="00A352AD" w:rsidRPr="007B452A">
              <w:rPr>
                <w:lang w:eastAsia="en-AU"/>
              </w:rPr>
              <w:t>($</w:t>
            </w:r>
            <w:r w:rsidR="007B452A">
              <w:rPr>
                <w:lang w:eastAsia="en-AU"/>
              </w:rPr>
              <w:t> </w:t>
            </w:r>
            <w:r w:rsidR="00A352AD" w:rsidRPr="007B452A">
              <w:rPr>
                <w:lang w:eastAsia="en-AU"/>
              </w:rPr>
              <w:t>Million)</w:t>
            </w:r>
          </w:p>
        </w:tc>
      </w:tr>
      <w:tr w:rsidR="00FB66EA" w:rsidRPr="00223930" w14:paraId="0028AE06" w14:textId="77777777" w:rsidTr="007B452A">
        <w:trPr>
          <w:trHeight w:val="584"/>
        </w:trPr>
        <w:tc>
          <w:tcPr>
            <w:tcW w:w="2060" w:type="pct"/>
            <w:vAlign w:val="center"/>
            <w:hideMark/>
          </w:tcPr>
          <w:p w14:paraId="640B4AB5" w14:textId="77777777" w:rsidR="00FB66EA" w:rsidRPr="002F357B" w:rsidRDefault="00FB66EA" w:rsidP="007B452A">
            <w:pPr>
              <w:spacing w:after="30"/>
              <w:rPr>
                <w:rFonts w:cs="Arial"/>
                <w:szCs w:val="20"/>
              </w:rPr>
            </w:pPr>
            <w:r w:rsidRPr="002F357B">
              <w:rPr>
                <w:rFonts w:cs="Arial"/>
                <w:szCs w:val="20"/>
              </w:rPr>
              <w:t>Waikato Region Total</w:t>
            </w:r>
          </w:p>
        </w:tc>
        <w:tc>
          <w:tcPr>
            <w:tcW w:w="1520" w:type="pct"/>
            <w:vAlign w:val="center"/>
            <w:hideMark/>
          </w:tcPr>
          <w:p w14:paraId="203DE603" w14:textId="77777777" w:rsidR="00FB66EA" w:rsidRPr="002F357B" w:rsidRDefault="00FB66EA" w:rsidP="003D4DD8">
            <w:pPr>
              <w:spacing w:after="30"/>
              <w:jc w:val="center"/>
              <w:rPr>
                <w:rFonts w:cs="Arial"/>
                <w:szCs w:val="20"/>
              </w:rPr>
            </w:pPr>
            <w:r w:rsidRPr="002F357B">
              <w:rPr>
                <w:rFonts w:cs="Arial"/>
                <w:color w:val="000000"/>
                <w:szCs w:val="20"/>
              </w:rPr>
              <w:t>$</w:t>
            </w:r>
            <w:r w:rsidR="00125240" w:rsidRPr="002F357B">
              <w:rPr>
                <w:rFonts w:cs="Arial"/>
                <w:color w:val="000000"/>
                <w:szCs w:val="20"/>
              </w:rPr>
              <w:t xml:space="preserve">89 </w:t>
            </w:r>
            <w:r w:rsidRPr="002F357B">
              <w:rPr>
                <w:rFonts w:cs="Arial"/>
                <w:color w:val="000000"/>
                <w:szCs w:val="20"/>
              </w:rPr>
              <w:t>- $</w:t>
            </w:r>
            <w:r w:rsidR="00125240" w:rsidRPr="002F357B">
              <w:rPr>
                <w:rFonts w:cs="Arial"/>
                <w:color w:val="000000"/>
                <w:szCs w:val="20"/>
              </w:rPr>
              <w:t>134</w:t>
            </w:r>
          </w:p>
        </w:tc>
        <w:tc>
          <w:tcPr>
            <w:tcW w:w="1420" w:type="pct"/>
            <w:vAlign w:val="center"/>
            <w:hideMark/>
          </w:tcPr>
          <w:p w14:paraId="01ADB5EB" w14:textId="77777777" w:rsidR="00FB66EA" w:rsidRPr="002F357B" w:rsidRDefault="00FB66EA" w:rsidP="003D4DD8">
            <w:pPr>
              <w:spacing w:after="30"/>
              <w:jc w:val="center"/>
              <w:rPr>
                <w:rFonts w:cs="Arial"/>
                <w:szCs w:val="20"/>
              </w:rPr>
            </w:pPr>
            <w:r w:rsidRPr="002F357B">
              <w:rPr>
                <w:rFonts w:cs="Arial"/>
                <w:color w:val="000000"/>
                <w:szCs w:val="20"/>
              </w:rPr>
              <w:t>$</w:t>
            </w:r>
            <w:r w:rsidR="00125240" w:rsidRPr="002F357B">
              <w:rPr>
                <w:rFonts w:cs="Arial"/>
                <w:color w:val="000000"/>
                <w:szCs w:val="20"/>
              </w:rPr>
              <w:t xml:space="preserve">52 </w:t>
            </w:r>
            <w:r w:rsidRPr="002F357B">
              <w:rPr>
                <w:rFonts w:cs="Arial"/>
                <w:color w:val="000000"/>
                <w:szCs w:val="20"/>
              </w:rPr>
              <w:t>- $</w:t>
            </w:r>
            <w:r w:rsidR="00125240" w:rsidRPr="002F357B">
              <w:rPr>
                <w:rFonts w:cs="Arial"/>
                <w:color w:val="000000"/>
                <w:szCs w:val="20"/>
              </w:rPr>
              <w:t>78</w:t>
            </w:r>
          </w:p>
        </w:tc>
      </w:tr>
    </w:tbl>
    <w:p w14:paraId="33A8D1C2" w14:textId="77777777" w:rsidR="00FB66EA" w:rsidRPr="00FE4F59" w:rsidRDefault="00FB66EA" w:rsidP="00FB66EA">
      <w:pPr>
        <w:spacing w:after="0"/>
        <w:ind w:firstLine="567"/>
        <w:textAlignment w:val="baseline"/>
        <w:rPr>
          <w:rFonts w:asciiTheme="minorHAnsi" w:hAnsiTheme="minorHAnsi"/>
          <w:sz w:val="18"/>
          <w:szCs w:val="18"/>
          <w:lang w:val="en-NZ" w:eastAsia="en-NZ"/>
        </w:rPr>
      </w:pPr>
      <w:r w:rsidRPr="00FE4F59">
        <w:rPr>
          <w:rFonts w:asciiTheme="minorHAnsi" w:eastAsia="+mn-ea" w:hAnsiTheme="minorHAnsi" w:cs="Arial"/>
          <w:color w:val="000000"/>
          <w:sz w:val="18"/>
          <w:szCs w:val="18"/>
          <w:lang w:val="en-NZ" w:eastAsia="en-NZ"/>
        </w:rPr>
        <w:t>* Based on upgrade cost assumptions; ^ Based on local knowledge</w:t>
      </w:r>
    </w:p>
    <w:p w14:paraId="6E83C514" w14:textId="77777777" w:rsidR="007B452A" w:rsidRDefault="007B452A" w:rsidP="00FB66EA">
      <w:pPr>
        <w:pStyle w:val="Body"/>
        <w:rPr>
          <w:lang w:eastAsia="en-AU"/>
        </w:rPr>
      </w:pPr>
    </w:p>
    <w:p w14:paraId="502C7664" w14:textId="77777777" w:rsidR="00FB66EA" w:rsidRDefault="00FB66EA" w:rsidP="00FB66EA">
      <w:pPr>
        <w:pStyle w:val="Body"/>
        <w:rPr>
          <w:lang w:eastAsia="en-AU"/>
        </w:rPr>
      </w:pPr>
      <w:r>
        <w:rPr>
          <w:lang w:eastAsia="en-AU"/>
        </w:rPr>
        <w:t xml:space="preserve">The question of whether this truly reflects the cost of required upgrades was then posed. </w:t>
      </w:r>
    </w:p>
    <w:p w14:paraId="54C6CA58" w14:textId="77777777" w:rsidR="00FB66EA" w:rsidRDefault="00FB66EA" w:rsidP="00FB66EA">
      <w:pPr>
        <w:pStyle w:val="Body"/>
        <w:rPr>
          <w:lang w:eastAsia="en-AU"/>
        </w:rPr>
      </w:pPr>
      <w:r>
        <w:rPr>
          <w:lang w:eastAsia="en-AU"/>
        </w:rPr>
        <w:t>Given the project teams in depth knowledge of the regional infrastructure they were able to apply a filter where plants with minor non</w:t>
      </w:r>
      <w:r w:rsidR="00784BA4">
        <w:rPr>
          <w:lang w:eastAsia="en-AU"/>
        </w:rPr>
        <w:t>-</w:t>
      </w:r>
      <w:r>
        <w:rPr>
          <w:lang w:eastAsia="en-AU"/>
        </w:rPr>
        <w:t xml:space="preserve">compliance matters, or those related to operations and maintenance practices causing compliance issues, could be removed, leaving only those in need of major capital input left. This value is shown in the second column in </w:t>
      </w:r>
      <w:r w:rsidR="004F51E5">
        <w:fldChar w:fldCharType="begin"/>
      </w:r>
      <w:r w:rsidR="004F51E5">
        <w:instrText xml:space="preserve"> REF _Ref518659958 \h </w:instrText>
      </w:r>
      <w:r w:rsidR="004F51E5">
        <w:fldChar w:fldCharType="separate"/>
      </w:r>
      <w:r w:rsidR="002777A8">
        <w:t xml:space="preserve">Table </w:t>
      </w:r>
      <w:r w:rsidR="002777A8">
        <w:rPr>
          <w:noProof/>
        </w:rPr>
        <w:t>22</w:t>
      </w:r>
      <w:r w:rsidR="004F51E5">
        <w:fldChar w:fldCharType="end"/>
      </w:r>
      <w:r>
        <w:rPr>
          <w:lang w:eastAsia="en-AU"/>
        </w:rPr>
        <w:t>.</w:t>
      </w:r>
    </w:p>
    <w:p w14:paraId="694D8103" w14:textId="77777777" w:rsidR="00FB66EA" w:rsidRPr="005E3F3B" w:rsidRDefault="00FB66EA" w:rsidP="00FB66EA">
      <w:pPr>
        <w:pStyle w:val="Body"/>
        <w:rPr>
          <w:lang w:eastAsia="en-AU"/>
        </w:rPr>
      </w:pPr>
      <w:r>
        <w:rPr>
          <w:lang w:eastAsia="en-AU"/>
        </w:rPr>
        <w:t>This translates to a capital input of $</w:t>
      </w:r>
      <w:r w:rsidR="00125240">
        <w:rPr>
          <w:lang w:eastAsia="en-AU"/>
        </w:rPr>
        <w:t xml:space="preserve">52 </w:t>
      </w:r>
      <w:r>
        <w:rPr>
          <w:lang w:eastAsia="en-AU"/>
        </w:rPr>
        <w:t>- $</w:t>
      </w:r>
      <w:r w:rsidR="00125240">
        <w:rPr>
          <w:lang w:eastAsia="en-AU"/>
        </w:rPr>
        <w:t xml:space="preserve">78 </w:t>
      </w:r>
      <w:r w:rsidR="00A352AD">
        <w:rPr>
          <w:lang w:eastAsia="en-AU"/>
        </w:rPr>
        <w:t xml:space="preserve">Million </w:t>
      </w:r>
      <w:r>
        <w:rPr>
          <w:lang w:eastAsia="en-AU"/>
        </w:rPr>
        <w:t>into regional treatment plants that discharge into freshwater to ensure that consent parameters are met. This does not include the operation funding needed to operate either the new plants, or funding for those other sites that need more minor input to address non</w:t>
      </w:r>
      <w:r w:rsidR="00784BA4">
        <w:rPr>
          <w:lang w:eastAsia="en-AU"/>
        </w:rPr>
        <w:t>-</w:t>
      </w:r>
      <w:r>
        <w:rPr>
          <w:lang w:eastAsia="en-AU"/>
        </w:rPr>
        <w:t>compliance matters.</w:t>
      </w:r>
    </w:p>
    <w:p w14:paraId="5D5B3145" w14:textId="77777777" w:rsidR="00FB66EA" w:rsidRDefault="00FB66EA" w:rsidP="00FB66EA">
      <w:pPr>
        <w:pStyle w:val="Body"/>
        <w:rPr>
          <w:lang w:eastAsia="en-AU"/>
        </w:rPr>
      </w:pPr>
      <w:r>
        <w:rPr>
          <w:lang w:eastAsia="en-AU"/>
        </w:rPr>
        <w:t>Costs for upgrading plants across all of New Zealand are not calculated, since as noted earlier in the report the data readily available indicates non</w:t>
      </w:r>
      <w:r w:rsidR="00784BA4">
        <w:rPr>
          <w:lang w:eastAsia="en-AU"/>
        </w:rPr>
        <w:t>-</w:t>
      </w:r>
      <w:r>
        <w:rPr>
          <w:lang w:eastAsia="en-AU"/>
        </w:rPr>
        <w:t>compliance is not major issue. However based on this Waikato example, with more detailed investigation there will be more cases around New Zealand identified and associated cost upgrades will apply.</w:t>
      </w:r>
    </w:p>
    <w:p w14:paraId="0E7E1476" w14:textId="77777777" w:rsidR="001B2F1A" w:rsidRPr="009704E7" w:rsidRDefault="001B2F1A" w:rsidP="002C75CD">
      <w:pPr>
        <w:pStyle w:val="Body"/>
        <w:ind w:left="0"/>
      </w:pPr>
      <w:r>
        <w:rPr>
          <w:lang w:eastAsia="en-AU"/>
        </w:rPr>
        <w:br w:type="page"/>
      </w:r>
    </w:p>
    <w:p w14:paraId="15E3B807" w14:textId="77777777" w:rsidR="007A7882" w:rsidRDefault="007A7882" w:rsidP="00596CC6">
      <w:pPr>
        <w:pStyle w:val="Heading1"/>
        <w:rPr>
          <w:lang w:eastAsia="en-AU"/>
        </w:rPr>
      </w:pPr>
      <w:bookmarkStart w:id="597" w:name="_Toc516840537"/>
      <w:bookmarkStart w:id="598" w:name="_Toc517267847"/>
      <w:bookmarkStart w:id="599" w:name="_Toc517707414"/>
      <w:bookmarkStart w:id="600" w:name="_Toc517787169"/>
      <w:bookmarkStart w:id="601" w:name="_Toc517793868"/>
      <w:bookmarkStart w:id="602" w:name="_Toc518646236"/>
      <w:bookmarkStart w:id="603" w:name="_Toc518653104"/>
      <w:bookmarkStart w:id="604" w:name="_Toc527638660"/>
      <w:r>
        <w:rPr>
          <w:lang w:eastAsia="en-AU"/>
        </w:rPr>
        <w:lastRenderedPageBreak/>
        <w:t>Discussion</w:t>
      </w:r>
      <w:bookmarkStart w:id="605" w:name="_Toc516741344"/>
      <w:bookmarkEnd w:id="573"/>
      <w:bookmarkEnd w:id="597"/>
      <w:bookmarkEnd w:id="598"/>
      <w:bookmarkEnd w:id="599"/>
      <w:bookmarkEnd w:id="600"/>
      <w:bookmarkEnd w:id="601"/>
      <w:bookmarkEnd w:id="602"/>
      <w:bookmarkEnd w:id="603"/>
      <w:bookmarkEnd w:id="604"/>
      <w:bookmarkEnd w:id="605"/>
    </w:p>
    <w:p w14:paraId="5C17B11E" w14:textId="77777777" w:rsidR="00624EE0" w:rsidRPr="00FE4F59" w:rsidRDefault="00624EE0">
      <w:pPr>
        <w:pStyle w:val="Heading2"/>
      </w:pPr>
      <w:bookmarkStart w:id="606" w:name="_Toc516840538"/>
      <w:bookmarkStart w:id="607" w:name="_Toc517267848"/>
      <w:bookmarkStart w:id="608" w:name="_Toc517707415"/>
      <w:bookmarkStart w:id="609" w:name="_Toc517787170"/>
      <w:bookmarkStart w:id="610" w:name="_Toc517793869"/>
      <w:bookmarkStart w:id="611" w:name="_Toc518646237"/>
      <w:bookmarkStart w:id="612" w:name="_Toc518653105"/>
      <w:bookmarkStart w:id="613" w:name="_Toc527638661"/>
      <w:r w:rsidRPr="00624EE0">
        <w:t>F</w:t>
      </w:r>
      <w:r w:rsidRPr="00FE4F59">
        <w:t xml:space="preserve">uture </w:t>
      </w:r>
      <w:r w:rsidR="00710D71">
        <w:t>e</w:t>
      </w:r>
      <w:r w:rsidRPr="00FE4F59">
        <w:t xml:space="preserve">nvironmental </w:t>
      </w:r>
      <w:r w:rsidR="00710D71">
        <w:t>r</w:t>
      </w:r>
      <w:r w:rsidRPr="00FE4F59">
        <w:t>equirements</w:t>
      </w:r>
      <w:bookmarkEnd w:id="606"/>
      <w:bookmarkEnd w:id="607"/>
      <w:bookmarkEnd w:id="608"/>
      <w:bookmarkEnd w:id="609"/>
      <w:bookmarkEnd w:id="610"/>
      <w:bookmarkEnd w:id="611"/>
      <w:bookmarkEnd w:id="612"/>
      <w:bookmarkEnd w:id="613"/>
    </w:p>
    <w:p w14:paraId="13F2BE2B" w14:textId="77777777" w:rsidR="00596CC6" w:rsidRDefault="00596CC6" w:rsidP="006B6562">
      <w:pPr>
        <w:pStyle w:val="Body"/>
        <w:rPr>
          <w:bCs/>
          <w:iCs/>
          <w:lang w:eastAsia="en-AU"/>
        </w:rPr>
      </w:pPr>
      <w:r>
        <w:rPr>
          <w:lang w:eastAsia="en-AU"/>
        </w:rPr>
        <w:t xml:space="preserve">This study has focussed on achieving the B Attribute values of the NPS Freshwater. </w:t>
      </w:r>
      <w:r w:rsidR="003904C1" w:rsidRPr="00F501CB">
        <w:t xml:space="preserve">At the time of writing this document, </w:t>
      </w:r>
      <w:r w:rsidR="00A352AD">
        <w:t>regional c</w:t>
      </w:r>
      <w:r w:rsidR="00A352AD" w:rsidRPr="00F501CB">
        <w:t xml:space="preserve">ouncils </w:t>
      </w:r>
      <w:r w:rsidR="003904C1">
        <w:t>across the country are</w:t>
      </w:r>
      <w:r w:rsidR="003904C1" w:rsidRPr="00F501CB">
        <w:t xml:space="preserve"> in varying stages of implementing the NPS Freshwater.</w:t>
      </w:r>
      <w:r w:rsidR="003904C1">
        <w:t xml:space="preserve"> </w:t>
      </w:r>
      <w:r w:rsidR="003904C1" w:rsidRPr="00CB2E9A">
        <w:t xml:space="preserve">To provide a consistent </w:t>
      </w:r>
      <w:r w:rsidR="003904C1">
        <w:t xml:space="preserve">approach </w:t>
      </w:r>
      <w:r w:rsidR="003904C1" w:rsidRPr="00CB2E9A">
        <w:t xml:space="preserve">and </w:t>
      </w:r>
      <w:r w:rsidR="003904C1">
        <w:t xml:space="preserve">an </w:t>
      </w:r>
      <w:r w:rsidR="003904C1" w:rsidRPr="00CB2E9A">
        <w:t xml:space="preserve">aspirational </w:t>
      </w:r>
      <w:r w:rsidR="003904C1">
        <w:t>target,</w:t>
      </w:r>
      <w:r w:rsidR="003904C1" w:rsidRPr="00CB2E9A">
        <w:t xml:space="preserve"> </w:t>
      </w:r>
      <w:r w:rsidR="003904C1">
        <w:t>the</w:t>
      </w:r>
      <w:r w:rsidR="003904C1" w:rsidRPr="00CB2E9A" w:rsidDel="00CB2E9A">
        <w:t xml:space="preserve"> </w:t>
      </w:r>
      <w:r w:rsidR="003904C1">
        <w:t xml:space="preserve">study assumes that </w:t>
      </w:r>
      <w:r w:rsidR="003904C1" w:rsidRPr="0016267C">
        <w:t>NPS Freshwater B Attribute</w:t>
      </w:r>
      <w:r w:rsidR="003904C1">
        <w:t xml:space="preserve"> states</w:t>
      </w:r>
      <w:r w:rsidR="003904C1" w:rsidRPr="0016267C">
        <w:t xml:space="preserve"> </w:t>
      </w:r>
      <w:r w:rsidR="003904C1" w:rsidRPr="00CB2E9A">
        <w:t xml:space="preserve">for </w:t>
      </w:r>
      <w:r w:rsidR="003904C1" w:rsidRPr="002E4434">
        <w:rPr>
          <w:i/>
        </w:rPr>
        <w:t>E. coli</w:t>
      </w:r>
      <w:r w:rsidR="003904C1" w:rsidRPr="00CB2E9A">
        <w:t xml:space="preserve">, </w:t>
      </w:r>
      <w:r w:rsidR="003904C1">
        <w:t>t</w:t>
      </w:r>
      <w:r w:rsidR="003904C1" w:rsidRPr="00CB2E9A">
        <w:t xml:space="preserve">otal </w:t>
      </w:r>
      <w:r w:rsidR="003904C1">
        <w:t>n</w:t>
      </w:r>
      <w:r w:rsidR="003904C1" w:rsidRPr="00CB2E9A">
        <w:t xml:space="preserve">itrates and </w:t>
      </w:r>
      <w:r w:rsidR="003904C1">
        <w:t>a</w:t>
      </w:r>
      <w:r w:rsidR="003904C1" w:rsidRPr="00CB2E9A">
        <w:t xml:space="preserve">mmonia </w:t>
      </w:r>
      <w:r w:rsidR="003904C1">
        <w:t>are the target to be met in receiving waters.</w:t>
      </w:r>
      <w:r w:rsidR="003904C1" w:rsidRPr="00CB2E9A">
        <w:t xml:space="preserve"> </w:t>
      </w:r>
      <w:r w:rsidR="003904C1" w:rsidRPr="00E66F34">
        <w:t>This is consistent with the NPS Freshwater requirement that regional councils are expected to improve water quality over time in relation to human health.  It is also consistent with community expectations for high receiving water requirements to be applied to discharges of sewage effluent</w:t>
      </w:r>
      <w:r w:rsidR="003904C1">
        <w:t>.</w:t>
      </w:r>
    </w:p>
    <w:p w14:paraId="62762B2C" w14:textId="77777777" w:rsidR="00596CC6" w:rsidRPr="00596CC6" w:rsidRDefault="00596CC6" w:rsidP="00596CC6">
      <w:pPr>
        <w:pStyle w:val="Heading2"/>
      </w:pPr>
      <w:bookmarkStart w:id="614" w:name="_Toc516840539"/>
      <w:bookmarkStart w:id="615" w:name="_Toc517267849"/>
      <w:bookmarkStart w:id="616" w:name="_Toc517707416"/>
      <w:bookmarkStart w:id="617" w:name="_Toc517787171"/>
      <w:bookmarkStart w:id="618" w:name="_Toc517793870"/>
      <w:bookmarkStart w:id="619" w:name="_Toc518646238"/>
      <w:bookmarkStart w:id="620" w:name="_Toc518653106"/>
      <w:bookmarkStart w:id="621" w:name="_Toc527638662"/>
      <w:r w:rsidRPr="00596CC6">
        <w:t>Phosphorus</w:t>
      </w:r>
      <w:bookmarkEnd w:id="614"/>
      <w:bookmarkEnd w:id="615"/>
      <w:bookmarkEnd w:id="616"/>
      <w:bookmarkEnd w:id="617"/>
      <w:bookmarkEnd w:id="618"/>
      <w:bookmarkEnd w:id="619"/>
      <w:bookmarkEnd w:id="620"/>
      <w:bookmarkEnd w:id="621"/>
    </w:p>
    <w:p w14:paraId="6A630F9F" w14:textId="77777777" w:rsidR="000F49C5" w:rsidRDefault="004E17B6" w:rsidP="006B6562">
      <w:pPr>
        <w:pStyle w:val="Body"/>
        <w:rPr>
          <w:lang w:eastAsia="en-AU"/>
        </w:rPr>
      </w:pPr>
      <w:r>
        <w:rPr>
          <w:lang w:eastAsia="en-AU"/>
        </w:rPr>
        <w:t>While t</w:t>
      </w:r>
      <w:r w:rsidR="00A927BD">
        <w:rPr>
          <w:lang w:eastAsia="en-AU"/>
        </w:rPr>
        <w:t xml:space="preserve">he </w:t>
      </w:r>
      <w:r w:rsidR="00596CC6">
        <w:rPr>
          <w:lang w:eastAsia="en-AU"/>
        </w:rPr>
        <w:t>NPS Freshwater does not include an</w:t>
      </w:r>
      <w:r w:rsidR="002F5232">
        <w:rPr>
          <w:lang w:eastAsia="en-AU"/>
        </w:rPr>
        <w:t xml:space="preserve"> </w:t>
      </w:r>
      <w:r w:rsidR="00A927BD">
        <w:rPr>
          <w:lang w:eastAsia="en-AU"/>
        </w:rPr>
        <w:t>attribute</w:t>
      </w:r>
      <w:r w:rsidR="002F5232">
        <w:rPr>
          <w:lang w:eastAsia="en-AU"/>
        </w:rPr>
        <w:t xml:space="preserve"> value for </w:t>
      </w:r>
      <w:r w:rsidR="0097343A">
        <w:rPr>
          <w:lang w:eastAsia="en-AU"/>
        </w:rPr>
        <w:t>p</w:t>
      </w:r>
      <w:r w:rsidR="002F5232">
        <w:rPr>
          <w:lang w:eastAsia="en-AU"/>
        </w:rPr>
        <w:t>hosphorus</w:t>
      </w:r>
      <w:r w:rsidRPr="004E17B6">
        <w:rPr>
          <w:rFonts w:cs="Arial"/>
          <w:color w:val="000000"/>
          <w:szCs w:val="20"/>
          <w:lang w:eastAsia="en-NZ"/>
        </w:rPr>
        <w:t xml:space="preserve"> </w:t>
      </w:r>
      <w:r>
        <w:rPr>
          <w:rFonts w:cs="Arial"/>
          <w:color w:val="000000"/>
          <w:szCs w:val="20"/>
          <w:lang w:eastAsia="en-NZ"/>
        </w:rPr>
        <w:t>it does contain a requirement on councils to manage phosphorus as part of periphyton management</w:t>
      </w:r>
      <w:r w:rsidR="00232E20">
        <w:rPr>
          <w:rFonts w:cs="Arial"/>
          <w:color w:val="000000"/>
          <w:szCs w:val="20"/>
          <w:lang w:eastAsia="en-NZ"/>
        </w:rPr>
        <w:t xml:space="preserve">. </w:t>
      </w:r>
      <w:r>
        <w:rPr>
          <w:lang w:eastAsia="en-AU"/>
        </w:rPr>
        <w:t>F</w:t>
      </w:r>
      <w:r w:rsidR="002F5232">
        <w:rPr>
          <w:lang w:eastAsia="en-AU"/>
        </w:rPr>
        <w:t xml:space="preserve">or many WWTPs resource consent conditions include </w:t>
      </w:r>
      <w:r w:rsidR="0097343A">
        <w:rPr>
          <w:lang w:eastAsia="en-AU"/>
        </w:rPr>
        <w:t>p</w:t>
      </w:r>
      <w:r w:rsidR="002F5232">
        <w:rPr>
          <w:lang w:eastAsia="en-AU"/>
        </w:rPr>
        <w:t>hosphorous values.</w:t>
      </w:r>
      <w:r w:rsidR="0097343A">
        <w:rPr>
          <w:bCs/>
          <w:iCs/>
          <w:lang w:eastAsia="en-AU"/>
        </w:rPr>
        <w:t xml:space="preserve"> </w:t>
      </w:r>
      <w:r w:rsidR="00596CC6" w:rsidRPr="00596CC6">
        <w:rPr>
          <w:lang w:eastAsia="en-AU"/>
        </w:rPr>
        <w:t xml:space="preserve">Phosphorus (Total or </w:t>
      </w:r>
      <w:r w:rsidR="00232E20">
        <w:rPr>
          <w:lang w:eastAsia="en-AU"/>
        </w:rPr>
        <w:t>d</w:t>
      </w:r>
      <w:r w:rsidR="00596CC6" w:rsidRPr="00596CC6">
        <w:rPr>
          <w:lang w:eastAsia="en-AU"/>
        </w:rPr>
        <w:t xml:space="preserve">issolved </w:t>
      </w:r>
      <w:r w:rsidR="00232E20">
        <w:rPr>
          <w:lang w:eastAsia="en-AU"/>
        </w:rPr>
        <w:t>r</w:t>
      </w:r>
      <w:r w:rsidR="00596CC6" w:rsidRPr="00596CC6">
        <w:rPr>
          <w:lang w:eastAsia="en-AU"/>
        </w:rPr>
        <w:t xml:space="preserve">eactive </w:t>
      </w:r>
      <w:r w:rsidR="0097343A">
        <w:rPr>
          <w:lang w:eastAsia="en-AU"/>
        </w:rPr>
        <w:t>p</w:t>
      </w:r>
      <w:r w:rsidR="00596CC6" w:rsidRPr="00596CC6">
        <w:rPr>
          <w:lang w:eastAsia="en-AU"/>
        </w:rPr>
        <w:t xml:space="preserve">hosphorus) is important with regards to water quality as it is an essential nutrient for plant life with too much phosphorus potentially causing rapid weed growth or algal blooms which can have adverse effects on stream/river/lake ecosystem health. </w:t>
      </w:r>
      <w:r w:rsidR="001E623E">
        <w:rPr>
          <w:lang w:eastAsia="en-AU"/>
        </w:rPr>
        <w:t xml:space="preserve">Erosion, </w:t>
      </w:r>
      <w:r w:rsidR="001E623E" w:rsidRPr="00596CC6">
        <w:rPr>
          <w:lang w:eastAsia="en-AU"/>
        </w:rPr>
        <w:t>fertiliser use</w:t>
      </w:r>
      <w:r w:rsidR="001E623E">
        <w:rPr>
          <w:lang w:eastAsia="en-AU"/>
        </w:rPr>
        <w:t>, and WWTPs are all s</w:t>
      </w:r>
      <w:r w:rsidR="00596CC6" w:rsidRPr="00596CC6">
        <w:rPr>
          <w:lang w:eastAsia="en-AU"/>
        </w:rPr>
        <w:t>ources of high phosphorus</w:t>
      </w:r>
      <w:r w:rsidR="002F5232">
        <w:rPr>
          <w:lang w:eastAsia="en-AU"/>
        </w:rPr>
        <w:t xml:space="preserve">. </w:t>
      </w:r>
      <w:r>
        <w:rPr>
          <w:lang w:eastAsia="en-AU"/>
        </w:rPr>
        <w:t xml:space="preserve">More direct management of phosphorous discharges in the NPS Freshwater in future </w:t>
      </w:r>
      <w:r w:rsidR="00FA0F91">
        <w:rPr>
          <w:lang w:eastAsia="en-AU"/>
        </w:rPr>
        <w:t>(</w:t>
      </w:r>
      <w:r>
        <w:rPr>
          <w:lang w:eastAsia="en-AU"/>
        </w:rPr>
        <w:t>by</w:t>
      </w:r>
      <w:r w:rsidR="00FA0F91">
        <w:rPr>
          <w:lang w:eastAsia="en-AU"/>
        </w:rPr>
        <w:t>, for example,</w:t>
      </w:r>
      <w:r>
        <w:rPr>
          <w:lang w:eastAsia="en-AU"/>
        </w:rPr>
        <w:t xml:space="preserve"> imposing limits </w:t>
      </w:r>
      <w:r w:rsidR="00FA0F91">
        <w:rPr>
          <w:lang w:eastAsia="en-AU"/>
        </w:rPr>
        <w:t xml:space="preserve">and bottom lines) </w:t>
      </w:r>
      <w:r>
        <w:rPr>
          <w:lang w:eastAsia="en-AU"/>
        </w:rPr>
        <w:t>has the potential to impact on WWTPs.</w:t>
      </w:r>
    </w:p>
    <w:p w14:paraId="755B4264" w14:textId="77777777" w:rsidR="0090214C" w:rsidRDefault="0090214C" w:rsidP="0090214C">
      <w:pPr>
        <w:pStyle w:val="Heading2"/>
        <w:rPr>
          <w:lang w:eastAsia="en-AU"/>
        </w:rPr>
      </w:pPr>
      <w:bookmarkStart w:id="622" w:name="_Toc527638663"/>
      <w:r>
        <w:rPr>
          <w:lang w:eastAsia="en-AU"/>
        </w:rPr>
        <w:t>Capital cost estimates</w:t>
      </w:r>
      <w:bookmarkEnd w:id="622"/>
    </w:p>
    <w:p w14:paraId="490EEB4A" w14:textId="77777777" w:rsidR="00B46DB9" w:rsidRDefault="00B46DB9" w:rsidP="00B46DB9">
      <w:pPr>
        <w:pStyle w:val="Heading3"/>
        <w:rPr>
          <w:rFonts w:eastAsia="Calibri"/>
        </w:rPr>
      </w:pPr>
      <w:r>
        <w:rPr>
          <w:rFonts w:eastAsia="Calibri"/>
        </w:rPr>
        <w:t>Combined upgrade considerations</w:t>
      </w:r>
    </w:p>
    <w:p w14:paraId="5C65648D" w14:textId="77777777" w:rsidR="0090214C" w:rsidRDefault="0090214C" w:rsidP="0090214C">
      <w:pPr>
        <w:pStyle w:val="Body"/>
        <w:rPr>
          <w:rFonts w:eastAsia="Calibri"/>
        </w:rPr>
      </w:pPr>
      <w:r w:rsidRPr="00416D5C">
        <w:rPr>
          <w:rFonts w:eastAsia="Calibri"/>
        </w:rPr>
        <w:t xml:space="preserve">Upgrade costs for WWTPs have been calculated assuming that individual WWTPs are upgraded and </w:t>
      </w:r>
      <w:r w:rsidR="00417914">
        <w:rPr>
          <w:rFonts w:eastAsia="Calibri"/>
        </w:rPr>
        <w:t xml:space="preserve">that </w:t>
      </w:r>
      <w:r w:rsidRPr="00416D5C">
        <w:rPr>
          <w:rFonts w:eastAsia="Calibri"/>
        </w:rPr>
        <w:t xml:space="preserve">the point of discharge remains the same. In some cases upgrading the discharge to a land based discharge or amalgamating existing WWTPs and </w:t>
      </w:r>
      <w:r>
        <w:rPr>
          <w:rFonts w:eastAsia="Calibri"/>
        </w:rPr>
        <w:t>wastewater</w:t>
      </w:r>
      <w:r w:rsidRPr="00416D5C">
        <w:rPr>
          <w:rFonts w:eastAsia="Calibri"/>
        </w:rPr>
        <w:t xml:space="preserve"> networks may provide </w:t>
      </w:r>
      <w:r>
        <w:rPr>
          <w:rFonts w:eastAsia="Calibri"/>
        </w:rPr>
        <w:t>the</w:t>
      </w:r>
      <w:r w:rsidRPr="00416D5C">
        <w:rPr>
          <w:rFonts w:eastAsia="Calibri"/>
        </w:rPr>
        <w:t xml:space="preserve"> optimal solution for capital and operational expense. These options would require individual </w:t>
      </w:r>
      <w:r w:rsidR="00417914" w:rsidRPr="00416D5C">
        <w:rPr>
          <w:rFonts w:eastAsia="Calibri"/>
        </w:rPr>
        <w:t>case-by-case</w:t>
      </w:r>
      <w:r w:rsidRPr="00416D5C">
        <w:rPr>
          <w:rFonts w:eastAsia="Calibri"/>
        </w:rPr>
        <w:t xml:space="preserve"> feasibility studies which have not been carried out in this report</w:t>
      </w:r>
      <w:r>
        <w:rPr>
          <w:rFonts w:eastAsia="Calibri"/>
        </w:rPr>
        <w:t>.</w:t>
      </w:r>
    </w:p>
    <w:p w14:paraId="38CF59ED" w14:textId="77777777" w:rsidR="0090214C" w:rsidRDefault="0090214C" w:rsidP="0090214C">
      <w:pPr>
        <w:pStyle w:val="Heading3"/>
        <w:rPr>
          <w:lang w:eastAsia="en-AU"/>
        </w:rPr>
      </w:pPr>
      <w:r>
        <w:rPr>
          <w:lang w:eastAsia="en-AU"/>
        </w:rPr>
        <w:t>Consenting</w:t>
      </w:r>
    </w:p>
    <w:p w14:paraId="05B9B7BC" w14:textId="77777777" w:rsidR="0090214C" w:rsidRDefault="0090214C" w:rsidP="0090214C">
      <w:pPr>
        <w:pStyle w:val="Body"/>
        <w:rPr>
          <w:lang w:eastAsia="en-AU"/>
        </w:rPr>
      </w:pPr>
      <w:r>
        <w:rPr>
          <w:lang w:eastAsia="en-AU"/>
        </w:rPr>
        <w:t xml:space="preserve">Consenting plants under the RMA is a significant process and one that should not be underestimated. WWTP consenting processes can take both significant time (between 2 and 4 years) and cost (an average consent process would be in the order of $500,000 to secure). </w:t>
      </w:r>
      <w:r w:rsidR="00A041CC">
        <w:rPr>
          <w:lang w:eastAsia="en-AU"/>
        </w:rPr>
        <w:t xml:space="preserve">The cost of consenting is not a one off expense, with a return period similar to that which the capital cost are amortised over. </w:t>
      </w:r>
      <w:r>
        <w:rPr>
          <w:lang w:eastAsia="en-AU"/>
        </w:rPr>
        <w:t xml:space="preserve">An allowance has been made in section </w:t>
      </w:r>
      <w:r w:rsidR="001B1981">
        <w:rPr>
          <w:lang w:eastAsia="en-AU"/>
        </w:rPr>
        <w:fldChar w:fldCharType="begin"/>
      </w:r>
      <w:r w:rsidR="001B1981">
        <w:rPr>
          <w:lang w:eastAsia="en-AU"/>
        </w:rPr>
        <w:instrText xml:space="preserve"> REF _Ref520969006 \r \h </w:instrText>
      </w:r>
      <w:r w:rsidR="001B1981">
        <w:rPr>
          <w:lang w:eastAsia="en-AU"/>
        </w:rPr>
      </w:r>
      <w:r w:rsidR="001B1981">
        <w:rPr>
          <w:lang w:eastAsia="en-AU"/>
        </w:rPr>
        <w:fldChar w:fldCharType="separate"/>
      </w:r>
      <w:r w:rsidR="002777A8">
        <w:rPr>
          <w:lang w:eastAsia="en-AU"/>
        </w:rPr>
        <w:t>6.3.2</w:t>
      </w:r>
      <w:r w:rsidR="001B1981">
        <w:rPr>
          <w:lang w:eastAsia="en-AU"/>
        </w:rPr>
        <w:fldChar w:fldCharType="end"/>
      </w:r>
      <w:r w:rsidR="001B1981">
        <w:rPr>
          <w:lang w:eastAsia="en-AU"/>
        </w:rPr>
        <w:t xml:space="preserve"> </w:t>
      </w:r>
      <w:r>
        <w:rPr>
          <w:lang w:eastAsia="en-AU"/>
        </w:rPr>
        <w:t xml:space="preserve">for consenting costs and applied through capital expenses line item. Notwithstanding this assessment of costs, all three case studies in this report outline a consenting process that has been both long in duration and difficult to secure. </w:t>
      </w:r>
    </w:p>
    <w:p w14:paraId="40CA6A95" w14:textId="77777777" w:rsidR="00EC68DE" w:rsidRDefault="006B66B2" w:rsidP="008324F9">
      <w:pPr>
        <w:pStyle w:val="Heading2"/>
        <w:rPr>
          <w:lang w:eastAsia="en-AU"/>
        </w:rPr>
      </w:pPr>
      <w:bookmarkStart w:id="623" w:name="_Toc517707417"/>
      <w:bookmarkStart w:id="624" w:name="_Toc517787172"/>
      <w:bookmarkStart w:id="625" w:name="_Toc517793871"/>
      <w:bookmarkStart w:id="626" w:name="_Toc518646239"/>
      <w:bookmarkStart w:id="627" w:name="_Toc518653107"/>
      <w:bookmarkStart w:id="628" w:name="_Toc527638664"/>
      <w:r>
        <w:rPr>
          <w:lang w:eastAsia="en-AU"/>
        </w:rPr>
        <w:t>Operational</w:t>
      </w:r>
      <w:r w:rsidR="00857907">
        <w:rPr>
          <w:lang w:eastAsia="en-AU"/>
        </w:rPr>
        <w:t xml:space="preserve"> </w:t>
      </w:r>
      <w:r w:rsidR="008F02BA">
        <w:rPr>
          <w:lang w:eastAsia="en-AU"/>
        </w:rPr>
        <w:t>costs estimates</w:t>
      </w:r>
      <w:bookmarkEnd w:id="623"/>
      <w:bookmarkEnd w:id="624"/>
      <w:bookmarkEnd w:id="625"/>
      <w:bookmarkEnd w:id="626"/>
      <w:bookmarkEnd w:id="627"/>
      <w:bookmarkEnd w:id="628"/>
    </w:p>
    <w:p w14:paraId="3067B451" w14:textId="77777777" w:rsidR="00C531A8" w:rsidRDefault="00EC68DE" w:rsidP="006B6562">
      <w:pPr>
        <w:pStyle w:val="Body"/>
        <w:rPr>
          <w:lang w:eastAsia="en-AU"/>
        </w:rPr>
      </w:pPr>
      <w:r>
        <w:rPr>
          <w:lang w:eastAsia="en-AU"/>
        </w:rPr>
        <w:t>The scope and timeframe of this work has not allowed for a complete and in depth analysis of the impact of the upgrades on local authorities, both from a balance sheet view</w:t>
      </w:r>
      <w:r w:rsidR="007B452A">
        <w:rPr>
          <w:lang w:eastAsia="en-AU"/>
        </w:rPr>
        <w:t xml:space="preserve"> and</w:t>
      </w:r>
      <w:r>
        <w:rPr>
          <w:lang w:eastAsia="en-AU"/>
        </w:rPr>
        <w:t xml:space="preserve"> from a purely operation</w:t>
      </w:r>
      <w:r w:rsidR="00793C94">
        <w:rPr>
          <w:lang w:eastAsia="en-AU"/>
        </w:rPr>
        <w:t>al</w:t>
      </w:r>
      <w:r>
        <w:rPr>
          <w:lang w:eastAsia="en-AU"/>
        </w:rPr>
        <w:t xml:space="preserve"> perspective. </w:t>
      </w:r>
      <w:r w:rsidR="00C531A8">
        <w:rPr>
          <w:lang w:eastAsia="en-AU"/>
        </w:rPr>
        <w:t>The following items have been considered</w:t>
      </w:r>
      <w:r w:rsidR="00857907">
        <w:rPr>
          <w:lang w:eastAsia="en-AU"/>
        </w:rPr>
        <w:t xml:space="preserve"> only at a high level</w:t>
      </w:r>
      <w:r w:rsidR="00C531A8">
        <w:rPr>
          <w:lang w:eastAsia="en-AU"/>
        </w:rPr>
        <w:t xml:space="preserve"> through this review </w:t>
      </w:r>
      <w:r w:rsidR="00857907">
        <w:rPr>
          <w:lang w:eastAsia="en-AU"/>
        </w:rPr>
        <w:t xml:space="preserve">and included in the summary table through the </w:t>
      </w:r>
      <w:r w:rsidR="00A927BD">
        <w:rPr>
          <w:lang w:eastAsia="en-AU"/>
        </w:rPr>
        <w:t>annual operational</w:t>
      </w:r>
      <w:r w:rsidR="00857907">
        <w:rPr>
          <w:lang w:eastAsia="en-AU"/>
        </w:rPr>
        <w:t xml:space="preserve"> </w:t>
      </w:r>
      <w:r w:rsidR="00A927BD">
        <w:rPr>
          <w:lang w:eastAsia="en-AU"/>
        </w:rPr>
        <w:t xml:space="preserve">expenses </w:t>
      </w:r>
      <w:r w:rsidR="00857907">
        <w:rPr>
          <w:lang w:eastAsia="en-AU"/>
        </w:rPr>
        <w:t>line item.</w:t>
      </w:r>
    </w:p>
    <w:p w14:paraId="157D4745" w14:textId="77777777" w:rsidR="00FB3C96" w:rsidRDefault="00C531A8" w:rsidP="008324F9">
      <w:pPr>
        <w:pStyle w:val="Heading3"/>
        <w:rPr>
          <w:lang w:eastAsia="en-AU"/>
        </w:rPr>
      </w:pPr>
      <w:r>
        <w:rPr>
          <w:lang w:eastAsia="en-AU"/>
        </w:rPr>
        <w:lastRenderedPageBreak/>
        <w:t xml:space="preserve">Operational </w:t>
      </w:r>
      <w:r w:rsidR="008F02BA">
        <w:rPr>
          <w:lang w:eastAsia="en-AU"/>
        </w:rPr>
        <w:t>costs</w:t>
      </w:r>
    </w:p>
    <w:p w14:paraId="0223CC41" w14:textId="77777777" w:rsidR="00857907" w:rsidRDefault="00C531A8" w:rsidP="006B6562">
      <w:pPr>
        <w:pStyle w:val="Body"/>
        <w:rPr>
          <w:lang w:eastAsia="en-AU"/>
        </w:rPr>
      </w:pPr>
      <w:r>
        <w:rPr>
          <w:lang w:eastAsia="en-AU"/>
        </w:rPr>
        <w:t xml:space="preserve">Typically, the upgrades considered through this report see plants moving from low technology, low input, low resource need to operate (i.e. an oxidation pond system) to high input across the board. </w:t>
      </w:r>
      <w:r w:rsidR="00857907">
        <w:rPr>
          <w:lang w:eastAsia="en-AU"/>
        </w:rPr>
        <w:t>Based on the data available directly related to the operation of a BNR-</w:t>
      </w:r>
      <w:r w:rsidR="00A927BD">
        <w:rPr>
          <w:lang w:eastAsia="en-AU"/>
        </w:rPr>
        <w:t xml:space="preserve">Activated Sludge </w:t>
      </w:r>
      <w:r w:rsidR="00857907">
        <w:rPr>
          <w:lang w:eastAsia="en-AU"/>
        </w:rPr>
        <w:t>plan</w:t>
      </w:r>
      <w:r w:rsidR="0074061A">
        <w:rPr>
          <w:lang w:eastAsia="en-AU"/>
        </w:rPr>
        <w:t>t</w:t>
      </w:r>
      <w:r w:rsidR="00196CE3">
        <w:rPr>
          <w:lang w:eastAsia="en-AU"/>
        </w:rPr>
        <w:t xml:space="preserve"> </w:t>
      </w:r>
      <w:r w:rsidR="00857907">
        <w:rPr>
          <w:lang w:eastAsia="en-AU"/>
        </w:rPr>
        <w:t>t</w:t>
      </w:r>
      <w:r w:rsidR="00536B8D">
        <w:rPr>
          <w:lang w:eastAsia="en-AU"/>
        </w:rPr>
        <w:t xml:space="preserve">he increment in </w:t>
      </w:r>
      <w:r w:rsidR="00196CE3">
        <w:rPr>
          <w:lang w:eastAsia="en-AU"/>
        </w:rPr>
        <w:t xml:space="preserve">operating </w:t>
      </w:r>
      <w:r w:rsidR="00536B8D">
        <w:rPr>
          <w:lang w:eastAsia="en-AU"/>
        </w:rPr>
        <w:t>cost could be a factor of 2.5 applied to current.</w:t>
      </w:r>
    </w:p>
    <w:p w14:paraId="325F9735" w14:textId="77777777" w:rsidR="00A95CD3" w:rsidRDefault="000F49C5" w:rsidP="008324F9">
      <w:pPr>
        <w:pStyle w:val="Heading3"/>
        <w:rPr>
          <w:lang w:eastAsia="en-AU"/>
        </w:rPr>
      </w:pPr>
      <w:r>
        <w:rPr>
          <w:lang w:eastAsia="en-AU"/>
        </w:rPr>
        <w:t xml:space="preserve">Solids </w:t>
      </w:r>
      <w:r w:rsidR="008F02BA">
        <w:rPr>
          <w:lang w:eastAsia="en-AU"/>
        </w:rPr>
        <w:t>treatment</w:t>
      </w:r>
      <w:r w:rsidR="007155ED">
        <w:rPr>
          <w:lang w:eastAsia="en-AU"/>
        </w:rPr>
        <w:t xml:space="preserve"> and </w:t>
      </w:r>
      <w:r w:rsidR="008F02BA">
        <w:rPr>
          <w:lang w:eastAsia="en-AU"/>
        </w:rPr>
        <w:t>handling</w:t>
      </w:r>
    </w:p>
    <w:p w14:paraId="18388B93" w14:textId="77777777" w:rsidR="008F02BA" w:rsidRDefault="0044652B" w:rsidP="00793C94">
      <w:pPr>
        <w:pStyle w:val="Body"/>
        <w:rPr>
          <w:lang w:eastAsia="en-AU"/>
        </w:rPr>
      </w:pPr>
      <w:r>
        <w:rPr>
          <w:lang w:eastAsia="en-AU"/>
        </w:rPr>
        <w:t>A key</w:t>
      </w:r>
      <w:r w:rsidR="007155ED">
        <w:rPr>
          <w:lang w:eastAsia="en-AU"/>
        </w:rPr>
        <w:t xml:space="preserve"> aspect of any transition from </w:t>
      </w:r>
      <w:r w:rsidR="00A927BD">
        <w:rPr>
          <w:lang w:eastAsia="en-AU"/>
        </w:rPr>
        <w:t xml:space="preserve">waste stabilisation pond </w:t>
      </w:r>
      <w:r w:rsidR="007155ED">
        <w:rPr>
          <w:lang w:eastAsia="en-AU"/>
        </w:rPr>
        <w:t>technology to BNR-</w:t>
      </w:r>
      <w:r w:rsidR="00A927BD">
        <w:rPr>
          <w:lang w:eastAsia="en-AU"/>
        </w:rPr>
        <w:t xml:space="preserve">Activated sludge </w:t>
      </w:r>
      <w:r w:rsidR="007155ED">
        <w:rPr>
          <w:lang w:eastAsia="en-AU"/>
        </w:rPr>
        <w:t xml:space="preserve">type processes is solids treatment and handling. </w:t>
      </w:r>
    </w:p>
    <w:p w14:paraId="4C4F3D2D" w14:textId="77777777" w:rsidR="007155ED" w:rsidRDefault="00A927BD" w:rsidP="00793C94">
      <w:pPr>
        <w:pStyle w:val="Body"/>
        <w:rPr>
          <w:lang w:eastAsia="en-AU"/>
        </w:rPr>
      </w:pPr>
      <w:r>
        <w:rPr>
          <w:lang w:eastAsia="en-AU"/>
        </w:rPr>
        <w:t>Waste stabilisation ponds</w:t>
      </w:r>
      <w:r w:rsidR="007155ED">
        <w:rPr>
          <w:lang w:eastAsia="en-AU"/>
        </w:rPr>
        <w:t xml:space="preserve"> typically store solids within the ponds and </w:t>
      </w:r>
      <w:r w:rsidR="001F1607">
        <w:rPr>
          <w:lang w:eastAsia="en-AU"/>
        </w:rPr>
        <w:t xml:space="preserve">these </w:t>
      </w:r>
      <w:r w:rsidR="007155ED">
        <w:rPr>
          <w:lang w:eastAsia="en-AU"/>
        </w:rPr>
        <w:t xml:space="preserve">are periodically cleaned out, on an as required basis. Participants in the WaterNZ survey provide little data concerning solid management and anecdotally, through industry discussion, many </w:t>
      </w:r>
      <w:r>
        <w:rPr>
          <w:lang w:eastAsia="en-AU"/>
        </w:rPr>
        <w:t xml:space="preserve">waste stabilisation ponds </w:t>
      </w:r>
      <w:r w:rsidR="007155ED">
        <w:rPr>
          <w:lang w:eastAsia="en-AU"/>
        </w:rPr>
        <w:t xml:space="preserve">have not been desludged for many years and there is a large volume of </w:t>
      </w:r>
      <w:r w:rsidR="000817E7">
        <w:rPr>
          <w:lang w:eastAsia="en-AU"/>
        </w:rPr>
        <w:t>stabilised</w:t>
      </w:r>
      <w:r w:rsidR="007155ED">
        <w:rPr>
          <w:lang w:eastAsia="en-AU"/>
        </w:rPr>
        <w:t xml:space="preserve"> solids remaining in the systems.</w:t>
      </w:r>
    </w:p>
    <w:p w14:paraId="16EAB8B9" w14:textId="77777777" w:rsidR="006B66B2" w:rsidRDefault="000817E7" w:rsidP="00793C94">
      <w:pPr>
        <w:pStyle w:val="Body"/>
        <w:rPr>
          <w:lang w:eastAsia="en-AU"/>
        </w:rPr>
      </w:pPr>
      <w:r>
        <w:rPr>
          <w:lang w:eastAsia="en-AU"/>
        </w:rPr>
        <w:t>BNR-</w:t>
      </w:r>
      <w:r w:rsidR="00A927BD">
        <w:rPr>
          <w:lang w:eastAsia="en-AU"/>
        </w:rPr>
        <w:t>Activated sludge</w:t>
      </w:r>
      <w:r>
        <w:rPr>
          <w:lang w:eastAsia="en-AU"/>
        </w:rPr>
        <w:t xml:space="preserve"> plants produce sludge as part of the treatment process. This sludge needs to be managed on a day to day basis and disposed of in an environmentally s</w:t>
      </w:r>
      <w:r w:rsidR="00A951A7">
        <w:rPr>
          <w:lang w:eastAsia="en-AU"/>
        </w:rPr>
        <w:t>ustainable</w:t>
      </w:r>
      <w:r>
        <w:rPr>
          <w:lang w:eastAsia="en-AU"/>
        </w:rPr>
        <w:t xml:space="preserve"> fashion. This handling and disposal of sludge is factored into the </w:t>
      </w:r>
      <w:r w:rsidR="006B66B2">
        <w:rPr>
          <w:lang w:eastAsia="en-AU"/>
        </w:rPr>
        <w:t xml:space="preserve">operational </w:t>
      </w:r>
      <w:r>
        <w:rPr>
          <w:lang w:eastAsia="en-AU"/>
        </w:rPr>
        <w:t>costs</w:t>
      </w:r>
      <w:r w:rsidR="006B66B2">
        <w:rPr>
          <w:lang w:eastAsia="en-AU"/>
        </w:rPr>
        <w:t xml:space="preserve"> but at a high level only.</w:t>
      </w:r>
    </w:p>
    <w:p w14:paraId="45BD4EB9" w14:textId="77777777" w:rsidR="007155ED" w:rsidRDefault="00A951A7" w:rsidP="00793C94">
      <w:pPr>
        <w:pStyle w:val="Body"/>
        <w:rPr>
          <w:lang w:eastAsia="en-AU"/>
        </w:rPr>
      </w:pPr>
      <w:r>
        <w:rPr>
          <w:lang w:eastAsia="en-AU"/>
        </w:rPr>
        <w:t>Solids handling and disposal matters are complex and sit outside the scope of this report. It is however, important for the matter to be raised</w:t>
      </w:r>
      <w:r w:rsidR="00185A64">
        <w:rPr>
          <w:lang w:eastAsia="en-AU"/>
        </w:rPr>
        <w:t xml:space="preserve"> and the reader be aware of the complexity and costs that management can add to any treatment plant upgrade process.</w:t>
      </w:r>
    </w:p>
    <w:p w14:paraId="0A81EDEC" w14:textId="77777777" w:rsidR="000F49C5" w:rsidRDefault="00131502" w:rsidP="00DA0652">
      <w:pPr>
        <w:pStyle w:val="Heading2"/>
        <w:rPr>
          <w:lang w:eastAsia="en-AU"/>
        </w:rPr>
      </w:pPr>
      <w:bookmarkStart w:id="629" w:name="_Toc517707418"/>
      <w:bookmarkStart w:id="630" w:name="_Toc517267851"/>
      <w:bookmarkStart w:id="631" w:name="_Toc517787173"/>
      <w:bookmarkStart w:id="632" w:name="_Toc517793872"/>
      <w:bookmarkStart w:id="633" w:name="_Toc518646240"/>
      <w:bookmarkStart w:id="634" w:name="_Toc518653108"/>
      <w:bookmarkStart w:id="635" w:name="_Toc527638665"/>
      <w:r>
        <w:rPr>
          <w:lang w:eastAsia="en-AU"/>
        </w:rPr>
        <w:t xml:space="preserve">Ability for </w:t>
      </w:r>
      <w:r>
        <w:t>small</w:t>
      </w:r>
      <w:r>
        <w:rPr>
          <w:lang w:eastAsia="en-AU"/>
        </w:rPr>
        <w:t xml:space="preserve"> WWTPs </w:t>
      </w:r>
      <w:r w:rsidR="001F1607">
        <w:rPr>
          <w:lang w:eastAsia="en-AU"/>
        </w:rPr>
        <w:t xml:space="preserve">to </w:t>
      </w:r>
      <w:r>
        <w:rPr>
          <w:lang w:eastAsia="en-AU"/>
        </w:rPr>
        <w:t>meet BNR discharge standards</w:t>
      </w:r>
      <w:bookmarkEnd w:id="629"/>
      <w:bookmarkEnd w:id="630"/>
      <w:bookmarkEnd w:id="631"/>
      <w:bookmarkEnd w:id="632"/>
      <w:bookmarkEnd w:id="633"/>
      <w:bookmarkEnd w:id="634"/>
      <w:bookmarkEnd w:id="635"/>
      <w:r>
        <w:rPr>
          <w:lang w:eastAsia="en-AU"/>
        </w:rPr>
        <w:t xml:space="preserve"> </w:t>
      </w:r>
    </w:p>
    <w:p w14:paraId="35911AA0" w14:textId="77777777" w:rsidR="00131502" w:rsidRDefault="00131502" w:rsidP="00131502">
      <w:pPr>
        <w:pStyle w:val="Body"/>
        <w:rPr>
          <w:lang w:eastAsia="en-AU"/>
        </w:rPr>
      </w:pPr>
      <w:r>
        <w:rPr>
          <w:lang w:eastAsia="en-AU"/>
        </w:rPr>
        <w:t xml:space="preserve">Small treatment plants are often serviced on a routine basis (quarterly is common) and do not have skilled staff permanently managing them. It is important to note that many plants available are not capable of achieving a high standard of nutrient reduction </w:t>
      </w:r>
      <w:r w:rsidR="0044652B">
        <w:rPr>
          <w:lang w:eastAsia="en-AU"/>
        </w:rPr>
        <w:t>consistently;</w:t>
      </w:r>
      <w:r>
        <w:rPr>
          <w:lang w:eastAsia="en-AU"/>
        </w:rPr>
        <w:t xml:space="preserve"> however, this may be adequate in the context of the receiving environment and method of disposal of wastewater. </w:t>
      </w:r>
    </w:p>
    <w:p w14:paraId="1AB74631" w14:textId="77777777" w:rsidR="006B66B2" w:rsidRDefault="006B66B2" w:rsidP="00DA0652">
      <w:pPr>
        <w:pStyle w:val="Heading2"/>
        <w:rPr>
          <w:lang w:eastAsia="en-AU"/>
        </w:rPr>
      </w:pPr>
      <w:bookmarkStart w:id="636" w:name="_Toc517707419"/>
      <w:bookmarkStart w:id="637" w:name="_Toc517787174"/>
      <w:bookmarkStart w:id="638" w:name="_Toc517793873"/>
      <w:bookmarkStart w:id="639" w:name="_Toc518646241"/>
      <w:bookmarkStart w:id="640" w:name="_Toc518653109"/>
      <w:bookmarkStart w:id="641" w:name="_Toc527638666"/>
      <w:r>
        <w:rPr>
          <w:lang w:eastAsia="en-AU"/>
        </w:rPr>
        <w:t xml:space="preserve">Operational </w:t>
      </w:r>
      <w:bookmarkEnd w:id="636"/>
      <w:r w:rsidR="00AA26C3">
        <w:rPr>
          <w:lang w:eastAsia="en-AU"/>
        </w:rPr>
        <w:t>capacity</w:t>
      </w:r>
      <w:bookmarkEnd w:id="637"/>
      <w:bookmarkEnd w:id="638"/>
      <w:bookmarkEnd w:id="639"/>
      <w:bookmarkEnd w:id="640"/>
      <w:bookmarkEnd w:id="641"/>
    </w:p>
    <w:p w14:paraId="040C8605" w14:textId="77777777" w:rsidR="006B66B2" w:rsidRDefault="006B66B2" w:rsidP="006B66B2">
      <w:pPr>
        <w:pStyle w:val="Body"/>
        <w:rPr>
          <w:lang w:eastAsia="en-AU"/>
        </w:rPr>
      </w:pPr>
      <w:r>
        <w:rPr>
          <w:lang w:eastAsia="en-AU"/>
        </w:rPr>
        <w:t>Operation of a BNR-</w:t>
      </w:r>
      <w:r w:rsidR="00A927BD">
        <w:rPr>
          <w:lang w:eastAsia="en-AU"/>
        </w:rPr>
        <w:t>Activated sludge WWTP</w:t>
      </w:r>
      <w:r>
        <w:rPr>
          <w:lang w:eastAsia="en-AU"/>
        </w:rPr>
        <w:t xml:space="preserve"> is a complex activity. If there </w:t>
      </w:r>
      <w:r w:rsidR="00A927BD">
        <w:rPr>
          <w:lang w:eastAsia="en-AU"/>
        </w:rPr>
        <w:t xml:space="preserve">is </w:t>
      </w:r>
      <w:r>
        <w:rPr>
          <w:lang w:eastAsia="en-AU"/>
        </w:rPr>
        <w:t xml:space="preserve">a drive to upgrade the significant number of waste stabilisation pond systems to more complex mechanical plant, effort </w:t>
      </w:r>
      <w:r w:rsidR="00A927BD">
        <w:rPr>
          <w:lang w:eastAsia="en-AU"/>
        </w:rPr>
        <w:t>is</w:t>
      </w:r>
      <w:r>
        <w:rPr>
          <w:lang w:eastAsia="en-AU"/>
        </w:rPr>
        <w:t xml:space="preserve"> needed to ensure that the workforce capability </w:t>
      </w:r>
      <w:r w:rsidR="00A927BD">
        <w:rPr>
          <w:lang w:eastAsia="en-AU"/>
        </w:rPr>
        <w:t>is adequate for</w:t>
      </w:r>
      <w:r>
        <w:rPr>
          <w:lang w:eastAsia="en-AU"/>
        </w:rPr>
        <w:t xml:space="preserve"> </w:t>
      </w:r>
      <w:r w:rsidR="00A927BD">
        <w:rPr>
          <w:lang w:eastAsia="en-AU"/>
        </w:rPr>
        <w:t xml:space="preserve">such a </w:t>
      </w:r>
      <w:r>
        <w:rPr>
          <w:lang w:eastAsia="en-AU"/>
        </w:rPr>
        <w:t>change.</w:t>
      </w:r>
    </w:p>
    <w:p w14:paraId="6F7E147A" w14:textId="77777777" w:rsidR="006B66B2" w:rsidRDefault="006B66B2" w:rsidP="006B66B2">
      <w:pPr>
        <w:pStyle w:val="Body"/>
        <w:rPr>
          <w:lang w:eastAsia="en-AU"/>
        </w:rPr>
      </w:pPr>
      <w:r>
        <w:rPr>
          <w:lang w:eastAsia="en-AU"/>
        </w:rPr>
        <w:t>One of the most significant challenges that the water industry is facing at this time is an aging workforce. Working in the industry is considered neither a career of choice nor desirable</w:t>
      </w:r>
      <w:r w:rsidR="00A927BD">
        <w:rPr>
          <w:lang w:eastAsia="en-AU"/>
        </w:rPr>
        <w:t>,</w:t>
      </w:r>
      <w:r>
        <w:rPr>
          <w:lang w:eastAsia="en-AU"/>
        </w:rPr>
        <w:t xml:space="preserve"> and replacement staff are difficult to find. </w:t>
      </w:r>
      <w:r w:rsidR="00A927BD">
        <w:rPr>
          <w:lang w:eastAsia="en-AU"/>
        </w:rPr>
        <w:t>Based on feedback from the project focus group, there</w:t>
      </w:r>
      <w:r>
        <w:rPr>
          <w:lang w:eastAsia="en-AU"/>
        </w:rPr>
        <w:t xml:space="preserve"> is some industry focus on this issue, but to date it has failed to make measurable progress over time. Coupled with this, the difficulty in attracting technical staff to the provinces has resulted in many </w:t>
      </w:r>
      <w:r w:rsidR="00A927BD">
        <w:rPr>
          <w:lang w:eastAsia="en-AU"/>
        </w:rPr>
        <w:t xml:space="preserve">councils </w:t>
      </w:r>
      <w:r>
        <w:rPr>
          <w:lang w:eastAsia="en-AU"/>
        </w:rPr>
        <w:t>being short of resources, applying under trained and unsupervised staff to the operations of key infrastructure services such as WWTPs.</w:t>
      </w:r>
    </w:p>
    <w:p w14:paraId="52E48208" w14:textId="77777777" w:rsidR="006B66B2" w:rsidRDefault="006B66B2" w:rsidP="006B66B2">
      <w:pPr>
        <w:pStyle w:val="Body"/>
        <w:rPr>
          <w:lang w:eastAsia="en-AU"/>
        </w:rPr>
      </w:pPr>
      <w:r>
        <w:rPr>
          <w:lang w:eastAsia="en-AU"/>
        </w:rPr>
        <w:t>Unless this significant skill shortage is addressed as part of any requirement to upgrade treatment systems, operational outputs will be less than optimal</w:t>
      </w:r>
      <w:r w:rsidR="00A927BD" w:rsidRPr="00A927BD">
        <w:t xml:space="preserve"> </w:t>
      </w:r>
      <w:r w:rsidR="00A927BD">
        <w:t xml:space="preserve">when </w:t>
      </w:r>
      <w:r w:rsidR="00A927BD" w:rsidRPr="00A927BD">
        <w:rPr>
          <w:lang w:eastAsia="en-AU"/>
        </w:rPr>
        <w:t xml:space="preserve">new plants </w:t>
      </w:r>
      <w:r w:rsidR="00A927BD">
        <w:rPr>
          <w:lang w:eastAsia="en-AU"/>
        </w:rPr>
        <w:t>are</w:t>
      </w:r>
      <w:r w:rsidR="00A927BD" w:rsidRPr="00A927BD">
        <w:rPr>
          <w:lang w:eastAsia="en-AU"/>
        </w:rPr>
        <w:t xml:space="preserve"> </w:t>
      </w:r>
      <w:r w:rsidR="0044652B" w:rsidRPr="00A927BD">
        <w:rPr>
          <w:lang w:eastAsia="en-AU"/>
        </w:rPr>
        <w:t>installed.</w:t>
      </w:r>
    </w:p>
    <w:p w14:paraId="235D5489" w14:textId="77777777" w:rsidR="008E679C" w:rsidRDefault="008E679C" w:rsidP="00DA0652">
      <w:pPr>
        <w:pStyle w:val="Heading2"/>
        <w:rPr>
          <w:lang w:eastAsia="en-AU"/>
        </w:rPr>
      </w:pPr>
      <w:bookmarkStart w:id="642" w:name="_Toc517787175"/>
      <w:bookmarkStart w:id="643" w:name="_Toc517793874"/>
      <w:bookmarkStart w:id="644" w:name="_Toc518646242"/>
      <w:bookmarkStart w:id="645" w:name="_Toc518653110"/>
      <w:bookmarkStart w:id="646" w:name="_Toc527638667"/>
      <w:bookmarkStart w:id="647" w:name="_Toc517707420"/>
      <w:r>
        <w:rPr>
          <w:lang w:eastAsia="en-AU"/>
        </w:rPr>
        <w:t xml:space="preserve">Project </w:t>
      </w:r>
      <w:bookmarkEnd w:id="642"/>
      <w:r w:rsidR="00A515CD">
        <w:rPr>
          <w:lang w:eastAsia="en-AU"/>
        </w:rPr>
        <w:t>data</w:t>
      </w:r>
      <w:bookmarkEnd w:id="643"/>
      <w:bookmarkEnd w:id="644"/>
      <w:bookmarkEnd w:id="645"/>
      <w:bookmarkEnd w:id="646"/>
    </w:p>
    <w:p w14:paraId="4E80C743" w14:textId="77777777" w:rsidR="00277367" w:rsidRDefault="00277367" w:rsidP="00277367">
      <w:pPr>
        <w:pStyle w:val="Body"/>
        <w:rPr>
          <w:lang w:eastAsia="en-AU"/>
        </w:rPr>
      </w:pPr>
      <w:r>
        <w:rPr>
          <w:lang w:eastAsia="en-AU"/>
        </w:rPr>
        <w:t xml:space="preserve">A critical requirement for this project was the ability to access and utilise quality data on </w:t>
      </w:r>
      <w:r w:rsidR="00A927BD">
        <w:rPr>
          <w:lang w:eastAsia="en-AU"/>
        </w:rPr>
        <w:t>WWTPs</w:t>
      </w:r>
      <w:r>
        <w:rPr>
          <w:lang w:eastAsia="en-AU"/>
        </w:rPr>
        <w:t>. Early on i</w:t>
      </w:r>
      <w:r w:rsidR="00CC6691">
        <w:rPr>
          <w:lang w:eastAsia="en-AU"/>
        </w:rPr>
        <w:t>n</w:t>
      </w:r>
      <w:r>
        <w:rPr>
          <w:lang w:eastAsia="en-AU"/>
        </w:rPr>
        <w:t xml:space="preserve"> the project it became evident that the data set available for the project was </w:t>
      </w:r>
      <w:r>
        <w:rPr>
          <w:lang w:eastAsia="en-AU"/>
        </w:rPr>
        <w:lastRenderedPageBreak/>
        <w:t xml:space="preserve">not a robust and complete as it needed to be. The project team </w:t>
      </w:r>
      <w:r w:rsidR="00CC6691">
        <w:rPr>
          <w:lang w:eastAsia="en-AU"/>
        </w:rPr>
        <w:t xml:space="preserve">had </w:t>
      </w:r>
      <w:r>
        <w:rPr>
          <w:lang w:eastAsia="en-AU"/>
        </w:rPr>
        <w:t>access</w:t>
      </w:r>
      <w:r w:rsidR="00CC6691">
        <w:rPr>
          <w:lang w:eastAsia="en-AU"/>
        </w:rPr>
        <w:t xml:space="preserve"> to</w:t>
      </w:r>
      <w:r>
        <w:rPr>
          <w:lang w:eastAsia="en-AU"/>
        </w:rPr>
        <w:t xml:space="preserve"> data from multiple source</w:t>
      </w:r>
      <w:r w:rsidR="00A927BD">
        <w:rPr>
          <w:lang w:eastAsia="en-AU"/>
        </w:rPr>
        <w:t>s</w:t>
      </w:r>
      <w:r>
        <w:rPr>
          <w:lang w:eastAsia="en-AU"/>
        </w:rPr>
        <w:t xml:space="preserve"> to undertake the analysis, including:</w:t>
      </w:r>
    </w:p>
    <w:p w14:paraId="3D6937B9" w14:textId="77777777" w:rsidR="00277367" w:rsidRDefault="004D22C8" w:rsidP="00AE663D">
      <w:pPr>
        <w:pStyle w:val="Body"/>
        <w:numPr>
          <w:ilvl w:val="1"/>
          <w:numId w:val="101"/>
        </w:numPr>
        <w:rPr>
          <w:lang w:eastAsia="en-AU"/>
        </w:rPr>
      </w:pPr>
      <w:r>
        <w:rPr>
          <w:lang w:eastAsia="en-AU"/>
        </w:rPr>
        <w:t xml:space="preserve">Ministry for the Environment </w:t>
      </w:r>
      <w:r w:rsidR="00CC6691">
        <w:rPr>
          <w:lang w:eastAsia="en-AU"/>
        </w:rPr>
        <w:t>Freshwater database</w:t>
      </w:r>
    </w:p>
    <w:p w14:paraId="088B7AA5" w14:textId="77777777" w:rsidR="00277367" w:rsidRDefault="00277367">
      <w:pPr>
        <w:pStyle w:val="Body"/>
        <w:numPr>
          <w:ilvl w:val="1"/>
          <w:numId w:val="101"/>
        </w:numPr>
        <w:rPr>
          <w:lang w:eastAsia="en-AU"/>
        </w:rPr>
      </w:pPr>
      <w:r>
        <w:rPr>
          <w:lang w:eastAsia="en-AU"/>
        </w:rPr>
        <w:t>Water NZ Benchmarking</w:t>
      </w:r>
    </w:p>
    <w:p w14:paraId="69ECB586" w14:textId="77777777" w:rsidR="00277367" w:rsidRDefault="00277367">
      <w:pPr>
        <w:pStyle w:val="Body"/>
        <w:numPr>
          <w:ilvl w:val="1"/>
          <w:numId w:val="101"/>
        </w:numPr>
        <w:rPr>
          <w:lang w:eastAsia="en-AU"/>
        </w:rPr>
      </w:pPr>
      <w:r>
        <w:rPr>
          <w:lang w:eastAsia="en-AU"/>
        </w:rPr>
        <w:t>Water NZ Cosine Database</w:t>
      </w:r>
    </w:p>
    <w:p w14:paraId="38FCCE9D" w14:textId="77777777" w:rsidR="00277367" w:rsidRDefault="00277367">
      <w:pPr>
        <w:pStyle w:val="Body"/>
        <w:numPr>
          <w:ilvl w:val="1"/>
          <w:numId w:val="101"/>
        </w:numPr>
        <w:rPr>
          <w:lang w:eastAsia="en-AU"/>
        </w:rPr>
      </w:pPr>
      <w:r>
        <w:rPr>
          <w:lang w:eastAsia="en-AU"/>
        </w:rPr>
        <w:t>LAWA Data</w:t>
      </w:r>
    </w:p>
    <w:p w14:paraId="558F3D51" w14:textId="77777777" w:rsidR="00277367" w:rsidRDefault="00CC6691">
      <w:pPr>
        <w:pStyle w:val="Body"/>
        <w:numPr>
          <w:ilvl w:val="1"/>
          <w:numId w:val="101"/>
        </w:numPr>
        <w:rPr>
          <w:lang w:eastAsia="en-AU"/>
        </w:rPr>
      </w:pPr>
      <w:r>
        <w:rPr>
          <w:lang w:eastAsia="en-AU"/>
        </w:rPr>
        <w:t>Water NZ WWTP Inventory</w:t>
      </w:r>
    </w:p>
    <w:p w14:paraId="733035EC" w14:textId="77777777" w:rsidR="00A927BD" w:rsidRDefault="00A927BD" w:rsidP="00C30AC3">
      <w:pPr>
        <w:pStyle w:val="Body"/>
        <w:rPr>
          <w:lang w:eastAsia="en-AU"/>
        </w:rPr>
      </w:pPr>
      <w:r>
        <w:rPr>
          <w:lang w:eastAsia="en-AU"/>
        </w:rPr>
        <w:t>The</w:t>
      </w:r>
      <w:r w:rsidR="00277367">
        <w:rPr>
          <w:lang w:eastAsia="en-AU"/>
        </w:rPr>
        <w:t xml:space="preserve"> majority of these data sets </w:t>
      </w:r>
      <w:r w:rsidR="00CC6691">
        <w:rPr>
          <w:lang w:eastAsia="en-AU"/>
        </w:rPr>
        <w:t xml:space="preserve">contained </w:t>
      </w:r>
      <w:r w:rsidR="00277367">
        <w:rPr>
          <w:lang w:eastAsia="en-AU"/>
        </w:rPr>
        <w:t xml:space="preserve">incomplete </w:t>
      </w:r>
      <w:r w:rsidR="00277367" w:rsidDel="00CC6691">
        <w:rPr>
          <w:lang w:eastAsia="en-AU"/>
        </w:rPr>
        <w:t>and</w:t>
      </w:r>
      <w:r w:rsidR="00CC6691">
        <w:rPr>
          <w:lang w:eastAsia="en-AU"/>
        </w:rPr>
        <w:t>/or</w:t>
      </w:r>
      <w:r w:rsidR="00277367">
        <w:rPr>
          <w:lang w:eastAsia="en-AU"/>
        </w:rPr>
        <w:t xml:space="preserve"> old or out of date information. </w:t>
      </w:r>
    </w:p>
    <w:p w14:paraId="1B919559" w14:textId="77777777" w:rsidR="00E86DED" w:rsidRDefault="00CC6691" w:rsidP="00C30AC3">
      <w:pPr>
        <w:pStyle w:val="Body"/>
        <w:rPr>
          <w:lang w:eastAsia="en-AU"/>
        </w:rPr>
      </w:pPr>
      <w:r>
        <w:rPr>
          <w:lang w:eastAsia="en-AU"/>
        </w:rPr>
        <w:t xml:space="preserve">A key finding for the project team in the early stages of the project is that there is simply </w:t>
      </w:r>
      <w:r w:rsidR="00277367">
        <w:rPr>
          <w:lang w:eastAsia="en-AU"/>
        </w:rPr>
        <w:t xml:space="preserve">no single and complete database within the </w:t>
      </w:r>
      <w:r w:rsidR="007345C5">
        <w:rPr>
          <w:lang w:eastAsia="en-AU"/>
        </w:rPr>
        <w:t xml:space="preserve">country </w:t>
      </w:r>
      <w:r w:rsidR="00277367">
        <w:rPr>
          <w:lang w:eastAsia="en-AU"/>
        </w:rPr>
        <w:t xml:space="preserve">that contains all information related to </w:t>
      </w:r>
      <w:r w:rsidR="007345C5">
        <w:rPr>
          <w:lang w:eastAsia="en-AU"/>
        </w:rPr>
        <w:t>WWTPs</w:t>
      </w:r>
      <w:r w:rsidR="00277367">
        <w:rPr>
          <w:lang w:eastAsia="en-AU"/>
        </w:rPr>
        <w:t xml:space="preserve"> and associated infrastructure. The data sets for </w:t>
      </w:r>
      <w:r w:rsidR="007345C5">
        <w:rPr>
          <w:lang w:eastAsia="en-AU"/>
        </w:rPr>
        <w:t xml:space="preserve">wastewater network </w:t>
      </w:r>
      <w:r w:rsidR="00E86DED">
        <w:rPr>
          <w:lang w:eastAsia="en-AU"/>
        </w:rPr>
        <w:t xml:space="preserve">information </w:t>
      </w:r>
      <w:r w:rsidR="00277367">
        <w:rPr>
          <w:lang w:eastAsia="en-AU"/>
        </w:rPr>
        <w:t>is even less accurate and available</w:t>
      </w:r>
      <w:r w:rsidR="00E86DED">
        <w:rPr>
          <w:lang w:eastAsia="en-AU"/>
        </w:rPr>
        <w:t xml:space="preserve"> than the </w:t>
      </w:r>
      <w:r w:rsidR="007345C5">
        <w:rPr>
          <w:lang w:eastAsia="en-AU"/>
        </w:rPr>
        <w:t>WWTP</w:t>
      </w:r>
      <w:r w:rsidR="00E86DED">
        <w:rPr>
          <w:lang w:eastAsia="en-AU"/>
        </w:rPr>
        <w:t xml:space="preserve"> data, making analysis of this part of the network challenging</w:t>
      </w:r>
      <w:r w:rsidR="00277367">
        <w:rPr>
          <w:lang w:eastAsia="en-AU"/>
        </w:rPr>
        <w:t xml:space="preserve">. </w:t>
      </w:r>
    </w:p>
    <w:p w14:paraId="3B1B3F7D" w14:textId="77777777" w:rsidR="00277367" w:rsidRDefault="00277367" w:rsidP="00C30AC3">
      <w:pPr>
        <w:pStyle w:val="Body"/>
        <w:rPr>
          <w:lang w:eastAsia="en-AU"/>
        </w:rPr>
      </w:pPr>
      <w:r>
        <w:rPr>
          <w:lang w:eastAsia="en-AU"/>
        </w:rPr>
        <w:t>The WaterNZ Benchmarking document contained the most comprehensive information on plants</w:t>
      </w:r>
      <w:r w:rsidR="00E86DED">
        <w:rPr>
          <w:lang w:eastAsia="en-AU"/>
        </w:rPr>
        <w:t>, piped assets and performance information</w:t>
      </w:r>
      <w:r>
        <w:rPr>
          <w:lang w:eastAsia="en-AU"/>
        </w:rPr>
        <w:t xml:space="preserve">, </w:t>
      </w:r>
      <w:r w:rsidR="00E86DED">
        <w:rPr>
          <w:lang w:eastAsia="en-AU"/>
        </w:rPr>
        <w:t xml:space="preserve">however </w:t>
      </w:r>
      <w:r>
        <w:rPr>
          <w:lang w:eastAsia="en-AU"/>
        </w:rPr>
        <w:t>participation in this process is voluntary and the data sets are also incomplete and can lack robustness at a detailed level.</w:t>
      </w:r>
    </w:p>
    <w:p w14:paraId="1F5F752E" w14:textId="77777777" w:rsidR="007345C5" w:rsidRDefault="00E86DED" w:rsidP="00C30AC3">
      <w:pPr>
        <w:pStyle w:val="Body"/>
        <w:rPr>
          <w:lang w:eastAsia="en-AU"/>
        </w:rPr>
      </w:pPr>
      <w:r>
        <w:rPr>
          <w:lang w:eastAsia="en-AU"/>
        </w:rPr>
        <w:t xml:space="preserve">This lack of a consolidated quality database required early effort from the project to develop a set of data to base the analysis outlined within the report on. </w:t>
      </w:r>
      <w:r w:rsidR="00DC1AD4">
        <w:rPr>
          <w:lang w:eastAsia="en-AU"/>
        </w:rPr>
        <w:t>The database was developed from a combination of the above data sets, an in depth analysis of Councils Wastewater Activity Management Plan on line</w:t>
      </w:r>
      <w:r w:rsidR="00A927BD">
        <w:rPr>
          <w:lang w:eastAsia="en-AU"/>
        </w:rPr>
        <w:t>,</w:t>
      </w:r>
      <w:r w:rsidR="00DC1AD4">
        <w:rPr>
          <w:lang w:eastAsia="en-AU"/>
        </w:rPr>
        <w:t xml:space="preserve"> and importing of data supplied via direct contact with the industry. </w:t>
      </w:r>
    </w:p>
    <w:p w14:paraId="2C1F263A" w14:textId="77777777" w:rsidR="00E86DED" w:rsidRPr="00277367" w:rsidRDefault="00DC1AD4" w:rsidP="00C30AC3">
      <w:pPr>
        <w:pStyle w:val="Body"/>
        <w:rPr>
          <w:lang w:eastAsia="en-AU"/>
        </w:rPr>
      </w:pPr>
      <w:r>
        <w:rPr>
          <w:lang w:eastAsia="en-AU"/>
        </w:rPr>
        <w:t>This database now</w:t>
      </w:r>
      <w:r w:rsidR="00E86DED">
        <w:rPr>
          <w:lang w:eastAsia="en-AU"/>
        </w:rPr>
        <w:t xml:space="preserve"> contains information on all </w:t>
      </w:r>
      <w:r w:rsidR="007345C5">
        <w:rPr>
          <w:lang w:eastAsia="en-AU"/>
        </w:rPr>
        <w:t>WWTPs</w:t>
      </w:r>
      <w:r>
        <w:rPr>
          <w:lang w:eastAsia="en-AU"/>
        </w:rPr>
        <w:t xml:space="preserve"> owned and operated by </w:t>
      </w:r>
      <w:r w:rsidR="007345C5">
        <w:rPr>
          <w:lang w:eastAsia="en-AU"/>
        </w:rPr>
        <w:t xml:space="preserve">local authorities </w:t>
      </w:r>
      <w:r>
        <w:rPr>
          <w:lang w:eastAsia="en-AU"/>
        </w:rPr>
        <w:t xml:space="preserve">along with associated baseline performance data. The long term strategy to manage this database has not been determined as yet, but there would be some value in the wider industry taking ownership </w:t>
      </w:r>
      <w:r w:rsidR="00A927BD">
        <w:rPr>
          <w:lang w:eastAsia="en-AU"/>
        </w:rPr>
        <w:t xml:space="preserve">to </w:t>
      </w:r>
      <w:r w:rsidR="001413C4">
        <w:rPr>
          <w:lang w:eastAsia="en-AU"/>
        </w:rPr>
        <w:t>maintain the information moving forward.</w:t>
      </w:r>
    </w:p>
    <w:p w14:paraId="420A419B" w14:textId="77777777" w:rsidR="00C91C00" w:rsidRDefault="008E679C" w:rsidP="00C91C00">
      <w:pPr>
        <w:pStyle w:val="Heading2"/>
        <w:rPr>
          <w:lang w:eastAsia="en-AU"/>
        </w:rPr>
      </w:pPr>
      <w:bookmarkStart w:id="648" w:name="_Toc517787176"/>
      <w:bookmarkStart w:id="649" w:name="_Toc517793875"/>
      <w:bookmarkStart w:id="650" w:name="_Toc518646243"/>
      <w:bookmarkStart w:id="651" w:name="_Ref518651171"/>
      <w:bookmarkStart w:id="652" w:name="_Toc518653111"/>
      <w:bookmarkStart w:id="653" w:name="_Toc527638668"/>
      <w:r>
        <w:rPr>
          <w:lang w:eastAsia="en-AU"/>
        </w:rPr>
        <w:t xml:space="preserve">Industry </w:t>
      </w:r>
      <w:r w:rsidR="00A515CD">
        <w:rPr>
          <w:lang w:eastAsia="en-AU"/>
        </w:rPr>
        <w:t>focus group</w:t>
      </w:r>
      <w:r w:rsidR="00B51078">
        <w:rPr>
          <w:lang w:eastAsia="en-AU"/>
        </w:rPr>
        <w:t xml:space="preserve"> </w:t>
      </w:r>
      <w:bookmarkEnd w:id="648"/>
      <w:r w:rsidR="00A515CD">
        <w:rPr>
          <w:lang w:eastAsia="en-AU"/>
        </w:rPr>
        <w:t>workshop</w:t>
      </w:r>
      <w:bookmarkEnd w:id="649"/>
      <w:bookmarkEnd w:id="650"/>
      <w:bookmarkEnd w:id="651"/>
      <w:bookmarkEnd w:id="652"/>
      <w:bookmarkEnd w:id="653"/>
    </w:p>
    <w:p w14:paraId="1E83BC8A" w14:textId="77777777" w:rsidR="00C91C00" w:rsidRDefault="00C91C00" w:rsidP="00337399">
      <w:pPr>
        <w:pStyle w:val="Body"/>
        <w:rPr>
          <w:lang w:eastAsia="en-AU"/>
        </w:rPr>
      </w:pPr>
      <w:r>
        <w:rPr>
          <w:lang w:eastAsia="en-AU"/>
        </w:rPr>
        <w:t xml:space="preserve">One of the key aspects of this </w:t>
      </w:r>
      <w:r w:rsidDel="00C91C00">
        <w:rPr>
          <w:lang w:eastAsia="en-AU"/>
        </w:rPr>
        <w:t>project</w:t>
      </w:r>
      <w:r>
        <w:rPr>
          <w:lang w:eastAsia="en-AU"/>
        </w:rPr>
        <w:t xml:space="preserve"> was the inclusion of the wider </w:t>
      </w:r>
      <w:r w:rsidR="007345C5">
        <w:rPr>
          <w:lang w:eastAsia="en-AU"/>
        </w:rPr>
        <w:t xml:space="preserve">water industry </w:t>
      </w:r>
      <w:r>
        <w:rPr>
          <w:lang w:eastAsia="en-AU"/>
        </w:rPr>
        <w:t>in the process. A significant amount of industry discussion was held as the project was developed and there was a significant reliance on data supplied through those discussions and key industry contacts.</w:t>
      </w:r>
    </w:p>
    <w:p w14:paraId="3EE4BCD2" w14:textId="77777777" w:rsidR="00C91C00" w:rsidRDefault="00C91C00" w:rsidP="00337399">
      <w:pPr>
        <w:pStyle w:val="Body"/>
        <w:rPr>
          <w:lang w:eastAsia="en-AU"/>
        </w:rPr>
      </w:pPr>
      <w:r>
        <w:rPr>
          <w:lang w:eastAsia="en-AU"/>
        </w:rPr>
        <w:t>A key element of th</w:t>
      </w:r>
      <w:r w:rsidR="00424566">
        <w:rPr>
          <w:lang w:eastAsia="en-AU"/>
        </w:rPr>
        <w:t>is industry involvement</w:t>
      </w:r>
      <w:r>
        <w:rPr>
          <w:lang w:eastAsia="en-AU"/>
        </w:rPr>
        <w:t xml:space="preserve"> </w:t>
      </w:r>
      <w:r w:rsidR="0001041C">
        <w:rPr>
          <w:lang w:eastAsia="en-AU"/>
        </w:rPr>
        <w:t xml:space="preserve">was holding a focus group towards the end of the project. The purpose of this </w:t>
      </w:r>
      <w:r w:rsidR="00424566">
        <w:rPr>
          <w:lang w:eastAsia="en-AU"/>
        </w:rPr>
        <w:t xml:space="preserve">focus group was to present the draft findings of the review to a small group of key industry players and gain input and insight into the proposed outputs through facilitated discussion. </w:t>
      </w:r>
    </w:p>
    <w:p w14:paraId="682C9117" w14:textId="77777777" w:rsidR="00424566" w:rsidRDefault="00424566" w:rsidP="00337399">
      <w:pPr>
        <w:pStyle w:val="Body"/>
        <w:rPr>
          <w:lang w:eastAsia="en-AU"/>
        </w:rPr>
      </w:pPr>
      <w:r>
        <w:rPr>
          <w:lang w:eastAsia="en-AU"/>
        </w:rPr>
        <w:t xml:space="preserve">The participants of the </w:t>
      </w:r>
      <w:r w:rsidR="007345C5">
        <w:rPr>
          <w:lang w:eastAsia="en-AU"/>
        </w:rPr>
        <w:t xml:space="preserve">focus group </w:t>
      </w:r>
      <w:r>
        <w:rPr>
          <w:lang w:eastAsia="en-AU"/>
        </w:rPr>
        <w:t>were:</w:t>
      </w:r>
    </w:p>
    <w:p w14:paraId="10C7002B" w14:textId="77777777" w:rsidR="00424566" w:rsidRDefault="00424566" w:rsidP="00AE663D">
      <w:pPr>
        <w:pStyle w:val="Body"/>
        <w:numPr>
          <w:ilvl w:val="1"/>
          <w:numId w:val="101"/>
        </w:numPr>
        <w:rPr>
          <w:lang w:eastAsia="en-AU"/>
        </w:rPr>
      </w:pPr>
      <w:r>
        <w:rPr>
          <w:lang w:eastAsia="en-AU"/>
        </w:rPr>
        <w:t xml:space="preserve">Watercare Services </w:t>
      </w:r>
      <w:r w:rsidR="0044652B">
        <w:rPr>
          <w:lang w:eastAsia="en-AU"/>
        </w:rPr>
        <w:t>Limited</w:t>
      </w:r>
    </w:p>
    <w:p w14:paraId="3D5E18CF" w14:textId="77777777" w:rsidR="00424566" w:rsidRDefault="00424566">
      <w:pPr>
        <w:pStyle w:val="Body"/>
        <w:numPr>
          <w:ilvl w:val="1"/>
          <w:numId w:val="101"/>
        </w:numPr>
        <w:rPr>
          <w:lang w:eastAsia="en-AU"/>
        </w:rPr>
      </w:pPr>
      <w:r>
        <w:rPr>
          <w:lang w:eastAsia="en-AU"/>
        </w:rPr>
        <w:t>Water New Zealand</w:t>
      </w:r>
    </w:p>
    <w:p w14:paraId="5DEA96F6" w14:textId="77777777" w:rsidR="00424566" w:rsidRDefault="00424566">
      <w:pPr>
        <w:pStyle w:val="Body"/>
        <w:numPr>
          <w:ilvl w:val="1"/>
          <w:numId w:val="101"/>
        </w:numPr>
        <w:rPr>
          <w:lang w:eastAsia="en-AU"/>
        </w:rPr>
      </w:pPr>
      <w:r>
        <w:rPr>
          <w:lang w:eastAsia="en-AU"/>
        </w:rPr>
        <w:t>Hamilton City Council</w:t>
      </w:r>
    </w:p>
    <w:p w14:paraId="0BAE4C70" w14:textId="77777777" w:rsidR="00424566" w:rsidRDefault="00424566">
      <w:pPr>
        <w:pStyle w:val="Body"/>
        <w:numPr>
          <w:ilvl w:val="1"/>
          <w:numId w:val="101"/>
        </w:numPr>
        <w:rPr>
          <w:lang w:eastAsia="en-AU"/>
        </w:rPr>
      </w:pPr>
      <w:r>
        <w:rPr>
          <w:lang w:eastAsia="en-AU"/>
        </w:rPr>
        <w:t>Wellington Water</w:t>
      </w:r>
    </w:p>
    <w:p w14:paraId="38B71BD6" w14:textId="77777777" w:rsidR="00424566" w:rsidRDefault="00424566">
      <w:pPr>
        <w:pStyle w:val="Body"/>
        <w:numPr>
          <w:ilvl w:val="1"/>
          <w:numId w:val="101"/>
        </w:numPr>
        <w:rPr>
          <w:lang w:eastAsia="en-AU"/>
        </w:rPr>
      </w:pPr>
      <w:r>
        <w:rPr>
          <w:lang w:eastAsia="en-AU"/>
        </w:rPr>
        <w:t>Hauraki District Council</w:t>
      </w:r>
    </w:p>
    <w:p w14:paraId="63B3AE97" w14:textId="77777777" w:rsidR="00424566" w:rsidRDefault="00424566">
      <w:pPr>
        <w:pStyle w:val="Body"/>
        <w:numPr>
          <w:ilvl w:val="1"/>
          <w:numId w:val="101"/>
        </w:numPr>
        <w:rPr>
          <w:lang w:eastAsia="en-AU"/>
        </w:rPr>
      </w:pPr>
      <w:r>
        <w:rPr>
          <w:lang w:eastAsia="en-AU"/>
        </w:rPr>
        <w:t>Waipa District Council</w:t>
      </w:r>
    </w:p>
    <w:p w14:paraId="7F3DCC7D" w14:textId="77777777" w:rsidR="00B51078" w:rsidRDefault="00424566" w:rsidP="00AE663D">
      <w:pPr>
        <w:pStyle w:val="Body"/>
        <w:numPr>
          <w:ilvl w:val="1"/>
          <w:numId w:val="101"/>
        </w:numPr>
        <w:rPr>
          <w:lang w:eastAsia="en-AU"/>
        </w:rPr>
      </w:pPr>
      <w:r>
        <w:rPr>
          <w:lang w:eastAsia="en-AU"/>
        </w:rPr>
        <w:t xml:space="preserve">Western Bay of Plenty District </w:t>
      </w:r>
      <w:r w:rsidR="00B51078">
        <w:rPr>
          <w:lang w:eastAsia="en-AU"/>
        </w:rPr>
        <w:t>Council</w:t>
      </w:r>
    </w:p>
    <w:p w14:paraId="00DADE5C" w14:textId="77777777" w:rsidR="00795E40" w:rsidRDefault="00795E40" w:rsidP="00AE663D">
      <w:pPr>
        <w:pStyle w:val="Body"/>
        <w:numPr>
          <w:ilvl w:val="1"/>
          <w:numId w:val="101"/>
        </w:numPr>
        <w:rPr>
          <w:lang w:eastAsia="en-AU"/>
        </w:rPr>
      </w:pPr>
      <w:r>
        <w:rPr>
          <w:lang w:eastAsia="en-AU"/>
        </w:rPr>
        <w:t>Queenstown Lakes District Council</w:t>
      </w:r>
    </w:p>
    <w:p w14:paraId="67912824" w14:textId="77777777" w:rsidR="00C91C00" w:rsidRPr="00C91C00" w:rsidRDefault="00B51078" w:rsidP="00E66F34">
      <w:pPr>
        <w:pStyle w:val="Body"/>
        <w:rPr>
          <w:lang w:eastAsia="en-AU"/>
        </w:rPr>
      </w:pPr>
      <w:r>
        <w:rPr>
          <w:lang w:eastAsia="en-AU"/>
        </w:rPr>
        <w:lastRenderedPageBreak/>
        <w:t xml:space="preserve">The outputs of the workshop provided significant input into the project and included suggestions ranging from technology challenges facing the wider industry to the resourcing challenges outlined in section </w:t>
      </w:r>
      <w:r w:rsidR="003F5DE8">
        <w:rPr>
          <w:lang w:eastAsia="en-AU"/>
        </w:rPr>
        <w:t xml:space="preserve">8.6 </w:t>
      </w:r>
      <w:r>
        <w:rPr>
          <w:lang w:eastAsia="en-AU"/>
        </w:rPr>
        <w:t xml:space="preserve">above. </w:t>
      </w:r>
      <w:r w:rsidR="00C965C4">
        <w:rPr>
          <w:lang w:eastAsia="en-AU"/>
        </w:rPr>
        <w:t xml:space="preserve">Input </w:t>
      </w:r>
      <w:r w:rsidR="0074061A">
        <w:rPr>
          <w:lang w:eastAsia="en-AU"/>
        </w:rPr>
        <w:t>f</w:t>
      </w:r>
      <w:r>
        <w:rPr>
          <w:lang w:eastAsia="en-AU"/>
        </w:rPr>
        <w:t>rom the group has allowed a more accurate assessment to be made on operation costs of new plants, if installed</w:t>
      </w:r>
      <w:r w:rsidR="00C965C4">
        <w:rPr>
          <w:lang w:eastAsia="en-AU"/>
        </w:rPr>
        <w:t>,</w:t>
      </w:r>
      <w:r>
        <w:rPr>
          <w:lang w:eastAsia="en-AU"/>
        </w:rPr>
        <w:t xml:space="preserve"> along with commentary on the challenges related to </w:t>
      </w:r>
      <w:r w:rsidR="007345C5">
        <w:rPr>
          <w:lang w:eastAsia="en-AU"/>
        </w:rPr>
        <w:t xml:space="preserve">resource consenting </w:t>
      </w:r>
      <w:r>
        <w:rPr>
          <w:lang w:eastAsia="en-AU"/>
        </w:rPr>
        <w:t>processes.</w:t>
      </w:r>
    </w:p>
    <w:p w14:paraId="46BDDA2D" w14:textId="77777777" w:rsidR="006B66B2" w:rsidRDefault="006B66B2" w:rsidP="00DA0652">
      <w:pPr>
        <w:pStyle w:val="Heading2"/>
        <w:rPr>
          <w:lang w:eastAsia="en-AU"/>
        </w:rPr>
      </w:pPr>
      <w:bookmarkStart w:id="654" w:name="_Toc517787177"/>
      <w:bookmarkStart w:id="655" w:name="_Toc517793876"/>
      <w:bookmarkStart w:id="656" w:name="_Toc518646244"/>
      <w:bookmarkStart w:id="657" w:name="_Toc518653112"/>
      <w:bookmarkStart w:id="658" w:name="_Toc527638669"/>
      <w:r>
        <w:rPr>
          <w:lang w:eastAsia="en-AU"/>
        </w:rPr>
        <w:t xml:space="preserve">State of </w:t>
      </w:r>
      <w:r w:rsidR="00A515CD">
        <w:rPr>
          <w:lang w:eastAsia="en-AU"/>
        </w:rPr>
        <w:t>current</w:t>
      </w:r>
      <w:r>
        <w:rPr>
          <w:lang w:eastAsia="en-AU"/>
        </w:rPr>
        <w:t xml:space="preserve"> </w:t>
      </w:r>
      <w:bookmarkEnd w:id="647"/>
      <w:bookmarkEnd w:id="654"/>
      <w:r w:rsidR="007529FE">
        <w:rPr>
          <w:lang w:eastAsia="en-AU"/>
        </w:rPr>
        <w:t xml:space="preserve">waste stabilisation pond </w:t>
      </w:r>
      <w:r w:rsidR="00A515CD">
        <w:rPr>
          <w:lang w:eastAsia="en-AU"/>
        </w:rPr>
        <w:t>upgrades</w:t>
      </w:r>
      <w:bookmarkEnd w:id="655"/>
      <w:bookmarkEnd w:id="656"/>
      <w:bookmarkEnd w:id="657"/>
      <w:bookmarkEnd w:id="658"/>
    </w:p>
    <w:p w14:paraId="7C67C144" w14:textId="77777777" w:rsidR="00185C20" w:rsidRDefault="006B66B2" w:rsidP="006B66B2">
      <w:pPr>
        <w:pStyle w:val="Body"/>
        <w:rPr>
          <w:lang w:eastAsia="en-AU"/>
        </w:rPr>
      </w:pPr>
      <w:r>
        <w:rPr>
          <w:lang w:eastAsia="en-AU"/>
        </w:rPr>
        <w:t xml:space="preserve">Over the last decade, many </w:t>
      </w:r>
      <w:r w:rsidR="00F303E6">
        <w:rPr>
          <w:lang w:eastAsia="en-AU"/>
        </w:rPr>
        <w:t xml:space="preserve">councils </w:t>
      </w:r>
      <w:r>
        <w:rPr>
          <w:lang w:eastAsia="en-AU"/>
        </w:rPr>
        <w:t xml:space="preserve">with </w:t>
      </w:r>
      <w:r w:rsidR="00C965C4">
        <w:rPr>
          <w:lang w:eastAsia="en-AU"/>
        </w:rPr>
        <w:t xml:space="preserve">waste stabilisation ponds </w:t>
      </w:r>
      <w:r>
        <w:rPr>
          <w:lang w:eastAsia="en-AU"/>
        </w:rPr>
        <w:t xml:space="preserve">have proceeded with </w:t>
      </w:r>
      <w:r w:rsidR="00185C20">
        <w:rPr>
          <w:lang w:eastAsia="en-AU"/>
        </w:rPr>
        <w:t>upgrades</w:t>
      </w:r>
      <w:r>
        <w:rPr>
          <w:lang w:eastAsia="en-AU"/>
        </w:rPr>
        <w:t xml:space="preserve"> to their plants</w:t>
      </w:r>
      <w:r w:rsidR="00185C20">
        <w:rPr>
          <w:lang w:eastAsia="en-AU"/>
        </w:rPr>
        <w:t xml:space="preserve">. These upgrades have been completed, in many instances, </w:t>
      </w:r>
      <w:r>
        <w:rPr>
          <w:lang w:eastAsia="en-AU"/>
        </w:rPr>
        <w:t>in an attempt to comply with new standards</w:t>
      </w:r>
      <w:r w:rsidR="00185C20">
        <w:rPr>
          <w:lang w:eastAsia="en-AU"/>
        </w:rPr>
        <w:t xml:space="preserve"> or </w:t>
      </w:r>
      <w:r w:rsidR="005272D8">
        <w:rPr>
          <w:lang w:eastAsia="en-AU"/>
        </w:rPr>
        <w:t>consents</w:t>
      </w:r>
      <w:r w:rsidR="00185C20">
        <w:rPr>
          <w:lang w:eastAsia="en-AU"/>
        </w:rPr>
        <w:t xml:space="preserve"> imposed by regulatory authorities</w:t>
      </w:r>
      <w:r>
        <w:rPr>
          <w:lang w:eastAsia="en-AU"/>
        </w:rPr>
        <w:t xml:space="preserve">, </w:t>
      </w:r>
      <w:r w:rsidR="00185C20">
        <w:rPr>
          <w:lang w:eastAsia="en-AU"/>
        </w:rPr>
        <w:t xml:space="preserve">to </w:t>
      </w:r>
      <w:r>
        <w:rPr>
          <w:lang w:eastAsia="en-AU"/>
        </w:rPr>
        <w:t xml:space="preserve">address mounting environmental concerns or increase treatment capacity </w:t>
      </w:r>
      <w:r w:rsidR="00185C20">
        <w:rPr>
          <w:lang w:eastAsia="en-AU"/>
        </w:rPr>
        <w:t>and</w:t>
      </w:r>
      <w:r>
        <w:rPr>
          <w:lang w:eastAsia="en-AU"/>
        </w:rPr>
        <w:t xml:space="preserve"> cater for growth.</w:t>
      </w:r>
      <w:r w:rsidR="005272D8">
        <w:rPr>
          <w:lang w:eastAsia="en-AU"/>
        </w:rPr>
        <w:t xml:space="preserve"> </w:t>
      </w:r>
    </w:p>
    <w:p w14:paraId="336E5480" w14:textId="77777777" w:rsidR="00C965C4" w:rsidRDefault="005272D8" w:rsidP="00C91C00">
      <w:pPr>
        <w:pStyle w:val="Body"/>
        <w:rPr>
          <w:lang w:eastAsia="en-AU"/>
        </w:rPr>
      </w:pPr>
      <w:r>
        <w:rPr>
          <w:lang w:eastAsia="en-AU"/>
        </w:rPr>
        <w:t xml:space="preserve">Whilst some of these upgrades have been successful, </w:t>
      </w:r>
      <w:r w:rsidDel="00185C20">
        <w:rPr>
          <w:lang w:eastAsia="en-AU"/>
        </w:rPr>
        <w:t xml:space="preserve">a mounting list </w:t>
      </w:r>
      <w:r>
        <w:rPr>
          <w:lang w:eastAsia="en-AU"/>
        </w:rPr>
        <w:t xml:space="preserve">have not. </w:t>
      </w:r>
    </w:p>
    <w:p w14:paraId="2AAC83A6" w14:textId="77777777" w:rsidR="00185C20" w:rsidRDefault="005272D8" w:rsidP="00C91C00">
      <w:pPr>
        <w:pStyle w:val="Body"/>
        <w:rPr>
          <w:lang w:eastAsia="en-AU"/>
        </w:rPr>
      </w:pPr>
      <w:r>
        <w:rPr>
          <w:lang w:eastAsia="en-AU"/>
        </w:rPr>
        <w:t xml:space="preserve">There are a number of reasons behind this, ranging from new and untried technology being sold to </w:t>
      </w:r>
      <w:r w:rsidR="00C965C4">
        <w:rPr>
          <w:lang w:eastAsia="en-AU"/>
        </w:rPr>
        <w:t xml:space="preserve">councils </w:t>
      </w:r>
      <w:r w:rsidR="00185C20">
        <w:rPr>
          <w:lang w:eastAsia="en-AU"/>
        </w:rPr>
        <w:t>without appropriate due diligence being undertaken</w:t>
      </w:r>
      <w:r>
        <w:rPr>
          <w:lang w:eastAsia="en-AU"/>
        </w:rPr>
        <w:t xml:space="preserve">, </w:t>
      </w:r>
      <w:r w:rsidR="00C965C4">
        <w:rPr>
          <w:lang w:eastAsia="en-AU"/>
        </w:rPr>
        <w:t xml:space="preserve">councils </w:t>
      </w:r>
      <w:r>
        <w:rPr>
          <w:lang w:eastAsia="en-AU"/>
        </w:rPr>
        <w:t>not understanding th</w:t>
      </w:r>
      <w:r w:rsidR="00185C20">
        <w:rPr>
          <w:lang w:eastAsia="en-AU"/>
        </w:rPr>
        <w:t>eir</w:t>
      </w:r>
      <w:r>
        <w:rPr>
          <w:lang w:eastAsia="en-AU"/>
        </w:rPr>
        <w:t xml:space="preserve"> system and </w:t>
      </w:r>
      <w:r w:rsidR="00185C20">
        <w:rPr>
          <w:lang w:eastAsia="en-AU"/>
        </w:rPr>
        <w:t xml:space="preserve">its </w:t>
      </w:r>
      <w:r>
        <w:rPr>
          <w:lang w:eastAsia="en-AU"/>
        </w:rPr>
        <w:t xml:space="preserve">inputs </w:t>
      </w:r>
      <w:r w:rsidR="00185C20">
        <w:rPr>
          <w:lang w:eastAsia="en-AU"/>
        </w:rPr>
        <w:t>resulting in inappropriate technology being installed</w:t>
      </w:r>
      <w:r w:rsidR="00C965C4">
        <w:rPr>
          <w:lang w:eastAsia="en-AU"/>
        </w:rPr>
        <w:t>.</w:t>
      </w:r>
      <w:r w:rsidR="00185C20">
        <w:rPr>
          <w:lang w:eastAsia="en-AU"/>
        </w:rPr>
        <w:t xml:space="preserve"> </w:t>
      </w:r>
      <w:r w:rsidR="00C965C4">
        <w:rPr>
          <w:lang w:eastAsia="en-AU"/>
        </w:rPr>
        <w:t>Also the</w:t>
      </w:r>
      <w:r w:rsidR="00185C20">
        <w:rPr>
          <w:lang w:eastAsia="en-AU"/>
        </w:rPr>
        <w:t xml:space="preserve"> high</w:t>
      </w:r>
      <w:r>
        <w:rPr>
          <w:lang w:eastAsia="en-AU"/>
        </w:rPr>
        <w:t xml:space="preserve"> cost of a greenfield solution, such as an BNR-</w:t>
      </w:r>
      <w:r w:rsidR="00C965C4">
        <w:rPr>
          <w:lang w:eastAsia="en-AU"/>
        </w:rPr>
        <w:t xml:space="preserve">Activated Sludge </w:t>
      </w:r>
      <w:r>
        <w:rPr>
          <w:lang w:eastAsia="en-AU"/>
        </w:rPr>
        <w:t>type system</w:t>
      </w:r>
      <w:r w:rsidR="00185C20">
        <w:rPr>
          <w:lang w:eastAsia="en-AU"/>
        </w:rPr>
        <w:t xml:space="preserve"> (alongside abandonment of existing infrastructure that still holds residual value in </w:t>
      </w:r>
      <w:r w:rsidR="0044652B">
        <w:rPr>
          <w:lang w:eastAsia="en-AU"/>
        </w:rPr>
        <w:t>council’s</w:t>
      </w:r>
      <w:r w:rsidR="00C965C4">
        <w:rPr>
          <w:lang w:eastAsia="en-AU"/>
        </w:rPr>
        <w:t xml:space="preserve"> </w:t>
      </w:r>
      <w:r w:rsidR="00185C20">
        <w:rPr>
          <w:lang w:eastAsia="en-AU"/>
        </w:rPr>
        <w:t>balance sheet)</w:t>
      </w:r>
      <w:r>
        <w:rPr>
          <w:lang w:eastAsia="en-AU"/>
        </w:rPr>
        <w:t>.</w:t>
      </w:r>
    </w:p>
    <w:p w14:paraId="37434648" w14:textId="77777777" w:rsidR="00526670" w:rsidRDefault="00526670" w:rsidP="00E66F34">
      <w:pPr>
        <w:pStyle w:val="Body"/>
        <w:ind w:left="0"/>
        <w:rPr>
          <w:lang w:eastAsia="en-AU"/>
        </w:rPr>
      </w:pPr>
    </w:p>
    <w:p w14:paraId="2AEBFCDE" w14:textId="77777777" w:rsidR="00526670" w:rsidRDefault="00526670">
      <w:pPr>
        <w:spacing w:after="0"/>
        <w:rPr>
          <w:lang w:eastAsia="en-AU"/>
        </w:rPr>
      </w:pPr>
      <w:r>
        <w:rPr>
          <w:lang w:eastAsia="en-AU"/>
        </w:rPr>
        <w:br w:type="page"/>
      </w:r>
    </w:p>
    <w:p w14:paraId="3A5099C7" w14:textId="77777777" w:rsidR="007A7882" w:rsidRDefault="007A7882" w:rsidP="007A7882">
      <w:pPr>
        <w:pStyle w:val="Heading1"/>
        <w:rPr>
          <w:lang w:eastAsia="en-AU"/>
        </w:rPr>
      </w:pPr>
      <w:bookmarkStart w:id="659" w:name="_Toc516741346"/>
      <w:bookmarkStart w:id="660" w:name="_Toc516840541"/>
      <w:bookmarkStart w:id="661" w:name="_Toc517267852"/>
      <w:bookmarkStart w:id="662" w:name="_Toc517707421"/>
      <w:bookmarkStart w:id="663" w:name="_Toc517787178"/>
      <w:bookmarkStart w:id="664" w:name="_Toc517793877"/>
      <w:bookmarkStart w:id="665" w:name="_Toc518646245"/>
      <w:bookmarkStart w:id="666" w:name="_Toc518653113"/>
      <w:bookmarkStart w:id="667" w:name="_Toc527638670"/>
      <w:r>
        <w:rPr>
          <w:lang w:eastAsia="en-AU"/>
        </w:rPr>
        <w:lastRenderedPageBreak/>
        <w:t>Conclusions</w:t>
      </w:r>
      <w:bookmarkEnd w:id="659"/>
      <w:bookmarkEnd w:id="660"/>
      <w:bookmarkEnd w:id="661"/>
      <w:bookmarkEnd w:id="662"/>
      <w:bookmarkEnd w:id="663"/>
      <w:bookmarkEnd w:id="664"/>
      <w:bookmarkEnd w:id="665"/>
      <w:bookmarkEnd w:id="666"/>
      <w:bookmarkEnd w:id="667"/>
    </w:p>
    <w:p w14:paraId="41284BEC" w14:textId="77777777" w:rsidR="00C778EA" w:rsidRPr="006B6FC9" w:rsidRDefault="00C778EA" w:rsidP="00C30AC3">
      <w:pPr>
        <w:pStyle w:val="Body"/>
        <w:rPr>
          <w:lang w:eastAsia="en-AU"/>
        </w:rPr>
      </w:pPr>
      <w:r w:rsidRPr="006B6FC9">
        <w:rPr>
          <w:lang w:eastAsia="en-AU"/>
        </w:rPr>
        <w:t xml:space="preserve">Receiving water quality is influenced by both diffuse and point source contaminant contributions from other activities and </w:t>
      </w:r>
      <w:r w:rsidR="0044652B" w:rsidRPr="006B6FC9">
        <w:rPr>
          <w:lang w:eastAsia="en-AU"/>
        </w:rPr>
        <w:t>land uses</w:t>
      </w:r>
      <w:r w:rsidRPr="006B6FC9">
        <w:rPr>
          <w:lang w:eastAsia="en-AU"/>
        </w:rPr>
        <w:t xml:space="preserve"> within the catchments where there are WWTP discharges. </w:t>
      </w:r>
    </w:p>
    <w:p w14:paraId="41F57467" w14:textId="77777777" w:rsidR="00C778EA" w:rsidRPr="006B6FC9" w:rsidRDefault="00C778EA" w:rsidP="00C30AC3">
      <w:pPr>
        <w:pStyle w:val="Body"/>
        <w:rPr>
          <w:lang w:eastAsia="en-AU"/>
        </w:rPr>
      </w:pPr>
      <w:r w:rsidRPr="006B6FC9">
        <w:rPr>
          <w:lang w:eastAsia="en-AU"/>
        </w:rPr>
        <w:t xml:space="preserve">This study reviewed the likely contribution of WWTP discharges to receiving water quality based on other potential sources of nutrients within receiving water catchments and the relative rate proportion (i.e. WWTP discharge versus stream/river flow). </w:t>
      </w:r>
    </w:p>
    <w:p w14:paraId="007F5AD4" w14:textId="77777777" w:rsidR="00C778EA" w:rsidRPr="006B6FC9" w:rsidRDefault="00C778EA" w:rsidP="00C30AC3">
      <w:pPr>
        <w:pStyle w:val="Body"/>
        <w:rPr>
          <w:lang w:eastAsia="en-AU"/>
        </w:rPr>
      </w:pPr>
      <w:r w:rsidRPr="006B6FC9">
        <w:rPr>
          <w:lang w:eastAsia="en-AU"/>
        </w:rPr>
        <w:t xml:space="preserve">This assessment was used to allocate a </w:t>
      </w:r>
      <w:r w:rsidR="00085548">
        <w:rPr>
          <w:lang w:eastAsia="en-AU"/>
        </w:rPr>
        <w:t>small, moderate, or large contribution classification</w:t>
      </w:r>
      <w:r w:rsidRPr="006B6FC9">
        <w:rPr>
          <w:lang w:eastAsia="en-AU"/>
        </w:rPr>
        <w:t xml:space="preserve"> to each WWTP as a means of assessing the relative worth of investing in a WWTP upgrade</w:t>
      </w:r>
      <w:r w:rsidR="0044652B">
        <w:rPr>
          <w:lang w:eastAsia="en-AU"/>
        </w:rPr>
        <w:t>.</w:t>
      </w:r>
      <w:r w:rsidRPr="006B6FC9">
        <w:rPr>
          <w:lang w:eastAsia="en-AU"/>
        </w:rPr>
        <w:t xml:space="preserve">  </w:t>
      </w:r>
    </w:p>
    <w:p w14:paraId="30CC2E77" w14:textId="77777777" w:rsidR="00516E05" w:rsidRDefault="00516E05" w:rsidP="00516E05">
      <w:pPr>
        <w:pStyle w:val="Body"/>
        <w:rPr>
          <w:lang w:eastAsia="en-AU"/>
        </w:rPr>
      </w:pPr>
      <w:r>
        <w:rPr>
          <w:lang w:eastAsia="en-AU"/>
        </w:rPr>
        <w:t xml:space="preserve">The assessment </w:t>
      </w:r>
      <w:r w:rsidR="00AA26C3">
        <w:rPr>
          <w:lang w:eastAsia="en-AU"/>
        </w:rPr>
        <w:t>showed</w:t>
      </w:r>
      <w:r>
        <w:rPr>
          <w:lang w:eastAsia="en-AU"/>
        </w:rPr>
        <w:t xml:space="preserve"> that if investment is focussed on </w:t>
      </w:r>
      <w:r w:rsidR="00AA26C3">
        <w:rPr>
          <w:lang w:eastAsia="en-AU"/>
        </w:rPr>
        <w:t xml:space="preserve">meeting NPS Freshwater Attribute B values at the point of discharge the </w:t>
      </w:r>
      <w:r w:rsidR="0031117C">
        <w:rPr>
          <w:lang w:eastAsia="en-AU"/>
        </w:rPr>
        <w:t xml:space="preserve">estimate </w:t>
      </w:r>
      <w:r w:rsidR="00AA26C3">
        <w:rPr>
          <w:lang w:eastAsia="en-AU"/>
        </w:rPr>
        <w:t xml:space="preserve">national capital spend </w:t>
      </w:r>
      <w:r w:rsidR="0044652B">
        <w:rPr>
          <w:lang w:eastAsia="en-AU"/>
        </w:rPr>
        <w:t>would</w:t>
      </w:r>
      <w:r w:rsidR="00AA26C3">
        <w:rPr>
          <w:lang w:eastAsia="en-AU"/>
        </w:rPr>
        <w:t xml:space="preserve"> be in the range of </w:t>
      </w:r>
      <w:r w:rsidR="00AB5C49">
        <w:rPr>
          <w:lang w:eastAsia="en-AU"/>
        </w:rPr>
        <w:t>$1</w:t>
      </w:r>
      <w:r w:rsidR="00AA26C3">
        <w:rPr>
          <w:lang w:eastAsia="en-AU"/>
        </w:rPr>
        <w:t>.4 to $2</w:t>
      </w:r>
      <w:r w:rsidR="00EF08F9">
        <w:rPr>
          <w:lang w:eastAsia="en-AU"/>
        </w:rPr>
        <w:t>.1</w:t>
      </w:r>
      <w:r w:rsidR="00AA26C3">
        <w:rPr>
          <w:lang w:eastAsia="en-AU"/>
        </w:rPr>
        <w:t xml:space="preserve"> Billion. </w:t>
      </w:r>
      <w:r w:rsidR="00085548">
        <w:t>The assessment shows that the smallest investment (total capital cost in the range of $160</w:t>
      </w:r>
      <w:r w:rsidR="00A352AD">
        <w:t xml:space="preserve"> Million </w:t>
      </w:r>
      <w:r w:rsidR="00085548">
        <w:t>to $240</w:t>
      </w:r>
      <w:r w:rsidR="00A352AD">
        <w:t xml:space="preserve"> Million</w:t>
      </w:r>
      <w:r w:rsidR="00085548">
        <w:t>) is necessary to upgrade WWTPs that are having a “large” contribution to the water quality of their receiving environment.  However a much larger investment (total capital cost in the range of $630</w:t>
      </w:r>
      <w:r w:rsidR="00A352AD">
        <w:t xml:space="preserve"> Million</w:t>
      </w:r>
      <w:r w:rsidR="00085548">
        <w:t xml:space="preserve"> to $950</w:t>
      </w:r>
      <w:r w:rsidR="00A352AD">
        <w:t xml:space="preserve"> Million</w:t>
      </w:r>
      <w:r w:rsidR="00085548">
        <w:t>) is necessary to upgrade WWTPs that are having a “moderate” contribution to their receiving environment.</w:t>
      </w:r>
    </w:p>
    <w:p w14:paraId="241F4E98" w14:textId="77777777" w:rsidR="00A352AD" w:rsidRDefault="00085548" w:rsidP="00E60FF6">
      <w:pPr>
        <w:pStyle w:val="Body"/>
      </w:pPr>
      <w:r w:rsidRPr="00EA1311">
        <w:t>Of the WWTPs</w:t>
      </w:r>
      <w:r>
        <w:t xml:space="preserve"> discharging to fresh water that require upgrading</w:t>
      </w:r>
      <w:r w:rsidRPr="00EA1311">
        <w:t xml:space="preserve">, </w:t>
      </w:r>
      <w:r w:rsidR="00D75F23">
        <w:t>82</w:t>
      </w:r>
      <w:r w:rsidRPr="00EA1311">
        <w:t>% are servicing minor</w:t>
      </w:r>
      <w:r>
        <w:t xml:space="preserve"> (&lt;5001 people)</w:t>
      </w:r>
      <w:r w:rsidRPr="00EA1311">
        <w:t xml:space="preserve"> or small populations (&lt;501 people). The annual cost impact of the WWTP upgrades is greatest for the small communities (&lt;501 people) at approximately $3,576 for each affected household</w:t>
      </w:r>
      <w:r>
        <w:t>.  T</w:t>
      </w:r>
      <w:r w:rsidRPr="00EA1311">
        <w:t xml:space="preserve">he average annual cost impact is $1,138 per affected household. </w:t>
      </w:r>
    </w:p>
    <w:p w14:paraId="6016E782" w14:textId="77777777" w:rsidR="00E60FF6" w:rsidRDefault="00085548" w:rsidP="00E60FF6">
      <w:pPr>
        <w:pStyle w:val="Body"/>
        <w:rPr>
          <w:lang w:eastAsia="en-AU"/>
        </w:rPr>
      </w:pPr>
      <w:r w:rsidRPr="00EA1311">
        <w:t>The higher cost for the small communities represents the</w:t>
      </w:r>
      <w:r>
        <w:t xml:space="preserve"> impact that sharing the cost of upgrades has on a smaller number of affected households.</w:t>
      </w:r>
      <w:r w:rsidRPr="00EA1311">
        <w:t xml:space="preserve"> </w:t>
      </w:r>
      <w:r>
        <w:t xml:space="preserve"> </w:t>
      </w:r>
      <w:r>
        <w:rPr>
          <w:lang w:eastAsia="en-AU"/>
        </w:rPr>
        <w:t xml:space="preserve">The annual cost impact </w:t>
      </w:r>
      <w:r w:rsidR="0044652B">
        <w:rPr>
          <w:lang w:eastAsia="en-AU"/>
        </w:rPr>
        <w:t>is based</w:t>
      </w:r>
      <w:r>
        <w:rPr>
          <w:lang w:eastAsia="en-AU"/>
        </w:rPr>
        <w:t xml:space="preserve"> on an interest rate of 6% per annum and repayment term of 25 years, plus the increase in annual operation expense associated with the upgrades</w:t>
      </w:r>
      <w:r>
        <w:rPr>
          <w:rStyle w:val="FootnoteReference"/>
          <w:lang w:eastAsia="en-AU"/>
        </w:rPr>
        <w:footnoteReference w:id="8"/>
      </w:r>
      <w:r>
        <w:rPr>
          <w:lang w:eastAsia="en-AU"/>
        </w:rPr>
        <w:t>. The annual cost impact per household affected assumes that the costs associated with a WWTP upgrade will be meet by the households contributing to that plant.</w:t>
      </w:r>
    </w:p>
    <w:p w14:paraId="7960C65F" w14:textId="77777777" w:rsidR="00AA26C3" w:rsidRDefault="00AA26C3">
      <w:pPr>
        <w:pStyle w:val="Body"/>
        <w:rPr>
          <w:lang w:eastAsia="en-AU"/>
        </w:rPr>
      </w:pPr>
      <w:r>
        <w:rPr>
          <w:lang w:eastAsia="en-AU"/>
        </w:rPr>
        <w:t xml:space="preserve">A number of challenges associated with upgrading from low technology </w:t>
      </w:r>
      <w:r w:rsidR="00D50F54">
        <w:rPr>
          <w:lang w:eastAsia="en-AU"/>
        </w:rPr>
        <w:t>waste stabilisation technology</w:t>
      </w:r>
      <w:r>
        <w:rPr>
          <w:lang w:eastAsia="en-AU"/>
        </w:rPr>
        <w:t xml:space="preserve"> to higher technology treatment systems were identified. In addition to increased operating </w:t>
      </w:r>
      <w:r w:rsidR="0044652B">
        <w:rPr>
          <w:lang w:eastAsia="en-AU"/>
        </w:rPr>
        <w:t>costs,</w:t>
      </w:r>
      <w:r>
        <w:rPr>
          <w:lang w:eastAsia="en-AU"/>
        </w:rPr>
        <w:t xml:space="preserve"> there are challenges associated with sourcing suitably skilled operators and disposal of waste sludge.</w:t>
      </w:r>
    </w:p>
    <w:p w14:paraId="10A734C2" w14:textId="77777777" w:rsidR="00AA26C3" w:rsidRDefault="00AA26C3">
      <w:pPr>
        <w:pStyle w:val="Body"/>
        <w:rPr>
          <w:lang w:eastAsia="en-AU"/>
        </w:rPr>
      </w:pPr>
      <w:r>
        <w:rPr>
          <w:lang w:eastAsia="en-AU"/>
        </w:rPr>
        <w:t xml:space="preserve">Based on case studies included in the study it was also found that acquiring resource consents for WWTP upgrades can be a lengthy and </w:t>
      </w:r>
      <w:r w:rsidR="007B2427">
        <w:rPr>
          <w:lang w:eastAsia="en-AU"/>
        </w:rPr>
        <w:t xml:space="preserve">costly </w:t>
      </w:r>
      <w:r>
        <w:rPr>
          <w:lang w:eastAsia="en-AU"/>
        </w:rPr>
        <w:t>process for councils</w:t>
      </w:r>
      <w:r w:rsidR="007B2427">
        <w:rPr>
          <w:lang w:eastAsia="en-AU"/>
        </w:rPr>
        <w:t xml:space="preserve">. </w:t>
      </w:r>
    </w:p>
    <w:p w14:paraId="799FAEE5" w14:textId="77777777" w:rsidR="00AA26C3" w:rsidDel="00AA26C3" w:rsidRDefault="00AA26C3">
      <w:pPr>
        <w:pStyle w:val="Body"/>
        <w:rPr>
          <w:lang w:eastAsia="en-AU"/>
        </w:rPr>
      </w:pPr>
    </w:p>
    <w:p w14:paraId="7E057EC6" w14:textId="77777777" w:rsidR="00526670" w:rsidRDefault="00526670">
      <w:pPr>
        <w:spacing w:after="0"/>
        <w:rPr>
          <w:lang w:eastAsia="en-AU"/>
        </w:rPr>
      </w:pPr>
      <w:r>
        <w:rPr>
          <w:lang w:eastAsia="en-AU"/>
        </w:rPr>
        <w:br w:type="page"/>
      </w:r>
    </w:p>
    <w:p w14:paraId="33DD6E3D" w14:textId="77777777" w:rsidR="00285249" w:rsidRDefault="00285249" w:rsidP="00285249">
      <w:pPr>
        <w:pStyle w:val="Heading1"/>
        <w:rPr>
          <w:lang w:eastAsia="en-AU"/>
        </w:rPr>
      </w:pPr>
      <w:bookmarkStart w:id="668" w:name="_Toc516741347"/>
      <w:bookmarkStart w:id="669" w:name="_Toc516840542"/>
      <w:bookmarkStart w:id="670" w:name="_Toc517267853"/>
      <w:bookmarkStart w:id="671" w:name="_Toc517707422"/>
      <w:bookmarkStart w:id="672" w:name="_Toc517787179"/>
      <w:bookmarkStart w:id="673" w:name="_Toc517793878"/>
      <w:bookmarkStart w:id="674" w:name="_Toc518646246"/>
      <w:bookmarkStart w:id="675" w:name="_Toc518653114"/>
      <w:bookmarkStart w:id="676" w:name="_Toc527638671"/>
      <w:r>
        <w:rPr>
          <w:lang w:eastAsia="en-AU"/>
        </w:rPr>
        <w:lastRenderedPageBreak/>
        <w:t>References</w:t>
      </w:r>
      <w:bookmarkEnd w:id="668"/>
      <w:bookmarkEnd w:id="669"/>
      <w:bookmarkEnd w:id="670"/>
      <w:bookmarkEnd w:id="671"/>
      <w:bookmarkEnd w:id="672"/>
      <w:bookmarkEnd w:id="673"/>
      <w:bookmarkEnd w:id="674"/>
      <w:bookmarkEnd w:id="675"/>
      <w:bookmarkEnd w:id="676"/>
    </w:p>
    <w:p w14:paraId="50DADAD3" w14:textId="77777777" w:rsidR="008760B7" w:rsidRDefault="008760B7" w:rsidP="008760B7">
      <w:pPr>
        <w:pStyle w:val="Body"/>
        <w:numPr>
          <w:ilvl w:val="0"/>
          <w:numId w:val="36"/>
        </w:numPr>
        <w:rPr>
          <w:lang w:eastAsia="en-AU"/>
        </w:rPr>
      </w:pPr>
      <w:r w:rsidRPr="008760B7">
        <w:rPr>
          <w:lang w:eastAsia="en-AU"/>
        </w:rPr>
        <w:t xml:space="preserve">Cost Estimates for Upgrading Water Treatment Plants to Meet Potential Changes to the New Zealand Drinking Water Standards </w:t>
      </w:r>
      <w:r>
        <w:rPr>
          <w:lang w:eastAsia="en-AU"/>
        </w:rPr>
        <w:t xml:space="preserve">, </w:t>
      </w:r>
      <w:r w:rsidR="0044652B">
        <w:rPr>
          <w:lang w:eastAsia="en-AU"/>
        </w:rPr>
        <w:t xml:space="preserve">Beca </w:t>
      </w:r>
      <w:r>
        <w:rPr>
          <w:lang w:eastAsia="en-AU"/>
        </w:rPr>
        <w:t>2018</w:t>
      </w:r>
    </w:p>
    <w:p w14:paraId="7709A11F" w14:textId="77777777" w:rsidR="00FE41BC" w:rsidRDefault="00FE41BC" w:rsidP="008760B7">
      <w:pPr>
        <w:pStyle w:val="Body"/>
        <w:numPr>
          <w:ilvl w:val="0"/>
          <w:numId w:val="36"/>
        </w:numPr>
        <w:rPr>
          <w:lang w:eastAsia="en-AU"/>
        </w:rPr>
      </w:pPr>
      <w:r>
        <w:rPr>
          <w:lang w:eastAsia="en-AU"/>
        </w:rPr>
        <w:t>Faecal Sources in the Avon River/Otakaro, Heathcote River/Opawaho and the Estuary of the Heathcote &amp; Avon Rivers/Ihutai, 2015, prepared by ESR for Christchurch City Council.</w:t>
      </w:r>
    </w:p>
    <w:p w14:paraId="4777259C" w14:textId="77777777" w:rsidR="00AB412A" w:rsidRDefault="0029489C" w:rsidP="0029489C">
      <w:pPr>
        <w:pStyle w:val="Body"/>
        <w:numPr>
          <w:ilvl w:val="0"/>
          <w:numId w:val="36"/>
        </w:numPr>
        <w:rPr>
          <w:lang w:eastAsia="en-AU"/>
        </w:rPr>
      </w:pPr>
      <w:r w:rsidRPr="0029489C">
        <w:rPr>
          <w:lang w:eastAsia="en-AU"/>
        </w:rPr>
        <w:t>R</w:t>
      </w:r>
      <w:r>
        <w:rPr>
          <w:lang w:eastAsia="en-AU"/>
        </w:rPr>
        <w:t xml:space="preserve">educing Wastewater Overflows – </w:t>
      </w:r>
      <w:r w:rsidRPr="0029489C">
        <w:rPr>
          <w:lang w:eastAsia="en-AU"/>
        </w:rPr>
        <w:t>A Pragmatic Approach to Optimise Capital Investment in Christchurch</w:t>
      </w:r>
      <w:r>
        <w:rPr>
          <w:lang w:eastAsia="en-AU"/>
        </w:rPr>
        <w:t>, Wilson and O’Brien, OzWater 2018.</w:t>
      </w:r>
    </w:p>
    <w:p w14:paraId="40EABB8C" w14:textId="77777777" w:rsidR="00B15876" w:rsidRDefault="00AB412A" w:rsidP="0029489C">
      <w:pPr>
        <w:pStyle w:val="Body"/>
        <w:numPr>
          <w:ilvl w:val="0"/>
          <w:numId w:val="36"/>
        </w:numPr>
        <w:rPr>
          <w:lang w:eastAsia="en-AU"/>
        </w:rPr>
      </w:pPr>
      <w:r>
        <w:rPr>
          <w:lang w:eastAsia="en-AU"/>
        </w:rPr>
        <w:t xml:space="preserve">Dunedin City Wastewater Overflows, An assessment of receiving water environments, prepared by Ryder </w:t>
      </w:r>
      <w:r w:rsidR="00C83BE4">
        <w:rPr>
          <w:lang w:eastAsia="en-AU"/>
        </w:rPr>
        <w:t>Consulting</w:t>
      </w:r>
      <w:r>
        <w:rPr>
          <w:lang w:eastAsia="en-AU"/>
        </w:rPr>
        <w:t>, November 2015.</w:t>
      </w:r>
    </w:p>
    <w:p w14:paraId="0829B697" w14:textId="77777777" w:rsidR="006B1284" w:rsidRDefault="00B15876" w:rsidP="0029489C">
      <w:pPr>
        <w:pStyle w:val="Body"/>
        <w:numPr>
          <w:ilvl w:val="0"/>
          <w:numId w:val="36"/>
        </w:numPr>
        <w:rPr>
          <w:lang w:eastAsia="en-AU"/>
        </w:rPr>
      </w:pPr>
      <w:r>
        <w:rPr>
          <w:lang w:eastAsia="en-AU"/>
        </w:rPr>
        <w:t xml:space="preserve">LAWA – Land, Air, Water, Aotearoa. </w:t>
      </w:r>
      <w:hyperlink r:id="rId45" w:history="1">
        <w:r w:rsidR="006B1284" w:rsidRPr="00225887">
          <w:rPr>
            <w:rStyle w:val="Hyperlink"/>
          </w:rPr>
          <w:t>https://www.lawa.org.nz/</w:t>
        </w:r>
      </w:hyperlink>
    </w:p>
    <w:p w14:paraId="434E7255" w14:textId="77777777" w:rsidR="009E2920" w:rsidRDefault="009E2920" w:rsidP="0029489C">
      <w:pPr>
        <w:pStyle w:val="Body"/>
        <w:numPr>
          <w:ilvl w:val="0"/>
          <w:numId w:val="36"/>
        </w:numPr>
        <w:rPr>
          <w:lang w:eastAsia="en-AU"/>
        </w:rPr>
      </w:pPr>
      <w:r>
        <w:rPr>
          <w:lang w:eastAsia="en-AU"/>
        </w:rPr>
        <w:t>LCR – Landcare Research</w:t>
      </w:r>
      <w:r w:rsidR="00297770">
        <w:rPr>
          <w:lang w:eastAsia="en-AU"/>
        </w:rPr>
        <w:t>, Landcover database, Version 41</w:t>
      </w:r>
      <w:r>
        <w:rPr>
          <w:lang w:eastAsia="en-AU"/>
        </w:rPr>
        <w:t xml:space="preserve"> </w:t>
      </w:r>
    </w:p>
    <w:p w14:paraId="3384F88D" w14:textId="77777777" w:rsidR="00297770" w:rsidRDefault="00297770" w:rsidP="0029489C">
      <w:pPr>
        <w:pStyle w:val="Body"/>
        <w:numPr>
          <w:ilvl w:val="0"/>
          <w:numId w:val="36"/>
        </w:numPr>
        <w:rPr>
          <w:lang w:eastAsia="en-AU"/>
        </w:rPr>
      </w:pPr>
      <w:r>
        <w:rPr>
          <w:lang w:eastAsia="en-AU"/>
        </w:rPr>
        <w:t>NIWA – National Institute of Water and Atmospheric Research</w:t>
      </w:r>
    </w:p>
    <w:p w14:paraId="0F40129E" w14:textId="77777777" w:rsidR="00297770" w:rsidRDefault="00297770" w:rsidP="0029489C">
      <w:pPr>
        <w:pStyle w:val="Body"/>
        <w:numPr>
          <w:ilvl w:val="0"/>
          <w:numId w:val="36"/>
        </w:numPr>
        <w:rPr>
          <w:lang w:eastAsia="en-AU"/>
        </w:rPr>
      </w:pPr>
      <w:r>
        <w:rPr>
          <w:lang w:eastAsia="en-AU"/>
        </w:rPr>
        <w:t>WaterNZ – New Zealand Wastewater Treatment Plant Inventory (2017)</w:t>
      </w:r>
    </w:p>
    <w:p w14:paraId="2816DF43" w14:textId="77777777" w:rsidR="00297770" w:rsidRDefault="00297770" w:rsidP="0029489C">
      <w:pPr>
        <w:pStyle w:val="Body"/>
        <w:numPr>
          <w:ilvl w:val="0"/>
          <w:numId w:val="36"/>
        </w:numPr>
        <w:rPr>
          <w:lang w:eastAsia="en-AU"/>
        </w:rPr>
      </w:pPr>
      <w:r>
        <w:rPr>
          <w:lang w:eastAsia="en-AU"/>
        </w:rPr>
        <w:t>MfE – Ministry for the Environment, River Environment Classifications (2010)</w:t>
      </w:r>
    </w:p>
    <w:p w14:paraId="107FD918" w14:textId="77777777" w:rsidR="00E00502" w:rsidRPr="00DA0652" w:rsidRDefault="00297770" w:rsidP="00297770">
      <w:pPr>
        <w:pStyle w:val="Body"/>
        <w:numPr>
          <w:ilvl w:val="0"/>
          <w:numId w:val="36"/>
        </w:numPr>
        <w:rPr>
          <w:rStyle w:val="Hyperlink"/>
          <w:color w:val="auto"/>
          <w:u w:val="none"/>
          <w:lang w:eastAsia="en-AU"/>
        </w:rPr>
      </w:pPr>
      <w:r>
        <w:rPr>
          <w:lang w:eastAsia="en-AU"/>
        </w:rPr>
        <w:t xml:space="preserve">MfE – Ministry for the Environment, River Flows (2016) </w:t>
      </w:r>
      <w:hyperlink r:id="rId46" w:history="1">
        <w:r w:rsidRPr="008311D1">
          <w:rPr>
            <w:rStyle w:val="Hyperlink"/>
            <w:lang w:eastAsia="en-AU"/>
          </w:rPr>
          <w:t>https://data.mfe.govt.nz/x/odt3cv</w:t>
        </w:r>
      </w:hyperlink>
    </w:p>
    <w:p w14:paraId="13B839B3" w14:textId="77777777" w:rsidR="008760B7" w:rsidRPr="00640C02" w:rsidRDefault="00E00502" w:rsidP="00640C02">
      <w:pPr>
        <w:pStyle w:val="Body"/>
        <w:numPr>
          <w:ilvl w:val="0"/>
          <w:numId w:val="36"/>
        </w:numPr>
        <w:rPr>
          <w:rStyle w:val="Hyperlink"/>
          <w:color w:val="auto"/>
          <w:u w:val="none"/>
        </w:rPr>
      </w:pPr>
      <w:r w:rsidRPr="008760B7">
        <w:t>Upgrading waste stabilisation ponds: Reviewing the Options, Ratsey -The Wastewater Specialists, Paper for water New Zealand Conference 2016.</w:t>
      </w:r>
    </w:p>
    <w:p w14:paraId="1D8A428C" w14:textId="77777777" w:rsidR="000A7350" w:rsidRPr="00BC4E63" w:rsidRDefault="0004424C" w:rsidP="00E66F34">
      <w:pPr>
        <w:pStyle w:val="Heading1"/>
      </w:pPr>
      <w:bookmarkStart w:id="677" w:name="_Toc518646247"/>
      <w:bookmarkStart w:id="678" w:name="_Toc518653115"/>
      <w:bookmarkStart w:id="679" w:name="_Toc527638672"/>
      <w:r>
        <w:t>L</w:t>
      </w:r>
      <w:r w:rsidR="000A7350" w:rsidRPr="00BC4E63">
        <w:t>imitations</w:t>
      </w:r>
      <w:bookmarkEnd w:id="677"/>
      <w:bookmarkEnd w:id="678"/>
      <w:bookmarkEnd w:id="679"/>
    </w:p>
    <w:p w14:paraId="5C27C961" w14:textId="77777777" w:rsidR="000A7350" w:rsidRPr="007D1129" w:rsidRDefault="000A7350" w:rsidP="000A7350">
      <w:pPr>
        <w:autoSpaceDE w:val="0"/>
        <w:autoSpaceDN w:val="0"/>
        <w:adjustRightInd w:val="0"/>
        <w:spacing w:before="100" w:beforeAutospacing="1" w:after="100" w:afterAutospacing="1"/>
        <w:ind w:left="567"/>
        <w:rPr>
          <w:rFonts w:cs="Arial"/>
          <w:i/>
          <w:szCs w:val="20"/>
          <w:lang w:eastAsia="en-AU"/>
        </w:rPr>
      </w:pPr>
      <w:r w:rsidRPr="007D1129">
        <w:rPr>
          <w:rFonts w:cs="Arial"/>
          <w:i/>
          <w:szCs w:val="20"/>
          <w:lang w:eastAsia="en-AU"/>
        </w:rPr>
        <w:t>This report</w:t>
      </w:r>
      <w:r>
        <w:rPr>
          <w:rFonts w:cs="Arial"/>
          <w:i/>
          <w:szCs w:val="20"/>
          <w:lang w:eastAsia="en-AU"/>
        </w:rPr>
        <w:t xml:space="preserve"> </w:t>
      </w:r>
      <w:r w:rsidRPr="007D1129">
        <w:rPr>
          <w:rFonts w:cs="Arial"/>
          <w:i/>
          <w:szCs w:val="20"/>
          <w:lang w:eastAsia="en-AU"/>
        </w:rPr>
        <w:t>has been prepared by GHD</w:t>
      </w:r>
      <w:r>
        <w:rPr>
          <w:rFonts w:cs="Arial"/>
          <w:i/>
          <w:szCs w:val="20"/>
          <w:lang w:eastAsia="en-AU"/>
        </w:rPr>
        <w:t xml:space="preserve"> and Boffa Miskell</w:t>
      </w:r>
      <w:r w:rsidRPr="007D1129">
        <w:rPr>
          <w:rFonts w:cs="Arial"/>
          <w:i/>
          <w:szCs w:val="20"/>
          <w:lang w:eastAsia="en-AU"/>
        </w:rPr>
        <w:t xml:space="preserve"> for </w:t>
      </w:r>
      <w:r>
        <w:rPr>
          <w:rFonts w:cs="Arial"/>
          <w:i/>
          <w:szCs w:val="20"/>
          <w:lang w:eastAsia="en-AU"/>
        </w:rPr>
        <w:t xml:space="preserve">the Department of Internal Affairs </w:t>
      </w:r>
      <w:r w:rsidRPr="007D1129">
        <w:rPr>
          <w:rFonts w:cs="Arial"/>
          <w:i/>
          <w:szCs w:val="20"/>
          <w:lang w:eastAsia="en-AU"/>
        </w:rPr>
        <w:t xml:space="preserve">and may only be used and relied on for the purpose agreed between Boffa Miskell, GHD and </w:t>
      </w:r>
      <w:r>
        <w:rPr>
          <w:rFonts w:cs="Arial"/>
          <w:i/>
          <w:szCs w:val="20"/>
          <w:lang w:eastAsia="en-AU"/>
        </w:rPr>
        <w:t>the Department</w:t>
      </w:r>
      <w:r w:rsidRPr="007D1129">
        <w:rPr>
          <w:rFonts w:cs="Arial"/>
          <w:i/>
          <w:szCs w:val="20"/>
          <w:lang w:eastAsia="en-AU"/>
        </w:rPr>
        <w:t xml:space="preserve"> as set out in section 1.0 of this report. Boffa Miskell and GHD otherwise disclaims responsibility to any person other than </w:t>
      </w:r>
      <w:r>
        <w:rPr>
          <w:rFonts w:cs="Arial"/>
          <w:i/>
          <w:szCs w:val="20"/>
          <w:lang w:eastAsia="en-AU"/>
        </w:rPr>
        <w:t>the Department</w:t>
      </w:r>
      <w:r w:rsidRPr="007D1129">
        <w:rPr>
          <w:rFonts w:cs="Arial"/>
          <w:i/>
          <w:szCs w:val="20"/>
          <w:lang w:eastAsia="en-AU"/>
        </w:rPr>
        <w:t xml:space="preserve"> arising in connection with this report. Boffa Miskell and GHD also excludes implied warranties and conditions, to the extent legally permissible.</w:t>
      </w:r>
    </w:p>
    <w:p w14:paraId="7D6563E1" w14:textId="77777777" w:rsidR="000A7350" w:rsidRPr="007D1129" w:rsidRDefault="000A7350" w:rsidP="000A7350">
      <w:pPr>
        <w:autoSpaceDE w:val="0"/>
        <w:autoSpaceDN w:val="0"/>
        <w:adjustRightInd w:val="0"/>
        <w:spacing w:before="100" w:beforeAutospacing="1" w:after="100" w:afterAutospacing="1"/>
        <w:ind w:left="567"/>
        <w:rPr>
          <w:rFonts w:cs="Arial"/>
          <w:i/>
          <w:szCs w:val="20"/>
          <w:lang w:eastAsia="en-AU"/>
        </w:rPr>
      </w:pPr>
      <w:r w:rsidRPr="007D1129">
        <w:rPr>
          <w:rFonts w:cs="Arial"/>
          <w:i/>
          <w:szCs w:val="20"/>
          <w:lang w:eastAsia="en-AU"/>
        </w:rPr>
        <w:t>The services undertaken by Boffa Miskell and GHD in connection with preparing this report were limited to those specifically detailed in the report and are subject to the scope limitations set out in the report. The opinions, conclusions and any recommendations in this report are based on conditions encountered and information reviewed at the date of preparation of the report.  GHD and Boffa Miskell have no responsibility or obligation to update this report to account for events or changes occurring subsequent to the date that the report was prepared.</w:t>
      </w:r>
    </w:p>
    <w:p w14:paraId="35B5A02E" w14:textId="77777777" w:rsidR="000A7350" w:rsidRPr="007D1129" w:rsidRDefault="000A7350" w:rsidP="000A7350">
      <w:pPr>
        <w:autoSpaceDE w:val="0"/>
        <w:autoSpaceDN w:val="0"/>
        <w:adjustRightInd w:val="0"/>
        <w:spacing w:before="100" w:beforeAutospacing="1" w:after="100" w:afterAutospacing="1"/>
        <w:ind w:left="567"/>
        <w:rPr>
          <w:rFonts w:cs="Arial"/>
          <w:i/>
          <w:szCs w:val="20"/>
          <w:lang w:eastAsia="en-AU"/>
        </w:rPr>
      </w:pPr>
      <w:r w:rsidRPr="007D1129">
        <w:rPr>
          <w:rFonts w:cs="Arial"/>
          <w:i/>
          <w:szCs w:val="20"/>
          <w:lang w:eastAsia="en-AU"/>
        </w:rPr>
        <w:t xml:space="preserve">The opinions, conclusions and any recommendations in this report are based on assumptions made by </w:t>
      </w:r>
      <w:r>
        <w:rPr>
          <w:rFonts w:cs="Arial"/>
          <w:i/>
          <w:szCs w:val="20"/>
          <w:lang w:eastAsia="en-AU"/>
        </w:rPr>
        <w:t xml:space="preserve">Boffa Miskell and </w:t>
      </w:r>
      <w:r w:rsidRPr="007D1129">
        <w:rPr>
          <w:rFonts w:cs="Arial"/>
          <w:i/>
          <w:szCs w:val="20"/>
          <w:lang w:eastAsia="en-AU"/>
        </w:rPr>
        <w:t>GHD described in this report</w:t>
      </w:r>
      <w:r>
        <w:rPr>
          <w:rFonts w:cs="Arial"/>
          <w:i/>
          <w:szCs w:val="20"/>
          <w:lang w:eastAsia="en-AU"/>
        </w:rPr>
        <w:t>.</w:t>
      </w:r>
      <w:r w:rsidRPr="007D1129">
        <w:rPr>
          <w:rFonts w:cs="Arial"/>
          <w:i/>
          <w:szCs w:val="20"/>
          <w:lang w:eastAsia="en-AU"/>
        </w:rPr>
        <w:t xml:space="preserve">  </w:t>
      </w:r>
      <w:r>
        <w:rPr>
          <w:rFonts w:cs="Arial"/>
          <w:i/>
          <w:szCs w:val="20"/>
          <w:lang w:eastAsia="en-AU"/>
        </w:rPr>
        <w:t xml:space="preserve">Boffa Miskell and </w:t>
      </w:r>
      <w:r w:rsidRPr="007D1129">
        <w:rPr>
          <w:rFonts w:cs="Arial"/>
          <w:i/>
          <w:szCs w:val="20"/>
          <w:lang w:eastAsia="en-AU"/>
        </w:rPr>
        <w:t xml:space="preserve">GHD disclaims liability arising from any of the assumptions being incorrect. GHD has prepared this report on the basis of information provided by </w:t>
      </w:r>
      <w:r>
        <w:rPr>
          <w:rFonts w:cs="Arial"/>
          <w:i/>
          <w:szCs w:val="20"/>
          <w:lang w:eastAsia="en-AU"/>
        </w:rPr>
        <w:t>others</w:t>
      </w:r>
      <w:r w:rsidRPr="007D1129">
        <w:rPr>
          <w:rFonts w:cs="Arial"/>
          <w:i/>
          <w:szCs w:val="20"/>
          <w:lang w:eastAsia="en-AU"/>
        </w:rPr>
        <w:t xml:space="preserve">, which has not </w:t>
      </w:r>
      <w:r>
        <w:rPr>
          <w:rFonts w:cs="Arial"/>
          <w:i/>
          <w:szCs w:val="20"/>
          <w:lang w:eastAsia="en-AU"/>
        </w:rPr>
        <w:t xml:space="preserve">been </w:t>
      </w:r>
      <w:r w:rsidRPr="007D1129">
        <w:rPr>
          <w:rFonts w:cs="Arial"/>
          <w:i/>
          <w:szCs w:val="20"/>
          <w:lang w:eastAsia="en-AU"/>
        </w:rPr>
        <w:t xml:space="preserve">independently verified or checked beyond the agreed scope of work. </w:t>
      </w:r>
      <w:r>
        <w:rPr>
          <w:rFonts w:cs="Arial"/>
          <w:i/>
          <w:szCs w:val="20"/>
          <w:lang w:eastAsia="en-AU"/>
        </w:rPr>
        <w:t xml:space="preserve">Boffa Miskell and </w:t>
      </w:r>
      <w:r w:rsidRPr="007D1129">
        <w:rPr>
          <w:rFonts w:cs="Arial"/>
          <w:i/>
          <w:szCs w:val="20"/>
          <w:lang w:eastAsia="en-AU"/>
        </w:rPr>
        <w:t>GHD do not accept liability in connection with such unverified information, including errors and omissions in the report which were caused by errors or omissions in that information.</w:t>
      </w:r>
    </w:p>
    <w:p w14:paraId="13CEDEB4" w14:textId="77777777" w:rsidR="00BE6372" w:rsidRPr="00BC4E63" w:rsidRDefault="000A7350" w:rsidP="00640C02">
      <w:pPr>
        <w:autoSpaceDE w:val="0"/>
        <w:autoSpaceDN w:val="0"/>
        <w:adjustRightInd w:val="0"/>
        <w:spacing w:before="100" w:beforeAutospacing="1" w:after="100" w:afterAutospacing="1"/>
        <w:ind w:left="567"/>
      </w:pPr>
      <w:r w:rsidRPr="001653C5">
        <w:rPr>
          <w:rFonts w:cs="Arial"/>
          <w:i/>
          <w:szCs w:val="20"/>
          <w:lang w:eastAsia="en-AU"/>
        </w:rPr>
        <w:t xml:space="preserve">The </w:t>
      </w:r>
      <w:r>
        <w:rPr>
          <w:rFonts w:cs="Arial"/>
          <w:i/>
          <w:szCs w:val="20"/>
          <w:lang w:eastAsia="en-AU"/>
        </w:rPr>
        <w:t>c</w:t>
      </w:r>
      <w:r w:rsidRPr="001653C5">
        <w:rPr>
          <w:rFonts w:cs="Arial"/>
          <w:i/>
          <w:szCs w:val="20"/>
          <w:lang w:eastAsia="en-AU"/>
        </w:rPr>
        <w:t xml:space="preserve">ost </w:t>
      </w:r>
      <w:r>
        <w:rPr>
          <w:rFonts w:cs="Arial"/>
          <w:i/>
          <w:szCs w:val="20"/>
          <w:lang w:eastAsia="en-AU"/>
        </w:rPr>
        <w:t>e</w:t>
      </w:r>
      <w:r w:rsidRPr="001653C5">
        <w:rPr>
          <w:rFonts w:cs="Arial"/>
          <w:i/>
          <w:szCs w:val="20"/>
          <w:lang w:eastAsia="en-AU"/>
        </w:rPr>
        <w:t>stimates presented are high level estimates and must not be used for any other purpose.</w:t>
      </w:r>
      <w:r>
        <w:rPr>
          <w:rFonts w:cs="Arial"/>
          <w:i/>
          <w:szCs w:val="20"/>
          <w:lang w:eastAsia="en-AU"/>
        </w:rPr>
        <w:t xml:space="preserve"> </w:t>
      </w:r>
      <w:r w:rsidRPr="001653C5">
        <w:rPr>
          <w:rFonts w:cs="Arial"/>
          <w:i/>
          <w:szCs w:val="20"/>
          <w:lang w:eastAsia="en-AU"/>
        </w:rPr>
        <w:t xml:space="preserve">GHD and Boffa Miskell do not represent, warrant or guarantee that the works can or will be undertaken at a cost which is the same or less than the </w:t>
      </w:r>
      <w:r>
        <w:rPr>
          <w:rFonts w:cs="Arial"/>
          <w:i/>
          <w:szCs w:val="20"/>
          <w:lang w:eastAsia="en-AU"/>
        </w:rPr>
        <w:t>c</w:t>
      </w:r>
      <w:r w:rsidRPr="001653C5">
        <w:rPr>
          <w:rFonts w:cs="Arial"/>
          <w:i/>
          <w:szCs w:val="20"/>
          <w:lang w:eastAsia="en-AU"/>
        </w:rPr>
        <w:t xml:space="preserve">ost </w:t>
      </w:r>
      <w:r>
        <w:rPr>
          <w:rFonts w:cs="Arial"/>
          <w:i/>
          <w:szCs w:val="20"/>
          <w:lang w:eastAsia="en-AU"/>
        </w:rPr>
        <w:t>e</w:t>
      </w:r>
      <w:r w:rsidRPr="001653C5">
        <w:rPr>
          <w:rFonts w:cs="Arial"/>
          <w:i/>
          <w:szCs w:val="20"/>
          <w:lang w:eastAsia="en-AU"/>
        </w:rPr>
        <w:t>stimate.</w:t>
      </w:r>
      <w:r w:rsidR="0029489C" w:rsidRPr="0029489C">
        <w:rPr>
          <w:lang w:eastAsia="en-AU"/>
        </w:rPr>
        <w:br/>
      </w:r>
    </w:p>
    <w:p w14:paraId="024258A4" w14:textId="77777777" w:rsidR="002E1FD9" w:rsidRDefault="002E1FD9" w:rsidP="00E66F34">
      <w:pPr>
        <w:pStyle w:val="Heading1"/>
        <w:numPr>
          <w:ilvl w:val="0"/>
          <w:numId w:val="0"/>
        </w:numPr>
        <w:ind w:left="567" w:hanging="567"/>
        <w:sectPr w:rsidR="002E1FD9" w:rsidSect="00E65B15">
          <w:pgSz w:w="11907" w:h="16839" w:code="9"/>
          <w:pgMar w:top="1134" w:right="1134" w:bottom="1134" w:left="1701" w:header="181" w:footer="227" w:gutter="0"/>
          <w:cols w:space="340"/>
          <w:docGrid w:linePitch="360"/>
        </w:sectPr>
      </w:pPr>
    </w:p>
    <w:bookmarkStart w:id="680" w:name="_Toc265672527"/>
    <w:bookmarkStart w:id="681" w:name="_Toc269363924"/>
    <w:bookmarkStart w:id="682" w:name="_Toc269363936"/>
    <w:bookmarkStart w:id="683" w:name="_Toc269364819"/>
    <w:bookmarkStart w:id="684" w:name="_Toc269365353"/>
    <w:bookmarkStart w:id="685" w:name="_Toc269365361"/>
    <w:bookmarkStart w:id="686" w:name="_Toc269365477"/>
    <w:bookmarkStart w:id="687" w:name="_Toc269365510"/>
    <w:bookmarkStart w:id="688" w:name="_Toc269365531"/>
    <w:bookmarkStart w:id="689" w:name="_Toc269365543"/>
    <w:bookmarkStart w:id="690" w:name="_Toc269365613"/>
    <w:bookmarkStart w:id="691" w:name="_Toc269365649"/>
    <w:bookmarkStart w:id="692" w:name="_Toc269365784"/>
    <w:bookmarkStart w:id="693" w:name="_Toc269365960"/>
    <w:bookmarkStart w:id="694" w:name="_Toc269365980"/>
    <w:bookmarkStart w:id="695" w:name="_Toc269365989"/>
    <w:bookmarkStart w:id="696" w:name="_Toc269365997"/>
    <w:bookmarkStart w:id="697" w:name="_Toc269366004"/>
    <w:bookmarkStart w:id="698" w:name="_Toc269449202"/>
    <w:bookmarkStart w:id="699" w:name="_Toc269449688"/>
    <w:bookmarkStart w:id="700" w:name="_Toc269459545"/>
    <w:bookmarkStart w:id="701" w:name="_Toc269459563"/>
    <w:bookmarkStart w:id="702" w:name="_Toc269459660"/>
    <w:bookmarkStart w:id="703" w:name="_Toc269459698"/>
    <w:bookmarkStart w:id="704" w:name="_Toc271816656"/>
    <w:bookmarkStart w:id="705" w:name="_Toc272064633"/>
    <w:bookmarkStart w:id="706" w:name="_Toc272064638"/>
    <w:bookmarkStart w:id="707" w:name="_Toc272064641"/>
    <w:bookmarkStart w:id="708" w:name="_Toc272129016"/>
    <w:bookmarkStart w:id="709" w:name="_Toc272129019"/>
    <w:p w14:paraId="464F365D" w14:textId="77777777" w:rsidR="00447154" w:rsidRPr="00BC4E63" w:rsidRDefault="00367B99" w:rsidP="00E66F34">
      <w:pPr>
        <w:pStyle w:val="Body"/>
        <w:ind w:left="0"/>
      </w:pPr>
      <w:r w:rsidRPr="00BC4E63">
        <w:rPr>
          <w:noProof/>
          <w:lang w:val="en-NZ" w:eastAsia="en-NZ"/>
        </w:rPr>
        <w:lastRenderedPageBreak/>
        <mc:AlternateContent>
          <mc:Choice Requires="wps">
            <w:drawing>
              <wp:anchor distT="0" distB="0" distL="114300" distR="114300" simplePos="0" relativeHeight="251658244" behindDoc="1" locked="1" layoutInCell="1" allowOverlap="1" wp14:anchorId="12E335B9" wp14:editId="3190A5F7">
                <wp:simplePos x="0" y="0"/>
                <wp:positionH relativeFrom="page">
                  <wp:align>left</wp:align>
                </wp:positionH>
                <wp:positionV relativeFrom="page">
                  <wp:posOffset>6379845</wp:posOffset>
                </wp:positionV>
                <wp:extent cx="7560000" cy="2520000"/>
                <wp:effectExtent l="0" t="0" r="1905" b="0"/>
                <wp:wrapNone/>
                <wp:docPr id="25" name="APPImg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2520000"/>
                        </a:xfrm>
                        <a:prstGeom prst="rect">
                          <a:avLst/>
                        </a:prstGeom>
                        <a:solidFill>
                          <a:srgbClr val="0065A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B4D0C2" w14:textId="77777777" w:rsidR="00F33FB6" w:rsidRPr="00CE128F" w:rsidRDefault="00F33FB6" w:rsidP="00367B99">
                            <w:pPr>
                              <w:spacing w:after="24"/>
                              <w:ind w:right="678"/>
                              <w:jc w:val="right"/>
                              <w:rPr>
                                <w:rFonts w:ascii="Arial Black" w:hAnsi="Arial Black"/>
                                <w:color w:val="FFFFFF" w:themeColor="background1"/>
                                <w:sz w:val="40"/>
                                <w:szCs w:val="40"/>
                              </w:rPr>
                            </w:pPr>
                            <w:r>
                              <w:rPr>
                                <w:rFonts w:ascii="Arial Black" w:hAnsi="Arial Black"/>
                                <w:color w:val="FFFFFF" w:themeColor="background1"/>
                                <w:sz w:val="40"/>
                                <w:szCs w:val="40"/>
                              </w:rPr>
                              <w:t>Appendices</w:t>
                            </w:r>
                          </w:p>
                        </w:txbxContent>
                      </wps:txbx>
                      <wps:bodyPr rot="0" vert="horz" wrap="square" lIns="91440" tIns="45720" rIns="91440" bIns="45720" anchor="ctr" anchorCtr="0" upright="1">
                        <a:noAutofit/>
                      </wps:bodyPr>
                    </wps:wsp>
                  </a:graphicData>
                </a:graphic>
                <wp14:sizeRelH relativeFrom="page">
                  <wp14:pctWidth>100000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2E335B9" id="APPImg10" o:spid="_x0000_s1026" style="position:absolute;margin-left:0;margin-top:502.35pt;width:595.3pt;height:198.45pt;z-index:-251658236;visibility:visible;mso-wrap-style:square;mso-width-percent:1000;mso-height-percent:0;mso-wrap-distance-left:9pt;mso-wrap-distance-top:0;mso-wrap-distance-right:9pt;mso-wrap-distance-bottom:0;mso-position-horizontal:left;mso-position-horizontal-relative:page;mso-position-vertical:absolute;mso-position-vertical-relative:page;mso-width-percent:10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" fillcolor="#0065a4" stroked="f">
                <v:textbox>
                  <w:txbxContent>
                    <w:p w:rsidR="00F33FB6" w:rsidRPr="00CE128F" w:rsidRDefault="00F33FB6" w:rsidP="00367B99">
                      <w:pPr>
                        <w:spacing w:after="24"/>
                        <w:ind w:right="678"/>
                        <w:jc w:val="right"/>
                        <w:rPr>
                          <w:rFonts w:ascii="Arial Black" w:hAnsi="Arial Black"/>
                          <w:color w:val="FFFFFF" w:themeColor="background1"/>
                          <w:sz w:val="40"/>
                          <w:szCs w:val="40"/>
                        </w:rPr>
                      </w:pPr>
                      <w:r>
                        <w:rPr>
                          <w:rFonts w:ascii="Arial Black" w:hAnsi="Arial Black"/>
                          <w:color w:val="FFFFFF" w:themeColor="background1"/>
                          <w:sz w:val="40"/>
                          <w:szCs w:val="40"/>
                        </w:rPr>
                        <w:t>Appendices</w:t>
                      </w:r>
                    </w:p>
                  </w:txbxContent>
                </v:textbox>
                <w10:wrap anchorx="page" anchory="page"/>
                <w10:anchorlock/>
              </v:rect>
            </w:pict>
          </mc:Fallback>
        </mc:AlternateContent>
      </w:r>
    </w:p>
    <w:p w14:paraId="36B97A12" w14:textId="77777777" w:rsidR="00367B99" w:rsidRDefault="00367B99">
      <w:pPr>
        <w:spacing w:after="0"/>
      </w:pPr>
      <w:r>
        <w:br w:type="page"/>
      </w:r>
    </w:p>
    <w:p w14:paraId="048CC4FB" w14:textId="77777777" w:rsidR="00FB012A" w:rsidRDefault="006433E3" w:rsidP="00FB012A">
      <w:pPr>
        <w:pStyle w:val="Appendix"/>
      </w:pPr>
      <w:bookmarkStart w:id="710" w:name="_Toc320430262"/>
      <w:bookmarkStart w:id="711" w:name="_Toc320430271"/>
      <w:bookmarkStart w:id="712" w:name="_Toc320430578"/>
      <w:bookmarkStart w:id="713" w:name="_Toc320430585"/>
      <w:bookmarkStart w:id="714" w:name="_Toc320519495"/>
      <w:bookmarkStart w:id="715" w:name="_Toc320519502"/>
      <w:bookmarkStart w:id="716" w:name="_Toc320525165"/>
      <w:bookmarkStart w:id="717" w:name="_Toc320525172"/>
      <w:bookmarkStart w:id="718" w:name="_Toc325456681"/>
      <w:bookmarkStart w:id="719" w:name="_Toc325456688"/>
      <w:bookmarkStart w:id="720" w:name="_Toc325456695"/>
      <w:bookmarkStart w:id="721" w:name="_Toc334769824"/>
      <w:bookmarkStart w:id="722" w:name="_Toc334769831"/>
      <w:bookmarkStart w:id="723" w:name="_Toc334775741"/>
      <w:bookmarkStart w:id="724" w:name="_Toc334776112"/>
      <w:bookmarkStart w:id="725" w:name="_Toc334776142"/>
      <w:bookmarkStart w:id="726" w:name="_Toc334776149"/>
      <w:bookmarkStart w:id="727" w:name="_Toc334776324"/>
      <w:bookmarkStart w:id="728" w:name="_Toc513722651"/>
      <w:bookmarkStart w:id="729" w:name="_Toc513722652"/>
      <w:bookmarkStart w:id="730" w:name="_Toc513723478"/>
      <w:bookmarkStart w:id="731" w:name="_Toc513723479"/>
      <w:bookmarkStart w:id="732" w:name="_Toc513723513"/>
      <w:bookmarkStart w:id="733" w:name="_Toc513723514"/>
      <w:bookmarkStart w:id="734" w:name="_Toc513733622"/>
      <w:bookmarkStart w:id="735" w:name="_Toc513733623"/>
      <w:bookmarkStart w:id="736" w:name="_Toc517254462"/>
      <w:bookmarkStart w:id="737" w:name="_Ref517353420"/>
      <w:bookmarkStart w:id="738" w:name="_Toc517687769"/>
      <w:bookmarkStart w:id="739" w:name="_Toc517687772"/>
      <w:bookmarkStart w:id="740" w:name="_Toc517698911"/>
      <w:bookmarkStart w:id="741" w:name="_Toc517795806"/>
      <w:bookmarkStart w:id="742" w:name="_Toc517795842"/>
      <w:bookmarkStart w:id="743" w:name="_Toc517796094"/>
      <w:bookmarkStart w:id="744" w:name="_Toc518540286"/>
      <w:bookmarkStart w:id="745" w:name="_Toc518540289"/>
      <w:bookmarkStart w:id="746" w:name="_Toc518648674"/>
      <w:bookmarkStart w:id="747" w:name="_Toc518659670"/>
      <w:bookmarkStart w:id="748" w:name="_Toc518659748"/>
      <w:bookmarkStart w:id="749" w:name="_Toc518659955"/>
      <w:bookmarkStart w:id="750" w:name="_Toc520963137"/>
      <w:bookmarkStart w:id="751" w:name="_Toc520963140"/>
      <w:bookmarkStart w:id="752" w:name="_Toc521055389"/>
      <w:bookmarkStart w:id="753" w:name="_Toc521055392"/>
      <w:bookmarkStart w:id="754" w:name="_Toc521058290"/>
      <w:bookmarkStart w:id="755" w:name="_Toc521062206"/>
      <w:bookmarkStart w:id="756" w:name="_Toc521062284"/>
      <w:bookmarkStart w:id="757" w:name="_Toc521064818"/>
      <w:bookmarkStart w:id="758" w:name="_Toc523143926"/>
      <w:bookmarkStart w:id="759" w:name="_Toc523143929"/>
      <w:bookmarkStart w:id="760" w:name="_Ref516730391"/>
      <w:bookmarkStart w:id="761" w:name="_Toc516739076"/>
      <w:bookmarkStart w:id="762" w:name="_Toc516740804"/>
      <w:bookmarkStart w:id="763" w:name="_Toc516741315"/>
      <w:bookmarkStart w:id="764" w:name="_Toc516809688"/>
      <w:bookmarkStart w:id="765" w:name="_Toc516822519"/>
      <w:bookmarkStart w:id="766" w:name="_Toc516839815"/>
      <w:bookmarkStart w:id="767" w:name="_Toc516840487"/>
      <w:bookmarkStart w:id="768" w:name="_Toc516841497"/>
      <w:bookmarkStart w:id="769" w:name="_Toc516841728"/>
      <w:bookmarkStart w:id="770" w:name="_Toc516841730"/>
      <w:bookmarkStart w:id="771" w:name="_Toc517186073"/>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r>
        <w:lastRenderedPageBreak/>
        <w:t>–</w:t>
      </w:r>
      <w:r w:rsidR="00413A42">
        <w:t xml:space="preserve"> </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r w:rsidR="006D24C0">
        <w:t xml:space="preserve">Common Abbreviations and </w:t>
      </w:r>
      <w:r>
        <w:t>Glossary</w:t>
      </w:r>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14:paraId="276D8CC1" w14:textId="77777777" w:rsidR="006D24C0" w:rsidRDefault="006D24C0" w:rsidP="00A352AD">
      <w:pPr>
        <w:pStyle w:val="Body"/>
      </w:pPr>
    </w:p>
    <w:p w14:paraId="30BD8B1A" w14:textId="77777777" w:rsidR="006D24C0" w:rsidRDefault="006D24C0" w:rsidP="006D24C0">
      <w:pPr>
        <w:pStyle w:val="Caption"/>
      </w:pPr>
      <w:r w:rsidRPr="000B4C97">
        <w:t>Common Abbreviations</w:t>
      </w:r>
    </w:p>
    <w:p w14:paraId="728E26C1" w14:textId="77777777" w:rsidR="00A924E4" w:rsidRPr="00A924E4" w:rsidRDefault="00A924E4" w:rsidP="00A924E4">
      <w:pPr>
        <w:pStyle w:val="Body"/>
      </w:pPr>
    </w:p>
    <w:tbl>
      <w:tblPr>
        <w:tblStyle w:val="Table-Style32"/>
        <w:tblW w:w="0" w:type="auto"/>
        <w:tblInd w:w="577" w:type="dxa"/>
        <w:tblLook w:val="04A0" w:firstRow="1" w:lastRow="0" w:firstColumn="1" w:lastColumn="0" w:noHBand="0" w:noVBand="1"/>
      </w:tblPr>
      <w:tblGrid>
        <w:gridCol w:w="3402"/>
        <w:gridCol w:w="5074"/>
      </w:tblGrid>
      <w:tr w:rsidR="006D24C0" w:rsidRPr="000B4C97" w14:paraId="6A2E1B5B" w14:textId="77777777" w:rsidTr="00A924E4">
        <w:trPr>
          <w:cnfStyle w:val="100000000000" w:firstRow="1" w:lastRow="0" w:firstColumn="0" w:lastColumn="0" w:oddVBand="0" w:evenVBand="0" w:oddHBand="0" w:evenHBand="0" w:firstRowFirstColumn="0" w:firstRowLastColumn="0" w:lastRowFirstColumn="0" w:lastRowLastColumn="0"/>
          <w:trHeight w:val="513"/>
          <w:tblHeader/>
        </w:trPr>
        <w:tc>
          <w:tcPr>
            <w:tcW w:w="3402" w:type="dxa"/>
          </w:tcPr>
          <w:p w14:paraId="5271B0CD" w14:textId="77777777" w:rsidR="006D24C0" w:rsidRPr="000B4C97" w:rsidRDefault="006D24C0" w:rsidP="00640C02">
            <w:pPr>
              <w:pStyle w:val="Body"/>
              <w:ind w:left="0"/>
            </w:pPr>
            <w:r>
              <w:t>A</w:t>
            </w:r>
            <w:r w:rsidRPr="000B4C97">
              <w:t>bbreviation</w:t>
            </w:r>
          </w:p>
        </w:tc>
        <w:tc>
          <w:tcPr>
            <w:tcW w:w="5074" w:type="dxa"/>
          </w:tcPr>
          <w:p w14:paraId="6E987785" w14:textId="77777777" w:rsidR="006D24C0" w:rsidRPr="000B4C97" w:rsidRDefault="006D24C0" w:rsidP="00640C02">
            <w:pPr>
              <w:pStyle w:val="Body"/>
              <w:ind w:left="0"/>
            </w:pPr>
            <w:r w:rsidRPr="000B4C97">
              <w:t>Definition</w:t>
            </w:r>
          </w:p>
        </w:tc>
      </w:tr>
      <w:tr w:rsidR="006D24C0" w:rsidRPr="000B4C97" w14:paraId="7ECBBCDF" w14:textId="77777777" w:rsidTr="00A924E4">
        <w:tc>
          <w:tcPr>
            <w:tcW w:w="3402" w:type="dxa"/>
          </w:tcPr>
          <w:p w14:paraId="05DC5D6F" w14:textId="77777777" w:rsidR="006D24C0" w:rsidRPr="000B4C97" w:rsidRDefault="006D24C0" w:rsidP="00640C02">
            <w:pPr>
              <w:pStyle w:val="Body"/>
              <w:ind w:left="0"/>
            </w:pPr>
            <w:r w:rsidRPr="000B4C97">
              <w:t>ADWF</w:t>
            </w:r>
          </w:p>
        </w:tc>
        <w:tc>
          <w:tcPr>
            <w:tcW w:w="5074" w:type="dxa"/>
          </w:tcPr>
          <w:p w14:paraId="71F929F6" w14:textId="77777777" w:rsidR="006D24C0" w:rsidRPr="000B4C97" w:rsidRDefault="006D24C0" w:rsidP="00640C02">
            <w:pPr>
              <w:pStyle w:val="Body"/>
              <w:ind w:left="0"/>
            </w:pPr>
            <w:r w:rsidRPr="000B4C97">
              <w:t>Average Dry Weather Flow</w:t>
            </w:r>
          </w:p>
        </w:tc>
      </w:tr>
      <w:tr w:rsidR="006D24C0" w:rsidRPr="000B4C97" w14:paraId="2A2192CE" w14:textId="77777777" w:rsidTr="00A924E4">
        <w:tc>
          <w:tcPr>
            <w:tcW w:w="3402" w:type="dxa"/>
          </w:tcPr>
          <w:p w14:paraId="6919B69D" w14:textId="77777777" w:rsidR="006D24C0" w:rsidRPr="000B4C97" w:rsidRDefault="006D24C0" w:rsidP="00640C02">
            <w:pPr>
              <w:pStyle w:val="Body"/>
              <w:ind w:left="0"/>
            </w:pPr>
            <w:r w:rsidRPr="000B4C97">
              <w:t>BCI</w:t>
            </w:r>
          </w:p>
        </w:tc>
        <w:tc>
          <w:tcPr>
            <w:tcW w:w="5074" w:type="dxa"/>
          </w:tcPr>
          <w:p w14:paraId="1A7F8BC4" w14:textId="77777777" w:rsidR="006D24C0" w:rsidRPr="000B4C97" w:rsidRDefault="006D24C0" w:rsidP="00640C02">
            <w:pPr>
              <w:pStyle w:val="Body"/>
              <w:ind w:left="0"/>
            </w:pPr>
            <w:r w:rsidRPr="000B4C97">
              <w:t>Building Cost Index</w:t>
            </w:r>
          </w:p>
        </w:tc>
      </w:tr>
      <w:tr w:rsidR="006D24C0" w:rsidRPr="000B4C97" w14:paraId="4E87B70A" w14:textId="77777777" w:rsidTr="00A924E4">
        <w:tc>
          <w:tcPr>
            <w:tcW w:w="3402" w:type="dxa"/>
          </w:tcPr>
          <w:p w14:paraId="6509AFF1" w14:textId="77777777" w:rsidR="006D24C0" w:rsidRPr="000B4C97" w:rsidRDefault="006D24C0" w:rsidP="00640C02">
            <w:pPr>
              <w:pStyle w:val="Body"/>
              <w:ind w:left="0"/>
            </w:pPr>
            <w:r w:rsidRPr="000B4C97">
              <w:t>BNR</w:t>
            </w:r>
          </w:p>
        </w:tc>
        <w:tc>
          <w:tcPr>
            <w:tcW w:w="5074" w:type="dxa"/>
          </w:tcPr>
          <w:p w14:paraId="3FAF98DA" w14:textId="77777777" w:rsidR="006D24C0" w:rsidRPr="000B4C97" w:rsidRDefault="006D24C0" w:rsidP="00640C02">
            <w:pPr>
              <w:pStyle w:val="Body"/>
              <w:ind w:left="0"/>
            </w:pPr>
            <w:r w:rsidRPr="000B4C97">
              <w:t xml:space="preserve">Biological Nutrient Removal </w:t>
            </w:r>
          </w:p>
        </w:tc>
      </w:tr>
      <w:tr w:rsidR="006D24C0" w:rsidRPr="000B4C97" w14:paraId="1D14E48F" w14:textId="77777777" w:rsidTr="00A924E4">
        <w:tc>
          <w:tcPr>
            <w:tcW w:w="3402" w:type="dxa"/>
          </w:tcPr>
          <w:p w14:paraId="4785DE4A" w14:textId="77777777" w:rsidR="006D24C0" w:rsidRPr="000B4C97" w:rsidRDefault="006D24C0" w:rsidP="00640C02">
            <w:pPr>
              <w:pStyle w:val="Body"/>
              <w:ind w:left="0"/>
            </w:pPr>
            <w:r>
              <w:t>BPO</w:t>
            </w:r>
          </w:p>
        </w:tc>
        <w:tc>
          <w:tcPr>
            <w:tcW w:w="5074" w:type="dxa"/>
          </w:tcPr>
          <w:p w14:paraId="75AD86AF" w14:textId="77777777" w:rsidR="006D24C0" w:rsidRPr="000B4C97" w:rsidRDefault="006D24C0" w:rsidP="00640C02">
            <w:pPr>
              <w:pStyle w:val="Body"/>
              <w:ind w:left="0"/>
            </w:pPr>
            <w:r>
              <w:t>Best Practicable Option</w:t>
            </w:r>
          </w:p>
        </w:tc>
      </w:tr>
      <w:tr w:rsidR="006D24C0" w:rsidRPr="000B4C97" w14:paraId="0BDCC1C5" w14:textId="77777777" w:rsidTr="00A924E4">
        <w:tc>
          <w:tcPr>
            <w:tcW w:w="3402" w:type="dxa"/>
          </w:tcPr>
          <w:p w14:paraId="4590F487" w14:textId="77777777" w:rsidR="006D24C0" w:rsidRPr="000B4C97" w:rsidRDefault="006D24C0" w:rsidP="00640C02">
            <w:pPr>
              <w:pStyle w:val="Body"/>
              <w:ind w:left="0"/>
            </w:pPr>
            <w:r w:rsidRPr="000B4C97">
              <w:t>CSO</w:t>
            </w:r>
          </w:p>
        </w:tc>
        <w:tc>
          <w:tcPr>
            <w:tcW w:w="5074" w:type="dxa"/>
          </w:tcPr>
          <w:p w14:paraId="6501A9D2" w14:textId="77777777" w:rsidR="006D24C0" w:rsidRPr="000B4C97" w:rsidRDefault="006D24C0" w:rsidP="00640C02">
            <w:pPr>
              <w:pStyle w:val="Body"/>
              <w:ind w:left="0"/>
            </w:pPr>
            <w:r w:rsidRPr="000B4C97">
              <w:t>Combined Sewer Overflow</w:t>
            </w:r>
          </w:p>
        </w:tc>
      </w:tr>
      <w:tr w:rsidR="006D24C0" w:rsidRPr="000B4C97" w14:paraId="51161409" w14:textId="77777777" w:rsidTr="00A924E4">
        <w:tc>
          <w:tcPr>
            <w:tcW w:w="3402" w:type="dxa"/>
          </w:tcPr>
          <w:p w14:paraId="2F026C4C" w14:textId="77777777" w:rsidR="006D24C0" w:rsidRPr="000B4C97" w:rsidRDefault="006D24C0" w:rsidP="00640C02">
            <w:pPr>
              <w:pStyle w:val="Body"/>
              <w:ind w:left="0"/>
            </w:pPr>
            <w:r w:rsidRPr="000B4C97">
              <w:t>DWF</w:t>
            </w:r>
          </w:p>
        </w:tc>
        <w:tc>
          <w:tcPr>
            <w:tcW w:w="5074" w:type="dxa"/>
          </w:tcPr>
          <w:p w14:paraId="0B016F43" w14:textId="77777777" w:rsidR="006D24C0" w:rsidRPr="000B4C97" w:rsidRDefault="006D24C0" w:rsidP="00640C02">
            <w:pPr>
              <w:pStyle w:val="Body"/>
              <w:ind w:left="0"/>
            </w:pPr>
            <w:r w:rsidRPr="000B4C97">
              <w:t>Dry Weather Flow</w:t>
            </w:r>
          </w:p>
        </w:tc>
      </w:tr>
      <w:tr w:rsidR="006D24C0" w:rsidRPr="000B4C97" w14:paraId="5ED35066" w14:textId="77777777" w:rsidTr="00A924E4">
        <w:tc>
          <w:tcPr>
            <w:tcW w:w="3402" w:type="dxa"/>
          </w:tcPr>
          <w:p w14:paraId="570B8E09" w14:textId="77777777" w:rsidR="006D24C0" w:rsidRPr="000B4C97" w:rsidRDefault="006D24C0" w:rsidP="00640C02">
            <w:pPr>
              <w:pStyle w:val="Body"/>
              <w:ind w:left="0"/>
            </w:pPr>
            <w:r w:rsidRPr="000B4C97">
              <w:t>DWO</w:t>
            </w:r>
          </w:p>
        </w:tc>
        <w:tc>
          <w:tcPr>
            <w:tcW w:w="5074" w:type="dxa"/>
          </w:tcPr>
          <w:p w14:paraId="7154D744" w14:textId="77777777" w:rsidR="006D24C0" w:rsidRPr="000B4C97" w:rsidRDefault="006D24C0" w:rsidP="00640C02">
            <w:pPr>
              <w:pStyle w:val="Body"/>
              <w:ind w:left="0"/>
            </w:pPr>
            <w:r w:rsidRPr="000B4C97">
              <w:t>Dry Weather Overflow</w:t>
            </w:r>
          </w:p>
        </w:tc>
      </w:tr>
      <w:tr w:rsidR="006D24C0" w:rsidRPr="000B4C97" w14:paraId="67FC2D30" w14:textId="77777777" w:rsidTr="00A924E4">
        <w:tc>
          <w:tcPr>
            <w:tcW w:w="3402" w:type="dxa"/>
          </w:tcPr>
          <w:p w14:paraId="6BC04D44" w14:textId="77777777" w:rsidR="006D24C0" w:rsidRPr="00640C02" w:rsidRDefault="006D24C0" w:rsidP="00640C02">
            <w:pPr>
              <w:pStyle w:val="Body"/>
              <w:ind w:left="0"/>
            </w:pPr>
            <w:r w:rsidRPr="00640C02">
              <w:t>E.coli</w:t>
            </w:r>
          </w:p>
        </w:tc>
        <w:tc>
          <w:tcPr>
            <w:tcW w:w="5074" w:type="dxa"/>
          </w:tcPr>
          <w:p w14:paraId="4B611F57" w14:textId="77777777" w:rsidR="006D24C0" w:rsidRPr="000B4C97" w:rsidRDefault="006D24C0" w:rsidP="00640C02">
            <w:pPr>
              <w:pStyle w:val="Body"/>
              <w:ind w:left="0"/>
            </w:pPr>
            <w:r w:rsidRPr="00A737E5">
              <w:t xml:space="preserve">Escherichia coli </w:t>
            </w:r>
          </w:p>
        </w:tc>
      </w:tr>
      <w:tr w:rsidR="006D24C0" w:rsidRPr="000B4C97" w14:paraId="0CED3E14" w14:textId="77777777" w:rsidTr="00A924E4">
        <w:tc>
          <w:tcPr>
            <w:tcW w:w="3402" w:type="dxa"/>
          </w:tcPr>
          <w:p w14:paraId="505E6972" w14:textId="77777777" w:rsidR="006D24C0" w:rsidRPr="000B4C97" w:rsidRDefault="006D24C0" w:rsidP="00640C02">
            <w:pPr>
              <w:pStyle w:val="Body"/>
              <w:ind w:left="0"/>
            </w:pPr>
            <w:r w:rsidRPr="000B4C97">
              <w:t>GIS</w:t>
            </w:r>
          </w:p>
        </w:tc>
        <w:tc>
          <w:tcPr>
            <w:tcW w:w="5074" w:type="dxa"/>
          </w:tcPr>
          <w:p w14:paraId="5100208A" w14:textId="77777777" w:rsidR="006D24C0" w:rsidRPr="000B4C97" w:rsidRDefault="006D24C0" w:rsidP="00640C02">
            <w:pPr>
              <w:pStyle w:val="Body"/>
              <w:ind w:left="0"/>
            </w:pPr>
            <w:r w:rsidRPr="000B4C97">
              <w:t>Geographical information System</w:t>
            </w:r>
          </w:p>
        </w:tc>
      </w:tr>
      <w:tr w:rsidR="006D24C0" w:rsidRPr="000B4C97" w14:paraId="4934F747" w14:textId="77777777" w:rsidTr="00A924E4">
        <w:tc>
          <w:tcPr>
            <w:tcW w:w="3402" w:type="dxa"/>
          </w:tcPr>
          <w:p w14:paraId="047346FB" w14:textId="77777777" w:rsidR="006D24C0" w:rsidRPr="000B4C97" w:rsidRDefault="006D24C0" w:rsidP="00640C02">
            <w:pPr>
              <w:pStyle w:val="Body"/>
              <w:ind w:left="0"/>
            </w:pPr>
            <w:r w:rsidRPr="000B4C97">
              <w:t>NPS</w:t>
            </w:r>
          </w:p>
        </w:tc>
        <w:tc>
          <w:tcPr>
            <w:tcW w:w="5074" w:type="dxa"/>
          </w:tcPr>
          <w:p w14:paraId="5576CA1F" w14:textId="77777777" w:rsidR="006D24C0" w:rsidRPr="000B4C97" w:rsidRDefault="006D24C0" w:rsidP="00640C02">
            <w:pPr>
              <w:pStyle w:val="Body"/>
              <w:ind w:left="0"/>
            </w:pPr>
            <w:r w:rsidRPr="000B4C97">
              <w:t>National Policy Statement</w:t>
            </w:r>
          </w:p>
        </w:tc>
      </w:tr>
      <w:tr w:rsidR="006D24C0" w:rsidRPr="000B4C97" w14:paraId="24BCAD21" w14:textId="77777777" w:rsidTr="00A924E4">
        <w:tc>
          <w:tcPr>
            <w:tcW w:w="3402" w:type="dxa"/>
          </w:tcPr>
          <w:p w14:paraId="0FFF4DD7" w14:textId="77777777" w:rsidR="006D24C0" w:rsidRPr="000B4C97" w:rsidRDefault="006D24C0" w:rsidP="00640C02">
            <w:pPr>
              <w:pStyle w:val="Body"/>
              <w:ind w:left="0"/>
            </w:pPr>
            <w:r w:rsidRPr="000B4C97">
              <w:t>MBR</w:t>
            </w:r>
          </w:p>
        </w:tc>
        <w:tc>
          <w:tcPr>
            <w:tcW w:w="5074" w:type="dxa"/>
          </w:tcPr>
          <w:p w14:paraId="5059EBEC" w14:textId="77777777" w:rsidR="006D24C0" w:rsidRPr="000B4C97" w:rsidRDefault="006D24C0" w:rsidP="00640C02">
            <w:pPr>
              <w:pStyle w:val="Body"/>
              <w:ind w:left="0"/>
            </w:pPr>
            <w:r w:rsidRPr="000B4C97">
              <w:t xml:space="preserve">Membrane Bioreactors </w:t>
            </w:r>
          </w:p>
        </w:tc>
      </w:tr>
      <w:tr w:rsidR="006D24C0" w:rsidRPr="000B4C97" w14:paraId="43625181" w14:textId="77777777" w:rsidTr="00A924E4">
        <w:tc>
          <w:tcPr>
            <w:tcW w:w="3402" w:type="dxa"/>
          </w:tcPr>
          <w:p w14:paraId="754A9025" w14:textId="77777777" w:rsidR="006D24C0" w:rsidRPr="000B4C97" w:rsidRDefault="006D24C0" w:rsidP="00640C02">
            <w:pPr>
              <w:pStyle w:val="Body"/>
              <w:ind w:left="0"/>
            </w:pPr>
            <w:r w:rsidRPr="000B4C97">
              <w:t>PCI</w:t>
            </w:r>
          </w:p>
        </w:tc>
        <w:tc>
          <w:tcPr>
            <w:tcW w:w="5074" w:type="dxa"/>
          </w:tcPr>
          <w:p w14:paraId="4888CE62" w14:textId="77777777" w:rsidR="006D24C0" w:rsidRPr="000B4C97" w:rsidRDefault="006D24C0" w:rsidP="00640C02">
            <w:pPr>
              <w:pStyle w:val="Body"/>
              <w:ind w:left="0"/>
            </w:pPr>
            <w:r w:rsidRPr="000B4C97">
              <w:t xml:space="preserve">Plant Cost Index </w:t>
            </w:r>
          </w:p>
        </w:tc>
      </w:tr>
      <w:tr w:rsidR="006D24C0" w:rsidRPr="000B4C97" w14:paraId="125A1B19" w14:textId="77777777" w:rsidTr="00A924E4">
        <w:tc>
          <w:tcPr>
            <w:tcW w:w="3402" w:type="dxa"/>
          </w:tcPr>
          <w:p w14:paraId="2DDD9BC7" w14:textId="77777777" w:rsidR="006D24C0" w:rsidRPr="000B4C97" w:rsidRDefault="006D24C0" w:rsidP="00640C02">
            <w:pPr>
              <w:pStyle w:val="Body"/>
              <w:ind w:left="0"/>
            </w:pPr>
            <w:r>
              <w:t>PE</w:t>
            </w:r>
          </w:p>
        </w:tc>
        <w:tc>
          <w:tcPr>
            <w:tcW w:w="5074" w:type="dxa"/>
          </w:tcPr>
          <w:p w14:paraId="29ADF9EF" w14:textId="77777777" w:rsidR="006D24C0" w:rsidRPr="000B4C97" w:rsidRDefault="006D24C0" w:rsidP="00640C02">
            <w:pPr>
              <w:pStyle w:val="Body"/>
              <w:ind w:left="0"/>
            </w:pPr>
            <w:r>
              <w:t>Population Equivalent</w:t>
            </w:r>
          </w:p>
        </w:tc>
      </w:tr>
      <w:tr w:rsidR="006D24C0" w:rsidRPr="000B4C97" w14:paraId="629B8D8D" w14:textId="77777777" w:rsidTr="00A924E4">
        <w:tc>
          <w:tcPr>
            <w:tcW w:w="3402" w:type="dxa"/>
          </w:tcPr>
          <w:p w14:paraId="25CE3652" w14:textId="77777777" w:rsidR="006D24C0" w:rsidRPr="000B4C97" w:rsidRDefault="006D24C0" w:rsidP="00640C02">
            <w:pPr>
              <w:pStyle w:val="Body"/>
              <w:ind w:left="0"/>
            </w:pPr>
            <w:r w:rsidRPr="000B4C97">
              <w:t>RDII</w:t>
            </w:r>
          </w:p>
        </w:tc>
        <w:tc>
          <w:tcPr>
            <w:tcW w:w="5074" w:type="dxa"/>
          </w:tcPr>
          <w:p w14:paraId="7306B004" w14:textId="77777777" w:rsidR="006D24C0" w:rsidRPr="000B4C97" w:rsidRDefault="006D24C0" w:rsidP="00640C02">
            <w:pPr>
              <w:pStyle w:val="Body"/>
              <w:ind w:left="0"/>
            </w:pPr>
            <w:r w:rsidRPr="000B4C97">
              <w:t>Rainfall Derived Inflow and Infiltration</w:t>
            </w:r>
          </w:p>
        </w:tc>
      </w:tr>
      <w:tr w:rsidR="006D24C0" w:rsidRPr="000B4C97" w14:paraId="3600E051" w14:textId="77777777" w:rsidTr="00A924E4">
        <w:tc>
          <w:tcPr>
            <w:tcW w:w="3402" w:type="dxa"/>
          </w:tcPr>
          <w:p w14:paraId="04923D0F" w14:textId="77777777" w:rsidR="006D24C0" w:rsidRPr="000B4C97" w:rsidRDefault="006D24C0" w:rsidP="00640C02">
            <w:pPr>
              <w:pStyle w:val="Body"/>
              <w:ind w:left="0"/>
            </w:pPr>
            <w:r>
              <w:t>RMA</w:t>
            </w:r>
          </w:p>
        </w:tc>
        <w:tc>
          <w:tcPr>
            <w:tcW w:w="5074" w:type="dxa"/>
          </w:tcPr>
          <w:p w14:paraId="793D0BF6" w14:textId="77777777" w:rsidR="006D24C0" w:rsidRPr="000B4C97" w:rsidRDefault="006D24C0" w:rsidP="00640C02">
            <w:pPr>
              <w:pStyle w:val="Body"/>
              <w:ind w:left="0"/>
            </w:pPr>
            <w:r>
              <w:t>Resource Management Act</w:t>
            </w:r>
          </w:p>
        </w:tc>
      </w:tr>
      <w:tr w:rsidR="006D24C0" w:rsidRPr="000B4C97" w14:paraId="4807AE7B" w14:textId="77777777" w:rsidTr="00A924E4">
        <w:tc>
          <w:tcPr>
            <w:tcW w:w="3402" w:type="dxa"/>
          </w:tcPr>
          <w:p w14:paraId="5AAA5851" w14:textId="77777777" w:rsidR="006D24C0" w:rsidRPr="000B4C97" w:rsidRDefault="006D24C0" w:rsidP="00640C02">
            <w:pPr>
              <w:pStyle w:val="Body"/>
              <w:ind w:left="0"/>
            </w:pPr>
            <w:r w:rsidRPr="000B4C97">
              <w:t>SBR</w:t>
            </w:r>
          </w:p>
        </w:tc>
        <w:tc>
          <w:tcPr>
            <w:tcW w:w="5074" w:type="dxa"/>
          </w:tcPr>
          <w:p w14:paraId="540B13E9" w14:textId="77777777" w:rsidR="006D24C0" w:rsidRPr="000B4C97" w:rsidRDefault="006D24C0" w:rsidP="00640C02">
            <w:pPr>
              <w:pStyle w:val="Body"/>
              <w:ind w:left="0"/>
            </w:pPr>
            <w:r w:rsidRPr="000B4C97">
              <w:t xml:space="preserve">Sequencing Batch Reactors </w:t>
            </w:r>
          </w:p>
        </w:tc>
      </w:tr>
      <w:tr w:rsidR="006D24C0" w:rsidRPr="000B4C97" w14:paraId="676CFD21" w14:textId="77777777" w:rsidTr="00A924E4">
        <w:tc>
          <w:tcPr>
            <w:tcW w:w="3402" w:type="dxa"/>
          </w:tcPr>
          <w:p w14:paraId="69BD808B" w14:textId="77777777" w:rsidR="006D24C0" w:rsidRPr="000B4C97" w:rsidRDefault="006D24C0" w:rsidP="00640C02">
            <w:pPr>
              <w:pStyle w:val="Body"/>
              <w:ind w:left="0"/>
            </w:pPr>
            <w:r w:rsidRPr="000B4C97">
              <w:t>WSP</w:t>
            </w:r>
          </w:p>
        </w:tc>
        <w:tc>
          <w:tcPr>
            <w:tcW w:w="5074" w:type="dxa"/>
          </w:tcPr>
          <w:p w14:paraId="25F948DD" w14:textId="77777777" w:rsidR="006D24C0" w:rsidRPr="000B4C97" w:rsidRDefault="006D24C0" w:rsidP="00640C02">
            <w:pPr>
              <w:pStyle w:val="Body"/>
              <w:ind w:left="0"/>
            </w:pPr>
            <w:r w:rsidRPr="000B4C97">
              <w:t>Waste Stabilisation Pond</w:t>
            </w:r>
          </w:p>
        </w:tc>
      </w:tr>
      <w:tr w:rsidR="006D24C0" w:rsidRPr="000B4C97" w14:paraId="12918D89" w14:textId="77777777" w:rsidTr="00A924E4">
        <w:tc>
          <w:tcPr>
            <w:tcW w:w="3402" w:type="dxa"/>
          </w:tcPr>
          <w:p w14:paraId="5B37D9B1" w14:textId="77777777" w:rsidR="006D24C0" w:rsidRPr="000B4C97" w:rsidRDefault="006D24C0" w:rsidP="00640C02">
            <w:pPr>
              <w:pStyle w:val="Body"/>
              <w:ind w:left="0"/>
            </w:pPr>
            <w:r w:rsidRPr="000B4C97">
              <w:t>WWTP</w:t>
            </w:r>
          </w:p>
        </w:tc>
        <w:tc>
          <w:tcPr>
            <w:tcW w:w="5074" w:type="dxa"/>
          </w:tcPr>
          <w:p w14:paraId="08A73B10" w14:textId="77777777" w:rsidR="006D24C0" w:rsidRPr="000B4C97" w:rsidRDefault="006D24C0" w:rsidP="00640C02">
            <w:pPr>
              <w:pStyle w:val="Body"/>
              <w:ind w:left="0"/>
            </w:pPr>
            <w:r w:rsidRPr="000B4C97">
              <w:t>Municipal Wastewater Treatment Plant</w:t>
            </w:r>
          </w:p>
        </w:tc>
      </w:tr>
      <w:tr w:rsidR="006D24C0" w:rsidRPr="000B4C97" w14:paraId="195AA351" w14:textId="77777777" w:rsidTr="00A924E4">
        <w:tc>
          <w:tcPr>
            <w:tcW w:w="3402" w:type="dxa"/>
          </w:tcPr>
          <w:p w14:paraId="74EF8780" w14:textId="77777777" w:rsidR="006D24C0" w:rsidRPr="000B4C97" w:rsidRDefault="006D24C0" w:rsidP="00640C02">
            <w:pPr>
              <w:pStyle w:val="Body"/>
              <w:ind w:left="0"/>
            </w:pPr>
            <w:r w:rsidRPr="000B4C97">
              <w:t>WWO</w:t>
            </w:r>
          </w:p>
        </w:tc>
        <w:tc>
          <w:tcPr>
            <w:tcW w:w="5074" w:type="dxa"/>
          </w:tcPr>
          <w:p w14:paraId="242E2553" w14:textId="77777777" w:rsidR="006D24C0" w:rsidRPr="000B4C97" w:rsidRDefault="006D24C0" w:rsidP="00640C02">
            <w:pPr>
              <w:pStyle w:val="Body"/>
              <w:ind w:left="0"/>
            </w:pPr>
            <w:r w:rsidRPr="000B4C97">
              <w:t>Wet Weather Overflow</w:t>
            </w:r>
          </w:p>
        </w:tc>
      </w:tr>
      <w:tr w:rsidR="006D24C0" w:rsidRPr="000B4C97" w14:paraId="2C30527D" w14:textId="77777777" w:rsidTr="00A924E4">
        <w:tc>
          <w:tcPr>
            <w:tcW w:w="3402" w:type="dxa"/>
          </w:tcPr>
          <w:p w14:paraId="45381CD0" w14:textId="77777777" w:rsidR="006D24C0" w:rsidRPr="000B4C97" w:rsidRDefault="006D24C0" w:rsidP="00640C02">
            <w:pPr>
              <w:pStyle w:val="Body"/>
              <w:ind w:left="0"/>
            </w:pPr>
            <w:r w:rsidRPr="000B4C97">
              <w:t>WWF</w:t>
            </w:r>
          </w:p>
        </w:tc>
        <w:tc>
          <w:tcPr>
            <w:tcW w:w="5074" w:type="dxa"/>
          </w:tcPr>
          <w:p w14:paraId="14B62EDB" w14:textId="77777777" w:rsidR="006D24C0" w:rsidRPr="000B4C97" w:rsidRDefault="006D24C0" w:rsidP="00640C02">
            <w:pPr>
              <w:pStyle w:val="Body"/>
              <w:ind w:left="0"/>
            </w:pPr>
            <w:r w:rsidRPr="000B4C97">
              <w:t>Wet Weather Flow</w:t>
            </w:r>
          </w:p>
        </w:tc>
      </w:tr>
    </w:tbl>
    <w:p w14:paraId="54D95176" w14:textId="77777777" w:rsidR="00640C02" w:rsidRDefault="00640C02" w:rsidP="00A352AD">
      <w:pPr>
        <w:pStyle w:val="Body"/>
      </w:pPr>
    </w:p>
    <w:p w14:paraId="301703B8" w14:textId="77777777" w:rsidR="00640C02" w:rsidRDefault="00640C02">
      <w:pPr>
        <w:spacing w:after="0"/>
      </w:pPr>
      <w:r>
        <w:br w:type="page"/>
      </w:r>
    </w:p>
    <w:p w14:paraId="7DF67A3D" w14:textId="77777777" w:rsidR="006D24C0" w:rsidRPr="000B4C97" w:rsidRDefault="006D24C0" w:rsidP="006D24C0">
      <w:pPr>
        <w:pStyle w:val="Caption"/>
      </w:pPr>
      <w:r>
        <w:lastRenderedPageBreak/>
        <w:t>Glossary</w:t>
      </w:r>
    </w:p>
    <w:p w14:paraId="73BC728A" w14:textId="77777777" w:rsidR="006433E3" w:rsidRDefault="006433E3" w:rsidP="006433E3">
      <w:pPr>
        <w:pStyle w:val="Body"/>
      </w:pPr>
    </w:p>
    <w:tbl>
      <w:tblPr>
        <w:tblStyle w:val="Table-Style3"/>
        <w:tblW w:w="0" w:type="auto"/>
        <w:tblLook w:val="04A0" w:firstRow="1" w:lastRow="0" w:firstColumn="1" w:lastColumn="0" w:noHBand="0" w:noVBand="1"/>
      </w:tblPr>
      <w:tblGrid>
        <w:gridCol w:w="1975"/>
        <w:gridCol w:w="6510"/>
        <w:gridCol w:w="10"/>
      </w:tblGrid>
      <w:tr w:rsidR="003735CA" w14:paraId="17CA18F3" w14:textId="77777777" w:rsidTr="00DD1C20">
        <w:trPr>
          <w:cnfStyle w:val="100000000000" w:firstRow="1" w:lastRow="0" w:firstColumn="0" w:lastColumn="0" w:oddVBand="0" w:evenVBand="0" w:oddHBand="0" w:evenHBand="0" w:firstRowFirstColumn="0" w:firstRowLastColumn="0" w:lastRowFirstColumn="0" w:lastRowLastColumn="0"/>
          <w:tblHeader/>
        </w:trPr>
        <w:tc>
          <w:tcPr>
            <w:tcW w:w="1975" w:type="dxa"/>
          </w:tcPr>
          <w:p w14:paraId="1F83060E" w14:textId="77777777" w:rsidR="006433E3" w:rsidRDefault="006433E3" w:rsidP="006433E3">
            <w:pPr>
              <w:pStyle w:val="Body"/>
              <w:ind w:left="0"/>
            </w:pPr>
            <w:r>
              <w:t>Term</w:t>
            </w:r>
          </w:p>
        </w:tc>
        <w:tc>
          <w:tcPr>
            <w:tcW w:w="6520" w:type="dxa"/>
            <w:gridSpan w:val="2"/>
          </w:tcPr>
          <w:p w14:paraId="008C0C8C" w14:textId="77777777" w:rsidR="006433E3" w:rsidRDefault="006433E3" w:rsidP="006433E3">
            <w:pPr>
              <w:pStyle w:val="Body"/>
              <w:ind w:left="0"/>
            </w:pPr>
            <w:r>
              <w:t>Explanation</w:t>
            </w:r>
          </w:p>
        </w:tc>
      </w:tr>
      <w:tr w:rsidR="00E623DD" w14:paraId="36EEF302" w14:textId="77777777" w:rsidTr="00DD1C20">
        <w:tc>
          <w:tcPr>
            <w:tcW w:w="1975" w:type="dxa"/>
          </w:tcPr>
          <w:p w14:paraId="3F2BDDB2" w14:textId="77777777" w:rsidR="00E623DD" w:rsidRDefault="00E623DD" w:rsidP="006433E3">
            <w:pPr>
              <w:pStyle w:val="Body"/>
              <w:ind w:left="0"/>
            </w:pPr>
            <w:r>
              <w:t>Actiflo</w:t>
            </w:r>
          </w:p>
        </w:tc>
        <w:tc>
          <w:tcPr>
            <w:tcW w:w="6520" w:type="dxa"/>
            <w:gridSpan w:val="2"/>
          </w:tcPr>
          <w:p w14:paraId="10E4DC95" w14:textId="77777777" w:rsidR="00E623DD" w:rsidRDefault="00E623DD" w:rsidP="005855D0">
            <w:pPr>
              <w:pStyle w:val="Body"/>
              <w:ind w:left="0"/>
            </w:pPr>
            <w:r>
              <w:t>Actiflo is a proprietary accelerated settlement process. It uses both coagulant and polymer to coagulate and flocculate suspended and dissolved contaminants, along with a fine sand (microsand) which provides a ballast to aid settlement. pH adjustment may be required to optimise coagulation. Settlement occurs in a lamella clarifier, and the microsand is recovered through a hydrocyclone. Removed contaminants require further treatment.</w:t>
            </w:r>
          </w:p>
        </w:tc>
      </w:tr>
      <w:tr w:rsidR="00E623DD" w14:paraId="09879402" w14:textId="77777777" w:rsidTr="00E66F34">
        <w:trPr>
          <w:gridAfter w:val="1"/>
          <w:wAfter w:w="10" w:type="dxa"/>
        </w:trPr>
        <w:tc>
          <w:tcPr>
            <w:tcW w:w="1975" w:type="dxa"/>
          </w:tcPr>
          <w:p w14:paraId="07ED5405" w14:textId="77777777" w:rsidR="00E623DD" w:rsidRDefault="00E623DD" w:rsidP="00DD1C20">
            <w:pPr>
              <w:pStyle w:val="Body"/>
              <w:ind w:left="0"/>
            </w:pPr>
            <w:r>
              <w:t>Affected Population</w:t>
            </w:r>
          </w:p>
        </w:tc>
        <w:tc>
          <w:tcPr>
            <w:tcW w:w="6510" w:type="dxa"/>
          </w:tcPr>
          <w:p w14:paraId="36BCF173" w14:textId="77777777" w:rsidR="00E623DD" w:rsidRDefault="00E623DD" w:rsidP="00DD1C20">
            <w:pPr>
              <w:pStyle w:val="Body"/>
              <w:ind w:left="0"/>
            </w:pPr>
            <w:r>
              <w:t>The population served by a WWTP requiring upgrade.</w:t>
            </w:r>
          </w:p>
        </w:tc>
      </w:tr>
      <w:tr w:rsidR="00E623DD" w14:paraId="60B996BC" w14:textId="77777777" w:rsidTr="00E66F34">
        <w:trPr>
          <w:gridAfter w:val="1"/>
          <w:wAfter w:w="10" w:type="dxa"/>
        </w:trPr>
        <w:tc>
          <w:tcPr>
            <w:tcW w:w="1975" w:type="dxa"/>
          </w:tcPr>
          <w:p w14:paraId="3145D24A" w14:textId="77777777" w:rsidR="00E623DD" w:rsidRDefault="00E623DD" w:rsidP="00DD1C20">
            <w:pPr>
              <w:pStyle w:val="Body"/>
              <w:ind w:left="0"/>
            </w:pPr>
            <w:r>
              <w:t>Annualised Costs</w:t>
            </w:r>
          </w:p>
        </w:tc>
        <w:tc>
          <w:tcPr>
            <w:tcW w:w="6510" w:type="dxa"/>
          </w:tcPr>
          <w:p w14:paraId="5EA1383F" w14:textId="77777777" w:rsidR="00E623DD" w:rsidRDefault="00E623DD" w:rsidP="00DD1C20">
            <w:pPr>
              <w:pStyle w:val="Body"/>
              <w:ind w:left="0"/>
            </w:pPr>
            <w:r>
              <w:t>The annual cost of owning, operating and maintaining an asset over its entire life. For the purposes of this report, this is defined as the annual payments on a loan taken out to cover the capital costs of upgrades at an interest rate of 6% pa and a term of 25 years plus the increase in annual operating cost associated with those upgrades.</w:t>
            </w:r>
            <w:r>
              <w:rPr>
                <w:rStyle w:val="FootnoteReference"/>
                <w:lang w:eastAsia="en-AU"/>
              </w:rPr>
              <w:t xml:space="preserve"> </w:t>
            </w:r>
            <w:r>
              <w:rPr>
                <w:rStyle w:val="FootnoteReference"/>
                <w:lang w:eastAsia="en-AU"/>
              </w:rPr>
              <w:footnoteReference w:id="9"/>
            </w:r>
          </w:p>
        </w:tc>
      </w:tr>
      <w:tr w:rsidR="00E623DD" w14:paraId="6D4E8E5C" w14:textId="77777777" w:rsidTr="00DD1C20">
        <w:tc>
          <w:tcPr>
            <w:tcW w:w="1975" w:type="dxa"/>
          </w:tcPr>
          <w:p w14:paraId="4AD89286" w14:textId="77777777" w:rsidR="00E623DD" w:rsidRDefault="00E623DD" w:rsidP="006433E3">
            <w:pPr>
              <w:pStyle w:val="Body"/>
              <w:ind w:left="0"/>
            </w:pPr>
            <w:r>
              <w:t>Aquamats</w:t>
            </w:r>
          </w:p>
        </w:tc>
        <w:tc>
          <w:tcPr>
            <w:tcW w:w="6520" w:type="dxa"/>
            <w:gridSpan w:val="2"/>
          </w:tcPr>
          <w:p w14:paraId="7179EB8E" w14:textId="77777777" w:rsidR="00E623DD" w:rsidRDefault="00E623DD" w:rsidP="000A2DFD">
            <w:pPr>
              <w:pStyle w:val="Body"/>
              <w:ind w:left="0"/>
            </w:pPr>
            <w:r>
              <w:t>AquaMats are a high-surface area media which hang down through the depth of WSP’s. Biomass, including bacteria, protozoa and a range of higher life forms, grows on the surface of the media. Diffused air aeration is provided to increase the amount of oxygen available for aerobic organisms to break down contaminants, and to aid with water movement through the pond depth. By increasing both oxygen availability and the amount of biomass present in the WSP, the treatment capacity is increased.</w:t>
            </w:r>
          </w:p>
        </w:tc>
      </w:tr>
      <w:tr w:rsidR="00E623DD" w14:paraId="169D7548" w14:textId="77777777" w:rsidTr="00DD1C20">
        <w:tc>
          <w:tcPr>
            <w:tcW w:w="1975" w:type="dxa"/>
          </w:tcPr>
          <w:p w14:paraId="79B84F49" w14:textId="77777777" w:rsidR="00E623DD" w:rsidRDefault="00E623DD" w:rsidP="006433E3">
            <w:pPr>
              <w:pStyle w:val="Body"/>
              <w:ind w:left="0"/>
            </w:pPr>
            <w:r>
              <w:t>Baffles</w:t>
            </w:r>
          </w:p>
        </w:tc>
        <w:tc>
          <w:tcPr>
            <w:tcW w:w="6520" w:type="dxa"/>
            <w:gridSpan w:val="2"/>
          </w:tcPr>
          <w:p w14:paraId="2EC6AB11" w14:textId="77777777" w:rsidR="00E623DD" w:rsidRDefault="00E623DD" w:rsidP="000A2DFD">
            <w:pPr>
              <w:pStyle w:val="Body"/>
              <w:ind w:left="0"/>
            </w:pPr>
            <w:r>
              <w:t>WSP’s are prone to short circuiting and baffles can assist with preventing this.</w:t>
            </w:r>
          </w:p>
        </w:tc>
      </w:tr>
      <w:tr w:rsidR="00E623DD" w14:paraId="74DE2A18" w14:textId="77777777" w:rsidTr="00DD1C20">
        <w:tc>
          <w:tcPr>
            <w:tcW w:w="1975" w:type="dxa"/>
          </w:tcPr>
          <w:p w14:paraId="31A91749" w14:textId="77777777" w:rsidR="00E623DD" w:rsidRDefault="00E623DD" w:rsidP="006433E3">
            <w:pPr>
              <w:pStyle w:val="Body"/>
              <w:ind w:left="0"/>
            </w:pPr>
            <w:r>
              <w:t>BioFiltro</w:t>
            </w:r>
          </w:p>
        </w:tc>
        <w:tc>
          <w:tcPr>
            <w:tcW w:w="6520" w:type="dxa"/>
            <w:gridSpan w:val="2"/>
          </w:tcPr>
          <w:p w14:paraId="3EEF13FA" w14:textId="77777777" w:rsidR="00E623DD" w:rsidRDefault="00E623DD" w:rsidP="005439F5">
            <w:pPr>
              <w:pStyle w:val="Body"/>
              <w:ind w:left="0"/>
            </w:pPr>
            <w:r>
              <w:t>In a BioFiltro Plant, WSP effluent is sprayed over the surface of a bed of wood shavings, which is naturally colonised with microorganisms, forming a biofilm. The top layer of the bed is populated with earthworms which both aerate the bed and break down contaminants. The biofilm oxidises dissolved organics and other nutrients, while the worms break down solid organic material. The removal of ammonia is due to nitrification.</w:t>
            </w:r>
          </w:p>
        </w:tc>
      </w:tr>
      <w:tr w:rsidR="00E623DD" w14:paraId="31598512" w14:textId="77777777" w:rsidTr="00DD1C20">
        <w:tc>
          <w:tcPr>
            <w:tcW w:w="1975" w:type="dxa"/>
          </w:tcPr>
          <w:p w14:paraId="0A01D77A" w14:textId="77777777" w:rsidR="00E623DD" w:rsidRDefault="00E623DD" w:rsidP="006433E3">
            <w:pPr>
              <w:pStyle w:val="Body"/>
              <w:ind w:left="0"/>
            </w:pPr>
            <w:r>
              <w:t>Biological Nutrient Removal (BNR)</w:t>
            </w:r>
          </w:p>
        </w:tc>
        <w:tc>
          <w:tcPr>
            <w:tcW w:w="6520" w:type="dxa"/>
            <w:gridSpan w:val="2"/>
          </w:tcPr>
          <w:p w14:paraId="03B4276F" w14:textId="77777777" w:rsidR="00E623DD" w:rsidRDefault="00E623DD" w:rsidP="006433E3">
            <w:pPr>
              <w:pStyle w:val="Body"/>
              <w:ind w:left="0"/>
            </w:pPr>
            <w:r w:rsidRPr="00165A5F">
              <w:t xml:space="preserve">Biological Nutrient Removal (BNR) is </w:t>
            </w:r>
            <w:r w:rsidRPr="00E00502">
              <w:t>an activated sludge-based</w:t>
            </w:r>
            <w:r w:rsidRPr="00165A5F">
              <w:t xml:space="preserve"> process used for nitrogen and phosphorus removal from wastewater</w:t>
            </w:r>
            <w:r>
              <w:t>.</w:t>
            </w:r>
          </w:p>
        </w:tc>
      </w:tr>
      <w:tr w:rsidR="00E623DD" w14:paraId="1F28E519" w14:textId="77777777" w:rsidTr="00DD1C20">
        <w:tc>
          <w:tcPr>
            <w:tcW w:w="1975" w:type="dxa"/>
          </w:tcPr>
          <w:p w14:paraId="5252E2C6" w14:textId="77777777" w:rsidR="00E623DD" w:rsidRDefault="00E623DD" w:rsidP="00FB012A">
            <w:pPr>
              <w:pStyle w:val="Body"/>
              <w:ind w:left="0"/>
            </w:pPr>
            <w:r>
              <w:t>Building Cost Index (BCI)</w:t>
            </w:r>
          </w:p>
        </w:tc>
        <w:tc>
          <w:tcPr>
            <w:tcW w:w="6520" w:type="dxa"/>
            <w:gridSpan w:val="2"/>
          </w:tcPr>
          <w:p w14:paraId="50D29A99" w14:textId="77777777" w:rsidR="00E623DD" w:rsidRPr="00B9536D" w:rsidRDefault="00E623DD" w:rsidP="00165A5F">
            <w:pPr>
              <w:pStyle w:val="Body"/>
              <w:ind w:left="0"/>
            </w:pPr>
            <w:r w:rsidRPr="00B9536D">
              <w:t>The appraisal method of estimating building costs by multiplying the original cost of the property by a percentage factor to adjust for current construction costs.</w:t>
            </w:r>
          </w:p>
          <w:p w14:paraId="3A81C32A" w14:textId="77777777" w:rsidR="00E623DD" w:rsidRPr="00B9536D" w:rsidRDefault="00E623DD" w:rsidP="006433E3">
            <w:pPr>
              <w:pStyle w:val="Body"/>
              <w:ind w:left="0"/>
            </w:pPr>
            <w:r w:rsidRPr="00B9536D">
              <w:t>The Building Price Index illustrates price development for newly constructed dwellings, that is, the price an investor or final consumer pays for a construction project.</w:t>
            </w:r>
          </w:p>
        </w:tc>
      </w:tr>
      <w:tr w:rsidR="00E623DD" w14:paraId="770481D6" w14:textId="77777777" w:rsidTr="00DD1C20">
        <w:tc>
          <w:tcPr>
            <w:tcW w:w="1975" w:type="dxa"/>
          </w:tcPr>
          <w:p w14:paraId="7EE9A474" w14:textId="77777777" w:rsidR="00E623DD" w:rsidRDefault="00E623DD" w:rsidP="006433E3">
            <w:pPr>
              <w:pStyle w:val="Body"/>
              <w:ind w:left="0"/>
            </w:pPr>
            <w:r>
              <w:lastRenderedPageBreak/>
              <w:t>Combined Sewer Overflow (CSO)</w:t>
            </w:r>
          </w:p>
        </w:tc>
        <w:tc>
          <w:tcPr>
            <w:tcW w:w="6520" w:type="dxa"/>
            <w:gridSpan w:val="2"/>
          </w:tcPr>
          <w:p w14:paraId="6456F511" w14:textId="77777777" w:rsidR="00E623DD" w:rsidRDefault="00E623DD" w:rsidP="00B75414">
            <w:pPr>
              <w:pStyle w:val="Body"/>
              <w:ind w:left="0"/>
            </w:pPr>
            <w:r>
              <w:t>A CSO is a constructed overflow in a network that combines wastewater and stormwater in the same pipe.</w:t>
            </w:r>
          </w:p>
        </w:tc>
      </w:tr>
      <w:tr w:rsidR="00E623DD" w14:paraId="4EC28745" w14:textId="77777777" w:rsidTr="00DD1C20">
        <w:tc>
          <w:tcPr>
            <w:tcW w:w="1975" w:type="dxa"/>
          </w:tcPr>
          <w:p w14:paraId="02F5E7D5" w14:textId="77777777" w:rsidR="00E623DD" w:rsidRDefault="00E623DD" w:rsidP="006433E3">
            <w:pPr>
              <w:pStyle w:val="Body"/>
              <w:ind w:left="0"/>
            </w:pPr>
            <w:r>
              <w:t>Compliance</w:t>
            </w:r>
          </w:p>
        </w:tc>
        <w:tc>
          <w:tcPr>
            <w:tcW w:w="6520" w:type="dxa"/>
            <w:gridSpan w:val="2"/>
          </w:tcPr>
          <w:p w14:paraId="2ECB77E0" w14:textId="77777777" w:rsidR="00E623DD" w:rsidRDefault="00E623DD" w:rsidP="00B75414">
            <w:pPr>
              <w:pStyle w:val="Body"/>
              <w:ind w:left="0"/>
            </w:pPr>
            <w:r>
              <w:t>Discharge of treated wastewater in most situations is subject to a Resource Consent that permits the discharge. Resource Consents typically include a number of conditions that must be complied with. Compliance in this reports relates to compliance with Resource Consent conditions.</w:t>
            </w:r>
          </w:p>
        </w:tc>
      </w:tr>
      <w:tr w:rsidR="00E623DD" w14:paraId="717E0B5D" w14:textId="77777777" w:rsidTr="00DD1C20">
        <w:tc>
          <w:tcPr>
            <w:tcW w:w="1975" w:type="dxa"/>
          </w:tcPr>
          <w:p w14:paraId="17CC4A12" w14:textId="77777777" w:rsidR="00E623DD" w:rsidRDefault="00E623DD" w:rsidP="006433E3">
            <w:pPr>
              <w:pStyle w:val="Body"/>
              <w:ind w:left="0"/>
            </w:pPr>
            <w:r>
              <w:t>Contingency</w:t>
            </w:r>
          </w:p>
        </w:tc>
        <w:tc>
          <w:tcPr>
            <w:tcW w:w="6520" w:type="dxa"/>
            <w:gridSpan w:val="2"/>
          </w:tcPr>
          <w:p w14:paraId="13424C83" w14:textId="77777777" w:rsidR="00E623DD" w:rsidRDefault="00E623DD" w:rsidP="00B75414">
            <w:pPr>
              <w:pStyle w:val="Body"/>
              <w:ind w:left="0"/>
            </w:pPr>
            <w:r>
              <w:t>When there is uncertainty in a cost estimate a contingency value is often added to cover this uncertainty.  Contingency is calculated as a percentage of the total cost estimate.</w:t>
            </w:r>
          </w:p>
        </w:tc>
      </w:tr>
      <w:tr w:rsidR="00E623DD" w14:paraId="74A00FF9" w14:textId="77777777" w:rsidTr="00DD1C20">
        <w:tc>
          <w:tcPr>
            <w:tcW w:w="1975" w:type="dxa"/>
          </w:tcPr>
          <w:p w14:paraId="0B86DD75" w14:textId="77777777" w:rsidR="00E623DD" w:rsidRDefault="00E623DD" w:rsidP="00FB012A">
            <w:pPr>
              <w:pStyle w:val="Body"/>
              <w:ind w:left="0"/>
            </w:pPr>
            <w:r>
              <w:t>Dry Weather Flow (DWF)</w:t>
            </w:r>
          </w:p>
        </w:tc>
        <w:tc>
          <w:tcPr>
            <w:tcW w:w="6520" w:type="dxa"/>
            <w:gridSpan w:val="2"/>
          </w:tcPr>
          <w:p w14:paraId="4FEA8FEB" w14:textId="77777777" w:rsidR="00E623DD" w:rsidRDefault="00E623DD" w:rsidP="00B75414">
            <w:pPr>
              <w:pStyle w:val="Body"/>
              <w:ind w:left="0"/>
            </w:pPr>
            <w:r w:rsidRPr="00165A5F">
              <w:t>DWF refers to the average rate of flow in a wastewater network during periods of dry weather with minimum infiltration.</w:t>
            </w:r>
          </w:p>
        </w:tc>
      </w:tr>
      <w:tr w:rsidR="00E623DD" w14:paraId="26E9905D" w14:textId="77777777" w:rsidTr="00DD1C20">
        <w:tc>
          <w:tcPr>
            <w:tcW w:w="1975" w:type="dxa"/>
          </w:tcPr>
          <w:p w14:paraId="3B91A8FC" w14:textId="77777777" w:rsidR="00E623DD" w:rsidRDefault="00E623DD" w:rsidP="006433E3">
            <w:pPr>
              <w:pStyle w:val="Body"/>
              <w:ind w:left="0"/>
            </w:pPr>
            <w:r>
              <w:t>Escherida coli (</w:t>
            </w:r>
            <w:r>
              <w:rPr>
                <w:i/>
              </w:rPr>
              <w:t>E.coli</w:t>
            </w:r>
            <w:r>
              <w:t>)</w:t>
            </w:r>
          </w:p>
        </w:tc>
        <w:tc>
          <w:tcPr>
            <w:tcW w:w="6520" w:type="dxa"/>
            <w:gridSpan w:val="2"/>
          </w:tcPr>
          <w:p w14:paraId="5E0CAA2E" w14:textId="77777777" w:rsidR="00E623DD" w:rsidRDefault="00E623DD" w:rsidP="00B75414">
            <w:pPr>
              <w:pStyle w:val="Body"/>
              <w:ind w:left="0"/>
            </w:pPr>
            <w:r w:rsidRPr="00B75414">
              <w:t xml:space="preserve">Escherichia coli (abbreviated as </w:t>
            </w:r>
            <w:r w:rsidRPr="00B75414">
              <w:rPr>
                <w:i/>
              </w:rPr>
              <w:t>E. coli)</w:t>
            </w:r>
            <w:r w:rsidRPr="00B75414">
              <w:t xml:space="preserve"> are bacteria found in the environment, foods, and intestines of people and animals. </w:t>
            </w:r>
            <w:r w:rsidRPr="00B75414">
              <w:rPr>
                <w:i/>
              </w:rPr>
              <w:t>E. coli</w:t>
            </w:r>
            <w:r w:rsidRPr="00B75414">
              <w:t xml:space="preserve"> are a large and diverse group of bacteria</w:t>
            </w:r>
            <w:r>
              <w:t xml:space="preserve"> and are</w:t>
            </w:r>
            <w:r w:rsidRPr="00B75414">
              <w:t xml:space="preserve"> </w:t>
            </w:r>
            <w:r>
              <w:t>used as an indicator that faecal contamination in water has occurred.</w:t>
            </w:r>
          </w:p>
        </w:tc>
      </w:tr>
      <w:tr w:rsidR="00E623DD" w14:paraId="4D480123" w14:textId="77777777" w:rsidTr="00DD1C20">
        <w:tc>
          <w:tcPr>
            <w:tcW w:w="1975" w:type="dxa"/>
          </w:tcPr>
          <w:p w14:paraId="6953F79B" w14:textId="77777777" w:rsidR="00E623DD" w:rsidRDefault="00E623DD" w:rsidP="006433E3">
            <w:pPr>
              <w:pStyle w:val="Body"/>
              <w:ind w:left="0"/>
            </w:pPr>
            <w:r>
              <w:t>Floating wetlands</w:t>
            </w:r>
          </w:p>
        </w:tc>
        <w:tc>
          <w:tcPr>
            <w:tcW w:w="6520" w:type="dxa"/>
            <w:gridSpan w:val="2"/>
          </w:tcPr>
          <w:p w14:paraId="554EDB83" w14:textId="77777777" w:rsidR="00E623DD" w:rsidRPr="00B75414" w:rsidRDefault="00E623DD" w:rsidP="005439F5">
            <w:pPr>
              <w:pStyle w:val="Body"/>
              <w:ind w:left="0"/>
            </w:pPr>
            <w:r w:rsidRPr="005439F5">
              <w:t xml:space="preserve">Floating Treatment Media or Floating Treatment Wetlands </w:t>
            </w:r>
            <w:r>
              <w:t>use microbes and bacteria in present within the root zone to remove nutrients in the water.</w:t>
            </w:r>
          </w:p>
        </w:tc>
      </w:tr>
      <w:tr w:rsidR="00E623DD" w14:paraId="486E869B" w14:textId="77777777" w:rsidTr="00DD1C20">
        <w:tc>
          <w:tcPr>
            <w:tcW w:w="1975" w:type="dxa"/>
          </w:tcPr>
          <w:p w14:paraId="5E607FAB" w14:textId="77777777" w:rsidR="00E623DD" w:rsidRDefault="00E623DD" w:rsidP="006433E3">
            <w:pPr>
              <w:pStyle w:val="Body"/>
              <w:ind w:left="0"/>
            </w:pPr>
            <w:r>
              <w:t>Geographical information System (GIS)</w:t>
            </w:r>
          </w:p>
        </w:tc>
        <w:tc>
          <w:tcPr>
            <w:tcW w:w="6520" w:type="dxa"/>
            <w:gridSpan w:val="2"/>
          </w:tcPr>
          <w:p w14:paraId="370EA8CD" w14:textId="77777777" w:rsidR="00E623DD" w:rsidRPr="00B75414" w:rsidRDefault="00E623DD" w:rsidP="00B75414">
            <w:pPr>
              <w:pStyle w:val="Body"/>
              <w:ind w:left="0"/>
            </w:pPr>
            <w:r>
              <w:t>GIS</w:t>
            </w:r>
            <w:r w:rsidRPr="00165A5F">
              <w:t xml:space="preserve"> is a framework for gathering, managing, and analysing data. GIS integrates many types of data. It analyses spatial location and organizes layers of information into visualizations using maps and 3D scenes.</w:t>
            </w:r>
          </w:p>
        </w:tc>
      </w:tr>
      <w:tr w:rsidR="00E623DD" w14:paraId="356E59D6" w14:textId="77777777" w:rsidTr="00E66F34">
        <w:trPr>
          <w:gridAfter w:val="1"/>
          <w:wAfter w:w="10" w:type="dxa"/>
        </w:trPr>
        <w:tc>
          <w:tcPr>
            <w:tcW w:w="1975" w:type="dxa"/>
          </w:tcPr>
          <w:p w14:paraId="532EC2BF" w14:textId="77777777" w:rsidR="00E623DD" w:rsidRDefault="00E623DD" w:rsidP="00DD1C20">
            <w:pPr>
              <w:pStyle w:val="Body"/>
              <w:ind w:left="0"/>
            </w:pPr>
            <w:r>
              <w:t>Household</w:t>
            </w:r>
          </w:p>
        </w:tc>
        <w:tc>
          <w:tcPr>
            <w:tcW w:w="6510" w:type="dxa"/>
          </w:tcPr>
          <w:p w14:paraId="43F1FC71" w14:textId="77777777" w:rsidR="00E623DD" w:rsidRDefault="00E623DD" w:rsidP="00DD1C20">
            <w:pPr>
              <w:pStyle w:val="Body"/>
              <w:ind w:left="0"/>
            </w:pPr>
            <w:r>
              <w:t xml:space="preserve">For this report, the number of households has been determined from population data and it is assumed there are 2.7 people per household. </w:t>
            </w:r>
          </w:p>
        </w:tc>
      </w:tr>
      <w:tr w:rsidR="00E623DD" w14:paraId="153FB170" w14:textId="77777777" w:rsidTr="00DD1C20">
        <w:tc>
          <w:tcPr>
            <w:tcW w:w="1975" w:type="dxa"/>
          </w:tcPr>
          <w:p w14:paraId="657937F6" w14:textId="77777777" w:rsidR="00E623DD" w:rsidRDefault="00E623DD" w:rsidP="006433E3">
            <w:pPr>
              <w:pStyle w:val="Body"/>
              <w:ind w:left="0"/>
            </w:pPr>
            <w:r>
              <w:t>Membrane Bioreactors  (MBR)</w:t>
            </w:r>
          </w:p>
        </w:tc>
        <w:tc>
          <w:tcPr>
            <w:tcW w:w="6520" w:type="dxa"/>
            <w:gridSpan w:val="2"/>
          </w:tcPr>
          <w:p w14:paraId="7664D4AC" w14:textId="77777777" w:rsidR="00E623DD" w:rsidRDefault="00E623DD" w:rsidP="00B75414">
            <w:pPr>
              <w:pStyle w:val="Body"/>
              <w:ind w:left="0"/>
            </w:pPr>
            <w:r w:rsidRPr="00E00502">
              <w:t>MBR is an activated sludge-based treatment processes that uses membrane filtration to separate the treated effluent from biomass, rather than settlement.</w:t>
            </w:r>
          </w:p>
        </w:tc>
      </w:tr>
      <w:tr w:rsidR="00E623DD" w14:paraId="0E601CB5" w14:textId="77777777" w:rsidTr="00DD1C20">
        <w:tc>
          <w:tcPr>
            <w:tcW w:w="1975" w:type="dxa"/>
          </w:tcPr>
          <w:p w14:paraId="4786DF31" w14:textId="77777777" w:rsidR="00E623DD" w:rsidRDefault="00E623DD" w:rsidP="006433E3">
            <w:pPr>
              <w:pStyle w:val="Body"/>
              <w:ind w:left="0"/>
            </w:pPr>
            <w:r>
              <w:t>Nutrient Sources</w:t>
            </w:r>
          </w:p>
        </w:tc>
        <w:tc>
          <w:tcPr>
            <w:tcW w:w="6520" w:type="dxa"/>
            <w:gridSpan w:val="2"/>
          </w:tcPr>
          <w:p w14:paraId="1C2D3BE9" w14:textId="77777777" w:rsidR="00E623DD" w:rsidRDefault="00E623DD" w:rsidP="00854C80">
            <w:pPr>
              <w:pStyle w:val="Body"/>
              <w:ind w:left="0"/>
            </w:pPr>
            <w:r>
              <w:t>In rural catchments nutrients are commonly sourced from animal faeces and excess fertilizer. In the urban environment nitrogen and phosphorus is picked up in stormwater from a range of sources including wildfowl and animal faeces, fertilizers and other garden products.</w:t>
            </w:r>
          </w:p>
        </w:tc>
      </w:tr>
      <w:tr w:rsidR="00E623DD" w14:paraId="1ADBDF62" w14:textId="77777777" w:rsidTr="00DD1C20">
        <w:tc>
          <w:tcPr>
            <w:tcW w:w="1975" w:type="dxa"/>
          </w:tcPr>
          <w:p w14:paraId="183A1509" w14:textId="77777777" w:rsidR="00E623DD" w:rsidRDefault="00E623DD" w:rsidP="003735CA">
            <w:pPr>
              <w:pStyle w:val="Body"/>
              <w:ind w:left="0"/>
            </w:pPr>
            <w:r>
              <w:t>Nutrients</w:t>
            </w:r>
          </w:p>
        </w:tc>
        <w:tc>
          <w:tcPr>
            <w:tcW w:w="6520" w:type="dxa"/>
            <w:gridSpan w:val="2"/>
          </w:tcPr>
          <w:p w14:paraId="0745C67A" w14:textId="77777777" w:rsidR="00E623DD" w:rsidRDefault="00E623DD" w:rsidP="00854C80">
            <w:pPr>
              <w:pStyle w:val="Body"/>
              <w:ind w:left="0"/>
            </w:pPr>
            <w:r w:rsidRPr="003735CA">
              <w:t>Nutrients refers primarily to phosphorous and nitrogen. Nitrogen and phosphorus are nutrients that are natural parts of aquatic ecosystems however, in excess concentratio</w:t>
            </w:r>
            <w:r>
              <w:t>ns</w:t>
            </w:r>
            <w:r w:rsidRPr="003735CA">
              <w:t xml:space="preserve"> they can cause adverse effects on water bodies including excess algal growth. Significant increases in algae harm water quality, food resources and habitats, and decrease the oxygen that fish and other aquatic life need to survive.</w:t>
            </w:r>
          </w:p>
        </w:tc>
      </w:tr>
      <w:tr w:rsidR="00E623DD" w14:paraId="23D4A067" w14:textId="77777777" w:rsidTr="00DD1C20">
        <w:tc>
          <w:tcPr>
            <w:tcW w:w="1975" w:type="dxa"/>
          </w:tcPr>
          <w:p w14:paraId="00157AC3" w14:textId="77777777" w:rsidR="00E623DD" w:rsidRDefault="00E623DD" w:rsidP="005439F5">
            <w:pPr>
              <w:pStyle w:val="Body"/>
              <w:ind w:left="0"/>
            </w:pPr>
            <w:r>
              <w:t>Partioned Ponds</w:t>
            </w:r>
          </w:p>
        </w:tc>
        <w:tc>
          <w:tcPr>
            <w:tcW w:w="6520" w:type="dxa"/>
            <w:gridSpan w:val="2"/>
          </w:tcPr>
          <w:p w14:paraId="53133B3E" w14:textId="77777777" w:rsidR="00E623DD" w:rsidRDefault="00E623DD" w:rsidP="005439F5">
            <w:pPr>
              <w:pStyle w:val="Body"/>
              <w:ind w:left="0"/>
            </w:pPr>
            <w:r>
              <w:t xml:space="preserve">Partitioning ponds to create several smaller ponds in series can significantly reduce the effects of short-circuiting and thus improve </w:t>
            </w:r>
            <w:r>
              <w:lastRenderedPageBreak/>
              <w:t>performance.</w:t>
            </w:r>
          </w:p>
        </w:tc>
      </w:tr>
      <w:tr w:rsidR="00E623DD" w14:paraId="7CC21BC3" w14:textId="77777777" w:rsidTr="00DD1C20">
        <w:tc>
          <w:tcPr>
            <w:tcW w:w="1975" w:type="dxa"/>
          </w:tcPr>
          <w:p w14:paraId="2F1A5F98" w14:textId="77777777" w:rsidR="00E623DD" w:rsidRDefault="00E623DD" w:rsidP="006433E3">
            <w:pPr>
              <w:pStyle w:val="Body"/>
              <w:ind w:left="0"/>
            </w:pPr>
            <w:r>
              <w:lastRenderedPageBreak/>
              <w:t>Population Category</w:t>
            </w:r>
          </w:p>
        </w:tc>
        <w:tc>
          <w:tcPr>
            <w:tcW w:w="6520" w:type="dxa"/>
            <w:gridSpan w:val="2"/>
          </w:tcPr>
          <w:p w14:paraId="21D20B55" w14:textId="77777777" w:rsidR="00E623DD" w:rsidRDefault="00E623DD" w:rsidP="003F745C">
            <w:pPr>
              <w:pStyle w:val="Body"/>
              <w:ind w:left="0"/>
            </w:pPr>
            <w:r>
              <w:t>The study distinguishes between WWTPs based on the following population categories:</w:t>
            </w:r>
          </w:p>
          <w:p w14:paraId="12098FCD" w14:textId="77777777" w:rsidR="00E623DD" w:rsidRDefault="00E623DD" w:rsidP="00854C80">
            <w:pPr>
              <w:pStyle w:val="Body"/>
              <w:numPr>
                <w:ilvl w:val="0"/>
                <w:numId w:val="76"/>
              </w:numPr>
            </w:pPr>
            <w:r>
              <w:t>Large – greater than 10,000 people</w:t>
            </w:r>
          </w:p>
          <w:p w14:paraId="13DE6FBC" w14:textId="77777777" w:rsidR="00E623DD" w:rsidRDefault="00E623DD" w:rsidP="00854C80">
            <w:pPr>
              <w:pStyle w:val="Body"/>
              <w:numPr>
                <w:ilvl w:val="0"/>
                <w:numId w:val="76"/>
              </w:numPr>
            </w:pPr>
            <w:r>
              <w:t>Medium – 5,001-10,000 people</w:t>
            </w:r>
          </w:p>
          <w:p w14:paraId="577144FB" w14:textId="77777777" w:rsidR="00E623DD" w:rsidRDefault="00E623DD" w:rsidP="00854C80">
            <w:pPr>
              <w:pStyle w:val="Body"/>
              <w:numPr>
                <w:ilvl w:val="0"/>
                <w:numId w:val="76"/>
              </w:numPr>
            </w:pPr>
            <w:r>
              <w:t>Minor – 501 – 5,000 people</w:t>
            </w:r>
          </w:p>
          <w:p w14:paraId="2F70282D" w14:textId="77777777" w:rsidR="00E623DD" w:rsidRDefault="00E623DD" w:rsidP="00854C80">
            <w:pPr>
              <w:pStyle w:val="Body"/>
              <w:numPr>
                <w:ilvl w:val="0"/>
                <w:numId w:val="76"/>
              </w:numPr>
            </w:pPr>
            <w:r>
              <w:t>Small – Less than 500 people</w:t>
            </w:r>
          </w:p>
        </w:tc>
      </w:tr>
      <w:tr w:rsidR="00E623DD" w14:paraId="7419C071" w14:textId="77777777" w:rsidTr="00DD1C20">
        <w:tc>
          <w:tcPr>
            <w:tcW w:w="1975" w:type="dxa"/>
          </w:tcPr>
          <w:p w14:paraId="3DB00ABD" w14:textId="77777777" w:rsidR="00E623DD" w:rsidRDefault="00E623DD" w:rsidP="00B75414">
            <w:pPr>
              <w:pStyle w:val="Body"/>
              <w:ind w:left="0"/>
            </w:pPr>
            <w:r>
              <w:t>Preliminary and General ( P&amp;G)</w:t>
            </w:r>
          </w:p>
        </w:tc>
        <w:tc>
          <w:tcPr>
            <w:tcW w:w="6520" w:type="dxa"/>
            <w:gridSpan w:val="2"/>
          </w:tcPr>
          <w:p w14:paraId="2598DB17" w14:textId="77777777" w:rsidR="00E623DD" w:rsidRDefault="00E623DD" w:rsidP="00FB012A">
            <w:pPr>
              <w:pStyle w:val="Body"/>
              <w:ind w:left="0"/>
            </w:pPr>
            <w:r>
              <w:t xml:space="preserve">“P&amp;G” is calculated in cost estimates as a percentage of the total capital cost and typically covers a number of costs that have not been specifically itemised such as site establishment and dis-establishment, contractor admin and project management, health and safety systems, temporary buildings and traffic management. </w:t>
            </w:r>
          </w:p>
        </w:tc>
      </w:tr>
      <w:tr w:rsidR="00E623DD" w14:paraId="36BA9B10" w14:textId="77777777" w:rsidTr="00DD1C20">
        <w:tc>
          <w:tcPr>
            <w:tcW w:w="1975" w:type="dxa"/>
          </w:tcPr>
          <w:p w14:paraId="1AF8AD02" w14:textId="77777777" w:rsidR="00E623DD" w:rsidRDefault="00E623DD" w:rsidP="006433E3">
            <w:pPr>
              <w:pStyle w:val="Body"/>
              <w:ind w:left="0"/>
            </w:pPr>
            <w:r>
              <w:t>Receiving Water</w:t>
            </w:r>
          </w:p>
        </w:tc>
        <w:tc>
          <w:tcPr>
            <w:tcW w:w="6520" w:type="dxa"/>
            <w:gridSpan w:val="2"/>
          </w:tcPr>
          <w:p w14:paraId="5111E63D" w14:textId="77777777" w:rsidR="00E623DD" w:rsidRDefault="00A924E4" w:rsidP="00A924E4">
            <w:pPr>
              <w:pStyle w:val="Body"/>
              <w:ind w:left="0"/>
            </w:pPr>
            <w:r>
              <w:t xml:space="preserve">Receiving water is the stream, </w:t>
            </w:r>
            <w:r w:rsidR="00E623DD">
              <w:t>river</w:t>
            </w:r>
            <w:r>
              <w:t xml:space="preserve"> or lake</w:t>
            </w:r>
            <w:r w:rsidR="00E623DD">
              <w:t xml:space="preserve"> that the WWTP treated water discharges in to.</w:t>
            </w:r>
          </w:p>
        </w:tc>
      </w:tr>
      <w:tr w:rsidR="00E623DD" w14:paraId="201CF05C" w14:textId="77777777" w:rsidTr="00DD1C20">
        <w:tc>
          <w:tcPr>
            <w:tcW w:w="1975" w:type="dxa"/>
          </w:tcPr>
          <w:p w14:paraId="2FDB73AE" w14:textId="77777777" w:rsidR="00E623DD" w:rsidRDefault="00E623DD" w:rsidP="006433E3">
            <w:pPr>
              <w:pStyle w:val="Body"/>
              <w:ind w:left="0"/>
            </w:pPr>
            <w:r>
              <w:t>Sequencing Batch Reactor (SBR)</w:t>
            </w:r>
          </w:p>
        </w:tc>
        <w:tc>
          <w:tcPr>
            <w:tcW w:w="6520" w:type="dxa"/>
            <w:gridSpan w:val="2"/>
          </w:tcPr>
          <w:p w14:paraId="10F19CE6" w14:textId="77777777" w:rsidR="00E623DD" w:rsidRDefault="00E623DD" w:rsidP="00FB012A">
            <w:pPr>
              <w:pStyle w:val="Body"/>
              <w:ind w:left="0"/>
            </w:pPr>
            <w:r w:rsidRPr="00987D89">
              <w:t>Sequencing batch reactors or sequential batch reactors are a type of activated sludge process for the treatment of wastewater.</w:t>
            </w:r>
          </w:p>
        </w:tc>
      </w:tr>
      <w:tr w:rsidR="00E623DD" w14:paraId="7515934A" w14:textId="77777777" w:rsidTr="00E66F34">
        <w:trPr>
          <w:gridAfter w:val="1"/>
          <w:wAfter w:w="10" w:type="dxa"/>
        </w:trPr>
        <w:tc>
          <w:tcPr>
            <w:tcW w:w="1975" w:type="dxa"/>
          </w:tcPr>
          <w:p w14:paraId="113DB3DE" w14:textId="77777777" w:rsidR="00E623DD" w:rsidRDefault="00E623DD" w:rsidP="00DD1C20">
            <w:pPr>
              <w:pStyle w:val="Body"/>
              <w:ind w:left="0"/>
            </w:pPr>
            <w:r>
              <w:t>Total Population</w:t>
            </w:r>
          </w:p>
        </w:tc>
        <w:tc>
          <w:tcPr>
            <w:tcW w:w="6510" w:type="dxa"/>
          </w:tcPr>
          <w:p w14:paraId="072A1934" w14:textId="77777777" w:rsidR="00E623DD" w:rsidRDefault="00E623DD" w:rsidP="00DD1C20">
            <w:pPr>
              <w:pStyle w:val="Body"/>
              <w:ind w:left="0"/>
            </w:pPr>
            <w:r>
              <w:t>The total population of a region that are served by Territorial Authority owned and operated WWTPs. This includes WWTPs discharging to land and the ocean environments.</w:t>
            </w:r>
          </w:p>
        </w:tc>
      </w:tr>
      <w:tr w:rsidR="00E623DD" w14:paraId="55EB1C1A" w14:textId="77777777" w:rsidTr="00DD1C20">
        <w:tc>
          <w:tcPr>
            <w:tcW w:w="1975" w:type="dxa"/>
          </w:tcPr>
          <w:p w14:paraId="57C06EF3" w14:textId="77777777" w:rsidR="00E623DD" w:rsidRDefault="00E623DD" w:rsidP="006433E3">
            <w:pPr>
              <w:pStyle w:val="Body"/>
              <w:ind w:left="0"/>
            </w:pPr>
            <w:r>
              <w:t>Ultra Violet (UV) Treatment</w:t>
            </w:r>
          </w:p>
        </w:tc>
        <w:tc>
          <w:tcPr>
            <w:tcW w:w="6520" w:type="dxa"/>
            <w:gridSpan w:val="2"/>
          </w:tcPr>
          <w:p w14:paraId="0C6D3DDE" w14:textId="77777777" w:rsidR="00E623DD" w:rsidRDefault="00E623DD" w:rsidP="006433E3">
            <w:pPr>
              <w:pStyle w:val="Body"/>
              <w:ind w:left="0"/>
            </w:pPr>
            <w:r>
              <w:t>UV treatment applies electromagnetic energy to micro-organisms and retards their ability to reproduce.</w:t>
            </w:r>
          </w:p>
        </w:tc>
      </w:tr>
      <w:tr w:rsidR="00E623DD" w14:paraId="260CE3A4" w14:textId="77777777" w:rsidTr="00DD1C20">
        <w:tc>
          <w:tcPr>
            <w:tcW w:w="1975" w:type="dxa"/>
          </w:tcPr>
          <w:p w14:paraId="37A202F6" w14:textId="77777777" w:rsidR="00E623DD" w:rsidRDefault="00E623DD" w:rsidP="006433E3">
            <w:pPr>
              <w:pStyle w:val="Body"/>
              <w:ind w:left="0"/>
            </w:pPr>
            <w:r>
              <w:t>Waste Stabilisation Pond (WSP)</w:t>
            </w:r>
          </w:p>
        </w:tc>
        <w:tc>
          <w:tcPr>
            <w:tcW w:w="6520" w:type="dxa"/>
            <w:gridSpan w:val="2"/>
          </w:tcPr>
          <w:p w14:paraId="5D587853" w14:textId="77777777" w:rsidR="00E623DD" w:rsidRDefault="00E623DD" w:rsidP="00FB012A">
            <w:pPr>
              <w:pStyle w:val="Body"/>
              <w:ind w:left="0"/>
            </w:pPr>
            <w:r>
              <w:t xml:space="preserve">WSPs are large ponds that utilise </w:t>
            </w:r>
            <w:r w:rsidRPr="00E00502">
              <w:t>a variety</w:t>
            </w:r>
            <w:r>
              <w:t xml:space="preserve"> of </w:t>
            </w:r>
            <w:r w:rsidRPr="00E00502">
              <w:t>mechanisms</w:t>
            </w:r>
            <w:r>
              <w:t xml:space="preserve"> to remove pollutants</w:t>
            </w:r>
            <w:r w:rsidRPr="00285851">
              <w:t xml:space="preserve"> from wastewater.</w:t>
            </w:r>
            <w:r>
              <w:t xml:space="preserve"> </w:t>
            </w:r>
            <w:r w:rsidRPr="00E00502">
              <w:t>These treatment mechanisms include settlement, and aerobic, anoxic and anaerobic biological processes.</w:t>
            </w:r>
          </w:p>
        </w:tc>
      </w:tr>
      <w:tr w:rsidR="00E623DD" w14:paraId="19E4FA06" w14:textId="77777777" w:rsidTr="00E66F34">
        <w:trPr>
          <w:gridAfter w:val="1"/>
          <w:wAfter w:w="10" w:type="dxa"/>
        </w:trPr>
        <w:tc>
          <w:tcPr>
            <w:tcW w:w="1975" w:type="dxa"/>
          </w:tcPr>
          <w:p w14:paraId="5785DC19" w14:textId="77777777" w:rsidR="00E623DD" w:rsidRDefault="00E623DD" w:rsidP="006433E3">
            <w:pPr>
              <w:pStyle w:val="Body"/>
              <w:ind w:left="0"/>
            </w:pPr>
            <w:r>
              <w:t>Wastewater Treatment Plant (WWTP)</w:t>
            </w:r>
          </w:p>
        </w:tc>
        <w:tc>
          <w:tcPr>
            <w:tcW w:w="6510" w:type="dxa"/>
          </w:tcPr>
          <w:p w14:paraId="45599CE6" w14:textId="77777777" w:rsidR="00E623DD" w:rsidRDefault="00E623DD" w:rsidP="00FB012A">
            <w:pPr>
              <w:pStyle w:val="Body"/>
              <w:ind w:left="0"/>
            </w:pPr>
            <w:r>
              <w:t>Municipal wastewater treatment plant</w:t>
            </w:r>
          </w:p>
        </w:tc>
      </w:tr>
    </w:tbl>
    <w:p w14:paraId="00588330" w14:textId="77777777" w:rsidR="006433E3" w:rsidRDefault="006433E3" w:rsidP="006433E3">
      <w:pPr>
        <w:pStyle w:val="Body"/>
      </w:pPr>
    </w:p>
    <w:p w14:paraId="5EAD7518" w14:textId="77777777" w:rsidR="006433E3" w:rsidRPr="006433E3" w:rsidRDefault="006D449C">
      <w:pPr>
        <w:spacing w:after="0"/>
      </w:pPr>
      <w:r>
        <w:br w:type="page"/>
      </w:r>
    </w:p>
    <w:p w14:paraId="3F71FD73" w14:textId="77777777" w:rsidR="00BC4E63" w:rsidRDefault="006D449C" w:rsidP="00413A42">
      <w:pPr>
        <w:pStyle w:val="Appendix"/>
      </w:pPr>
      <w:bookmarkStart w:id="772" w:name="_Toc517254463"/>
      <w:bookmarkStart w:id="773" w:name="_Toc517687770"/>
      <w:bookmarkStart w:id="774" w:name="_Toc517687773"/>
      <w:bookmarkStart w:id="775" w:name="_Toc517698912"/>
      <w:bookmarkStart w:id="776" w:name="_Ref517794340"/>
      <w:bookmarkStart w:id="777" w:name="_Toc517795807"/>
      <w:bookmarkStart w:id="778" w:name="_Toc517795843"/>
      <w:bookmarkStart w:id="779" w:name="_Toc517796095"/>
      <w:bookmarkStart w:id="780" w:name="_Toc518540287"/>
      <w:bookmarkStart w:id="781" w:name="_Toc518540290"/>
      <w:bookmarkStart w:id="782" w:name="_Toc518648675"/>
      <w:bookmarkStart w:id="783" w:name="_Toc518659671"/>
      <w:bookmarkStart w:id="784" w:name="_Toc518659749"/>
      <w:bookmarkStart w:id="785" w:name="_Toc518659956"/>
      <w:bookmarkStart w:id="786" w:name="_Toc520963138"/>
      <w:bookmarkStart w:id="787" w:name="_Toc520963141"/>
      <w:bookmarkStart w:id="788" w:name="_Toc521055390"/>
      <w:bookmarkStart w:id="789" w:name="_Toc521055393"/>
      <w:bookmarkStart w:id="790" w:name="_Toc521058291"/>
      <w:bookmarkStart w:id="791" w:name="_Toc521062207"/>
      <w:bookmarkStart w:id="792" w:name="_Toc521062285"/>
      <w:bookmarkStart w:id="793" w:name="_Toc521064819"/>
      <w:bookmarkStart w:id="794" w:name="_Toc523143927"/>
      <w:bookmarkStart w:id="795" w:name="_Toc523143930"/>
      <w:r>
        <w:lastRenderedPageBreak/>
        <w:t xml:space="preserve">– </w:t>
      </w:r>
      <w:r w:rsidR="00B15876">
        <w:t>NPS Freshwater Attribute Tables</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p>
    <w:p w14:paraId="131503F0" w14:textId="77777777" w:rsidR="00D137C7" w:rsidRPr="00BC4E63" w:rsidRDefault="00B54C6E" w:rsidP="00D137C7">
      <w:pPr>
        <w:pStyle w:val="Body"/>
      </w:pPr>
      <w:r>
        <w:t>NPS Freshwater Attribute Tables (NPS-FW 2017, Appendix 2, pg. 30-40)</w:t>
      </w:r>
    </w:p>
    <w:p w14:paraId="2844DBE4" w14:textId="77777777" w:rsidR="00886D52" w:rsidRDefault="00886D52" w:rsidP="00882034">
      <w:pPr>
        <w:pStyle w:val="Body"/>
      </w:pPr>
    </w:p>
    <w:tbl>
      <w:tblPr>
        <w:tblW w:w="7805" w:type="dxa"/>
        <w:tblInd w:w="126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963"/>
        <w:gridCol w:w="1419"/>
        <w:gridCol w:w="1361"/>
        <w:gridCol w:w="3062"/>
      </w:tblGrid>
      <w:tr w:rsidR="00702958" w14:paraId="70457AF6" w14:textId="77777777" w:rsidTr="00E66F34">
        <w:trPr>
          <w:trHeight w:val="400"/>
        </w:trPr>
        <w:tc>
          <w:tcPr>
            <w:tcW w:w="1963" w:type="dxa"/>
            <w:tcBorders>
              <w:bottom w:val="single" w:sz="4" w:space="0" w:color="231F20"/>
              <w:right w:val="single" w:sz="4" w:space="0" w:color="231F20"/>
            </w:tcBorders>
            <w:vAlign w:val="center"/>
          </w:tcPr>
          <w:p w14:paraId="74B47B2A" w14:textId="77777777" w:rsidR="00702958" w:rsidRDefault="00702958" w:rsidP="00B54C6E">
            <w:pPr>
              <w:pStyle w:val="TableParagraph"/>
              <w:spacing w:before="71"/>
              <w:ind w:left="73"/>
              <w:rPr>
                <w:rFonts w:ascii="Times New Roman"/>
                <w:b/>
                <w:sz w:val="20"/>
              </w:rPr>
            </w:pPr>
            <w:r>
              <w:rPr>
                <w:rFonts w:ascii="Times New Roman"/>
                <w:b/>
                <w:color w:val="231F20"/>
                <w:sz w:val="20"/>
              </w:rPr>
              <w:t>Value</w:t>
            </w:r>
          </w:p>
        </w:tc>
        <w:tc>
          <w:tcPr>
            <w:tcW w:w="5842" w:type="dxa"/>
            <w:gridSpan w:val="3"/>
            <w:tcBorders>
              <w:left w:val="single" w:sz="4" w:space="0" w:color="231F20"/>
              <w:bottom w:val="single" w:sz="4" w:space="0" w:color="231F20"/>
            </w:tcBorders>
            <w:vAlign w:val="center"/>
          </w:tcPr>
          <w:p w14:paraId="4AE5E315" w14:textId="77777777" w:rsidR="00702958" w:rsidRDefault="00702958" w:rsidP="00B54C6E">
            <w:pPr>
              <w:pStyle w:val="TableParagraph"/>
              <w:spacing w:before="53"/>
              <w:ind w:left="78"/>
              <w:rPr>
                <w:sz w:val="20"/>
              </w:rPr>
            </w:pPr>
            <w:r>
              <w:rPr>
                <w:color w:val="231F20"/>
                <w:w w:val="90"/>
                <w:sz w:val="20"/>
              </w:rPr>
              <w:t>Ecosystem health</w:t>
            </w:r>
          </w:p>
        </w:tc>
      </w:tr>
      <w:tr w:rsidR="00702958" w14:paraId="56E1181C" w14:textId="77777777" w:rsidTr="00E66F34">
        <w:trPr>
          <w:trHeight w:val="560"/>
        </w:trPr>
        <w:tc>
          <w:tcPr>
            <w:tcW w:w="1963" w:type="dxa"/>
            <w:tcBorders>
              <w:top w:val="single" w:sz="4" w:space="0" w:color="231F20"/>
              <w:bottom w:val="single" w:sz="4" w:space="0" w:color="231F20"/>
              <w:right w:val="single" w:sz="4" w:space="0" w:color="231F20"/>
            </w:tcBorders>
            <w:vAlign w:val="center"/>
          </w:tcPr>
          <w:p w14:paraId="348B2382" w14:textId="77777777" w:rsidR="00702958" w:rsidRDefault="00702958" w:rsidP="00FE4F59">
            <w:pPr>
              <w:pStyle w:val="TableParagraph"/>
              <w:spacing w:before="23"/>
              <w:ind w:left="73"/>
              <w:rPr>
                <w:rFonts w:ascii="Times New Roman"/>
                <w:b/>
                <w:sz w:val="20"/>
              </w:rPr>
            </w:pPr>
            <w:r>
              <w:rPr>
                <w:rFonts w:ascii="Times New Roman"/>
                <w:b/>
                <w:color w:val="231F20"/>
                <w:w w:val="95"/>
                <w:sz w:val="20"/>
              </w:rPr>
              <w:t>Freshwater Body</w:t>
            </w:r>
            <w:r w:rsidR="00B54C6E">
              <w:rPr>
                <w:rFonts w:ascii="Times New Roman"/>
                <w:b/>
                <w:color w:val="231F20"/>
                <w:w w:val="95"/>
                <w:sz w:val="20"/>
              </w:rPr>
              <w:t xml:space="preserve"> </w:t>
            </w:r>
            <w:r>
              <w:rPr>
                <w:rFonts w:ascii="Times New Roman"/>
                <w:b/>
                <w:color w:val="231F20"/>
                <w:sz w:val="20"/>
              </w:rPr>
              <w:t>Type</w:t>
            </w:r>
          </w:p>
        </w:tc>
        <w:tc>
          <w:tcPr>
            <w:tcW w:w="5842" w:type="dxa"/>
            <w:gridSpan w:val="3"/>
            <w:tcBorders>
              <w:top w:val="single" w:sz="4" w:space="0" w:color="231F20"/>
              <w:left w:val="single" w:sz="4" w:space="0" w:color="231F20"/>
              <w:bottom w:val="single" w:sz="4" w:space="0" w:color="231F20"/>
            </w:tcBorders>
            <w:vAlign w:val="center"/>
          </w:tcPr>
          <w:p w14:paraId="58DDFA88" w14:textId="77777777" w:rsidR="00702958" w:rsidRDefault="00702958" w:rsidP="00B54C6E">
            <w:pPr>
              <w:pStyle w:val="TableParagraph"/>
              <w:spacing w:before="112"/>
              <w:ind w:left="78"/>
              <w:rPr>
                <w:sz w:val="20"/>
              </w:rPr>
            </w:pPr>
            <w:r>
              <w:rPr>
                <w:color w:val="231F20"/>
                <w:sz w:val="20"/>
              </w:rPr>
              <w:t>Rivers</w:t>
            </w:r>
          </w:p>
        </w:tc>
      </w:tr>
      <w:tr w:rsidR="00AE663D" w14:paraId="1812233C" w14:textId="77777777" w:rsidTr="00FE4F59">
        <w:trPr>
          <w:trHeight w:val="420"/>
        </w:trPr>
        <w:tc>
          <w:tcPr>
            <w:tcW w:w="1963" w:type="dxa"/>
            <w:tcBorders>
              <w:top w:val="single" w:sz="4" w:space="0" w:color="231F20"/>
              <w:bottom w:val="single" w:sz="4" w:space="0" w:color="231F20"/>
              <w:right w:val="single" w:sz="4" w:space="0" w:color="231F20"/>
            </w:tcBorders>
            <w:shd w:val="clear" w:color="auto" w:fill="DCDDDE"/>
            <w:vAlign w:val="center"/>
          </w:tcPr>
          <w:p w14:paraId="1466C8CF" w14:textId="77777777" w:rsidR="00702958" w:rsidRDefault="00702958" w:rsidP="00B54C6E">
            <w:pPr>
              <w:pStyle w:val="TableParagraph"/>
              <w:spacing w:before="76"/>
              <w:ind w:left="73"/>
              <w:rPr>
                <w:rFonts w:ascii="Times New Roman"/>
                <w:b/>
                <w:sz w:val="20"/>
              </w:rPr>
            </w:pPr>
            <w:r>
              <w:rPr>
                <w:rFonts w:ascii="Times New Roman"/>
                <w:b/>
                <w:color w:val="231F20"/>
                <w:sz w:val="20"/>
              </w:rPr>
              <w:t>Attribute</w:t>
            </w:r>
          </w:p>
        </w:tc>
        <w:tc>
          <w:tcPr>
            <w:tcW w:w="5842" w:type="dxa"/>
            <w:gridSpan w:val="3"/>
            <w:tcBorders>
              <w:top w:val="single" w:sz="4" w:space="0" w:color="231F20"/>
              <w:left w:val="single" w:sz="4" w:space="0" w:color="231F20"/>
              <w:bottom w:val="single" w:sz="4" w:space="0" w:color="231F20"/>
            </w:tcBorders>
            <w:shd w:val="clear" w:color="auto" w:fill="DCDDDE"/>
            <w:vAlign w:val="center"/>
          </w:tcPr>
          <w:p w14:paraId="4632707C" w14:textId="77777777" w:rsidR="00702958" w:rsidRDefault="00702958" w:rsidP="00B54C6E">
            <w:pPr>
              <w:pStyle w:val="TableParagraph"/>
              <w:spacing w:before="58"/>
              <w:ind w:left="78"/>
              <w:rPr>
                <w:sz w:val="20"/>
              </w:rPr>
            </w:pPr>
            <w:r>
              <w:rPr>
                <w:color w:val="231F20"/>
                <w:w w:val="90"/>
                <w:sz w:val="20"/>
              </w:rPr>
              <w:t>Nitrate (Toxicity)</w:t>
            </w:r>
          </w:p>
        </w:tc>
      </w:tr>
      <w:tr w:rsidR="00702958" w14:paraId="4F0C59CB" w14:textId="77777777" w:rsidTr="00E66F34">
        <w:trPr>
          <w:trHeight w:val="420"/>
        </w:trPr>
        <w:tc>
          <w:tcPr>
            <w:tcW w:w="1963" w:type="dxa"/>
            <w:tcBorders>
              <w:top w:val="single" w:sz="4" w:space="0" w:color="231F20"/>
              <w:bottom w:val="single" w:sz="4" w:space="0" w:color="231F20"/>
              <w:right w:val="single" w:sz="4" w:space="0" w:color="231F20"/>
            </w:tcBorders>
            <w:vAlign w:val="center"/>
          </w:tcPr>
          <w:p w14:paraId="0ADE74A4" w14:textId="77777777" w:rsidR="00702958" w:rsidRDefault="00702958" w:rsidP="00B54C6E">
            <w:pPr>
              <w:pStyle w:val="TableParagraph"/>
              <w:spacing w:before="76"/>
              <w:ind w:left="73"/>
              <w:rPr>
                <w:rFonts w:ascii="Times New Roman"/>
                <w:b/>
                <w:sz w:val="20"/>
              </w:rPr>
            </w:pPr>
            <w:r>
              <w:rPr>
                <w:rFonts w:ascii="Times New Roman"/>
                <w:b/>
                <w:color w:val="231F20"/>
                <w:sz w:val="20"/>
              </w:rPr>
              <w:t>Attribute Unit</w:t>
            </w:r>
          </w:p>
        </w:tc>
        <w:tc>
          <w:tcPr>
            <w:tcW w:w="5842" w:type="dxa"/>
            <w:gridSpan w:val="3"/>
            <w:tcBorders>
              <w:top w:val="single" w:sz="4" w:space="0" w:color="231F20"/>
              <w:left w:val="single" w:sz="4" w:space="0" w:color="231F20"/>
              <w:bottom w:val="single" w:sz="4" w:space="0" w:color="231F20"/>
            </w:tcBorders>
            <w:vAlign w:val="center"/>
          </w:tcPr>
          <w:p w14:paraId="132D61C4" w14:textId="77777777" w:rsidR="00702958" w:rsidRDefault="00702958" w:rsidP="00B54C6E">
            <w:pPr>
              <w:pStyle w:val="TableParagraph"/>
              <w:spacing w:before="58"/>
              <w:ind w:left="78"/>
              <w:rPr>
                <w:sz w:val="20"/>
              </w:rPr>
            </w:pPr>
            <w:r>
              <w:rPr>
                <w:color w:val="231F20"/>
                <w:w w:val="95"/>
                <w:sz w:val="20"/>
              </w:rPr>
              <w:t>mg NO</w:t>
            </w:r>
            <w:r>
              <w:rPr>
                <w:color w:val="231F20"/>
                <w:w w:val="95"/>
                <w:position w:val="-6"/>
                <w:sz w:val="11"/>
              </w:rPr>
              <w:t>3</w:t>
            </w:r>
            <w:r>
              <w:rPr>
                <w:color w:val="231F20"/>
                <w:w w:val="95"/>
                <w:sz w:val="20"/>
              </w:rPr>
              <w:t>-N/L (milligrams nitrate-nitrogen per litre)</w:t>
            </w:r>
          </w:p>
        </w:tc>
      </w:tr>
      <w:tr w:rsidR="00AE663D" w14:paraId="3901F0A5" w14:textId="77777777" w:rsidTr="00FE4F59">
        <w:trPr>
          <w:trHeight w:val="400"/>
        </w:trPr>
        <w:tc>
          <w:tcPr>
            <w:tcW w:w="1963" w:type="dxa"/>
            <w:tcBorders>
              <w:top w:val="single" w:sz="4" w:space="0" w:color="231F20"/>
              <w:bottom w:val="single" w:sz="4" w:space="0" w:color="231F20"/>
              <w:right w:val="single" w:sz="4" w:space="0" w:color="231F20"/>
            </w:tcBorders>
            <w:shd w:val="clear" w:color="auto" w:fill="DCDDDE"/>
            <w:vAlign w:val="center"/>
          </w:tcPr>
          <w:p w14:paraId="27DDA66D" w14:textId="77777777" w:rsidR="00702958" w:rsidRDefault="00702958" w:rsidP="00B54C6E">
            <w:pPr>
              <w:pStyle w:val="TableParagraph"/>
              <w:spacing w:before="65"/>
              <w:ind w:left="73"/>
              <w:rPr>
                <w:rFonts w:ascii="Times New Roman"/>
                <w:b/>
                <w:sz w:val="20"/>
              </w:rPr>
            </w:pPr>
            <w:r>
              <w:rPr>
                <w:rFonts w:ascii="Times New Roman"/>
                <w:b/>
                <w:color w:val="231F20"/>
                <w:sz w:val="20"/>
              </w:rPr>
              <w:t>Attribute State</w:t>
            </w:r>
          </w:p>
        </w:tc>
        <w:tc>
          <w:tcPr>
            <w:tcW w:w="2780" w:type="dxa"/>
            <w:gridSpan w:val="2"/>
            <w:tcBorders>
              <w:top w:val="single" w:sz="4" w:space="0" w:color="231F20"/>
              <w:left w:val="single" w:sz="4" w:space="0" w:color="231F20"/>
              <w:bottom w:val="single" w:sz="4" w:space="0" w:color="231F20"/>
              <w:right w:val="single" w:sz="4" w:space="0" w:color="231F20"/>
            </w:tcBorders>
            <w:shd w:val="clear" w:color="auto" w:fill="DCDDDE"/>
            <w:vAlign w:val="center"/>
          </w:tcPr>
          <w:p w14:paraId="7D4669BA" w14:textId="77777777" w:rsidR="00702958" w:rsidRDefault="00702958" w:rsidP="00B54C6E">
            <w:pPr>
              <w:pStyle w:val="TableParagraph"/>
              <w:spacing w:before="65"/>
              <w:ind w:left="78"/>
              <w:rPr>
                <w:rFonts w:ascii="Times New Roman"/>
                <w:b/>
                <w:sz w:val="20"/>
              </w:rPr>
            </w:pPr>
            <w:r>
              <w:rPr>
                <w:rFonts w:ascii="Times New Roman"/>
                <w:b/>
                <w:color w:val="231F20"/>
                <w:sz w:val="20"/>
              </w:rPr>
              <w:t>Numeric Attribute State</w:t>
            </w:r>
          </w:p>
        </w:tc>
        <w:tc>
          <w:tcPr>
            <w:tcW w:w="3062" w:type="dxa"/>
            <w:tcBorders>
              <w:top w:val="single" w:sz="4" w:space="0" w:color="231F20"/>
              <w:left w:val="single" w:sz="4" w:space="0" w:color="231F20"/>
              <w:bottom w:val="single" w:sz="4" w:space="0" w:color="231F20"/>
            </w:tcBorders>
            <w:shd w:val="clear" w:color="auto" w:fill="DCDDDE"/>
            <w:vAlign w:val="center"/>
          </w:tcPr>
          <w:p w14:paraId="11530560" w14:textId="77777777" w:rsidR="00702958" w:rsidRDefault="00702958" w:rsidP="00B54C6E">
            <w:pPr>
              <w:pStyle w:val="TableParagraph"/>
              <w:spacing w:before="65"/>
              <w:ind w:left="78"/>
              <w:rPr>
                <w:rFonts w:ascii="Times New Roman"/>
                <w:b/>
                <w:sz w:val="20"/>
              </w:rPr>
            </w:pPr>
            <w:r>
              <w:rPr>
                <w:rFonts w:ascii="Times New Roman"/>
                <w:b/>
                <w:color w:val="231F20"/>
                <w:w w:val="95"/>
                <w:sz w:val="20"/>
              </w:rPr>
              <w:t>Narrative Attribute State</w:t>
            </w:r>
          </w:p>
        </w:tc>
      </w:tr>
      <w:tr w:rsidR="00702958" w14:paraId="34B9A3CD" w14:textId="77777777" w:rsidTr="00E66F34">
        <w:trPr>
          <w:trHeight w:val="620"/>
        </w:trPr>
        <w:tc>
          <w:tcPr>
            <w:tcW w:w="1963" w:type="dxa"/>
            <w:tcBorders>
              <w:top w:val="single" w:sz="4" w:space="0" w:color="231F20"/>
              <w:bottom w:val="single" w:sz="4" w:space="0" w:color="231F20"/>
              <w:right w:val="single" w:sz="4" w:space="0" w:color="231F20"/>
            </w:tcBorders>
            <w:vAlign w:val="center"/>
          </w:tcPr>
          <w:p w14:paraId="1A79A955" w14:textId="77777777" w:rsidR="00702958" w:rsidRDefault="00702958" w:rsidP="00B54C6E">
            <w:pPr>
              <w:pStyle w:val="TableParagraph"/>
              <w:rPr>
                <w:rFonts w:ascii="Times New Roman"/>
                <w:sz w:val="18"/>
              </w:rPr>
            </w:pPr>
          </w:p>
        </w:tc>
        <w:tc>
          <w:tcPr>
            <w:tcW w:w="1419" w:type="dxa"/>
            <w:tcBorders>
              <w:top w:val="single" w:sz="4" w:space="0" w:color="231F20"/>
              <w:left w:val="single" w:sz="4" w:space="0" w:color="231F20"/>
              <w:bottom w:val="single" w:sz="4" w:space="0" w:color="231F20"/>
              <w:right w:val="single" w:sz="4" w:space="0" w:color="231F20"/>
            </w:tcBorders>
            <w:vAlign w:val="center"/>
          </w:tcPr>
          <w:p w14:paraId="4861EEFB" w14:textId="77777777" w:rsidR="00702958" w:rsidRDefault="00702958" w:rsidP="00B54C6E">
            <w:pPr>
              <w:pStyle w:val="TableParagraph"/>
              <w:spacing w:before="7" w:line="280" w:lineRule="atLeast"/>
              <w:ind w:left="78" w:right="494"/>
              <w:rPr>
                <w:rFonts w:ascii="Times New Roman"/>
                <w:b/>
                <w:sz w:val="20"/>
              </w:rPr>
            </w:pPr>
            <w:r>
              <w:rPr>
                <w:rFonts w:ascii="Times New Roman"/>
                <w:b/>
                <w:color w:val="231F20"/>
                <w:sz w:val="20"/>
              </w:rPr>
              <w:t xml:space="preserve">Annual </w:t>
            </w:r>
            <w:r>
              <w:rPr>
                <w:rFonts w:ascii="Times New Roman"/>
                <w:b/>
                <w:color w:val="231F20"/>
                <w:w w:val="95"/>
                <w:sz w:val="20"/>
              </w:rPr>
              <w:t>Median</w:t>
            </w:r>
          </w:p>
        </w:tc>
        <w:tc>
          <w:tcPr>
            <w:tcW w:w="1361" w:type="dxa"/>
            <w:tcBorders>
              <w:top w:val="single" w:sz="4" w:space="0" w:color="231F20"/>
              <w:left w:val="single" w:sz="4" w:space="0" w:color="231F20"/>
              <w:bottom w:val="single" w:sz="4" w:space="0" w:color="231F20"/>
              <w:right w:val="single" w:sz="4" w:space="0" w:color="231F20"/>
            </w:tcBorders>
            <w:vAlign w:val="center"/>
          </w:tcPr>
          <w:p w14:paraId="7019E980" w14:textId="77777777" w:rsidR="00702958" w:rsidRDefault="00702958" w:rsidP="00B54C6E">
            <w:pPr>
              <w:pStyle w:val="TableParagraph"/>
              <w:spacing w:before="7" w:line="280" w:lineRule="atLeast"/>
              <w:ind w:left="78"/>
              <w:rPr>
                <w:rFonts w:ascii="Times New Roman"/>
                <w:b/>
                <w:sz w:val="20"/>
              </w:rPr>
            </w:pPr>
            <w:r>
              <w:rPr>
                <w:rFonts w:ascii="Times New Roman"/>
                <w:b/>
                <w:color w:val="231F20"/>
                <w:sz w:val="20"/>
              </w:rPr>
              <w:t>Annual 95</w:t>
            </w:r>
            <w:r>
              <w:rPr>
                <w:rFonts w:ascii="Times New Roman"/>
                <w:b/>
                <w:color w:val="231F20"/>
                <w:position w:val="7"/>
                <w:sz w:val="11"/>
              </w:rPr>
              <w:t xml:space="preserve">th </w:t>
            </w:r>
            <w:r>
              <w:rPr>
                <w:rFonts w:ascii="Times New Roman"/>
                <w:b/>
                <w:color w:val="231F20"/>
                <w:sz w:val="20"/>
              </w:rPr>
              <w:t>Percentile</w:t>
            </w:r>
          </w:p>
        </w:tc>
        <w:tc>
          <w:tcPr>
            <w:tcW w:w="3062" w:type="dxa"/>
            <w:tcBorders>
              <w:top w:val="single" w:sz="4" w:space="0" w:color="231F20"/>
              <w:left w:val="single" w:sz="4" w:space="0" w:color="231F20"/>
              <w:bottom w:val="single" w:sz="4" w:space="0" w:color="231F20"/>
            </w:tcBorders>
            <w:vAlign w:val="center"/>
          </w:tcPr>
          <w:p w14:paraId="2D1FB6EE" w14:textId="77777777" w:rsidR="00702958" w:rsidRDefault="00702958" w:rsidP="00B54C6E">
            <w:pPr>
              <w:pStyle w:val="TableParagraph"/>
              <w:rPr>
                <w:rFonts w:ascii="Times New Roman"/>
                <w:sz w:val="18"/>
              </w:rPr>
            </w:pPr>
          </w:p>
        </w:tc>
      </w:tr>
      <w:tr w:rsidR="00702958" w14:paraId="05BAFC6C" w14:textId="77777777" w:rsidTr="00E66F34">
        <w:trPr>
          <w:trHeight w:val="920"/>
        </w:trPr>
        <w:tc>
          <w:tcPr>
            <w:tcW w:w="1963" w:type="dxa"/>
            <w:tcBorders>
              <w:top w:val="single" w:sz="4" w:space="0" w:color="231F20"/>
              <w:bottom w:val="single" w:sz="4" w:space="0" w:color="231F20"/>
              <w:right w:val="single" w:sz="4" w:space="0" w:color="231F20"/>
            </w:tcBorders>
            <w:vAlign w:val="center"/>
          </w:tcPr>
          <w:p w14:paraId="50CDB30F" w14:textId="77777777" w:rsidR="00702958" w:rsidRDefault="00702958" w:rsidP="00B54C6E">
            <w:pPr>
              <w:pStyle w:val="TableParagraph"/>
              <w:ind w:right="1"/>
              <w:jc w:val="center"/>
              <w:rPr>
                <w:rFonts w:ascii="Times New Roman"/>
                <w:b/>
                <w:sz w:val="20"/>
              </w:rPr>
            </w:pPr>
            <w:r>
              <w:rPr>
                <w:rFonts w:ascii="Times New Roman"/>
                <w:b/>
                <w:color w:val="231F20"/>
                <w:w w:val="97"/>
                <w:sz w:val="20"/>
              </w:rPr>
              <w:t>A</w:t>
            </w:r>
          </w:p>
        </w:tc>
        <w:tc>
          <w:tcPr>
            <w:tcW w:w="1419" w:type="dxa"/>
            <w:tcBorders>
              <w:top w:val="single" w:sz="4" w:space="0" w:color="231F20"/>
              <w:left w:val="single" w:sz="4" w:space="0" w:color="231F20"/>
              <w:bottom w:val="single" w:sz="4" w:space="0" w:color="231F20"/>
              <w:right w:val="single" w:sz="4" w:space="0" w:color="231F20"/>
            </w:tcBorders>
            <w:vAlign w:val="center"/>
          </w:tcPr>
          <w:p w14:paraId="7E5B1A24" w14:textId="77777777" w:rsidR="00702958" w:rsidRDefault="00702958" w:rsidP="00B54C6E">
            <w:pPr>
              <w:pStyle w:val="TableParagraph"/>
              <w:ind w:left="78"/>
              <w:rPr>
                <w:sz w:val="20"/>
              </w:rPr>
            </w:pPr>
            <w:r>
              <w:rPr>
                <w:color w:val="231F20"/>
                <w:sz w:val="20"/>
              </w:rPr>
              <w:t>≤1.0</w:t>
            </w:r>
          </w:p>
        </w:tc>
        <w:tc>
          <w:tcPr>
            <w:tcW w:w="1361" w:type="dxa"/>
            <w:tcBorders>
              <w:top w:val="single" w:sz="4" w:space="0" w:color="231F20"/>
              <w:left w:val="single" w:sz="4" w:space="0" w:color="231F20"/>
              <w:bottom w:val="single" w:sz="4" w:space="0" w:color="231F20"/>
              <w:right w:val="single" w:sz="4" w:space="0" w:color="231F20"/>
            </w:tcBorders>
            <w:vAlign w:val="center"/>
          </w:tcPr>
          <w:p w14:paraId="0806D32A" w14:textId="77777777" w:rsidR="00702958" w:rsidRDefault="00702958" w:rsidP="00B54C6E">
            <w:pPr>
              <w:pStyle w:val="TableParagraph"/>
              <w:ind w:left="78"/>
              <w:rPr>
                <w:sz w:val="20"/>
              </w:rPr>
            </w:pPr>
            <w:r>
              <w:rPr>
                <w:color w:val="231F20"/>
                <w:sz w:val="20"/>
              </w:rPr>
              <w:t>≤1.5</w:t>
            </w:r>
          </w:p>
        </w:tc>
        <w:tc>
          <w:tcPr>
            <w:tcW w:w="3062" w:type="dxa"/>
            <w:tcBorders>
              <w:top w:val="single" w:sz="4" w:space="0" w:color="231F20"/>
              <w:left w:val="single" w:sz="4" w:space="0" w:color="231F20"/>
              <w:bottom w:val="single" w:sz="4" w:space="0" w:color="231F20"/>
            </w:tcBorders>
            <w:vAlign w:val="center"/>
          </w:tcPr>
          <w:p w14:paraId="08DF9DF2" w14:textId="77777777" w:rsidR="00702958" w:rsidRDefault="00702958" w:rsidP="00B54C6E">
            <w:pPr>
              <w:pStyle w:val="TableParagraph"/>
              <w:spacing w:before="39" w:line="249" w:lineRule="auto"/>
              <w:ind w:left="78"/>
              <w:rPr>
                <w:sz w:val="20"/>
              </w:rPr>
            </w:pPr>
            <w:r>
              <w:rPr>
                <w:color w:val="231F20"/>
                <w:w w:val="90"/>
                <w:sz w:val="20"/>
              </w:rPr>
              <w:t xml:space="preserve">High conservation value system. </w:t>
            </w:r>
            <w:r>
              <w:rPr>
                <w:color w:val="231F20"/>
                <w:sz w:val="20"/>
              </w:rPr>
              <w:t xml:space="preserve">Unlikely to be effects even on </w:t>
            </w:r>
            <w:r>
              <w:rPr>
                <w:color w:val="231F20"/>
                <w:w w:val="90"/>
                <w:sz w:val="20"/>
              </w:rPr>
              <w:t>sensitive species.</w:t>
            </w:r>
          </w:p>
        </w:tc>
      </w:tr>
      <w:tr w:rsidR="00702958" w14:paraId="2A90E78B" w14:textId="77777777" w:rsidTr="00E66F34">
        <w:trPr>
          <w:trHeight w:val="680"/>
        </w:trPr>
        <w:tc>
          <w:tcPr>
            <w:tcW w:w="1963" w:type="dxa"/>
            <w:tcBorders>
              <w:top w:val="single" w:sz="4" w:space="0" w:color="231F20"/>
              <w:bottom w:val="single" w:sz="4" w:space="0" w:color="231F20"/>
              <w:right w:val="single" w:sz="4" w:space="0" w:color="231F20"/>
            </w:tcBorders>
            <w:vAlign w:val="center"/>
          </w:tcPr>
          <w:p w14:paraId="717274DA" w14:textId="77777777" w:rsidR="00702958" w:rsidRDefault="00702958" w:rsidP="00B54C6E">
            <w:pPr>
              <w:pStyle w:val="TableParagraph"/>
              <w:spacing w:before="174"/>
              <w:ind w:right="1"/>
              <w:jc w:val="center"/>
              <w:rPr>
                <w:rFonts w:ascii="Times New Roman"/>
                <w:b/>
                <w:sz w:val="20"/>
              </w:rPr>
            </w:pPr>
            <w:r>
              <w:rPr>
                <w:rFonts w:ascii="Times New Roman"/>
                <w:b/>
                <w:color w:val="231F20"/>
                <w:w w:val="95"/>
                <w:sz w:val="20"/>
              </w:rPr>
              <w:t>B</w:t>
            </w:r>
          </w:p>
        </w:tc>
        <w:tc>
          <w:tcPr>
            <w:tcW w:w="1419" w:type="dxa"/>
            <w:tcBorders>
              <w:top w:val="single" w:sz="4" w:space="0" w:color="231F20"/>
              <w:left w:val="single" w:sz="4" w:space="0" w:color="231F20"/>
              <w:bottom w:val="single" w:sz="4" w:space="0" w:color="231F20"/>
              <w:right w:val="single" w:sz="4" w:space="0" w:color="231F20"/>
            </w:tcBorders>
            <w:vAlign w:val="center"/>
          </w:tcPr>
          <w:p w14:paraId="4EF9C32F" w14:textId="77777777" w:rsidR="00702958" w:rsidRDefault="00702958" w:rsidP="00B54C6E">
            <w:pPr>
              <w:pStyle w:val="TableParagraph"/>
              <w:spacing w:before="156"/>
              <w:ind w:left="78"/>
              <w:rPr>
                <w:sz w:val="20"/>
              </w:rPr>
            </w:pPr>
            <w:r>
              <w:rPr>
                <w:color w:val="231F20"/>
                <w:sz w:val="20"/>
              </w:rPr>
              <w:t>&gt;1.0 and ≤2.4</w:t>
            </w:r>
          </w:p>
        </w:tc>
        <w:tc>
          <w:tcPr>
            <w:tcW w:w="1361" w:type="dxa"/>
            <w:tcBorders>
              <w:top w:val="single" w:sz="4" w:space="0" w:color="231F20"/>
              <w:left w:val="single" w:sz="4" w:space="0" w:color="231F20"/>
              <w:bottom w:val="single" w:sz="4" w:space="0" w:color="231F20"/>
              <w:right w:val="single" w:sz="4" w:space="0" w:color="231F20"/>
            </w:tcBorders>
            <w:vAlign w:val="center"/>
          </w:tcPr>
          <w:p w14:paraId="5EC1C2CE" w14:textId="77777777" w:rsidR="00702958" w:rsidRDefault="00702958" w:rsidP="00B54C6E">
            <w:pPr>
              <w:pStyle w:val="TableParagraph"/>
              <w:spacing w:before="156"/>
              <w:ind w:left="78"/>
              <w:rPr>
                <w:sz w:val="20"/>
              </w:rPr>
            </w:pPr>
            <w:r>
              <w:rPr>
                <w:color w:val="231F20"/>
                <w:sz w:val="20"/>
              </w:rPr>
              <w:t>&gt;1.5 and ≤3.5</w:t>
            </w:r>
          </w:p>
        </w:tc>
        <w:tc>
          <w:tcPr>
            <w:tcW w:w="3062" w:type="dxa"/>
            <w:tcBorders>
              <w:top w:val="single" w:sz="4" w:space="0" w:color="231F20"/>
              <w:left w:val="single" w:sz="4" w:space="0" w:color="231F20"/>
              <w:bottom w:val="single" w:sz="4" w:space="0" w:color="231F20"/>
            </w:tcBorders>
            <w:vAlign w:val="center"/>
          </w:tcPr>
          <w:p w14:paraId="4A5B45C8" w14:textId="77777777" w:rsidR="00702958" w:rsidRDefault="00702958" w:rsidP="00B54C6E">
            <w:pPr>
              <w:pStyle w:val="TableParagraph"/>
              <w:spacing w:before="50" w:line="249" w:lineRule="auto"/>
              <w:ind w:left="78" w:right="138"/>
              <w:rPr>
                <w:sz w:val="20"/>
              </w:rPr>
            </w:pPr>
            <w:r>
              <w:rPr>
                <w:color w:val="231F20"/>
                <w:w w:val="95"/>
                <w:sz w:val="20"/>
              </w:rPr>
              <w:t>Some</w:t>
            </w:r>
            <w:r>
              <w:rPr>
                <w:color w:val="231F20"/>
                <w:spacing w:val="-22"/>
                <w:w w:val="95"/>
                <w:sz w:val="20"/>
              </w:rPr>
              <w:t xml:space="preserve"> </w:t>
            </w:r>
            <w:r>
              <w:rPr>
                <w:color w:val="231F20"/>
                <w:w w:val="95"/>
                <w:sz w:val="20"/>
              </w:rPr>
              <w:t>growth</w:t>
            </w:r>
            <w:r>
              <w:rPr>
                <w:color w:val="231F20"/>
                <w:spacing w:val="-22"/>
                <w:w w:val="95"/>
                <w:sz w:val="20"/>
              </w:rPr>
              <w:t xml:space="preserve"> </w:t>
            </w:r>
            <w:r>
              <w:rPr>
                <w:color w:val="231F20"/>
                <w:w w:val="95"/>
                <w:sz w:val="20"/>
              </w:rPr>
              <w:t>effect</w:t>
            </w:r>
            <w:r>
              <w:rPr>
                <w:color w:val="231F20"/>
                <w:spacing w:val="-22"/>
                <w:w w:val="95"/>
                <w:sz w:val="20"/>
              </w:rPr>
              <w:t xml:space="preserve"> </w:t>
            </w:r>
            <w:r>
              <w:rPr>
                <w:color w:val="231F20"/>
                <w:w w:val="95"/>
                <w:sz w:val="20"/>
              </w:rPr>
              <w:t>on</w:t>
            </w:r>
            <w:r>
              <w:rPr>
                <w:color w:val="231F20"/>
                <w:spacing w:val="-22"/>
                <w:w w:val="95"/>
                <w:sz w:val="20"/>
              </w:rPr>
              <w:t xml:space="preserve"> </w:t>
            </w:r>
            <w:r>
              <w:rPr>
                <w:color w:val="231F20"/>
                <w:w w:val="95"/>
                <w:sz w:val="20"/>
              </w:rPr>
              <w:t>up</w:t>
            </w:r>
            <w:r>
              <w:rPr>
                <w:color w:val="231F20"/>
                <w:spacing w:val="-22"/>
                <w:w w:val="95"/>
                <w:sz w:val="20"/>
              </w:rPr>
              <w:t xml:space="preserve"> </w:t>
            </w:r>
            <w:r>
              <w:rPr>
                <w:color w:val="231F20"/>
                <w:w w:val="95"/>
                <w:sz w:val="20"/>
              </w:rPr>
              <w:t>to</w:t>
            </w:r>
            <w:r>
              <w:rPr>
                <w:color w:val="231F20"/>
                <w:spacing w:val="-22"/>
                <w:w w:val="95"/>
                <w:sz w:val="20"/>
              </w:rPr>
              <w:t xml:space="preserve"> </w:t>
            </w:r>
            <w:r>
              <w:rPr>
                <w:color w:val="231F20"/>
                <w:w w:val="95"/>
                <w:sz w:val="20"/>
              </w:rPr>
              <w:t>5%</w:t>
            </w:r>
            <w:r>
              <w:rPr>
                <w:color w:val="231F20"/>
                <w:spacing w:val="-22"/>
                <w:w w:val="95"/>
                <w:sz w:val="20"/>
              </w:rPr>
              <w:t xml:space="preserve"> </w:t>
            </w:r>
            <w:r>
              <w:rPr>
                <w:color w:val="231F20"/>
                <w:w w:val="95"/>
                <w:sz w:val="20"/>
              </w:rPr>
              <w:t xml:space="preserve">of </w:t>
            </w:r>
            <w:r>
              <w:rPr>
                <w:color w:val="231F20"/>
                <w:sz w:val="20"/>
              </w:rPr>
              <w:t>species.</w:t>
            </w:r>
          </w:p>
        </w:tc>
      </w:tr>
      <w:tr w:rsidR="00702958" w14:paraId="5173F287" w14:textId="77777777" w:rsidTr="00A93FED">
        <w:trPr>
          <w:trHeight w:val="820"/>
        </w:trPr>
        <w:tc>
          <w:tcPr>
            <w:tcW w:w="1963" w:type="dxa"/>
            <w:tcBorders>
              <w:top w:val="single" w:sz="4" w:space="0" w:color="231F20"/>
              <w:bottom w:val="single" w:sz="4" w:space="0" w:color="231F20"/>
              <w:right w:val="single" w:sz="4" w:space="0" w:color="231F20"/>
            </w:tcBorders>
            <w:vAlign w:val="center"/>
          </w:tcPr>
          <w:p w14:paraId="140F89D4" w14:textId="77777777" w:rsidR="00702958" w:rsidRDefault="00702958" w:rsidP="00B54C6E">
            <w:pPr>
              <w:pStyle w:val="TableParagraph"/>
              <w:ind w:right="1"/>
              <w:jc w:val="center"/>
              <w:rPr>
                <w:rFonts w:ascii="Times New Roman"/>
                <w:b/>
                <w:sz w:val="20"/>
              </w:rPr>
            </w:pPr>
            <w:r>
              <w:rPr>
                <w:rFonts w:ascii="Times New Roman"/>
                <w:b/>
                <w:color w:val="231F20"/>
                <w:w w:val="93"/>
                <w:sz w:val="20"/>
              </w:rPr>
              <w:t>C</w:t>
            </w:r>
          </w:p>
        </w:tc>
        <w:tc>
          <w:tcPr>
            <w:tcW w:w="1419" w:type="dxa"/>
            <w:tcBorders>
              <w:top w:val="single" w:sz="4" w:space="0" w:color="231F20"/>
              <w:left w:val="single" w:sz="4" w:space="0" w:color="231F20"/>
              <w:bottom w:val="single" w:sz="4" w:space="0" w:color="231F20"/>
              <w:right w:val="single" w:sz="4" w:space="0" w:color="231F20"/>
            </w:tcBorders>
            <w:vAlign w:val="center"/>
          </w:tcPr>
          <w:p w14:paraId="332744B0" w14:textId="77777777" w:rsidR="00702958" w:rsidRDefault="00702958" w:rsidP="00B54C6E">
            <w:pPr>
              <w:pStyle w:val="TableParagraph"/>
              <w:ind w:left="78"/>
              <w:rPr>
                <w:sz w:val="20"/>
              </w:rPr>
            </w:pPr>
            <w:r>
              <w:rPr>
                <w:color w:val="231F20"/>
                <w:sz w:val="20"/>
              </w:rPr>
              <w:t>&gt;2.4 and ≤6.9</w:t>
            </w:r>
          </w:p>
        </w:tc>
        <w:tc>
          <w:tcPr>
            <w:tcW w:w="1361" w:type="dxa"/>
            <w:tcBorders>
              <w:top w:val="single" w:sz="4" w:space="0" w:color="231F20"/>
              <w:left w:val="single" w:sz="4" w:space="0" w:color="231F20"/>
              <w:bottom w:val="single" w:sz="4" w:space="0" w:color="231F20"/>
              <w:right w:val="single" w:sz="4" w:space="0" w:color="231F20"/>
            </w:tcBorders>
            <w:vAlign w:val="center"/>
          </w:tcPr>
          <w:p w14:paraId="0482D009" w14:textId="77777777" w:rsidR="00702958" w:rsidRDefault="00702958" w:rsidP="00B54C6E">
            <w:pPr>
              <w:pStyle w:val="TableParagraph"/>
              <w:ind w:left="78"/>
              <w:rPr>
                <w:sz w:val="20"/>
              </w:rPr>
            </w:pPr>
            <w:r>
              <w:rPr>
                <w:color w:val="231F20"/>
                <w:sz w:val="20"/>
              </w:rPr>
              <w:t>&gt;3.5 and ≤9.8</w:t>
            </w:r>
          </w:p>
        </w:tc>
        <w:tc>
          <w:tcPr>
            <w:tcW w:w="3062" w:type="dxa"/>
            <w:vMerge w:val="restart"/>
            <w:tcBorders>
              <w:top w:val="single" w:sz="4" w:space="0" w:color="231F20"/>
              <w:left w:val="single" w:sz="4" w:space="0" w:color="231F20"/>
              <w:bottom w:val="single" w:sz="4" w:space="0" w:color="231F20"/>
            </w:tcBorders>
            <w:vAlign w:val="center"/>
          </w:tcPr>
          <w:p w14:paraId="2973904F" w14:textId="77777777" w:rsidR="00702958" w:rsidRDefault="00702958" w:rsidP="00B54C6E">
            <w:pPr>
              <w:pStyle w:val="TableParagraph"/>
              <w:spacing w:line="249" w:lineRule="auto"/>
              <w:ind w:left="78" w:right="276"/>
              <w:rPr>
                <w:sz w:val="20"/>
              </w:rPr>
            </w:pPr>
            <w:r>
              <w:rPr>
                <w:color w:val="231F20"/>
                <w:sz w:val="20"/>
              </w:rPr>
              <w:t>Growth</w:t>
            </w:r>
            <w:r>
              <w:rPr>
                <w:color w:val="231F20"/>
                <w:spacing w:val="-35"/>
                <w:sz w:val="20"/>
              </w:rPr>
              <w:t xml:space="preserve"> </w:t>
            </w:r>
            <w:r>
              <w:rPr>
                <w:color w:val="231F20"/>
                <w:sz w:val="20"/>
              </w:rPr>
              <w:t>effects</w:t>
            </w:r>
            <w:r>
              <w:rPr>
                <w:color w:val="231F20"/>
                <w:spacing w:val="-35"/>
                <w:sz w:val="20"/>
              </w:rPr>
              <w:t xml:space="preserve"> </w:t>
            </w:r>
            <w:r>
              <w:rPr>
                <w:color w:val="231F20"/>
                <w:sz w:val="20"/>
              </w:rPr>
              <w:t>on</w:t>
            </w:r>
            <w:r>
              <w:rPr>
                <w:color w:val="231F20"/>
                <w:spacing w:val="-35"/>
                <w:sz w:val="20"/>
              </w:rPr>
              <w:t xml:space="preserve"> </w:t>
            </w:r>
            <w:r>
              <w:rPr>
                <w:color w:val="231F20"/>
                <w:sz w:val="20"/>
              </w:rPr>
              <w:t>up</w:t>
            </w:r>
            <w:r>
              <w:rPr>
                <w:color w:val="231F20"/>
                <w:spacing w:val="-35"/>
                <w:sz w:val="20"/>
              </w:rPr>
              <w:t xml:space="preserve"> </w:t>
            </w:r>
            <w:r>
              <w:rPr>
                <w:color w:val="231F20"/>
                <w:sz w:val="20"/>
              </w:rPr>
              <w:t>to</w:t>
            </w:r>
            <w:r>
              <w:rPr>
                <w:color w:val="231F20"/>
                <w:spacing w:val="-35"/>
                <w:sz w:val="20"/>
              </w:rPr>
              <w:t xml:space="preserve"> </w:t>
            </w:r>
            <w:r>
              <w:rPr>
                <w:color w:val="231F20"/>
                <w:sz w:val="20"/>
              </w:rPr>
              <w:t>20%</w:t>
            </w:r>
            <w:r>
              <w:rPr>
                <w:color w:val="231F20"/>
                <w:spacing w:val="-35"/>
                <w:sz w:val="20"/>
              </w:rPr>
              <w:t xml:space="preserve"> </w:t>
            </w:r>
            <w:r>
              <w:rPr>
                <w:color w:val="231F20"/>
                <w:sz w:val="20"/>
              </w:rPr>
              <w:t xml:space="preserve">of </w:t>
            </w:r>
            <w:r>
              <w:rPr>
                <w:color w:val="231F20"/>
                <w:w w:val="90"/>
                <w:sz w:val="20"/>
              </w:rPr>
              <w:t>species (mainly sensitive</w:t>
            </w:r>
            <w:r>
              <w:rPr>
                <w:color w:val="231F20"/>
                <w:spacing w:val="-20"/>
                <w:w w:val="90"/>
                <w:sz w:val="20"/>
              </w:rPr>
              <w:t xml:space="preserve"> </w:t>
            </w:r>
            <w:r>
              <w:rPr>
                <w:color w:val="231F20"/>
                <w:w w:val="90"/>
                <w:sz w:val="20"/>
              </w:rPr>
              <w:t xml:space="preserve">species </w:t>
            </w:r>
            <w:r>
              <w:rPr>
                <w:color w:val="231F20"/>
                <w:w w:val="95"/>
                <w:sz w:val="20"/>
              </w:rPr>
              <w:t>such</w:t>
            </w:r>
            <w:r>
              <w:rPr>
                <w:color w:val="231F20"/>
                <w:spacing w:val="-29"/>
                <w:w w:val="95"/>
                <w:sz w:val="20"/>
              </w:rPr>
              <w:t xml:space="preserve"> </w:t>
            </w:r>
            <w:r>
              <w:rPr>
                <w:color w:val="231F20"/>
                <w:w w:val="95"/>
                <w:sz w:val="20"/>
              </w:rPr>
              <w:t>as</w:t>
            </w:r>
            <w:r>
              <w:rPr>
                <w:color w:val="231F20"/>
                <w:spacing w:val="-29"/>
                <w:w w:val="95"/>
                <w:sz w:val="20"/>
              </w:rPr>
              <w:t xml:space="preserve"> </w:t>
            </w:r>
            <w:r>
              <w:rPr>
                <w:color w:val="231F20"/>
                <w:w w:val="95"/>
                <w:sz w:val="20"/>
              </w:rPr>
              <w:t>fish).</w:t>
            </w:r>
            <w:r>
              <w:rPr>
                <w:color w:val="231F20"/>
                <w:spacing w:val="-29"/>
                <w:w w:val="95"/>
                <w:sz w:val="20"/>
              </w:rPr>
              <w:t xml:space="preserve"> </w:t>
            </w:r>
            <w:r>
              <w:rPr>
                <w:color w:val="231F20"/>
                <w:spacing w:val="-3"/>
                <w:w w:val="95"/>
                <w:sz w:val="20"/>
              </w:rPr>
              <w:t>No</w:t>
            </w:r>
            <w:r>
              <w:rPr>
                <w:color w:val="231F20"/>
                <w:spacing w:val="-29"/>
                <w:w w:val="95"/>
                <w:sz w:val="20"/>
              </w:rPr>
              <w:t xml:space="preserve"> </w:t>
            </w:r>
            <w:r>
              <w:rPr>
                <w:color w:val="231F20"/>
                <w:w w:val="95"/>
                <w:sz w:val="20"/>
              </w:rPr>
              <w:t>acute</w:t>
            </w:r>
            <w:r>
              <w:rPr>
                <w:color w:val="231F20"/>
                <w:spacing w:val="-29"/>
                <w:w w:val="95"/>
                <w:sz w:val="20"/>
              </w:rPr>
              <w:t xml:space="preserve"> </w:t>
            </w:r>
            <w:r>
              <w:rPr>
                <w:color w:val="231F20"/>
                <w:w w:val="95"/>
                <w:sz w:val="20"/>
              </w:rPr>
              <w:t>effects.</w:t>
            </w:r>
          </w:p>
        </w:tc>
      </w:tr>
      <w:tr w:rsidR="00AE663D" w14:paraId="7B41CD20" w14:textId="77777777" w:rsidTr="00FE4F59">
        <w:trPr>
          <w:trHeight w:val="820"/>
        </w:trPr>
        <w:tc>
          <w:tcPr>
            <w:tcW w:w="1963" w:type="dxa"/>
            <w:tcBorders>
              <w:top w:val="single" w:sz="4" w:space="0" w:color="231F20"/>
              <w:bottom w:val="single" w:sz="4" w:space="0" w:color="231F20"/>
              <w:right w:val="single" w:sz="4" w:space="0" w:color="231F20"/>
            </w:tcBorders>
            <w:shd w:val="clear" w:color="auto" w:fill="DCDDDE"/>
            <w:vAlign w:val="center"/>
          </w:tcPr>
          <w:p w14:paraId="682BF7FD" w14:textId="77777777" w:rsidR="00702958" w:rsidRDefault="00702958" w:rsidP="00B54C6E">
            <w:pPr>
              <w:pStyle w:val="TableParagraph"/>
              <w:spacing w:before="123" w:line="292" w:lineRule="auto"/>
              <w:ind w:left="73" w:right="49"/>
              <w:rPr>
                <w:rFonts w:ascii="Times New Roman"/>
                <w:b/>
                <w:sz w:val="20"/>
              </w:rPr>
            </w:pPr>
            <w:r>
              <w:rPr>
                <w:rFonts w:ascii="Times New Roman"/>
                <w:b/>
                <w:color w:val="231F20"/>
                <w:sz w:val="20"/>
              </w:rPr>
              <w:t>National Bottom Line</w:t>
            </w:r>
          </w:p>
        </w:tc>
        <w:tc>
          <w:tcPr>
            <w:tcW w:w="1419" w:type="dxa"/>
            <w:tcBorders>
              <w:top w:val="single" w:sz="4" w:space="0" w:color="231F20"/>
              <w:left w:val="single" w:sz="4" w:space="0" w:color="231F20"/>
              <w:bottom w:val="single" w:sz="4" w:space="0" w:color="231F20"/>
              <w:right w:val="single" w:sz="4" w:space="0" w:color="231F20"/>
            </w:tcBorders>
            <w:shd w:val="clear" w:color="auto" w:fill="DCDDDE"/>
            <w:vAlign w:val="center"/>
          </w:tcPr>
          <w:p w14:paraId="79D581AB" w14:textId="77777777" w:rsidR="00702958" w:rsidRDefault="00702958" w:rsidP="00B54C6E">
            <w:pPr>
              <w:pStyle w:val="TableParagraph"/>
              <w:ind w:left="78"/>
              <w:rPr>
                <w:sz w:val="20"/>
              </w:rPr>
            </w:pPr>
            <w:r>
              <w:rPr>
                <w:color w:val="231F20"/>
                <w:sz w:val="20"/>
              </w:rPr>
              <w:t>6.9</w:t>
            </w:r>
          </w:p>
        </w:tc>
        <w:tc>
          <w:tcPr>
            <w:tcW w:w="1361" w:type="dxa"/>
            <w:tcBorders>
              <w:top w:val="single" w:sz="4" w:space="0" w:color="231F20"/>
              <w:left w:val="single" w:sz="4" w:space="0" w:color="231F20"/>
              <w:bottom w:val="single" w:sz="4" w:space="0" w:color="231F20"/>
              <w:right w:val="single" w:sz="4" w:space="0" w:color="231F20"/>
            </w:tcBorders>
            <w:shd w:val="clear" w:color="auto" w:fill="DCDDDE"/>
            <w:vAlign w:val="center"/>
          </w:tcPr>
          <w:p w14:paraId="0EDC7862" w14:textId="77777777" w:rsidR="00702958" w:rsidRDefault="00702958" w:rsidP="00B54C6E">
            <w:pPr>
              <w:pStyle w:val="TableParagraph"/>
              <w:ind w:left="78"/>
              <w:rPr>
                <w:sz w:val="20"/>
              </w:rPr>
            </w:pPr>
            <w:r>
              <w:rPr>
                <w:color w:val="231F20"/>
                <w:sz w:val="20"/>
              </w:rPr>
              <w:t>9.8</w:t>
            </w:r>
          </w:p>
        </w:tc>
        <w:tc>
          <w:tcPr>
            <w:tcW w:w="3062" w:type="dxa"/>
            <w:vMerge/>
            <w:tcBorders>
              <w:top w:val="nil"/>
              <w:left w:val="single" w:sz="4" w:space="0" w:color="231F20"/>
              <w:bottom w:val="single" w:sz="4" w:space="0" w:color="231F20"/>
            </w:tcBorders>
            <w:vAlign w:val="center"/>
          </w:tcPr>
          <w:p w14:paraId="3B02F36F" w14:textId="77777777" w:rsidR="00702958" w:rsidRDefault="00702958" w:rsidP="00B54C6E">
            <w:pPr>
              <w:spacing w:after="30"/>
              <w:rPr>
                <w:sz w:val="2"/>
                <w:szCs w:val="2"/>
              </w:rPr>
            </w:pPr>
          </w:p>
        </w:tc>
      </w:tr>
      <w:tr w:rsidR="00702958" w14:paraId="35898DA6" w14:textId="77777777" w:rsidTr="00E66F34">
        <w:trPr>
          <w:trHeight w:val="1500"/>
        </w:trPr>
        <w:tc>
          <w:tcPr>
            <w:tcW w:w="1963" w:type="dxa"/>
            <w:tcBorders>
              <w:top w:val="single" w:sz="4" w:space="0" w:color="231F20"/>
              <w:bottom w:val="single" w:sz="4" w:space="0" w:color="231F20"/>
              <w:right w:val="single" w:sz="4" w:space="0" w:color="231F20"/>
            </w:tcBorders>
            <w:vAlign w:val="center"/>
          </w:tcPr>
          <w:p w14:paraId="266742BB" w14:textId="77777777" w:rsidR="00702958" w:rsidRDefault="00702958" w:rsidP="00B54C6E">
            <w:pPr>
              <w:pStyle w:val="TableParagraph"/>
              <w:ind w:right="1"/>
              <w:jc w:val="center"/>
              <w:rPr>
                <w:rFonts w:ascii="Times New Roman"/>
                <w:b/>
                <w:sz w:val="20"/>
              </w:rPr>
            </w:pPr>
            <w:r>
              <w:rPr>
                <w:rFonts w:ascii="Times New Roman"/>
                <w:b/>
                <w:color w:val="231F20"/>
                <w:w w:val="105"/>
                <w:sz w:val="20"/>
              </w:rPr>
              <w:t>D</w:t>
            </w:r>
          </w:p>
        </w:tc>
        <w:tc>
          <w:tcPr>
            <w:tcW w:w="1419" w:type="dxa"/>
            <w:tcBorders>
              <w:top w:val="single" w:sz="4" w:space="0" w:color="231F20"/>
              <w:left w:val="single" w:sz="4" w:space="0" w:color="231F20"/>
              <w:bottom w:val="single" w:sz="4" w:space="0" w:color="231F20"/>
              <w:right w:val="single" w:sz="4" w:space="0" w:color="231F20"/>
            </w:tcBorders>
            <w:vAlign w:val="center"/>
          </w:tcPr>
          <w:p w14:paraId="6277CE62" w14:textId="77777777" w:rsidR="00702958" w:rsidRDefault="00702958" w:rsidP="00B54C6E">
            <w:pPr>
              <w:pStyle w:val="TableParagraph"/>
              <w:ind w:left="78"/>
              <w:rPr>
                <w:sz w:val="20"/>
              </w:rPr>
            </w:pPr>
            <w:r>
              <w:rPr>
                <w:color w:val="231F20"/>
                <w:sz w:val="20"/>
              </w:rPr>
              <w:t>&gt;6.9</w:t>
            </w:r>
          </w:p>
        </w:tc>
        <w:tc>
          <w:tcPr>
            <w:tcW w:w="1361" w:type="dxa"/>
            <w:tcBorders>
              <w:top w:val="single" w:sz="4" w:space="0" w:color="231F20"/>
              <w:left w:val="single" w:sz="4" w:space="0" w:color="231F20"/>
              <w:bottom w:val="single" w:sz="4" w:space="0" w:color="231F20"/>
              <w:right w:val="single" w:sz="4" w:space="0" w:color="231F20"/>
            </w:tcBorders>
            <w:vAlign w:val="center"/>
          </w:tcPr>
          <w:p w14:paraId="29356643" w14:textId="77777777" w:rsidR="00702958" w:rsidRDefault="00702958" w:rsidP="00B54C6E">
            <w:pPr>
              <w:pStyle w:val="TableParagraph"/>
              <w:ind w:left="78"/>
              <w:rPr>
                <w:sz w:val="20"/>
              </w:rPr>
            </w:pPr>
            <w:r>
              <w:rPr>
                <w:color w:val="231F20"/>
                <w:sz w:val="20"/>
              </w:rPr>
              <w:t>&gt;9.8</w:t>
            </w:r>
          </w:p>
        </w:tc>
        <w:tc>
          <w:tcPr>
            <w:tcW w:w="3062" w:type="dxa"/>
            <w:tcBorders>
              <w:top w:val="single" w:sz="4" w:space="0" w:color="231F20"/>
              <w:left w:val="single" w:sz="4" w:space="0" w:color="231F20"/>
              <w:bottom w:val="single" w:sz="4" w:space="0" w:color="231F20"/>
            </w:tcBorders>
            <w:vAlign w:val="center"/>
          </w:tcPr>
          <w:p w14:paraId="00A0D7F5" w14:textId="77777777" w:rsidR="00702958" w:rsidRDefault="00702958" w:rsidP="00B54C6E">
            <w:pPr>
              <w:pStyle w:val="TableParagraph"/>
              <w:spacing w:before="46" w:line="249" w:lineRule="auto"/>
              <w:ind w:left="78" w:right="71"/>
              <w:rPr>
                <w:sz w:val="20"/>
              </w:rPr>
            </w:pPr>
            <w:r>
              <w:rPr>
                <w:color w:val="231F20"/>
                <w:sz w:val="20"/>
              </w:rPr>
              <w:t xml:space="preserve">Impacts on growth of multiple species, and starts approaching </w:t>
            </w:r>
            <w:r>
              <w:rPr>
                <w:color w:val="231F20"/>
                <w:w w:val="95"/>
                <w:sz w:val="20"/>
              </w:rPr>
              <w:t>acute</w:t>
            </w:r>
            <w:r>
              <w:rPr>
                <w:color w:val="231F20"/>
                <w:spacing w:val="-23"/>
                <w:w w:val="95"/>
                <w:sz w:val="20"/>
              </w:rPr>
              <w:t xml:space="preserve"> </w:t>
            </w:r>
            <w:r>
              <w:rPr>
                <w:color w:val="231F20"/>
                <w:w w:val="95"/>
                <w:sz w:val="20"/>
              </w:rPr>
              <w:t>impact</w:t>
            </w:r>
            <w:r>
              <w:rPr>
                <w:color w:val="231F20"/>
                <w:spacing w:val="-23"/>
                <w:w w:val="95"/>
                <w:sz w:val="20"/>
              </w:rPr>
              <w:t xml:space="preserve"> </w:t>
            </w:r>
            <w:r>
              <w:rPr>
                <w:color w:val="231F20"/>
                <w:w w:val="95"/>
                <w:sz w:val="20"/>
              </w:rPr>
              <w:t>level</w:t>
            </w:r>
            <w:r>
              <w:rPr>
                <w:color w:val="231F20"/>
                <w:spacing w:val="-23"/>
                <w:w w:val="95"/>
                <w:sz w:val="20"/>
              </w:rPr>
              <w:t xml:space="preserve"> </w:t>
            </w:r>
            <w:r>
              <w:rPr>
                <w:color w:val="231F20"/>
                <w:w w:val="95"/>
                <w:sz w:val="20"/>
              </w:rPr>
              <w:t>(</w:t>
            </w:r>
            <w:r w:rsidR="00C83BE4">
              <w:rPr>
                <w:color w:val="231F20"/>
                <w:w w:val="95"/>
                <w:sz w:val="20"/>
              </w:rPr>
              <w:t>i.e.</w:t>
            </w:r>
            <w:r>
              <w:rPr>
                <w:color w:val="231F20"/>
                <w:spacing w:val="2"/>
                <w:w w:val="95"/>
                <w:sz w:val="20"/>
              </w:rPr>
              <w:t xml:space="preserve"> </w:t>
            </w:r>
            <w:r>
              <w:rPr>
                <w:color w:val="231F20"/>
                <w:w w:val="95"/>
                <w:sz w:val="20"/>
              </w:rPr>
              <w:t>risk</w:t>
            </w:r>
            <w:r>
              <w:rPr>
                <w:color w:val="231F20"/>
                <w:spacing w:val="-23"/>
                <w:w w:val="95"/>
                <w:sz w:val="20"/>
              </w:rPr>
              <w:t xml:space="preserve"> </w:t>
            </w:r>
            <w:r>
              <w:rPr>
                <w:color w:val="231F20"/>
                <w:w w:val="95"/>
                <w:sz w:val="20"/>
              </w:rPr>
              <w:t>of</w:t>
            </w:r>
            <w:r>
              <w:rPr>
                <w:color w:val="231F20"/>
                <w:spacing w:val="-23"/>
                <w:w w:val="95"/>
                <w:sz w:val="20"/>
              </w:rPr>
              <w:t xml:space="preserve"> </w:t>
            </w:r>
            <w:r>
              <w:rPr>
                <w:color w:val="231F20"/>
                <w:w w:val="95"/>
                <w:sz w:val="20"/>
              </w:rPr>
              <w:t xml:space="preserve">death) </w:t>
            </w:r>
            <w:r>
              <w:rPr>
                <w:color w:val="231F20"/>
                <w:sz w:val="20"/>
              </w:rPr>
              <w:t xml:space="preserve">for sensitive species at higher </w:t>
            </w:r>
            <w:r>
              <w:rPr>
                <w:color w:val="231F20"/>
                <w:w w:val="95"/>
                <w:sz w:val="20"/>
              </w:rPr>
              <w:t>concentrations</w:t>
            </w:r>
            <w:r>
              <w:rPr>
                <w:color w:val="231F20"/>
                <w:spacing w:val="-23"/>
                <w:w w:val="95"/>
                <w:sz w:val="20"/>
              </w:rPr>
              <w:t xml:space="preserve"> </w:t>
            </w:r>
            <w:r>
              <w:rPr>
                <w:color w:val="231F20"/>
                <w:w w:val="95"/>
                <w:sz w:val="20"/>
              </w:rPr>
              <w:t>(&gt;20</w:t>
            </w:r>
            <w:r>
              <w:rPr>
                <w:color w:val="231F20"/>
                <w:spacing w:val="-23"/>
                <w:w w:val="95"/>
                <w:sz w:val="20"/>
              </w:rPr>
              <w:t xml:space="preserve"> </w:t>
            </w:r>
            <w:r>
              <w:rPr>
                <w:color w:val="231F20"/>
                <w:w w:val="95"/>
                <w:sz w:val="20"/>
              </w:rPr>
              <w:t>mg/L).</w:t>
            </w:r>
          </w:p>
        </w:tc>
      </w:tr>
      <w:tr w:rsidR="00702958" w14:paraId="59C2A17A" w14:textId="77777777" w:rsidTr="00E66F34">
        <w:trPr>
          <w:trHeight w:val="1500"/>
        </w:trPr>
        <w:tc>
          <w:tcPr>
            <w:tcW w:w="7805" w:type="dxa"/>
            <w:gridSpan w:val="4"/>
            <w:tcBorders>
              <w:top w:val="single" w:sz="4" w:space="0" w:color="231F20"/>
            </w:tcBorders>
            <w:vAlign w:val="center"/>
          </w:tcPr>
          <w:p w14:paraId="790BE342" w14:textId="77777777" w:rsidR="00702958" w:rsidRDefault="00702958" w:rsidP="00FE4F59">
            <w:pPr>
              <w:pStyle w:val="BodyText"/>
              <w:spacing w:before="66" w:line="249" w:lineRule="auto"/>
              <w:ind w:right="80"/>
              <w:rPr>
                <w:color w:val="231F20"/>
                <w:w w:val="95"/>
              </w:rPr>
            </w:pPr>
          </w:p>
          <w:p w14:paraId="581A4AFE" w14:textId="77777777" w:rsidR="00702958" w:rsidRDefault="00702958" w:rsidP="00FE4F59">
            <w:pPr>
              <w:pStyle w:val="BodyText"/>
              <w:spacing w:before="66" w:line="249" w:lineRule="auto"/>
              <w:ind w:right="80"/>
            </w:pPr>
            <w:r>
              <w:rPr>
                <w:color w:val="231F20"/>
                <w:w w:val="95"/>
              </w:rPr>
              <w:t>Note:</w:t>
            </w:r>
            <w:r>
              <w:rPr>
                <w:color w:val="231F20"/>
                <w:spacing w:val="-27"/>
                <w:w w:val="95"/>
              </w:rPr>
              <w:t xml:space="preserve"> </w:t>
            </w:r>
            <w:r>
              <w:rPr>
                <w:color w:val="231F20"/>
                <w:w w:val="95"/>
              </w:rPr>
              <w:t>This</w:t>
            </w:r>
            <w:r>
              <w:rPr>
                <w:color w:val="231F20"/>
                <w:spacing w:val="-27"/>
                <w:w w:val="95"/>
              </w:rPr>
              <w:t xml:space="preserve"> </w:t>
            </w:r>
            <w:r>
              <w:rPr>
                <w:color w:val="231F20"/>
                <w:w w:val="95"/>
              </w:rPr>
              <w:t>attribute</w:t>
            </w:r>
            <w:r>
              <w:rPr>
                <w:color w:val="231F20"/>
                <w:spacing w:val="-27"/>
                <w:w w:val="95"/>
              </w:rPr>
              <w:t xml:space="preserve"> </w:t>
            </w:r>
            <w:r>
              <w:rPr>
                <w:color w:val="231F20"/>
                <w:w w:val="95"/>
              </w:rPr>
              <w:t>measures</w:t>
            </w:r>
            <w:r>
              <w:rPr>
                <w:color w:val="231F20"/>
                <w:spacing w:val="-27"/>
                <w:w w:val="95"/>
              </w:rPr>
              <w:t xml:space="preserve"> </w:t>
            </w:r>
            <w:r>
              <w:rPr>
                <w:color w:val="231F20"/>
                <w:w w:val="95"/>
              </w:rPr>
              <w:t>the</w:t>
            </w:r>
            <w:r>
              <w:rPr>
                <w:color w:val="231F20"/>
                <w:spacing w:val="-27"/>
                <w:w w:val="95"/>
              </w:rPr>
              <w:t xml:space="preserve"> </w:t>
            </w:r>
            <w:r>
              <w:rPr>
                <w:color w:val="231F20"/>
                <w:w w:val="95"/>
              </w:rPr>
              <w:t>toxic</w:t>
            </w:r>
            <w:r>
              <w:rPr>
                <w:color w:val="231F20"/>
                <w:spacing w:val="-27"/>
                <w:w w:val="95"/>
              </w:rPr>
              <w:t xml:space="preserve"> </w:t>
            </w:r>
            <w:r>
              <w:rPr>
                <w:color w:val="231F20"/>
                <w:w w:val="95"/>
              </w:rPr>
              <w:t>effects</w:t>
            </w:r>
            <w:r>
              <w:rPr>
                <w:color w:val="231F20"/>
                <w:spacing w:val="-27"/>
                <w:w w:val="95"/>
              </w:rPr>
              <w:t xml:space="preserve"> </w:t>
            </w:r>
            <w:r>
              <w:rPr>
                <w:color w:val="231F20"/>
                <w:w w:val="95"/>
              </w:rPr>
              <w:t>of</w:t>
            </w:r>
            <w:r>
              <w:rPr>
                <w:color w:val="231F20"/>
                <w:spacing w:val="-27"/>
                <w:w w:val="95"/>
              </w:rPr>
              <w:t xml:space="preserve"> </w:t>
            </w:r>
            <w:r>
              <w:rPr>
                <w:color w:val="231F20"/>
                <w:w w:val="95"/>
              </w:rPr>
              <w:t>nitrate,</w:t>
            </w:r>
            <w:r>
              <w:rPr>
                <w:color w:val="231F20"/>
                <w:spacing w:val="-27"/>
                <w:w w:val="95"/>
              </w:rPr>
              <w:t xml:space="preserve"> </w:t>
            </w:r>
            <w:r>
              <w:rPr>
                <w:color w:val="231F20"/>
                <w:w w:val="95"/>
              </w:rPr>
              <w:t>not</w:t>
            </w:r>
            <w:r>
              <w:rPr>
                <w:color w:val="231F20"/>
                <w:spacing w:val="-27"/>
                <w:w w:val="95"/>
              </w:rPr>
              <w:t xml:space="preserve"> </w:t>
            </w:r>
            <w:r>
              <w:rPr>
                <w:color w:val="231F20"/>
                <w:w w:val="95"/>
              </w:rPr>
              <w:t>the</w:t>
            </w:r>
            <w:r>
              <w:rPr>
                <w:color w:val="231F20"/>
                <w:spacing w:val="-27"/>
                <w:w w:val="95"/>
              </w:rPr>
              <w:t xml:space="preserve"> </w:t>
            </w:r>
            <w:r>
              <w:rPr>
                <w:color w:val="231F20"/>
                <w:w w:val="95"/>
              </w:rPr>
              <w:t>trophic</w:t>
            </w:r>
            <w:r>
              <w:rPr>
                <w:color w:val="231F20"/>
                <w:spacing w:val="-27"/>
                <w:w w:val="95"/>
              </w:rPr>
              <w:t xml:space="preserve"> </w:t>
            </w:r>
            <w:r>
              <w:rPr>
                <w:color w:val="231F20"/>
                <w:w w:val="95"/>
              </w:rPr>
              <w:t>state.</w:t>
            </w:r>
            <w:r>
              <w:rPr>
                <w:color w:val="231F20"/>
                <w:spacing w:val="-6"/>
                <w:w w:val="95"/>
              </w:rPr>
              <w:t xml:space="preserve"> </w:t>
            </w:r>
            <w:r>
              <w:rPr>
                <w:color w:val="231F20"/>
                <w:w w:val="95"/>
              </w:rPr>
              <w:t>Where</w:t>
            </w:r>
            <w:r>
              <w:rPr>
                <w:color w:val="231F20"/>
                <w:spacing w:val="-27"/>
                <w:w w:val="95"/>
              </w:rPr>
              <w:t xml:space="preserve"> </w:t>
            </w:r>
            <w:r>
              <w:rPr>
                <w:color w:val="231F20"/>
                <w:w w:val="95"/>
              </w:rPr>
              <w:t>other</w:t>
            </w:r>
            <w:r>
              <w:rPr>
                <w:color w:val="231F20"/>
                <w:spacing w:val="-27"/>
                <w:w w:val="95"/>
              </w:rPr>
              <w:t xml:space="preserve"> </w:t>
            </w:r>
            <w:r>
              <w:rPr>
                <w:color w:val="231F20"/>
                <w:w w:val="95"/>
              </w:rPr>
              <w:t xml:space="preserve">attributes </w:t>
            </w:r>
            <w:r>
              <w:rPr>
                <w:color w:val="231F20"/>
                <w:w w:val="90"/>
              </w:rPr>
              <w:t>measure trophic state, for example periphyton, freshwater objectives, limits and/or methods for</w:t>
            </w:r>
            <w:r>
              <w:rPr>
                <w:color w:val="231F20"/>
                <w:spacing w:val="-30"/>
                <w:w w:val="90"/>
              </w:rPr>
              <w:t xml:space="preserve"> </w:t>
            </w:r>
            <w:r>
              <w:rPr>
                <w:color w:val="231F20"/>
                <w:w w:val="90"/>
              </w:rPr>
              <w:t>those attributes will be more</w:t>
            </w:r>
            <w:r>
              <w:rPr>
                <w:color w:val="231F20"/>
                <w:spacing w:val="-16"/>
                <w:w w:val="90"/>
              </w:rPr>
              <w:t xml:space="preserve"> </w:t>
            </w:r>
            <w:r>
              <w:rPr>
                <w:color w:val="231F20"/>
                <w:w w:val="90"/>
              </w:rPr>
              <w:t>stringent.</w:t>
            </w:r>
          </w:p>
          <w:p w14:paraId="03BBE165" w14:textId="77777777" w:rsidR="00702958" w:rsidRDefault="00702958" w:rsidP="00B54C6E">
            <w:pPr>
              <w:pStyle w:val="TableParagraph"/>
              <w:spacing w:before="46" w:line="249" w:lineRule="auto"/>
              <w:ind w:left="78" w:right="71"/>
              <w:rPr>
                <w:color w:val="231F20"/>
                <w:sz w:val="20"/>
              </w:rPr>
            </w:pPr>
          </w:p>
        </w:tc>
      </w:tr>
    </w:tbl>
    <w:p w14:paraId="1AB9B198" w14:textId="77777777" w:rsidR="00A924E4" w:rsidRDefault="00A924E4" w:rsidP="00882034">
      <w:pPr>
        <w:pStyle w:val="Body"/>
      </w:pPr>
    </w:p>
    <w:p w14:paraId="60DED9C0" w14:textId="77777777" w:rsidR="00A924E4" w:rsidRDefault="00A924E4">
      <w:pPr>
        <w:spacing w:after="0"/>
      </w:pPr>
      <w:r>
        <w:br w:type="page"/>
      </w:r>
    </w:p>
    <w:tbl>
      <w:tblPr>
        <w:tblW w:w="7778" w:type="dxa"/>
        <w:tblInd w:w="127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906"/>
        <w:gridCol w:w="1543"/>
        <w:gridCol w:w="1512"/>
        <w:gridCol w:w="2817"/>
      </w:tblGrid>
      <w:tr w:rsidR="00702958" w14:paraId="5117B2F1" w14:textId="77777777" w:rsidTr="00E66F34">
        <w:trPr>
          <w:trHeight w:val="300"/>
        </w:trPr>
        <w:tc>
          <w:tcPr>
            <w:tcW w:w="1906" w:type="dxa"/>
            <w:tcBorders>
              <w:bottom w:val="single" w:sz="4" w:space="0" w:color="231F20"/>
              <w:right w:val="single" w:sz="4" w:space="0" w:color="231F20"/>
            </w:tcBorders>
            <w:vAlign w:val="center"/>
          </w:tcPr>
          <w:p w14:paraId="60548A2B" w14:textId="77777777" w:rsidR="00702958" w:rsidRDefault="00702958" w:rsidP="00B54C6E">
            <w:pPr>
              <w:pStyle w:val="TableParagraph"/>
              <w:spacing w:before="32"/>
              <w:ind w:left="74"/>
              <w:rPr>
                <w:rFonts w:ascii="Times New Roman"/>
                <w:b/>
                <w:sz w:val="20"/>
              </w:rPr>
            </w:pPr>
            <w:r>
              <w:rPr>
                <w:rFonts w:ascii="Times New Roman"/>
                <w:b/>
                <w:color w:val="231F20"/>
                <w:sz w:val="20"/>
              </w:rPr>
              <w:lastRenderedPageBreak/>
              <w:t>Value</w:t>
            </w:r>
          </w:p>
        </w:tc>
        <w:tc>
          <w:tcPr>
            <w:tcW w:w="5872" w:type="dxa"/>
            <w:gridSpan w:val="3"/>
            <w:tcBorders>
              <w:left w:val="single" w:sz="4" w:space="0" w:color="231F20"/>
              <w:bottom w:val="single" w:sz="4" w:space="0" w:color="231F20"/>
            </w:tcBorders>
            <w:vAlign w:val="center"/>
          </w:tcPr>
          <w:p w14:paraId="26457149" w14:textId="77777777" w:rsidR="00702958" w:rsidRDefault="00702958" w:rsidP="00B54C6E">
            <w:pPr>
              <w:pStyle w:val="TableParagraph"/>
              <w:spacing w:before="15"/>
              <w:ind w:left="77"/>
              <w:rPr>
                <w:sz w:val="20"/>
              </w:rPr>
            </w:pPr>
            <w:r>
              <w:rPr>
                <w:color w:val="231F20"/>
                <w:w w:val="90"/>
                <w:sz w:val="20"/>
              </w:rPr>
              <w:t>Ecosystem health</w:t>
            </w:r>
          </w:p>
        </w:tc>
      </w:tr>
      <w:tr w:rsidR="00702958" w14:paraId="19D80DDB" w14:textId="77777777" w:rsidTr="00E66F34">
        <w:trPr>
          <w:trHeight w:val="620"/>
        </w:trPr>
        <w:tc>
          <w:tcPr>
            <w:tcW w:w="1906" w:type="dxa"/>
            <w:tcBorders>
              <w:top w:val="single" w:sz="4" w:space="0" w:color="231F20"/>
              <w:bottom w:val="single" w:sz="4" w:space="0" w:color="231F20"/>
              <w:right w:val="single" w:sz="4" w:space="0" w:color="231F20"/>
            </w:tcBorders>
            <w:vAlign w:val="center"/>
          </w:tcPr>
          <w:p w14:paraId="1538B4F3" w14:textId="77777777" w:rsidR="00702958" w:rsidRDefault="00702958" w:rsidP="00B54C6E">
            <w:pPr>
              <w:pStyle w:val="TableParagraph"/>
              <w:spacing w:before="11" w:line="280" w:lineRule="atLeast"/>
              <w:ind w:left="73" w:right="285"/>
              <w:rPr>
                <w:rFonts w:ascii="Times New Roman"/>
                <w:b/>
                <w:sz w:val="20"/>
              </w:rPr>
            </w:pPr>
            <w:r>
              <w:rPr>
                <w:rFonts w:ascii="Times New Roman"/>
                <w:b/>
                <w:color w:val="231F20"/>
                <w:w w:val="95"/>
                <w:sz w:val="20"/>
              </w:rPr>
              <w:t xml:space="preserve">Freshwater Body </w:t>
            </w:r>
            <w:r>
              <w:rPr>
                <w:rFonts w:ascii="Times New Roman"/>
                <w:b/>
                <w:color w:val="231F20"/>
                <w:sz w:val="20"/>
              </w:rPr>
              <w:t>Type</w:t>
            </w:r>
          </w:p>
        </w:tc>
        <w:tc>
          <w:tcPr>
            <w:tcW w:w="5872" w:type="dxa"/>
            <w:gridSpan w:val="3"/>
            <w:tcBorders>
              <w:top w:val="single" w:sz="4" w:space="0" w:color="231F20"/>
              <w:left w:val="single" w:sz="4" w:space="0" w:color="231F20"/>
              <w:bottom w:val="single" w:sz="4" w:space="0" w:color="231F20"/>
            </w:tcBorders>
            <w:vAlign w:val="center"/>
          </w:tcPr>
          <w:p w14:paraId="3B82893F" w14:textId="77777777" w:rsidR="00702958" w:rsidRDefault="00702958" w:rsidP="00B54C6E">
            <w:pPr>
              <w:pStyle w:val="TableParagraph"/>
              <w:spacing w:before="138"/>
              <w:ind w:left="77"/>
              <w:rPr>
                <w:sz w:val="20"/>
              </w:rPr>
            </w:pPr>
            <w:r>
              <w:rPr>
                <w:color w:val="231F20"/>
                <w:w w:val="90"/>
                <w:sz w:val="20"/>
              </w:rPr>
              <w:t>Lakes and rivers</w:t>
            </w:r>
          </w:p>
        </w:tc>
      </w:tr>
      <w:tr w:rsidR="00AE663D" w14:paraId="7F890529" w14:textId="77777777" w:rsidTr="00FE4F59">
        <w:trPr>
          <w:trHeight w:val="320"/>
        </w:trPr>
        <w:tc>
          <w:tcPr>
            <w:tcW w:w="1906" w:type="dxa"/>
            <w:tcBorders>
              <w:top w:val="single" w:sz="4" w:space="0" w:color="231F20"/>
              <w:bottom w:val="single" w:sz="4" w:space="0" w:color="231F20"/>
              <w:right w:val="single" w:sz="4" w:space="0" w:color="231F20"/>
            </w:tcBorders>
            <w:shd w:val="clear" w:color="auto" w:fill="DCDDDE"/>
            <w:vAlign w:val="center"/>
          </w:tcPr>
          <w:p w14:paraId="1098477B" w14:textId="77777777" w:rsidR="00702958" w:rsidRDefault="00702958" w:rsidP="00B54C6E">
            <w:pPr>
              <w:pStyle w:val="TableParagraph"/>
              <w:spacing w:before="34"/>
              <w:ind w:left="73"/>
              <w:rPr>
                <w:rFonts w:ascii="Times New Roman"/>
                <w:b/>
                <w:sz w:val="20"/>
              </w:rPr>
            </w:pPr>
            <w:r>
              <w:rPr>
                <w:rFonts w:ascii="Times New Roman"/>
                <w:b/>
                <w:color w:val="231F20"/>
                <w:sz w:val="20"/>
              </w:rPr>
              <w:t>Attribute</w:t>
            </w:r>
          </w:p>
        </w:tc>
        <w:tc>
          <w:tcPr>
            <w:tcW w:w="5872" w:type="dxa"/>
            <w:gridSpan w:val="3"/>
            <w:tcBorders>
              <w:top w:val="single" w:sz="4" w:space="0" w:color="231F20"/>
              <w:left w:val="single" w:sz="4" w:space="0" w:color="231F20"/>
              <w:bottom w:val="single" w:sz="4" w:space="0" w:color="231F20"/>
            </w:tcBorders>
            <w:shd w:val="clear" w:color="auto" w:fill="DCDDDE"/>
            <w:vAlign w:val="center"/>
          </w:tcPr>
          <w:p w14:paraId="3CFAE0A6" w14:textId="77777777" w:rsidR="00702958" w:rsidRDefault="00702958" w:rsidP="00B54C6E">
            <w:pPr>
              <w:pStyle w:val="TableParagraph"/>
              <w:spacing w:before="34"/>
              <w:ind w:left="77"/>
              <w:rPr>
                <w:rFonts w:ascii="Times New Roman"/>
                <w:b/>
                <w:sz w:val="20"/>
              </w:rPr>
            </w:pPr>
            <w:r>
              <w:rPr>
                <w:rFonts w:ascii="Times New Roman"/>
                <w:b/>
                <w:color w:val="231F20"/>
                <w:sz w:val="20"/>
              </w:rPr>
              <w:t>Ammonia (Toxicity)</w:t>
            </w:r>
          </w:p>
        </w:tc>
      </w:tr>
      <w:tr w:rsidR="00702958" w14:paraId="1D4EED8D" w14:textId="77777777" w:rsidTr="00E66F34">
        <w:trPr>
          <w:trHeight w:val="400"/>
        </w:trPr>
        <w:tc>
          <w:tcPr>
            <w:tcW w:w="1906" w:type="dxa"/>
            <w:tcBorders>
              <w:top w:val="single" w:sz="4" w:space="0" w:color="231F20"/>
              <w:bottom w:val="single" w:sz="4" w:space="0" w:color="231F20"/>
              <w:right w:val="single" w:sz="4" w:space="0" w:color="231F20"/>
            </w:tcBorders>
            <w:vAlign w:val="center"/>
          </w:tcPr>
          <w:p w14:paraId="4697F353" w14:textId="77777777" w:rsidR="00702958" w:rsidRDefault="00702958" w:rsidP="00B54C6E">
            <w:pPr>
              <w:pStyle w:val="TableParagraph"/>
              <w:spacing w:before="65"/>
              <w:ind w:left="73"/>
              <w:rPr>
                <w:rFonts w:ascii="Times New Roman"/>
                <w:b/>
                <w:sz w:val="20"/>
              </w:rPr>
            </w:pPr>
            <w:r>
              <w:rPr>
                <w:rFonts w:ascii="Times New Roman"/>
                <w:b/>
                <w:color w:val="231F20"/>
                <w:sz w:val="20"/>
              </w:rPr>
              <w:t>Attribute Unit</w:t>
            </w:r>
          </w:p>
        </w:tc>
        <w:tc>
          <w:tcPr>
            <w:tcW w:w="5872" w:type="dxa"/>
            <w:gridSpan w:val="3"/>
            <w:tcBorders>
              <w:top w:val="single" w:sz="4" w:space="0" w:color="231F20"/>
              <w:left w:val="single" w:sz="4" w:space="0" w:color="231F20"/>
              <w:bottom w:val="single" w:sz="4" w:space="0" w:color="231F20"/>
            </w:tcBorders>
            <w:vAlign w:val="center"/>
          </w:tcPr>
          <w:p w14:paraId="4E5E938A" w14:textId="77777777" w:rsidR="00702958" w:rsidRDefault="00702958" w:rsidP="00B54C6E">
            <w:pPr>
              <w:pStyle w:val="TableParagraph"/>
              <w:spacing w:before="47"/>
              <w:ind w:left="77"/>
              <w:rPr>
                <w:sz w:val="20"/>
              </w:rPr>
            </w:pPr>
            <w:r>
              <w:rPr>
                <w:color w:val="231F20"/>
                <w:w w:val="95"/>
                <w:sz w:val="20"/>
              </w:rPr>
              <w:t>mg NH</w:t>
            </w:r>
            <w:r>
              <w:rPr>
                <w:color w:val="231F20"/>
                <w:w w:val="95"/>
                <w:position w:val="-6"/>
                <w:sz w:val="11"/>
              </w:rPr>
              <w:t>4</w:t>
            </w:r>
            <w:r>
              <w:rPr>
                <w:color w:val="231F20"/>
                <w:w w:val="95"/>
                <w:sz w:val="20"/>
              </w:rPr>
              <w:t>-N/L (milligrams ammoniacal-nitrogen per litre)</w:t>
            </w:r>
          </w:p>
        </w:tc>
      </w:tr>
      <w:tr w:rsidR="00AE663D" w14:paraId="059B9AFA" w14:textId="77777777" w:rsidTr="00FE4F59">
        <w:trPr>
          <w:trHeight w:val="400"/>
        </w:trPr>
        <w:tc>
          <w:tcPr>
            <w:tcW w:w="1906" w:type="dxa"/>
            <w:tcBorders>
              <w:top w:val="single" w:sz="4" w:space="0" w:color="231F20"/>
              <w:bottom w:val="single" w:sz="4" w:space="0" w:color="231F20"/>
              <w:right w:val="single" w:sz="4" w:space="0" w:color="231F20"/>
            </w:tcBorders>
            <w:shd w:val="clear" w:color="auto" w:fill="DCDDDE"/>
            <w:vAlign w:val="center"/>
          </w:tcPr>
          <w:p w14:paraId="77FBFA95" w14:textId="77777777" w:rsidR="00702958" w:rsidRDefault="00702958" w:rsidP="00B54C6E">
            <w:pPr>
              <w:pStyle w:val="TableParagraph"/>
              <w:spacing w:before="70"/>
              <w:ind w:left="73"/>
              <w:rPr>
                <w:rFonts w:ascii="Times New Roman"/>
                <w:b/>
                <w:sz w:val="20"/>
              </w:rPr>
            </w:pPr>
            <w:r>
              <w:rPr>
                <w:rFonts w:ascii="Times New Roman"/>
                <w:b/>
                <w:color w:val="231F20"/>
                <w:sz w:val="20"/>
              </w:rPr>
              <w:t>Attribute State</w:t>
            </w:r>
          </w:p>
        </w:tc>
        <w:tc>
          <w:tcPr>
            <w:tcW w:w="3055" w:type="dxa"/>
            <w:gridSpan w:val="2"/>
            <w:tcBorders>
              <w:top w:val="single" w:sz="4" w:space="0" w:color="231F20"/>
              <w:left w:val="single" w:sz="4" w:space="0" w:color="231F20"/>
              <w:bottom w:val="single" w:sz="4" w:space="0" w:color="231F20"/>
              <w:right w:val="single" w:sz="4" w:space="0" w:color="231F20"/>
            </w:tcBorders>
            <w:shd w:val="clear" w:color="auto" w:fill="DCDDDE"/>
            <w:vAlign w:val="center"/>
          </w:tcPr>
          <w:p w14:paraId="18C92775" w14:textId="77777777" w:rsidR="00702958" w:rsidRDefault="00702958" w:rsidP="00B54C6E">
            <w:pPr>
              <w:pStyle w:val="TableParagraph"/>
              <w:spacing w:before="70"/>
              <w:ind w:left="77"/>
              <w:rPr>
                <w:rFonts w:ascii="Times New Roman"/>
                <w:b/>
                <w:sz w:val="20"/>
              </w:rPr>
            </w:pPr>
            <w:r>
              <w:rPr>
                <w:rFonts w:ascii="Times New Roman"/>
                <w:b/>
                <w:color w:val="231F20"/>
                <w:sz w:val="20"/>
              </w:rPr>
              <w:t>Numeric Attribute State</w:t>
            </w:r>
          </w:p>
        </w:tc>
        <w:tc>
          <w:tcPr>
            <w:tcW w:w="2817" w:type="dxa"/>
            <w:tcBorders>
              <w:top w:val="single" w:sz="4" w:space="0" w:color="231F20"/>
              <w:left w:val="single" w:sz="4" w:space="0" w:color="231F20"/>
              <w:bottom w:val="single" w:sz="4" w:space="0" w:color="231F20"/>
            </w:tcBorders>
            <w:shd w:val="clear" w:color="auto" w:fill="DCDDDE"/>
            <w:vAlign w:val="center"/>
          </w:tcPr>
          <w:p w14:paraId="77FB7A9C" w14:textId="77777777" w:rsidR="00702958" w:rsidRDefault="00702958" w:rsidP="00B54C6E">
            <w:pPr>
              <w:pStyle w:val="TableParagraph"/>
              <w:spacing w:before="70"/>
              <w:ind w:left="77"/>
              <w:rPr>
                <w:rFonts w:ascii="Times New Roman"/>
                <w:b/>
                <w:sz w:val="20"/>
              </w:rPr>
            </w:pPr>
            <w:r>
              <w:rPr>
                <w:rFonts w:ascii="Times New Roman"/>
                <w:b/>
                <w:color w:val="231F20"/>
                <w:w w:val="95"/>
                <w:sz w:val="20"/>
              </w:rPr>
              <w:t>Narrative Attribute State</w:t>
            </w:r>
          </w:p>
        </w:tc>
      </w:tr>
      <w:tr w:rsidR="00702958" w14:paraId="22AFAF3A" w14:textId="77777777" w:rsidTr="00E66F34">
        <w:trPr>
          <w:trHeight w:val="620"/>
        </w:trPr>
        <w:tc>
          <w:tcPr>
            <w:tcW w:w="1906" w:type="dxa"/>
            <w:tcBorders>
              <w:top w:val="single" w:sz="4" w:space="0" w:color="231F20"/>
              <w:bottom w:val="single" w:sz="4" w:space="0" w:color="231F20"/>
              <w:right w:val="single" w:sz="4" w:space="0" w:color="231F20"/>
            </w:tcBorders>
            <w:vAlign w:val="center"/>
          </w:tcPr>
          <w:p w14:paraId="3D95164D" w14:textId="77777777" w:rsidR="00702958" w:rsidRDefault="00702958" w:rsidP="00FE4F59">
            <w:pPr>
              <w:pStyle w:val="TableParagraph"/>
              <w:jc w:val="center"/>
              <w:rPr>
                <w:rFonts w:ascii="Times New Roman"/>
                <w:sz w:val="18"/>
              </w:rPr>
            </w:pPr>
          </w:p>
        </w:tc>
        <w:tc>
          <w:tcPr>
            <w:tcW w:w="1543" w:type="dxa"/>
            <w:tcBorders>
              <w:top w:val="single" w:sz="4" w:space="0" w:color="231F20"/>
              <w:left w:val="single" w:sz="4" w:space="0" w:color="231F20"/>
              <w:bottom w:val="single" w:sz="4" w:space="0" w:color="231F20"/>
              <w:right w:val="single" w:sz="4" w:space="0" w:color="231F20"/>
            </w:tcBorders>
            <w:vAlign w:val="center"/>
          </w:tcPr>
          <w:p w14:paraId="1B856BA1" w14:textId="77777777" w:rsidR="00702958" w:rsidRDefault="00702958" w:rsidP="00B54C6E">
            <w:pPr>
              <w:pStyle w:val="TableParagraph"/>
              <w:spacing w:before="8" w:line="280" w:lineRule="atLeast"/>
              <w:ind w:left="77" w:right="525"/>
              <w:rPr>
                <w:rFonts w:ascii="Times New Roman"/>
                <w:b/>
                <w:sz w:val="20"/>
              </w:rPr>
            </w:pPr>
            <w:r>
              <w:rPr>
                <w:rFonts w:ascii="Times New Roman"/>
                <w:b/>
                <w:color w:val="231F20"/>
                <w:sz w:val="20"/>
              </w:rPr>
              <w:t xml:space="preserve">Annual </w:t>
            </w:r>
            <w:r>
              <w:rPr>
                <w:rFonts w:ascii="Times New Roman"/>
                <w:b/>
                <w:color w:val="231F20"/>
                <w:w w:val="95"/>
                <w:sz w:val="20"/>
              </w:rPr>
              <w:t>Median*</w:t>
            </w:r>
          </w:p>
        </w:tc>
        <w:tc>
          <w:tcPr>
            <w:tcW w:w="1512" w:type="dxa"/>
            <w:tcBorders>
              <w:top w:val="single" w:sz="4" w:space="0" w:color="231F20"/>
              <w:left w:val="single" w:sz="4" w:space="0" w:color="231F20"/>
              <w:bottom w:val="single" w:sz="4" w:space="0" w:color="231F20"/>
              <w:right w:val="single" w:sz="4" w:space="0" w:color="231F20"/>
            </w:tcBorders>
            <w:vAlign w:val="center"/>
          </w:tcPr>
          <w:p w14:paraId="687EC94A" w14:textId="77777777" w:rsidR="00702958" w:rsidRDefault="00702958" w:rsidP="00B54C6E">
            <w:pPr>
              <w:pStyle w:val="TableParagraph"/>
              <w:spacing w:before="8" w:line="280" w:lineRule="atLeast"/>
              <w:ind w:left="78" w:right="333"/>
              <w:rPr>
                <w:rFonts w:ascii="Times New Roman"/>
                <w:b/>
                <w:sz w:val="20"/>
              </w:rPr>
            </w:pPr>
            <w:r>
              <w:rPr>
                <w:rFonts w:ascii="Times New Roman"/>
                <w:b/>
                <w:color w:val="231F20"/>
                <w:sz w:val="20"/>
              </w:rPr>
              <w:t xml:space="preserve">Annual </w:t>
            </w:r>
            <w:r>
              <w:rPr>
                <w:rFonts w:ascii="Times New Roman"/>
                <w:b/>
                <w:color w:val="231F20"/>
                <w:w w:val="95"/>
                <w:sz w:val="20"/>
              </w:rPr>
              <w:t>Maximum*</w:t>
            </w:r>
          </w:p>
        </w:tc>
        <w:tc>
          <w:tcPr>
            <w:tcW w:w="2817" w:type="dxa"/>
            <w:tcBorders>
              <w:top w:val="single" w:sz="4" w:space="0" w:color="231F20"/>
              <w:left w:val="single" w:sz="4" w:space="0" w:color="231F20"/>
              <w:bottom w:val="single" w:sz="4" w:space="0" w:color="231F20"/>
            </w:tcBorders>
            <w:vAlign w:val="center"/>
          </w:tcPr>
          <w:p w14:paraId="62FD18DD" w14:textId="77777777" w:rsidR="00702958" w:rsidRDefault="00702958" w:rsidP="00B54C6E">
            <w:pPr>
              <w:pStyle w:val="TableParagraph"/>
              <w:rPr>
                <w:rFonts w:ascii="Times New Roman"/>
                <w:sz w:val="18"/>
              </w:rPr>
            </w:pPr>
          </w:p>
        </w:tc>
      </w:tr>
      <w:tr w:rsidR="00702958" w14:paraId="704E5FC0" w14:textId="77777777" w:rsidTr="00E66F34">
        <w:trPr>
          <w:trHeight w:val="960"/>
        </w:trPr>
        <w:tc>
          <w:tcPr>
            <w:tcW w:w="1906" w:type="dxa"/>
            <w:tcBorders>
              <w:top w:val="single" w:sz="4" w:space="0" w:color="231F20"/>
              <w:bottom w:val="single" w:sz="4" w:space="0" w:color="231F20"/>
              <w:right w:val="single" w:sz="4" w:space="0" w:color="231F20"/>
            </w:tcBorders>
            <w:vAlign w:val="center"/>
          </w:tcPr>
          <w:p w14:paraId="48E20ED9" w14:textId="77777777" w:rsidR="00702958" w:rsidRDefault="00702958" w:rsidP="00B54C6E">
            <w:pPr>
              <w:pStyle w:val="TableParagraph"/>
              <w:ind w:right="3"/>
              <w:jc w:val="center"/>
              <w:rPr>
                <w:rFonts w:ascii="Times New Roman"/>
                <w:b/>
                <w:sz w:val="20"/>
              </w:rPr>
            </w:pPr>
            <w:r>
              <w:rPr>
                <w:rFonts w:ascii="Times New Roman"/>
                <w:b/>
                <w:color w:val="231F20"/>
                <w:w w:val="97"/>
                <w:sz w:val="20"/>
              </w:rPr>
              <w:t>A</w:t>
            </w:r>
          </w:p>
        </w:tc>
        <w:tc>
          <w:tcPr>
            <w:tcW w:w="1543" w:type="dxa"/>
            <w:tcBorders>
              <w:top w:val="single" w:sz="4" w:space="0" w:color="231F20"/>
              <w:left w:val="single" w:sz="4" w:space="0" w:color="231F20"/>
              <w:bottom w:val="single" w:sz="4" w:space="0" w:color="231F20"/>
              <w:right w:val="single" w:sz="4" w:space="0" w:color="231F20"/>
            </w:tcBorders>
            <w:vAlign w:val="center"/>
          </w:tcPr>
          <w:p w14:paraId="23607F50" w14:textId="77777777" w:rsidR="00702958" w:rsidRDefault="00702958" w:rsidP="00B54C6E">
            <w:pPr>
              <w:pStyle w:val="TableParagraph"/>
              <w:ind w:left="77"/>
              <w:rPr>
                <w:sz w:val="20"/>
              </w:rPr>
            </w:pPr>
            <w:r>
              <w:rPr>
                <w:color w:val="231F20"/>
                <w:sz w:val="20"/>
              </w:rPr>
              <w:t>≤0.03</w:t>
            </w:r>
          </w:p>
        </w:tc>
        <w:tc>
          <w:tcPr>
            <w:tcW w:w="1512" w:type="dxa"/>
            <w:tcBorders>
              <w:top w:val="single" w:sz="4" w:space="0" w:color="231F20"/>
              <w:left w:val="single" w:sz="4" w:space="0" w:color="231F20"/>
              <w:bottom w:val="single" w:sz="4" w:space="0" w:color="231F20"/>
              <w:right w:val="single" w:sz="4" w:space="0" w:color="231F20"/>
            </w:tcBorders>
            <w:vAlign w:val="center"/>
          </w:tcPr>
          <w:p w14:paraId="4800E9CB" w14:textId="77777777" w:rsidR="00702958" w:rsidRDefault="00702958" w:rsidP="00B54C6E">
            <w:pPr>
              <w:pStyle w:val="TableParagraph"/>
              <w:ind w:left="78"/>
              <w:rPr>
                <w:sz w:val="20"/>
              </w:rPr>
            </w:pPr>
            <w:r>
              <w:rPr>
                <w:color w:val="231F20"/>
                <w:sz w:val="20"/>
              </w:rPr>
              <w:t>≤0.05</w:t>
            </w:r>
          </w:p>
        </w:tc>
        <w:tc>
          <w:tcPr>
            <w:tcW w:w="2817" w:type="dxa"/>
            <w:tcBorders>
              <w:top w:val="single" w:sz="4" w:space="0" w:color="231F20"/>
              <w:left w:val="single" w:sz="4" w:space="0" w:color="231F20"/>
              <w:bottom w:val="single" w:sz="4" w:space="0" w:color="231F20"/>
            </w:tcBorders>
            <w:vAlign w:val="center"/>
          </w:tcPr>
          <w:p w14:paraId="6615E065" w14:textId="77777777" w:rsidR="00702958" w:rsidRDefault="00702958" w:rsidP="00B54C6E">
            <w:pPr>
              <w:pStyle w:val="TableParagraph"/>
              <w:spacing w:before="51" w:line="249" w:lineRule="auto"/>
              <w:ind w:left="77" w:right="86"/>
              <w:rPr>
                <w:sz w:val="20"/>
              </w:rPr>
            </w:pPr>
            <w:r>
              <w:rPr>
                <w:color w:val="231F20"/>
                <w:w w:val="90"/>
                <w:sz w:val="20"/>
              </w:rPr>
              <w:t xml:space="preserve">99% species protection level: No </w:t>
            </w:r>
            <w:r>
              <w:rPr>
                <w:color w:val="231F20"/>
                <w:w w:val="95"/>
                <w:sz w:val="20"/>
              </w:rPr>
              <w:t xml:space="preserve">observed effect on any species </w:t>
            </w:r>
            <w:r>
              <w:rPr>
                <w:color w:val="231F20"/>
                <w:sz w:val="20"/>
              </w:rPr>
              <w:t>tested</w:t>
            </w:r>
          </w:p>
        </w:tc>
      </w:tr>
      <w:tr w:rsidR="00702958" w14:paraId="7AC50C2A" w14:textId="77777777" w:rsidTr="00E66F34">
        <w:trPr>
          <w:trHeight w:val="1320"/>
        </w:trPr>
        <w:tc>
          <w:tcPr>
            <w:tcW w:w="1906" w:type="dxa"/>
            <w:tcBorders>
              <w:top w:val="single" w:sz="4" w:space="0" w:color="231F20"/>
              <w:bottom w:val="single" w:sz="4" w:space="0" w:color="231F20"/>
              <w:right w:val="single" w:sz="4" w:space="0" w:color="231F20"/>
            </w:tcBorders>
            <w:vAlign w:val="center"/>
          </w:tcPr>
          <w:p w14:paraId="09BC3985" w14:textId="77777777" w:rsidR="00702958" w:rsidRDefault="00702958" w:rsidP="00B54C6E">
            <w:pPr>
              <w:pStyle w:val="TableParagraph"/>
              <w:spacing w:before="155"/>
              <w:ind w:right="3"/>
              <w:jc w:val="center"/>
              <w:rPr>
                <w:rFonts w:ascii="Times New Roman"/>
                <w:b/>
                <w:sz w:val="20"/>
              </w:rPr>
            </w:pPr>
            <w:r>
              <w:rPr>
                <w:rFonts w:ascii="Times New Roman"/>
                <w:b/>
                <w:color w:val="231F20"/>
                <w:w w:val="95"/>
                <w:sz w:val="20"/>
              </w:rPr>
              <w:t>B</w:t>
            </w:r>
          </w:p>
        </w:tc>
        <w:tc>
          <w:tcPr>
            <w:tcW w:w="1543" w:type="dxa"/>
            <w:tcBorders>
              <w:top w:val="single" w:sz="4" w:space="0" w:color="231F20"/>
              <w:left w:val="single" w:sz="4" w:space="0" w:color="231F20"/>
              <w:bottom w:val="single" w:sz="4" w:space="0" w:color="231F20"/>
              <w:right w:val="single" w:sz="4" w:space="0" w:color="231F20"/>
            </w:tcBorders>
            <w:vAlign w:val="center"/>
          </w:tcPr>
          <w:p w14:paraId="14F76508" w14:textId="77777777" w:rsidR="00702958" w:rsidRDefault="00702958" w:rsidP="00B54C6E">
            <w:pPr>
              <w:pStyle w:val="TableParagraph"/>
              <w:spacing w:before="156"/>
              <w:ind w:left="77"/>
              <w:rPr>
                <w:sz w:val="20"/>
              </w:rPr>
            </w:pPr>
            <w:r>
              <w:rPr>
                <w:color w:val="231F20"/>
                <w:sz w:val="20"/>
              </w:rPr>
              <w:t>&gt;0.03 and ≤0.24</w:t>
            </w:r>
          </w:p>
        </w:tc>
        <w:tc>
          <w:tcPr>
            <w:tcW w:w="1512" w:type="dxa"/>
            <w:tcBorders>
              <w:top w:val="single" w:sz="4" w:space="0" w:color="231F20"/>
              <w:left w:val="single" w:sz="4" w:space="0" w:color="231F20"/>
              <w:bottom w:val="single" w:sz="4" w:space="0" w:color="231F20"/>
              <w:right w:val="single" w:sz="4" w:space="0" w:color="231F20"/>
            </w:tcBorders>
            <w:vAlign w:val="center"/>
          </w:tcPr>
          <w:p w14:paraId="71EBA2D8" w14:textId="77777777" w:rsidR="00702958" w:rsidRDefault="00702958" w:rsidP="00B54C6E">
            <w:pPr>
              <w:pStyle w:val="TableParagraph"/>
              <w:spacing w:before="156"/>
              <w:ind w:left="78"/>
              <w:rPr>
                <w:sz w:val="20"/>
              </w:rPr>
            </w:pPr>
            <w:r>
              <w:rPr>
                <w:color w:val="231F20"/>
                <w:sz w:val="20"/>
              </w:rPr>
              <w:t>&gt;0.05 and ≤0.40</w:t>
            </w:r>
          </w:p>
        </w:tc>
        <w:tc>
          <w:tcPr>
            <w:tcW w:w="2817" w:type="dxa"/>
            <w:tcBorders>
              <w:top w:val="single" w:sz="4" w:space="0" w:color="231F20"/>
              <w:left w:val="single" w:sz="4" w:space="0" w:color="231F20"/>
              <w:bottom w:val="single" w:sz="4" w:space="0" w:color="231F20"/>
            </w:tcBorders>
            <w:vAlign w:val="center"/>
          </w:tcPr>
          <w:p w14:paraId="77D3287C" w14:textId="77777777" w:rsidR="00702958" w:rsidRDefault="00702958" w:rsidP="00B54C6E">
            <w:pPr>
              <w:pStyle w:val="TableParagraph"/>
              <w:spacing w:line="249" w:lineRule="auto"/>
              <w:ind w:left="77" w:right="85"/>
              <w:rPr>
                <w:sz w:val="20"/>
              </w:rPr>
            </w:pPr>
            <w:r>
              <w:rPr>
                <w:color w:val="231F20"/>
                <w:sz w:val="20"/>
              </w:rPr>
              <w:t xml:space="preserve">95% species protection level: </w:t>
            </w:r>
            <w:r>
              <w:rPr>
                <w:color w:val="231F20"/>
                <w:w w:val="90"/>
                <w:sz w:val="20"/>
              </w:rPr>
              <w:t>Starts impacting occasionally on the 5% most sensitive species</w:t>
            </w:r>
          </w:p>
        </w:tc>
      </w:tr>
      <w:tr w:rsidR="00702958" w14:paraId="65F3040C" w14:textId="77777777" w:rsidTr="00A93FED">
        <w:trPr>
          <w:trHeight w:val="920"/>
        </w:trPr>
        <w:tc>
          <w:tcPr>
            <w:tcW w:w="1906" w:type="dxa"/>
            <w:tcBorders>
              <w:top w:val="single" w:sz="4" w:space="0" w:color="231F20"/>
              <w:bottom w:val="single" w:sz="4" w:space="0" w:color="231F20"/>
              <w:right w:val="single" w:sz="4" w:space="0" w:color="231F20"/>
            </w:tcBorders>
            <w:vAlign w:val="center"/>
          </w:tcPr>
          <w:p w14:paraId="74708F7B" w14:textId="77777777" w:rsidR="00702958" w:rsidRDefault="00702958" w:rsidP="00B54C6E">
            <w:pPr>
              <w:pStyle w:val="TableParagraph"/>
              <w:ind w:right="3"/>
              <w:jc w:val="center"/>
              <w:rPr>
                <w:rFonts w:ascii="Times New Roman"/>
                <w:b/>
                <w:sz w:val="20"/>
              </w:rPr>
            </w:pPr>
            <w:r>
              <w:rPr>
                <w:rFonts w:ascii="Times New Roman"/>
                <w:b/>
                <w:color w:val="231F20"/>
                <w:w w:val="93"/>
                <w:sz w:val="20"/>
              </w:rPr>
              <w:t>C</w:t>
            </w:r>
          </w:p>
        </w:tc>
        <w:tc>
          <w:tcPr>
            <w:tcW w:w="1543" w:type="dxa"/>
            <w:tcBorders>
              <w:top w:val="single" w:sz="4" w:space="0" w:color="231F20"/>
              <w:left w:val="single" w:sz="4" w:space="0" w:color="231F20"/>
              <w:bottom w:val="single" w:sz="4" w:space="0" w:color="231F20"/>
              <w:right w:val="single" w:sz="4" w:space="0" w:color="231F20"/>
            </w:tcBorders>
            <w:vAlign w:val="center"/>
          </w:tcPr>
          <w:p w14:paraId="1D3D5500" w14:textId="77777777" w:rsidR="00702958" w:rsidRDefault="00702958" w:rsidP="00B54C6E">
            <w:pPr>
              <w:pStyle w:val="TableParagraph"/>
              <w:ind w:left="77"/>
              <w:rPr>
                <w:sz w:val="20"/>
              </w:rPr>
            </w:pPr>
            <w:r>
              <w:rPr>
                <w:color w:val="231F20"/>
                <w:sz w:val="20"/>
              </w:rPr>
              <w:t>&gt;0.24 and ≤1.30</w:t>
            </w:r>
          </w:p>
        </w:tc>
        <w:tc>
          <w:tcPr>
            <w:tcW w:w="1512" w:type="dxa"/>
            <w:tcBorders>
              <w:top w:val="single" w:sz="4" w:space="0" w:color="231F20"/>
              <w:left w:val="single" w:sz="4" w:space="0" w:color="231F20"/>
              <w:bottom w:val="single" w:sz="4" w:space="0" w:color="231F20"/>
              <w:right w:val="single" w:sz="4" w:space="0" w:color="231F20"/>
            </w:tcBorders>
            <w:vAlign w:val="center"/>
          </w:tcPr>
          <w:p w14:paraId="54F2A974" w14:textId="77777777" w:rsidR="00702958" w:rsidRDefault="00702958" w:rsidP="00B54C6E">
            <w:pPr>
              <w:pStyle w:val="TableParagraph"/>
              <w:ind w:left="78"/>
              <w:rPr>
                <w:sz w:val="20"/>
              </w:rPr>
            </w:pPr>
            <w:r>
              <w:rPr>
                <w:color w:val="231F20"/>
                <w:sz w:val="20"/>
              </w:rPr>
              <w:t>&gt;0.40 and ≤2.20</w:t>
            </w:r>
          </w:p>
        </w:tc>
        <w:tc>
          <w:tcPr>
            <w:tcW w:w="2817" w:type="dxa"/>
            <w:vMerge w:val="restart"/>
            <w:tcBorders>
              <w:top w:val="single" w:sz="4" w:space="0" w:color="231F20"/>
              <w:left w:val="single" w:sz="4" w:space="0" w:color="231F20"/>
              <w:bottom w:val="single" w:sz="4" w:space="0" w:color="231F20"/>
            </w:tcBorders>
            <w:vAlign w:val="center"/>
          </w:tcPr>
          <w:p w14:paraId="7C5BB9C7" w14:textId="77777777" w:rsidR="00702958" w:rsidRDefault="00702958" w:rsidP="00B54C6E">
            <w:pPr>
              <w:pStyle w:val="TableParagraph"/>
              <w:spacing w:before="149" w:line="249" w:lineRule="auto"/>
              <w:ind w:left="77" w:right="197"/>
              <w:rPr>
                <w:sz w:val="20"/>
              </w:rPr>
            </w:pPr>
            <w:r>
              <w:rPr>
                <w:color w:val="231F20"/>
                <w:w w:val="95"/>
                <w:sz w:val="20"/>
              </w:rPr>
              <w:t>80% species protection level: Starts</w:t>
            </w:r>
            <w:r>
              <w:rPr>
                <w:color w:val="231F20"/>
                <w:spacing w:val="-28"/>
                <w:w w:val="95"/>
                <w:sz w:val="20"/>
              </w:rPr>
              <w:t xml:space="preserve"> </w:t>
            </w:r>
            <w:r>
              <w:rPr>
                <w:color w:val="231F20"/>
                <w:w w:val="95"/>
                <w:sz w:val="20"/>
              </w:rPr>
              <w:t>impacting</w:t>
            </w:r>
            <w:r>
              <w:rPr>
                <w:color w:val="231F20"/>
                <w:spacing w:val="-28"/>
                <w:w w:val="95"/>
                <w:sz w:val="20"/>
              </w:rPr>
              <w:t xml:space="preserve"> </w:t>
            </w:r>
            <w:r>
              <w:rPr>
                <w:color w:val="231F20"/>
                <w:w w:val="95"/>
                <w:sz w:val="20"/>
              </w:rPr>
              <w:t>regularly</w:t>
            </w:r>
            <w:r>
              <w:rPr>
                <w:color w:val="231F20"/>
                <w:spacing w:val="-28"/>
                <w:w w:val="95"/>
                <w:sz w:val="20"/>
              </w:rPr>
              <w:t xml:space="preserve"> </w:t>
            </w:r>
            <w:r>
              <w:rPr>
                <w:color w:val="231F20"/>
                <w:w w:val="95"/>
                <w:sz w:val="20"/>
              </w:rPr>
              <w:t>on the</w:t>
            </w:r>
            <w:r>
              <w:rPr>
                <w:color w:val="231F20"/>
                <w:spacing w:val="-32"/>
                <w:w w:val="95"/>
                <w:sz w:val="20"/>
              </w:rPr>
              <w:t xml:space="preserve"> </w:t>
            </w:r>
            <w:r>
              <w:rPr>
                <w:color w:val="231F20"/>
                <w:w w:val="95"/>
                <w:sz w:val="20"/>
              </w:rPr>
              <w:t>20%</w:t>
            </w:r>
            <w:r>
              <w:rPr>
                <w:color w:val="231F20"/>
                <w:spacing w:val="-32"/>
                <w:w w:val="95"/>
                <w:sz w:val="20"/>
              </w:rPr>
              <w:t xml:space="preserve"> </w:t>
            </w:r>
            <w:r>
              <w:rPr>
                <w:color w:val="231F20"/>
                <w:w w:val="95"/>
                <w:sz w:val="20"/>
              </w:rPr>
              <w:t>most</w:t>
            </w:r>
            <w:r>
              <w:rPr>
                <w:color w:val="231F20"/>
                <w:spacing w:val="-32"/>
                <w:w w:val="95"/>
                <w:sz w:val="20"/>
              </w:rPr>
              <w:t xml:space="preserve"> </w:t>
            </w:r>
            <w:r>
              <w:rPr>
                <w:color w:val="231F20"/>
                <w:w w:val="95"/>
                <w:sz w:val="20"/>
              </w:rPr>
              <w:t>sensitive</w:t>
            </w:r>
            <w:r>
              <w:rPr>
                <w:color w:val="231F20"/>
                <w:spacing w:val="-32"/>
                <w:w w:val="95"/>
                <w:sz w:val="20"/>
              </w:rPr>
              <w:t xml:space="preserve"> </w:t>
            </w:r>
            <w:r>
              <w:rPr>
                <w:color w:val="231F20"/>
                <w:w w:val="95"/>
                <w:sz w:val="20"/>
              </w:rPr>
              <w:t xml:space="preserve">species </w:t>
            </w:r>
            <w:r>
              <w:rPr>
                <w:color w:val="231F20"/>
                <w:sz w:val="20"/>
              </w:rPr>
              <w:t xml:space="preserve">(reduced survival of most </w:t>
            </w:r>
            <w:r>
              <w:rPr>
                <w:color w:val="231F20"/>
                <w:w w:val="90"/>
                <w:sz w:val="20"/>
              </w:rPr>
              <w:t>sensitive</w:t>
            </w:r>
            <w:r>
              <w:rPr>
                <w:color w:val="231F20"/>
                <w:spacing w:val="-11"/>
                <w:w w:val="90"/>
                <w:sz w:val="20"/>
              </w:rPr>
              <w:t xml:space="preserve"> </w:t>
            </w:r>
            <w:r>
              <w:rPr>
                <w:color w:val="231F20"/>
                <w:w w:val="90"/>
                <w:sz w:val="20"/>
              </w:rPr>
              <w:t>species)</w:t>
            </w:r>
          </w:p>
        </w:tc>
      </w:tr>
      <w:tr w:rsidR="00AE663D" w14:paraId="146DFB41" w14:textId="77777777" w:rsidTr="00FE4F59">
        <w:trPr>
          <w:trHeight w:val="840"/>
        </w:trPr>
        <w:tc>
          <w:tcPr>
            <w:tcW w:w="1906" w:type="dxa"/>
            <w:tcBorders>
              <w:top w:val="single" w:sz="4" w:space="0" w:color="231F20"/>
              <w:bottom w:val="single" w:sz="4" w:space="0" w:color="231F20"/>
              <w:right w:val="single" w:sz="4" w:space="0" w:color="231F20"/>
            </w:tcBorders>
            <w:shd w:val="clear" w:color="auto" w:fill="DCDDDE"/>
            <w:vAlign w:val="center"/>
          </w:tcPr>
          <w:p w14:paraId="36EF2AD5" w14:textId="77777777" w:rsidR="00702958" w:rsidRDefault="00702958" w:rsidP="00B54C6E">
            <w:pPr>
              <w:pStyle w:val="TableParagraph"/>
              <w:spacing w:before="126" w:line="292" w:lineRule="auto"/>
              <w:ind w:left="74" w:right="5"/>
              <w:rPr>
                <w:rFonts w:ascii="Times New Roman"/>
                <w:b/>
                <w:sz w:val="20"/>
              </w:rPr>
            </w:pPr>
            <w:r>
              <w:rPr>
                <w:rFonts w:ascii="Times New Roman"/>
                <w:b/>
                <w:color w:val="231F20"/>
                <w:sz w:val="20"/>
              </w:rPr>
              <w:t>National Bottom Line</w:t>
            </w:r>
          </w:p>
        </w:tc>
        <w:tc>
          <w:tcPr>
            <w:tcW w:w="1543" w:type="dxa"/>
            <w:tcBorders>
              <w:top w:val="single" w:sz="4" w:space="0" w:color="231F20"/>
              <w:left w:val="single" w:sz="4" w:space="0" w:color="231F20"/>
              <w:bottom w:val="single" w:sz="4" w:space="0" w:color="231F20"/>
              <w:right w:val="single" w:sz="4" w:space="0" w:color="231F20"/>
            </w:tcBorders>
            <w:shd w:val="clear" w:color="auto" w:fill="DCDDDE"/>
            <w:vAlign w:val="center"/>
          </w:tcPr>
          <w:p w14:paraId="104B0B7E" w14:textId="77777777" w:rsidR="00702958" w:rsidRDefault="00702958" w:rsidP="00B54C6E">
            <w:pPr>
              <w:pStyle w:val="TableParagraph"/>
              <w:ind w:left="77"/>
              <w:rPr>
                <w:rFonts w:ascii="Times New Roman"/>
                <w:b/>
                <w:sz w:val="20"/>
              </w:rPr>
            </w:pPr>
            <w:r>
              <w:rPr>
                <w:rFonts w:ascii="Times New Roman"/>
                <w:b/>
                <w:color w:val="231F20"/>
                <w:sz w:val="20"/>
              </w:rPr>
              <w:t>1.30</w:t>
            </w:r>
          </w:p>
        </w:tc>
        <w:tc>
          <w:tcPr>
            <w:tcW w:w="1512" w:type="dxa"/>
            <w:tcBorders>
              <w:top w:val="single" w:sz="4" w:space="0" w:color="231F20"/>
              <w:left w:val="single" w:sz="4" w:space="0" w:color="231F20"/>
              <w:bottom w:val="single" w:sz="4" w:space="0" w:color="231F20"/>
              <w:right w:val="single" w:sz="4" w:space="0" w:color="231F20"/>
            </w:tcBorders>
            <w:shd w:val="clear" w:color="auto" w:fill="DCDDDE"/>
            <w:vAlign w:val="center"/>
          </w:tcPr>
          <w:p w14:paraId="2A0499A5" w14:textId="77777777" w:rsidR="00702958" w:rsidRDefault="00702958" w:rsidP="00B54C6E">
            <w:pPr>
              <w:pStyle w:val="TableParagraph"/>
              <w:ind w:left="78"/>
              <w:rPr>
                <w:rFonts w:ascii="Times New Roman"/>
                <w:b/>
                <w:sz w:val="20"/>
              </w:rPr>
            </w:pPr>
            <w:r>
              <w:rPr>
                <w:rFonts w:ascii="Times New Roman"/>
                <w:b/>
                <w:color w:val="231F20"/>
                <w:sz w:val="20"/>
              </w:rPr>
              <w:t>2.20</w:t>
            </w:r>
          </w:p>
        </w:tc>
        <w:tc>
          <w:tcPr>
            <w:tcW w:w="2817" w:type="dxa"/>
            <w:vMerge/>
            <w:tcBorders>
              <w:top w:val="nil"/>
              <w:left w:val="single" w:sz="4" w:space="0" w:color="231F20"/>
              <w:bottom w:val="single" w:sz="4" w:space="0" w:color="231F20"/>
            </w:tcBorders>
            <w:vAlign w:val="center"/>
          </w:tcPr>
          <w:p w14:paraId="0D87239D" w14:textId="77777777" w:rsidR="00702958" w:rsidRDefault="00702958" w:rsidP="00B54C6E">
            <w:pPr>
              <w:spacing w:after="30"/>
              <w:rPr>
                <w:sz w:val="2"/>
                <w:szCs w:val="2"/>
              </w:rPr>
            </w:pPr>
          </w:p>
        </w:tc>
      </w:tr>
      <w:tr w:rsidR="00702958" w14:paraId="3278B91F" w14:textId="77777777" w:rsidTr="00E66F34">
        <w:trPr>
          <w:trHeight w:val="940"/>
        </w:trPr>
        <w:tc>
          <w:tcPr>
            <w:tcW w:w="1906" w:type="dxa"/>
            <w:tcBorders>
              <w:top w:val="single" w:sz="4" w:space="0" w:color="231F20"/>
              <w:bottom w:val="single" w:sz="4" w:space="0" w:color="231F20"/>
              <w:right w:val="single" w:sz="4" w:space="0" w:color="231F20"/>
            </w:tcBorders>
            <w:vAlign w:val="center"/>
          </w:tcPr>
          <w:p w14:paraId="5A4CAF73" w14:textId="77777777" w:rsidR="00702958" w:rsidRDefault="00702958" w:rsidP="00B54C6E">
            <w:pPr>
              <w:pStyle w:val="TableParagraph"/>
              <w:ind w:right="3"/>
              <w:jc w:val="center"/>
              <w:rPr>
                <w:rFonts w:ascii="Times New Roman"/>
                <w:b/>
                <w:sz w:val="20"/>
              </w:rPr>
            </w:pPr>
            <w:r>
              <w:rPr>
                <w:rFonts w:ascii="Times New Roman"/>
                <w:b/>
                <w:color w:val="231F20"/>
                <w:w w:val="105"/>
                <w:sz w:val="20"/>
              </w:rPr>
              <w:t>D</w:t>
            </w:r>
          </w:p>
        </w:tc>
        <w:tc>
          <w:tcPr>
            <w:tcW w:w="1543" w:type="dxa"/>
            <w:tcBorders>
              <w:top w:val="single" w:sz="4" w:space="0" w:color="231F20"/>
              <w:left w:val="single" w:sz="4" w:space="0" w:color="231F20"/>
              <w:bottom w:val="single" w:sz="4" w:space="0" w:color="231F20"/>
              <w:right w:val="single" w:sz="4" w:space="0" w:color="231F20"/>
            </w:tcBorders>
            <w:vAlign w:val="center"/>
          </w:tcPr>
          <w:p w14:paraId="4AF3A984" w14:textId="77777777" w:rsidR="00702958" w:rsidRDefault="00702958" w:rsidP="00B54C6E">
            <w:pPr>
              <w:pStyle w:val="TableParagraph"/>
              <w:ind w:left="77"/>
              <w:rPr>
                <w:sz w:val="20"/>
              </w:rPr>
            </w:pPr>
            <w:r>
              <w:rPr>
                <w:color w:val="231F20"/>
                <w:sz w:val="20"/>
              </w:rPr>
              <w:t>&gt;1.30</w:t>
            </w:r>
          </w:p>
        </w:tc>
        <w:tc>
          <w:tcPr>
            <w:tcW w:w="1512" w:type="dxa"/>
            <w:tcBorders>
              <w:top w:val="single" w:sz="4" w:space="0" w:color="231F20"/>
              <w:left w:val="single" w:sz="4" w:space="0" w:color="231F20"/>
              <w:bottom w:val="single" w:sz="4" w:space="0" w:color="231F20"/>
              <w:right w:val="single" w:sz="4" w:space="0" w:color="231F20"/>
            </w:tcBorders>
            <w:vAlign w:val="center"/>
          </w:tcPr>
          <w:p w14:paraId="00BB0586" w14:textId="77777777" w:rsidR="00702958" w:rsidRDefault="00702958" w:rsidP="00B54C6E">
            <w:pPr>
              <w:pStyle w:val="TableParagraph"/>
              <w:ind w:left="78"/>
              <w:rPr>
                <w:sz w:val="20"/>
              </w:rPr>
            </w:pPr>
            <w:r>
              <w:rPr>
                <w:color w:val="231F20"/>
                <w:sz w:val="20"/>
              </w:rPr>
              <w:t>&gt;2.20</w:t>
            </w:r>
          </w:p>
        </w:tc>
        <w:tc>
          <w:tcPr>
            <w:tcW w:w="2817" w:type="dxa"/>
            <w:tcBorders>
              <w:top w:val="single" w:sz="4" w:space="0" w:color="231F20"/>
              <w:left w:val="single" w:sz="4" w:space="0" w:color="231F20"/>
              <w:bottom w:val="single" w:sz="4" w:space="0" w:color="231F20"/>
            </w:tcBorders>
            <w:vAlign w:val="center"/>
          </w:tcPr>
          <w:p w14:paraId="21CF8D9E" w14:textId="77777777" w:rsidR="00702958" w:rsidRDefault="00702958" w:rsidP="00B54C6E">
            <w:pPr>
              <w:pStyle w:val="TableParagraph"/>
              <w:spacing w:before="44" w:line="249" w:lineRule="auto"/>
              <w:ind w:left="77" w:right="88"/>
              <w:rPr>
                <w:sz w:val="20"/>
              </w:rPr>
            </w:pPr>
            <w:r>
              <w:rPr>
                <w:color w:val="231F20"/>
                <w:w w:val="90"/>
                <w:sz w:val="20"/>
              </w:rPr>
              <w:t xml:space="preserve">Starts approaching acute impact </w:t>
            </w:r>
            <w:r>
              <w:rPr>
                <w:color w:val="231F20"/>
                <w:sz w:val="20"/>
              </w:rPr>
              <w:t>level (</w:t>
            </w:r>
            <w:r w:rsidR="00C83BE4">
              <w:rPr>
                <w:color w:val="231F20"/>
                <w:sz w:val="20"/>
              </w:rPr>
              <w:t>i.e.</w:t>
            </w:r>
            <w:r>
              <w:rPr>
                <w:color w:val="231F20"/>
                <w:sz w:val="20"/>
              </w:rPr>
              <w:t xml:space="preserve"> risk of death) for </w:t>
            </w:r>
            <w:r>
              <w:rPr>
                <w:color w:val="231F20"/>
                <w:w w:val="90"/>
                <w:sz w:val="20"/>
              </w:rPr>
              <w:t>sensitive species</w:t>
            </w:r>
          </w:p>
        </w:tc>
      </w:tr>
      <w:tr w:rsidR="00702958" w14:paraId="0CF56682" w14:textId="77777777" w:rsidTr="00E66F34">
        <w:trPr>
          <w:trHeight w:val="940"/>
        </w:trPr>
        <w:tc>
          <w:tcPr>
            <w:tcW w:w="7778" w:type="dxa"/>
            <w:gridSpan w:val="4"/>
            <w:tcBorders>
              <w:top w:val="single" w:sz="4" w:space="0" w:color="231F20"/>
            </w:tcBorders>
          </w:tcPr>
          <w:p w14:paraId="5C62AD9E" w14:textId="77777777" w:rsidR="00702958" w:rsidRDefault="00702958" w:rsidP="00FE4F59">
            <w:pPr>
              <w:pStyle w:val="BodyText"/>
              <w:spacing w:before="64"/>
            </w:pPr>
            <w:r>
              <w:rPr>
                <w:color w:val="231F20"/>
                <w:w w:val="95"/>
              </w:rPr>
              <w:t>* Based on pH 8 and temperature of 20⁰C.</w:t>
            </w:r>
          </w:p>
          <w:p w14:paraId="50AB764E" w14:textId="77777777" w:rsidR="00702958" w:rsidRDefault="00702958" w:rsidP="00FE4F59">
            <w:pPr>
              <w:pStyle w:val="BodyText"/>
              <w:spacing w:before="98"/>
            </w:pPr>
            <w:r>
              <w:rPr>
                <w:color w:val="231F20"/>
                <w:w w:val="90"/>
              </w:rPr>
              <w:t>Compliance with the numeric attribute states should be undertaken after pH adjustment.</w:t>
            </w:r>
          </w:p>
          <w:p w14:paraId="5CE65FC8" w14:textId="77777777" w:rsidR="00702958" w:rsidRDefault="00702958" w:rsidP="00EA590F">
            <w:pPr>
              <w:pStyle w:val="TableParagraph"/>
              <w:spacing w:before="44" w:line="249" w:lineRule="auto"/>
              <w:ind w:left="77" w:right="88"/>
              <w:rPr>
                <w:color w:val="231F20"/>
                <w:w w:val="90"/>
                <w:sz w:val="20"/>
              </w:rPr>
            </w:pPr>
          </w:p>
        </w:tc>
      </w:tr>
    </w:tbl>
    <w:p w14:paraId="3D6A3D74" w14:textId="77777777" w:rsidR="00702958" w:rsidRDefault="00702958" w:rsidP="00882034">
      <w:pPr>
        <w:pStyle w:val="Body"/>
      </w:pPr>
    </w:p>
    <w:p w14:paraId="2FC455C5" w14:textId="77777777" w:rsidR="00A924E4" w:rsidRDefault="00A924E4">
      <w:pPr>
        <w:spacing w:after="0"/>
      </w:pPr>
      <w:r>
        <w:br w:type="page"/>
      </w:r>
    </w:p>
    <w:tbl>
      <w:tblPr>
        <w:tblW w:w="7797" w:type="dxa"/>
        <w:tblInd w:w="126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49"/>
        <w:gridCol w:w="1219"/>
        <w:gridCol w:w="1219"/>
        <w:gridCol w:w="1293"/>
        <w:gridCol w:w="1304"/>
        <w:gridCol w:w="1613"/>
      </w:tblGrid>
      <w:tr w:rsidR="00702958" w14:paraId="1544B358" w14:textId="77777777" w:rsidTr="00E66F34">
        <w:trPr>
          <w:trHeight w:val="320"/>
        </w:trPr>
        <w:tc>
          <w:tcPr>
            <w:tcW w:w="1149" w:type="dxa"/>
            <w:tcBorders>
              <w:bottom w:val="single" w:sz="4" w:space="0" w:color="231F20"/>
              <w:right w:val="single" w:sz="4" w:space="0" w:color="231F20"/>
            </w:tcBorders>
            <w:vAlign w:val="center"/>
          </w:tcPr>
          <w:p w14:paraId="1A1B3D1C" w14:textId="77777777" w:rsidR="00702958" w:rsidRDefault="00702958" w:rsidP="00B54C6E">
            <w:pPr>
              <w:pStyle w:val="TableParagraph"/>
              <w:spacing w:before="41"/>
              <w:ind w:left="74"/>
              <w:rPr>
                <w:rFonts w:ascii="Times New Roman"/>
                <w:b/>
                <w:sz w:val="20"/>
              </w:rPr>
            </w:pPr>
            <w:r>
              <w:rPr>
                <w:rFonts w:ascii="Times New Roman"/>
                <w:b/>
                <w:color w:val="231F20"/>
                <w:sz w:val="20"/>
              </w:rPr>
              <w:lastRenderedPageBreak/>
              <w:t>Value</w:t>
            </w:r>
          </w:p>
        </w:tc>
        <w:tc>
          <w:tcPr>
            <w:tcW w:w="6648" w:type="dxa"/>
            <w:gridSpan w:val="5"/>
            <w:tcBorders>
              <w:left w:val="single" w:sz="4" w:space="0" w:color="231F20"/>
              <w:bottom w:val="single" w:sz="4" w:space="0" w:color="231F20"/>
            </w:tcBorders>
            <w:vAlign w:val="center"/>
          </w:tcPr>
          <w:p w14:paraId="22042D25" w14:textId="77777777" w:rsidR="00702958" w:rsidRDefault="00702958" w:rsidP="00B54C6E">
            <w:pPr>
              <w:pStyle w:val="TableParagraph"/>
              <w:spacing w:before="23"/>
              <w:ind w:left="78"/>
              <w:rPr>
                <w:sz w:val="20"/>
              </w:rPr>
            </w:pPr>
            <w:r>
              <w:rPr>
                <w:color w:val="231F20"/>
                <w:w w:val="90"/>
                <w:sz w:val="20"/>
              </w:rPr>
              <w:t>Human health for recreation</w:t>
            </w:r>
          </w:p>
        </w:tc>
      </w:tr>
      <w:tr w:rsidR="00702958" w14:paraId="0B47CB9C" w14:textId="77777777" w:rsidTr="00E66F34">
        <w:trPr>
          <w:trHeight w:val="560"/>
        </w:trPr>
        <w:tc>
          <w:tcPr>
            <w:tcW w:w="1149" w:type="dxa"/>
            <w:tcBorders>
              <w:top w:val="single" w:sz="4" w:space="0" w:color="231F20"/>
              <w:bottom w:val="single" w:sz="4" w:space="0" w:color="231F20"/>
              <w:right w:val="single" w:sz="4" w:space="0" w:color="231F20"/>
            </w:tcBorders>
            <w:vAlign w:val="center"/>
          </w:tcPr>
          <w:p w14:paraId="07A0F4B7" w14:textId="77777777" w:rsidR="00702958" w:rsidRDefault="00702958" w:rsidP="00B54C6E">
            <w:pPr>
              <w:pStyle w:val="TableParagraph"/>
              <w:spacing w:before="23"/>
              <w:ind w:left="74"/>
              <w:rPr>
                <w:rFonts w:ascii="Times New Roman"/>
                <w:b/>
                <w:sz w:val="20"/>
              </w:rPr>
            </w:pPr>
            <w:r>
              <w:rPr>
                <w:rFonts w:ascii="Times New Roman"/>
                <w:b/>
                <w:color w:val="231F20"/>
                <w:sz w:val="20"/>
              </w:rPr>
              <w:t>Freshwater</w:t>
            </w:r>
          </w:p>
          <w:p w14:paraId="44D8B75E" w14:textId="77777777" w:rsidR="00702958" w:rsidRDefault="00702958" w:rsidP="00B54C6E">
            <w:pPr>
              <w:pStyle w:val="TableParagraph"/>
              <w:spacing w:before="37"/>
              <w:ind w:left="74"/>
              <w:rPr>
                <w:rFonts w:ascii="Times New Roman"/>
                <w:b/>
                <w:sz w:val="20"/>
              </w:rPr>
            </w:pPr>
            <w:r>
              <w:rPr>
                <w:rFonts w:ascii="Times New Roman"/>
                <w:b/>
                <w:color w:val="231F20"/>
                <w:sz w:val="20"/>
              </w:rPr>
              <w:t>Body Type</w:t>
            </w:r>
          </w:p>
        </w:tc>
        <w:tc>
          <w:tcPr>
            <w:tcW w:w="6648" w:type="dxa"/>
            <w:gridSpan w:val="5"/>
            <w:tcBorders>
              <w:top w:val="single" w:sz="4" w:space="0" w:color="231F20"/>
              <w:left w:val="single" w:sz="4" w:space="0" w:color="231F20"/>
              <w:bottom w:val="single" w:sz="4" w:space="0" w:color="231F20"/>
            </w:tcBorders>
            <w:vAlign w:val="center"/>
          </w:tcPr>
          <w:p w14:paraId="48FF7567" w14:textId="77777777" w:rsidR="00702958" w:rsidRDefault="00702958" w:rsidP="00B54C6E">
            <w:pPr>
              <w:pStyle w:val="TableParagraph"/>
              <w:spacing w:before="112"/>
              <w:ind w:left="78"/>
              <w:rPr>
                <w:sz w:val="20"/>
              </w:rPr>
            </w:pPr>
            <w:r>
              <w:rPr>
                <w:color w:val="231F20"/>
                <w:w w:val="90"/>
                <w:sz w:val="20"/>
              </w:rPr>
              <w:t>Lakes and rivers</w:t>
            </w:r>
          </w:p>
        </w:tc>
      </w:tr>
      <w:tr w:rsidR="00AE663D" w14:paraId="2C5B628A" w14:textId="77777777" w:rsidTr="006B6562">
        <w:trPr>
          <w:trHeight w:val="340"/>
        </w:trPr>
        <w:tc>
          <w:tcPr>
            <w:tcW w:w="1149" w:type="dxa"/>
            <w:tcBorders>
              <w:top w:val="single" w:sz="4" w:space="0" w:color="231F20"/>
              <w:bottom w:val="single" w:sz="4" w:space="0" w:color="231F20"/>
              <w:right w:val="single" w:sz="4" w:space="0" w:color="231F20"/>
            </w:tcBorders>
            <w:shd w:val="clear" w:color="auto" w:fill="DCDDDE"/>
            <w:vAlign w:val="center"/>
          </w:tcPr>
          <w:p w14:paraId="5C5AD552" w14:textId="77777777" w:rsidR="00702958" w:rsidRDefault="00702958" w:rsidP="00B54C6E">
            <w:pPr>
              <w:pStyle w:val="TableParagraph"/>
              <w:spacing w:before="43"/>
              <w:ind w:left="74"/>
              <w:rPr>
                <w:rFonts w:ascii="Times New Roman"/>
                <w:b/>
                <w:sz w:val="20"/>
              </w:rPr>
            </w:pPr>
            <w:r>
              <w:rPr>
                <w:rFonts w:ascii="Times New Roman"/>
                <w:b/>
                <w:color w:val="231F20"/>
                <w:sz w:val="20"/>
              </w:rPr>
              <w:t>Attribute</w:t>
            </w:r>
          </w:p>
        </w:tc>
        <w:tc>
          <w:tcPr>
            <w:tcW w:w="6648" w:type="dxa"/>
            <w:gridSpan w:val="5"/>
            <w:tcBorders>
              <w:top w:val="single" w:sz="4" w:space="0" w:color="231F20"/>
              <w:left w:val="single" w:sz="4" w:space="0" w:color="231F20"/>
              <w:bottom w:val="single" w:sz="4" w:space="0" w:color="231F20"/>
            </w:tcBorders>
            <w:shd w:val="clear" w:color="auto" w:fill="DCDDDE"/>
            <w:vAlign w:val="center"/>
          </w:tcPr>
          <w:p w14:paraId="23B686BA" w14:textId="77777777" w:rsidR="00702958" w:rsidRDefault="00702958" w:rsidP="00B54C6E">
            <w:pPr>
              <w:pStyle w:val="TableParagraph"/>
              <w:spacing w:before="25"/>
              <w:ind w:left="78"/>
              <w:rPr>
                <w:i/>
                <w:sz w:val="20"/>
              </w:rPr>
            </w:pPr>
            <w:r>
              <w:rPr>
                <w:i/>
                <w:color w:val="231F20"/>
                <w:sz w:val="20"/>
              </w:rPr>
              <w:t>Escherichia coli (E. coli)</w:t>
            </w:r>
          </w:p>
        </w:tc>
      </w:tr>
      <w:tr w:rsidR="00702958" w14:paraId="6DEAEB78" w14:textId="77777777" w:rsidTr="00E66F34">
        <w:trPr>
          <w:trHeight w:val="660"/>
        </w:trPr>
        <w:tc>
          <w:tcPr>
            <w:tcW w:w="1149" w:type="dxa"/>
            <w:tcBorders>
              <w:top w:val="single" w:sz="4" w:space="0" w:color="231F20"/>
              <w:bottom w:val="single" w:sz="4" w:space="0" w:color="231F20"/>
              <w:right w:val="single" w:sz="4" w:space="0" w:color="231F20"/>
            </w:tcBorders>
            <w:vAlign w:val="center"/>
          </w:tcPr>
          <w:p w14:paraId="48E02139" w14:textId="77777777" w:rsidR="00702958" w:rsidRDefault="00702958" w:rsidP="00B54C6E">
            <w:pPr>
              <w:pStyle w:val="TableParagraph"/>
              <w:spacing w:before="64" w:line="292" w:lineRule="auto"/>
              <w:ind w:left="74"/>
              <w:rPr>
                <w:rFonts w:ascii="Times New Roman"/>
                <w:b/>
                <w:sz w:val="20"/>
              </w:rPr>
            </w:pPr>
            <w:r>
              <w:rPr>
                <w:rFonts w:ascii="Times New Roman"/>
                <w:b/>
                <w:color w:val="231F20"/>
                <w:sz w:val="20"/>
              </w:rPr>
              <w:t>Attribute Unit</w:t>
            </w:r>
          </w:p>
        </w:tc>
        <w:tc>
          <w:tcPr>
            <w:tcW w:w="6648" w:type="dxa"/>
            <w:gridSpan w:val="5"/>
            <w:tcBorders>
              <w:top w:val="single" w:sz="4" w:space="0" w:color="231F20"/>
              <w:left w:val="single" w:sz="4" w:space="0" w:color="231F20"/>
              <w:bottom w:val="single" w:sz="4" w:space="0" w:color="231F20"/>
            </w:tcBorders>
            <w:vAlign w:val="center"/>
          </w:tcPr>
          <w:p w14:paraId="5967606C" w14:textId="77777777" w:rsidR="00702958" w:rsidRDefault="00702958" w:rsidP="00B54C6E">
            <w:pPr>
              <w:pStyle w:val="TableParagraph"/>
              <w:spacing w:before="153"/>
              <w:ind w:left="78"/>
              <w:rPr>
                <w:sz w:val="20"/>
              </w:rPr>
            </w:pPr>
            <w:r>
              <w:rPr>
                <w:i/>
                <w:color w:val="231F20"/>
                <w:w w:val="95"/>
                <w:sz w:val="20"/>
              </w:rPr>
              <w:t>E. coli/</w:t>
            </w:r>
            <w:r>
              <w:rPr>
                <w:color w:val="231F20"/>
                <w:w w:val="95"/>
                <w:sz w:val="20"/>
              </w:rPr>
              <w:t xml:space="preserve">100 mL (number of </w:t>
            </w:r>
            <w:r>
              <w:rPr>
                <w:i/>
                <w:color w:val="231F20"/>
                <w:w w:val="95"/>
                <w:sz w:val="20"/>
              </w:rPr>
              <w:t xml:space="preserve">E. coli </w:t>
            </w:r>
            <w:r>
              <w:rPr>
                <w:color w:val="231F20"/>
                <w:w w:val="95"/>
                <w:sz w:val="20"/>
              </w:rPr>
              <w:t>per hundred millilitres)</w:t>
            </w:r>
          </w:p>
        </w:tc>
      </w:tr>
      <w:tr w:rsidR="00AE663D" w14:paraId="28DE2805" w14:textId="77777777" w:rsidTr="006B6562">
        <w:trPr>
          <w:trHeight w:val="620"/>
        </w:trPr>
        <w:tc>
          <w:tcPr>
            <w:tcW w:w="1149" w:type="dxa"/>
            <w:tcBorders>
              <w:top w:val="single" w:sz="4" w:space="0" w:color="231F20"/>
              <w:bottom w:val="single" w:sz="4" w:space="0" w:color="231F20"/>
              <w:right w:val="single" w:sz="4" w:space="0" w:color="231F20"/>
            </w:tcBorders>
            <w:shd w:val="clear" w:color="auto" w:fill="DCDDDE"/>
            <w:vAlign w:val="center"/>
          </w:tcPr>
          <w:p w14:paraId="68584B6F" w14:textId="77777777" w:rsidR="00702958" w:rsidRDefault="00702958" w:rsidP="00B54C6E">
            <w:pPr>
              <w:pStyle w:val="TableParagraph"/>
              <w:spacing w:before="9" w:line="280" w:lineRule="atLeast"/>
              <w:ind w:left="74"/>
              <w:rPr>
                <w:rFonts w:ascii="Times New Roman"/>
                <w:b/>
                <w:sz w:val="11"/>
              </w:rPr>
            </w:pPr>
            <w:r>
              <w:rPr>
                <w:rFonts w:ascii="Times New Roman"/>
                <w:b/>
                <w:color w:val="231F20"/>
                <w:sz w:val="20"/>
              </w:rPr>
              <w:t xml:space="preserve">Attribute </w:t>
            </w:r>
            <w:r>
              <w:rPr>
                <w:rFonts w:ascii="Times New Roman"/>
                <w:b/>
                <w:color w:val="231F20"/>
                <w:w w:val="95"/>
                <w:sz w:val="20"/>
              </w:rPr>
              <w:t>State</w:t>
            </w:r>
            <w:r>
              <w:rPr>
                <w:rFonts w:ascii="Times New Roman"/>
                <w:b/>
                <w:color w:val="231F20"/>
                <w:w w:val="95"/>
                <w:position w:val="7"/>
                <w:sz w:val="11"/>
              </w:rPr>
              <w:t>1 2</w:t>
            </w:r>
          </w:p>
        </w:tc>
        <w:tc>
          <w:tcPr>
            <w:tcW w:w="5035" w:type="dxa"/>
            <w:gridSpan w:val="4"/>
            <w:tcBorders>
              <w:top w:val="single" w:sz="4" w:space="0" w:color="231F20"/>
              <w:left w:val="single" w:sz="4" w:space="0" w:color="231F20"/>
              <w:bottom w:val="single" w:sz="4" w:space="0" w:color="231F20"/>
            </w:tcBorders>
            <w:shd w:val="clear" w:color="auto" w:fill="DCDDDE"/>
            <w:vAlign w:val="center"/>
          </w:tcPr>
          <w:p w14:paraId="1E52D04C" w14:textId="77777777" w:rsidR="00702958" w:rsidRDefault="00702958" w:rsidP="00B54C6E">
            <w:pPr>
              <w:pStyle w:val="TableParagraph"/>
              <w:spacing w:before="153"/>
              <w:ind w:left="78"/>
              <w:rPr>
                <w:rFonts w:ascii="Times New Roman"/>
                <w:b/>
                <w:sz w:val="20"/>
              </w:rPr>
            </w:pPr>
            <w:r>
              <w:rPr>
                <w:rFonts w:ascii="Times New Roman"/>
                <w:b/>
                <w:color w:val="231F20"/>
                <w:sz w:val="20"/>
              </w:rPr>
              <w:t>Numeric Attribute State</w:t>
            </w:r>
          </w:p>
        </w:tc>
        <w:tc>
          <w:tcPr>
            <w:tcW w:w="1613" w:type="dxa"/>
            <w:tcBorders>
              <w:top w:val="single" w:sz="4" w:space="0" w:color="231F20"/>
              <w:bottom w:val="single" w:sz="4" w:space="0" w:color="231F20"/>
            </w:tcBorders>
            <w:shd w:val="clear" w:color="auto" w:fill="DCDDDE"/>
            <w:vAlign w:val="center"/>
          </w:tcPr>
          <w:p w14:paraId="6A0DA775" w14:textId="77777777" w:rsidR="00702958" w:rsidRDefault="00702958" w:rsidP="00B54C6E">
            <w:pPr>
              <w:pStyle w:val="TableParagraph"/>
              <w:spacing w:before="9" w:line="280" w:lineRule="atLeast"/>
              <w:ind w:left="73" w:right="193"/>
              <w:rPr>
                <w:rFonts w:ascii="Times New Roman"/>
                <w:b/>
                <w:sz w:val="20"/>
              </w:rPr>
            </w:pPr>
            <w:r>
              <w:rPr>
                <w:rFonts w:ascii="Times New Roman"/>
                <w:b/>
                <w:color w:val="231F20"/>
                <w:w w:val="95"/>
                <w:sz w:val="20"/>
              </w:rPr>
              <w:t xml:space="preserve">Narrative Attribute </w:t>
            </w:r>
            <w:r>
              <w:rPr>
                <w:rFonts w:ascii="Times New Roman"/>
                <w:b/>
                <w:color w:val="231F20"/>
                <w:sz w:val="20"/>
              </w:rPr>
              <w:t>State</w:t>
            </w:r>
          </w:p>
        </w:tc>
      </w:tr>
      <w:tr w:rsidR="00702958" w14:paraId="66B2BD9E" w14:textId="77777777" w:rsidTr="006B6562">
        <w:trPr>
          <w:trHeight w:val="1700"/>
        </w:trPr>
        <w:tc>
          <w:tcPr>
            <w:tcW w:w="1149" w:type="dxa"/>
            <w:tcBorders>
              <w:top w:val="single" w:sz="4" w:space="0" w:color="231F20"/>
              <w:bottom w:val="single" w:sz="4" w:space="0" w:color="231F20"/>
            </w:tcBorders>
            <w:shd w:val="clear" w:color="auto" w:fill="DCDDDE"/>
            <w:vAlign w:val="center"/>
          </w:tcPr>
          <w:p w14:paraId="6DB20C99" w14:textId="77777777" w:rsidR="00702958" w:rsidRDefault="00702958" w:rsidP="00B54C6E">
            <w:pPr>
              <w:pStyle w:val="TableParagraph"/>
              <w:rPr>
                <w:rFonts w:ascii="Times New Roman"/>
                <w:sz w:val="18"/>
              </w:rPr>
            </w:pPr>
          </w:p>
        </w:tc>
        <w:tc>
          <w:tcPr>
            <w:tcW w:w="1219" w:type="dxa"/>
            <w:tcBorders>
              <w:top w:val="single" w:sz="4" w:space="0" w:color="231F20"/>
              <w:bottom w:val="single" w:sz="4" w:space="0" w:color="231F20"/>
            </w:tcBorders>
            <w:shd w:val="clear" w:color="auto" w:fill="DCDDDE"/>
            <w:vAlign w:val="center"/>
          </w:tcPr>
          <w:p w14:paraId="629A400B" w14:textId="77777777" w:rsidR="00702958" w:rsidRDefault="00702958" w:rsidP="00FE4F59">
            <w:pPr>
              <w:pStyle w:val="TableParagraph"/>
              <w:ind w:left="74"/>
              <w:rPr>
                <w:sz w:val="20"/>
              </w:rPr>
            </w:pPr>
            <w:r>
              <w:rPr>
                <w:color w:val="231F20"/>
                <w:w w:val="90"/>
                <w:sz w:val="20"/>
              </w:rPr>
              <w:t>%</w:t>
            </w:r>
            <w:r w:rsidR="00B54C6E">
              <w:rPr>
                <w:color w:val="231F20"/>
                <w:w w:val="90"/>
                <w:sz w:val="20"/>
              </w:rPr>
              <w:t xml:space="preserve"> </w:t>
            </w:r>
            <w:r>
              <w:rPr>
                <w:color w:val="231F20"/>
                <w:w w:val="90"/>
                <w:sz w:val="20"/>
              </w:rPr>
              <w:t xml:space="preserve">exceedances </w:t>
            </w:r>
            <w:r>
              <w:rPr>
                <w:color w:val="231F20"/>
                <w:sz w:val="20"/>
              </w:rPr>
              <w:t xml:space="preserve">over 540 </w:t>
            </w:r>
            <w:r>
              <w:rPr>
                <w:color w:val="231F20"/>
                <w:w w:val="95"/>
                <w:sz w:val="20"/>
              </w:rPr>
              <w:t>cfu/100 mL</w:t>
            </w:r>
          </w:p>
        </w:tc>
        <w:tc>
          <w:tcPr>
            <w:tcW w:w="1219" w:type="dxa"/>
            <w:tcBorders>
              <w:top w:val="single" w:sz="4" w:space="0" w:color="231F20"/>
              <w:bottom w:val="single" w:sz="4" w:space="0" w:color="231F20"/>
            </w:tcBorders>
            <w:shd w:val="clear" w:color="auto" w:fill="DCDDDE"/>
            <w:vAlign w:val="center"/>
          </w:tcPr>
          <w:p w14:paraId="5297C694" w14:textId="77777777" w:rsidR="00702958" w:rsidRDefault="00702958" w:rsidP="00FE4F59">
            <w:pPr>
              <w:pStyle w:val="TableParagraph"/>
              <w:ind w:left="73"/>
              <w:rPr>
                <w:sz w:val="20"/>
              </w:rPr>
            </w:pPr>
            <w:r>
              <w:rPr>
                <w:color w:val="231F20"/>
                <w:w w:val="90"/>
                <w:sz w:val="20"/>
              </w:rPr>
              <w:t>%</w:t>
            </w:r>
            <w:r w:rsidR="00B54C6E">
              <w:rPr>
                <w:color w:val="231F20"/>
                <w:w w:val="90"/>
                <w:sz w:val="20"/>
              </w:rPr>
              <w:t xml:space="preserve"> </w:t>
            </w:r>
            <w:r>
              <w:rPr>
                <w:color w:val="231F20"/>
                <w:w w:val="90"/>
                <w:sz w:val="20"/>
              </w:rPr>
              <w:t xml:space="preserve">exceedences </w:t>
            </w:r>
            <w:r>
              <w:rPr>
                <w:color w:val="231F20"/>
                <w:sz w:val="20"/>
              </w:rPr>
              <w:t xml:space="preserve">over 260 </w:t>
            </w:r>
            <w:r>
              <w:rPr>
                <w:color w:val="231F20"/>
                <w:w w:val="95"/>
                <w:sz w:val="20"/>
              </w:rPr>
              <w:t>cfu/100 mL</w:t>
            </w:r>
          </w:p>
        </w:tc>
        <w:tc>
          <w:tcPr>
            <w:tcW w:w="1293" w:type="dxa"/>
            <w:tcBorders>
              <w:top w:val="single" w:sz="4" w:space="0" w:color="231F20"/>
              <w:bottom w:val="single" w:sz="4" w:space="0" w:color="231F20"/>
            </w:tcBorders>
            <w:shd w:val="clear" w:color="auto" w:fill="DCDDDE"/>
            <w:vAlign w:val="center"/>
          </w:tcPr>
          <w:p w14:paraId="23A9FAC7" w14:textId="77777777" w:rsidR="00702958" w:rsidRDefault="00702958" w:rsidP="00B54C6E">
            <w:pPr>
              <w:pStyle w:val="TableParagraph"/>
              <w:spacing w:line="259" w:lineRule="auto"/>
              <w:ind w:left="73"/>
              <w:rPr>
                <w:sz w:val="19"/>
              </w:rPr>
            </w:pPr>
            <w:r>
              <w:rPr>
                <w:color w:val="231F20"/>
                <w:sz w:val="20"/>
              </w:rPr>
              <w:t xml:space="preserve">Median </w:t>
            </w:r>
            <w:r>
              <w:rPr>
                <w:color w:val="231F20"/>
                <w:w w:val="90"/>
                <w:sz w:val="19"/>
              </w:rPr>
              <w:t xml:space="preserve">concentration </w:t>
            </w:r>
            <w:r>
              <w:rPr>
                <w:color w:val="231F20"/>
                <w:w w:val="95"/>
                <w:sz w:val="19"/>
              </w:rPr>
              <w:t>(cfu/100 mL)</w:t>
            </w:r>
          </w:p>
        </w:tc>
        <w:tc>
          <w:tcPr>
            <w:tcW w:w="1304" w:type="dxa"/>
            <w:tcBorders>
              <w:top w:val="single" w:sz="4" w:space="0" w:color="231F20"/>
              <w:bottom w:val="single" w:sz="4" w:space="0" w:color="231F20"/>
            </w:tcBorders>
            <w:shd w:val="clear" w:color="auto" w:fill="DCDDDE"/>
            <w:vAlign w:val="center"/>
          </w:tcPr>
          <w:p w14:paraId="4B06640E" w14:textId="77777777" w:rsidR="00702958" w:rsidRDefault="00702958" w:rsidP="00B54C6E">
            <w:pPr>
              <w:pStyle w:val="TableParagraph"/>
              <w:spacing w:line="249" w:lineRule="auto"/>
              <w:ind w:left="74" w:right="133"/>
              <w:rPr>
                <w:sz w:val="20"/>
              </w:rPr>
            </w:pPr>
            <w:r>
              <w:rPr>
                <w:color w:val="231F20"/>
                <w:sz w:val="20"/>
              </w:rPr>
              <w:t xml:space="preserve">95th </w:t>
            </w:r>
            <w:r>
              <w:rPr>
                <w:color w:val="231F20"/>
                <w:w w:val="90"/>
                <w:sz w:val="20"/>
              </w:rPr>
              <w:t>percentile of</w:t>
            </w:r>
            <w:r w:rsidR="00B54C6E">
              <w:rPr>
                <w:color w:val="231F20"/>
                <w:w w:val="90"/>
                <w:sz w:val="20"/>
              </w:rPr>
              <w:t xml:space="preserve"> </w:t>
            </w:r>
            <w:r>
              <w:rPr>
                <w:i/>
                <w:color w:val="231F20"/>
                <w:sz w:val="20"/>
              </w:rPr>
              <w:t>E. coli</w:t>
            </w:r>
            <w:r>
              <w:rPr>
                <w:color w:val="231F20"/>
                <w:sz w:val="20"/>
              </w:rPr>
              <w:t>/100 mL</w:t>
            </w:r>
          </w:p>
        </w:tc>
        <w:tc>
          <w:tcPr>
            <w:tcW w:w="1613" w:type="dxa"/>
            <w:tcBorders>
              <w:top w:val="single" w:sz="4" w:space="0" w:color="231F20"/>
              <w:bottom w:val="single" w:sz="4" w:space="0" w:color="231F20"/>
              <w:right w:val="single" w:sz="4" w:space="0" w:color="231F20"/>
            </w:tcBorders>
            <w:shd w:val="clear" w:color="auto" w:fill="DCDDDE"/>
            <w:vAlign w:val="center"/>
          </w:tcPr>
          <w:p w14:paraId="4F395D07" w14:textId="77777777" w:rsidR="00702958" w:rsidRDefault="00702958" w:rsidP="00FE4F59">
            <w:pPr>
              <w:pStyle w:val="TableParagraph"/>
              <w:spacing w:line="249" w:lineRule="auto"/>
              <w:ind w:left="73" w:right="199"/>
              <w:rPr>
                <w:sz w:val="20"/>
              </w:rPr>
            </w:pPr>
            <w:r>
              <w:rPr>
                <w:color w:val="231F20"/>
                <w:w w:val="95"/>
                <w:sz w:val="20"/>
              </w:rPr>
              <w:t>Description of risk of Campylobacter infection (based on</w:t>
            </w:r>
            <w:r w:rsidR="00B54C6E">
              <w:rPr>
                <w:color w:val="231F20"/>
                <w:w w:val="95"/>
                <w:sz w:val="20"/>
              </w:rPr>
              <w:t xml:space="preserve"> </w:t>
            </w:r>
            <w:r>
              <w:rPr>
                <w:i/>
                <w:color w:val="231F20"/>
                <w:w w:val="95"/>
                <w:sz w:val="20"/>
              </w:rPr>
              <w:t xml:space="preserve">E. coli </w:t>
            </w:r>
            <w:r>
              <w:rPr>
                <w:color w:val="231F20"/>
                <w:w w:val="95"/>
                <w:sz w:val="20"/>
              </w:rPr>
              <w:t>indicator)</w:t>
            </w:r>
          </w:p>
        </w:tc>
      </w:tr>
      <w:tr w:rsidR="00702958" w14:paraId="30D2ECEB" w14:textId="77777777" w:rsidTr="00E66F34">
        <w:trPr>
          <w:trHeight w:val="2300"/>
        </w:trPr>
        <w:tc>
          <w:tcPr>
            <w:tcW w:w="1149" w:type="dxa"/>
            <w:tcBorders>
              <w:top w:val="single" w:sz="4" w:space="0" w:color="231F20"/>
              <w:bottom w:val="single" w:sz="4" w:space="0" w:color="231F20"/>
              <w:right w:val="single" w:sz="4" w:space="0" w:color="231F20"/>
            </w:tcBorders>
            <w:vAlign w:val="center"/>
          </w:tcPr>
          <w:p w14:paraId="72213BB3" w14:textId="77777777" w:rsidR="00702958" w:rsidRDefault="00702958" w:rsidP="00B54C6E">
            <w:pPr>
              <w:pStyle w:val="TableParagraph"/>
              <w:spacing w:before="166"/>
              <w:ind w:right="1"/>
              <w:jc w:val="center"/>
              <w:rPr>
                <w:rFonts w:ascii="Times New Roman"/>
                <w:b/>
                <w:sz w:val="20"/>
              </w:rPr>
            </w:pPr>
            <w:r>
              <w:rPr>
                <w:rFonts w:ascii="Times New Roman"/>
                <w:b/>
                <w:color w:val="231F20"/>
                <w:w w:val="97"/>
                <w:sz w:val="20"/>
              </w:rPr>
              <w:t>A</w:t>
            </w:r>
          </w:p>
          <w:p w14:paraId="7FFC320B" w14:textId="77777777" w:rsidR="00702958" w:rsidRDefault="00702958" w:rsidP="00B54C6E">
            <w:pPr>
              <w:pStyle w:val="TableParagraph"/>
              <w:spacing w:before="37"/>
              <w:ind w:left="119" w:right="120"/>
              <w:jc w:val="center"/>
              <w:rPr>
                <w:rFonts w:ascii="Times New Roman"/>
                <w:b/>
                <w:sz w:val="20"/>
              </w:rPr>
            </w:pPr>
            <w:r>
              <w:rPr>
                <w:rFonts w:ascii="Times New Roman"/>
                <w:b/>
                <w:color w:val="231F20"/>
                <w:sz w:val="20"/>
              </w:rPr>
              <w:t>(Blue)</w:t>
            </w:r>
          </w:p>
        </w:tc>
        <w:tc>
          <w:tcPr>
            <w:tcW w:w="1219" w:type="dxa"/>
            <w:tcBorders>
              <w:top w:val="single" w:sz="4" w:space="0" w:color="231F20"/>
              <w:left w:val="single" w:sz="4" w:space="0" w:color="231F20"/>
              <w:bottom w:val="single" w:sz="4" w:space="0" w:color="231F20"/>
              <w:right w:val="single" w:sz="4" w:space="0" w:color="231F20"/>
            </w:tcBorders>
            <w:vAlign w:val="center"/>
          </w:tcPr>
          <w:p w14:paraId="0918BF1E" w14:textId="77777777" w:rsidR="00702958" w:rsidRDefault="00702958" w:rsidP="00B54C6E">
            <w:pPr>
              <w:pStyle w:val="TableParagraph"/>
              <w:ind w:left="78"/>
              <w:rPr>
                <w:sz w:val="20"/>
              </w:rPr>
            </w:pPr>
            <w:r>
              <w:rPr>
                <w:color w:val="231F20"/>
                <w:sz w:val="20"/>
              </w:rPr>
              <w:t>&lt;5%</w:t>
            </w:r>
          </w:p>
        </w:tc>
        <w:tc>
          <w:tcPr>
            <w:tcW w:w="1219" w:type="dxa"/>
            <w:tcBorders>
              <w:top w:val="single" w:sz="4" w:space="0" w:color="231F20"/>
              <w:left w:val="single" w:sz="4" w:space="0" w:color="231F20"/>
              <w:bottom w:val="single" w:sz="4" w:space="0" w:color="231F20"/>
              <w:right w:val="single" w:sz="4" w:space="0" w:color="231F20"/>
            </w:tcBorders>
            <w:vAlign w:val="center"/>
          </w:tcPr>
          <w:p w14:paraId="1568A3C3" w14:textId="77777777" w:rsidR="00702958" w:rsidRDefault="00702958" w:rsidP="00B54C6E">
            <w:pPr>
              <w:pStyle w:val="TableParagraph"/>
              <w:ind w:left="77"/>
              <w:rPr>
                <w:sz w:val="20"/>
              </w:rPr>
            </w:pPr>
            <w:r>
              <w:rPr>
                <w:color w:val="231F20"/>
                <w:sz w:val="20"/>
              </w:rPr>
              <w:t>&lt;20%</w:t>
            </w:r>
          </w:p>
        </w:tc>
        <w:tc>
          <w:tcPr>
            <w:tcW w:w="1293" w:type="dxa"/>
            <w:tcBorders>
              <w:top w:val="single" w:sz="4" w:space="0" w:color="231F20"/>
              <w:left w:val="single" w:sz="4" w:space="0" w:color="231F20"/>
              <w:bottom w:val="single" w:sz="4" w:space="0" w:color="231F20"/>
              <w:right w:val="single" w:sz="4" w:space="0" w:color="231F20"/>
            </w:tcBorders>
            <w:vAlign w:val="center"/>
          </w:tcPr>
          <w:p w14:paraId="6A5F3CB7" w14:textId="77777777" w:rsidR="00702958" w:rsidRDefault="00702958" w:rsidP="00B54C6E">
            <w:pPr>
              <w:pStyle w:val="TableParagraph"/>
              <w:ind w:left="77"/>
              <w:rPr>
                <w:sz w:val="20"/>
              </w:rPr>
            </w:pPr>
            <w:r>
              <w:rPr>
                <w:color w:val="231F20"/>
                <w:sz w:val="20"/>
              </w:rPr>
              <w:t>≤130</w:t>
            </w:r>
          </w:p>
        </w:tc>
        <w:tc>
          <w:tcPr>
            <w:tcW w:w="1304" w:type="dxa"/>
            <w:tcBorders>
              <w:top w:val="single" w:sz="4" w:space="0" w:color="231F20"/>
              <w:left w:val="single" w:sz="4" w:space="0" w:color="231F20"/>
              <w:bottom w:val="single" w:sz="4" w:space="0" w:color="231F20"/>
            </w:tcBorders>
            <w:vAlign w:val="center"/>
          </w:tcPr>
          <w:p w14:paraId="62A92041" w14:textId="77777777" w:rsidR="00702958" w:rsidRDefault="00702958" w:rsidP="00B54C6E">
            <w:pPr>
              <w:pStyle w:val="TableParagraph"/>
              <w:ind w:left="78"/>
              <w:rPr>
                <w:sz w:val="20"/>
              </w:rPr>
            </w:pPr>
            <w:r>
              <w:rPr>
                <w:color w:val="231F20"/>
                <w:sz w:val="20"/>
              </w:rPr>
              <w:t>≤540</w:t>
            </w:r>
          </w:p>
        </w:tc>
        <w:tc>
          <w:tcPr>
            <w:tcW w:w="1613" w:type="dxa"/>
            <w:tcBorders>
              <w:top w:val="single" w:sz="4" w:space="0" w:color="231F20"/>
              <w:bottom w:val="single" w:sz="4" w:space="0" w:color="231F20"/>
            </w:tcBorders>
            <w:vAlign w:val="center"/>
          </w:tcPr>
          <w:p w14:paraId="0D474D69" w14:textId="77777777" w:rsidR="00B54C6E" w:rsidRDefault="00702958" w:rsidP="00FE4F59">
            <w:pPr>
              <w:pStyle w:val="TableParagraph"/>
              <w:spacing w:line="249" w:lineRule="auto"/>
              <w:ind w:left="73" w:right="263"/>
              <w:rPr>
                <w:color w:val="231F20"/>
                <w:w w:val="95"/>
                <w:sz w:val="20"/>
              </w:rPr>
            </w:pPr>
            <w:r>
              <w:rPr>
                <w:color w:val="231F20"/>
                <w:spacing w:val="-3"/>
                <w:w w:val="95"/>
                <w:sz w:val="20"/>
              </w:rPr>
              <w:t>For</w:t>
            </w:r>
            <w:r>
              <w:rPr>
                <w:color w:val="231F20"/>
                <w:spacing w:val="-19"/>
                <w:w w:val="95"/>
                <w:sz w:val="20"/>
              </w:rPr>
              <w:t xml:space="preserve"> </w:t>
            </w:r>
            <w:r>
              <w:rPr>
                <w:color w:val="231F20"/>
                <w:w w:val="95"/>
                <w:sz w:val="20"/>
              </w:rPr>
              <w:t>at</w:t>
            </w:r>
            <w:r>
              <w:rPr>
                <w:color w:val="231F20"/>
                <w:spacing w:val="-19"/>
                <w:w w:val="95"/>
                <w:sz w:val="20"/>
              </w:rPr>
              <w:t xml:space="preserve"> </w:t>
            </w:r>
            <w:r>
              <w:rPr>
                <w:color w:val="231F20"/>
                <w:w w:val="95"/>
                <w:sz w:val="20"/>
              </w:rPr>
              <w:t>least</w:t>
            </w:r>
            <w:r>
              <w:rPr>
                <w:color w:val="231F20"/>
                <w:spacing w:val="-19"/>
                <w:w w:val="95"/>
                <w:sz w:val="20"/>
              </w:rPr>
              <w:t xml:space="preserve"> </w:t>
            </w:r>
            <w:r>
              <w:rPr>
                <w:color w:val="231F20"/>
                <w:w w:val="95"/>
                <w:sz w:val="20"/>
              </w:rPr>
              <w:t>half</w:t>
            </w:r>
            <w:r>
              <w:rPr>
                <w:color w:val="231F20"/>
                <w:spacing w:val="-19"/>
                <w:w w:val="95"/>
                <w:sz w:val="20"/>
              </w:rPr>
              <w:t xml:space="preserve"> </w:t>
            </w:r>
            <w:r>
              <w:rPr>
                <w:color w:val="231F20"/>
                <w:w w:val="95"/>
                <w:sz w:val="20"/>
              </w:rPr>
              <w:t xml:space="preserve">the </w:t>
            </w:r>
            <w:r>
              <w:rPr>
                <w:color w:val="231F20"/>
                <w:w w:val="90"/>
                <w:sz w:val="20"/>
              </w:rPr>
              <w:t xml:space="preserve">time, the estimated </w:t>
            </w:r>
            <w:r>
              <w:rPr>
                <w:color w:val="231F20"/>
                <w:sz w:val="20"/>
              </w:rPr>
              <w:t>risk</w:t>
            </w:r>
            <w:r>
              <w:rPr>
                <w:color w:val="231F20"/>
                <w:spacing w:val="-23"/>
                <w:sz w:val="20"/>
              </w:rPr>
              <w:t xml:space="preserve"> </w:t>
            </w:r>
            <w:r>
              <w:rPr>
                <w:color w:val="231F20"/>
                <w:sz w:val="20"/>
              </w:rPr>
              <w:t>is</w:t>
            </w:r>
            <w:r>
              <w:rPr>
                <w:color w:val="231F20"/>
                <w:spacing w:val="-23"/>
                <w:sz w:val="20"/>
              </w:rPr>
              <w:t xml:space="preserve"> </w:t>
            </w:r>
            <w:r>
              <w:rPr>
                <w:color w:val="231F20"/>
                <w:sz w:val="20"/>
              </w:rPr>
              <w:t>&lt;1</w:t>
            </w:r>
            <w:r>
              <w:rPr>
                <w:color w:val="231F20"/>
                <w:spacing w:val="-23"/>
                <w:sz w:val="20"/>
              </w:rPr>
              <w:t xml:space="preserve"> </w:t>
            </w:r>
            <w:r>
              <w:rPr>
                <w:color w:val="231F20"/>
                <w:sz w:val="20"/>
              </w:rPr>
              <w:t>in</w:t>
            </w:r>
            <w:r>
              <w:rPr>
                <w:color w:val="231F20"/>
                <w:spacing w:val="-23"/>
                <w:sz w:val="20"/>
              </w:rPr>
              <w:t xml:space="preserve"> </w:t>
            </w:r>
            <w:r>
              <w:rPr>
                <w:color w:val="231F20"/>
                <w:sz w:val="20"/>
              </w:rPr>
              <w:t>1000</w:t>
            </w:r>
            <w:r w:rsidR="00B54C6E">
              <w:rPr>
                <w:color w:val="231F20"/>
                <w:sz w:val="20"/>
              </w:rPr>
              <w:t xml:space="preserve"> </w:t>
            </w:r>
            <w:r>
              <w:rPr>
                <w:color w:val="231F20"/>
                <w:w w:val="95"/>
                <w:sz w:val="20"/>
              </w:rPr>
              <w:t>(0.1% risk)</w:t>
            </w:r>
          </w:p>
          <w:p w14:paraId="037168ED" w14:textId="77777777" w:rsidR="00702958" w:rsidRDefault="00702958" w:rsidP="00FE4F59">
            <w:pPr>
              <w:pStyle w:val="TableParagraph"/>
              <w:spacing w:line="249" w:lineRule="auto"/>
              <w:ind w:left="73" w:right="263"/>
              <w:rPr>
                <w:sz w:val="20"/>
              </w:rPr>
            </w:pPr>
            <w:r>
              <w:rPr>
                <w:color w:val="231F20"/>
                <w:w w:val="90"/>
                <w:sz w:val="20"/>
              </w:rPr>
              <w:t xml:space="preserve">The predicted average </w:t>
            </w:r>
            <w:r>
              <w:rPr>
                <w:color w:val="231F20"/>
                <w:w w:val="95"/>
                <w:sz w:val="20"/>
              </w:rPr>
              <w:t>infection risk is 1%*</w:t>
            </w:r>
          </w:p>
        </w:tc>
      </w:tr>
      <w:tr w:rsidR="00702958" w14:paraId="53F7D547" w14:textId="77777777" w:rsidTr="00E66F34">
        <w:trPr>
          <w:trHeight w:val="2160"/>
        </w:trPr>
        <w:tc>
          <w:tcPr>
            <w:tcW w:w="1149" w:type="dxa"/>
            <w:tcBorders>
              <w:top w:val="single" w:sz="4" w:space="0" w:color="231F20"/>
              <w:bottom w:val="single" w:sz="4" w:space="0" w:color="231F20"/>
              <w:right w:val="single" w:sz="4" w:space="0" w:color="231F20"/>
            </w:tcBorders>
            <w:vAlign w:val="center"/>
          </w:tcPr>
          <w:p w14:paraId="26D7BC47" w14:textId="77777777" w:rsidR="00702958" w:rsidRDefault="00702958" w:rsidP="00B54C6E">
            <w:pPr>
              <w:pStyle w:val="TableParagraph"/>
              <w:ind w:right="1"/>
              <w:jc w:val="center"/>
              <w:rPr>
                <w:rFonts w:ascii="Times New Roman"/>
                <w:b/>
                <w:sz w:val="20"/>
              </w:rPr>
            </w:pPr>
            <w:r>
              <w:rPr>
                <w:rFonts w:ascii="Times New Roman"/>
                <w:b/>
                <w:color w:val="231F20"/>
                <w:w w:val="95"/>
                <w:sz w:val="20"/>
              </w:rPr>
              <w:t>B</w:t>
            </w:r>
          </w:p>
          <w:p w14:paraId="3D5EBF84" w14:textId="77777777" w:rsidR="00702958" w:rsidRDefault="00702958" w:rsidP="00B54C6E">
            <w:pPr>
              <w:pStyle w:val="TableParagraph"/>
              <w:spacing w:before="37"/>
              <w:ind w:left="119" w:right="120"/>
              <w:jc w:val="center"/>
              <w:rPr>
                <w:rFonts w:ascii="Times New Roman"/>
                <w:b/>
                <w:sz w:val="20"/>
              </w:rPr>
            </w:pPr>
            <w:r>
              <w:rPr>
                <w:rFonts w:ascii="Times New Roman"/>
                <w:b/>
                <w:color w:val="231F20"/>
                <w:sz w:val="20"/>
              </w:rPr>
              <w:t>(Green)</w:t>
            </w:r>
          </w:p>
        </w:tc>
        <w:tc>
          <w:tcPr>
            <w:tcW w:w="1219" w:type="dxa"/>
            <w:tcBorders>
              <w:top w:val="single" w:sz="4" w:space="0" w:color="231F20"/>
              <w:left w:val="single" w:sz="4" w:space="0" w:color="231F20"/>
              <w:bottom w:val="single" w:sz="4" w:space="0" w:color="231F20"/>
              <w:right w:val="single" w:sz="4" w:space="0" w:color="231F20"/>
            </w:tcBorders>
            <w:vAlign w:val="center"/>
          </w:tcPr>
          <w:p w14:paraId="76E60EFB" w14:textId="77777777" w:rsidR="00702958" w:rsidRDefault="00702958" w:rsidP="00B54C6E">
            <w:pPr>
              <w:pStyle w:val="TableParagraph"/>
              <w:ind w:left="78"/>
              <w:rPr>
                <w:sz w:val="20"/>
              </w:rPr>
            </w:pPr>
            <w:r>
              <w:rPr>
                <w:color w:val="231F20"/>
                <w:sz w:val="20"/>
              </w:rPr>
              <w:t>5-10%</w:t>
            </w:r>
          </w:p>
        </w:tc>
        <w:tc>
          <w:tcPr>
            <w:tcW w:w="1219" w:type="dxa"/>
            <w:tcBorders>
              <w:top w:val="single" w:sz="4" w:space="0" w:color="231F20"/>
              <w:left w:val="single" w:sz="4" w:space="0" w:color="231F20"/>
              <w:bottom w:val="single" w:sz="4" w:space="0" w:color="231F20"/>
              <w:right w:val="single" w:sz="4" w:space="0" w:color="231F20"/>
            </w:tcBorders>
            <w:vAlign w:val="center"/>
          </w:tcPr>
          <w:p w14:paraId="72D99FD4" w14:textId="77777777" w:rsidR="00702958" w:rsidRDefault="00702958" w:rsidP="00B54C6E">
            <w:pPr>
              <w:pStyle w:val="TableParagraph"/>
              <w:ind w:left="77"/>
              <w:rPr>
                <w:sz w:val="20"/>
              </w:rPr>
            </w:pPr>
            <w:r>
              <w:rPr>
                <w:color w:val="231F20"/>
                <w:sz w:val="20"/>
              </w:rPr>
              <w:t>20-30%</w:t>
            </w:r>
          </w:p>
        </w:tc>
        <w:tc>
          <w:tcPr>
            <w:tcW w:w="1293" w:type="dxa"/>
            <w:tcBorders>
              <w:top w:val="single" w:sz="4" w:space="0" w:color="231F20"/>
              <w:left w:val="single" w:sz="4" w:space="0" w:color="231F20"/>
              <w:bottom w:val="single" w:sz="4" w:space="0" w:color="231F20"/>
              <w:right w:val="single" w:sz="4" w:space="0" w:color="231F20"/>
            </w:tcBorders>
            <w:vAlign w:val="center"/>
          </w:tcPr>
          <w:p w14:paraId="21D57065" w14:textId="77777777" w:rsidR="00702958" w:rsidRDefault="00702958" w:rsidP="00B54C6E">
            <w:pPr>
              <w:pStyle w:val="TableParagraph"/>
              <w:ind w:left="77"/>
              <w:rPr>
                <w:sz w:val="20"/>
              </w:rPr>
            </w:pPr>
            <w:r>
              <w:rPr>
                <w:color w:val="231F20"/>
                <w:sz w:val="20"/>
              </w:rPr>
              <w:t>≤130</w:t>
            </w:r>
          </w:p>
        </w:tc>
        <w:tc>
          <w:tcPr>
            <w:tcW w:w="1304" w:type="dxa"/>
            <w:tcBorders>
              <w:top w:val="single" w:sz="4" w:space="0" w:color="231F20"/>
              <w:left w:val="single" w:sz="4" w:space="0" w:color="231F20"/>
              <w:bottom w:val="single" w:sz="4" w:space="0" w:color="231F20"/>
            </w:tcBorders>
            <w:vAlign w:val="center"/>
          </w:tcPr>
          <w:p w14:paraId="14458738" w14:textId="77777777" w:rsidR="00702958" w:rsidRDefault="00702958" w:rsidP="00B54C6E">
            <w:pPr>
              <w:pStyle w:val="TableParagraph"/>
              <w:ind w:left="78"/>
              <w:rPr>
                <w:sz w:val="20"/>
              </w:rPr>
            </w:pPr>
            <w:r>
              <w:rPr>
                <w:color w:val="231F20"/>
                <w:sz w:val="20"/>
              </w:rPr>
              <w:t>≤1000</w:t>
            </w:r>
          </w:p>
        </w:tc>
        <w:tc>
          <w:tcPr>
            <w:tcW w:w="1613" w:type="dxa"/>
            <w:tcBorders>
              <w:top w:val="single" w:sz="4" w:space="0" w:color="231F20"/>
              <w:bottom w:val="single" w:sz="4" w:space="0" w:color="231F20"/>
            </w:tcBorders>
            <w:vAlign w:val="center"/>
          </w:tcPr>
          <w:p w14:paraId="4A612F7B" w14:textId="77777777" w:rsidR="00702958" w:rsidRDefault="00702958" w:rsidP="00FE4F59">
            <w:pPr>
              <w:pStyle w:val="TableParagraph"/>
              <w:spacing w:before="143" w:line="249" w:lineRule="auto"/>
              <w:ind w:left="73" w:right="263"/>
              <w:rPr>
                <w:sz w:val="20"/>
              </w:rPr>
            </w:pPr>
            <w:r>
              <w:rPr>
                <w:color w:val="231F20"/>
                <w:spacing w:val="-3"/>
                <w:w w:val="95"/>
                <w:sz w:val="20"/>
              </w:rPr>
              <w:t>For</w:t>
            </w:r>
            <w:r>
              <w:rPr>
                <w:color w:val="231F20"/>
                <w:spacing w:val="-19"/>
                <w:w w:val="95"/>
                <w:sz w:val="20"/>
              </w:rPr>
              <w:t xml:space="preserve"> </w:t>
            </w:r>
            <w:r>
              <w:rPr>
                <w:color w:val="231F20"/>
                <w:w w:val="95"/>
                <w:sz w:val="20"/>
              </w:rPr>
              <w:t>at</w:t>
            </w:r>
            <w:r>
              <w:rPr>
                <w:color w:val="231F20"/>
                <w:spacing w:val="-19"/>
                <w:w w:val="95"/>
                <w:sz w:val="20"/>
              </w:rPr>
              <w:t xml:space="preserve"> </w:t>
            </w:r>
            <w:r>
              <w:rPr>
                <w:color w:val="231F20"/>
                <w:w w:val="95"/>
                <w:sz w:val="20"/>
              </w:rPr>
              <w:t>least</w:t>
            </w:r>
            <w:r>
              <w:rPr>
                <w:color w:val="231F20"/>
                <w:spacing w:val="-19"/>
                <w:w w:val="95"/>
                <w:sz w:val="20"/>
              </w:rPr>
              <w:t xml:space="preserve"> </w:t>
            </w:r>
            <w:r>
              <w:rPr>
                <w:color w:val="231F20"/>
                <w:w w:val="95"/>
                <w:sz w:val="20"/>
              </w:rPr>
              <w:t>half</w:t>
            </w:r>
            <w:r>
              <w:rPr>
                <w:color w:val="231F20"/>
                <w:spacing w:val="-19"/>
                <w:w w:val="95"/>
                <w:sz w:val="20"/>
              </w:rPr>
              <w:t xml:space="preserve"> </w:t>
            </w:r>
            <w:r>
              <w:rPr>
                <w:color w:val="231F20"/>
                <w:w w:val="95"/>
                <w:sz w:val="20"/>
              </w:rPr>
              <w:t xml:space="preserve">the </w:t>
            </w:r>
            <w:r>
              <w:rPr>
                <w:color w:val="231F20"/>
                <w:w w:val="90"/>
                <w:sz w:val="20"/>
              </w:rPr>
              <w:t xml:space="preserve">time, the estimated </w:t>
            </w:r>
            <w:r>
              <w:rPr>
                <w:color w:val="231F20"/>
                <w:sz w:val="20"/>
              </w:rPr>
              <w:t>risk</w:t>
            </w:r>
            <w:r>
              <w:rPr>
                <w:color w:val="231F20"/>
                <w:spacing w:val="-23"/>
                <w:sz w:val="20"/>
              </w:rPr>
              <w:t xml:space="preserve"> </w:t>
            </w:r>
            <w:r>
              <w:rPr>
                <w:color w:val="231F20"/>
                <w:sz w:val="20"/>
              </w:rPr>
              <w:t>is</w:t>
            </w:r>
            <w:r>
              <w:rPr>
                <w:color w:val="231F20"/>
                <w:spacing w:val="-23"/>
                <w:sz w:val="20"/>
              </w:rPr>
              <w:t xml:space="preserve"> </w:t>
            </w:r>
            <w:r>
              <w:rPr>
                <w:color w:val="231F20"/>
                <w:sz w:val="20"/>
              </w:rPr>
              <w:t>&lt;1</w:t>
            </w:r>
            <w:r>
              <w:rPr>
                <w:color w:val="231F20"/>
                <w:spacing w:val="-23"/>
                <w:sz w:val="20"/>
              </w:rPr>
              <w:t xml:space="preserve"> </w:t>
            </w:r>
            <w:r>
              <w:rPr>
                <w:color w:val="231F20"/>
                <w:sz w:val="20"/>
              </w:rPr>
              <w:t>in</w:t>
            </w:r>
            <w:r>
              <w:rPr>
                <w:color w:val="231F20"/>
                <w:spacing w:val="-23"/>
                <w:sz w:val="20"/>
              </w:rPr>
              <w:t xml:space="preserve"> </w:t>
            </w:r>
            <w:r>
              <w:rPr>
                <w:color w:val="231F20"/>
                <w:sz w:val="20"/>
              </w:rPr>
              <w:t>1000</w:t>
            </w:r>
            <w:r w:rsidR="00B54C6E">
              <w:rPr>
                <w:color w:val="231F20"/>
                <w:w w:val="95"/>
                <w:sz w:val="20"/>
              </w:rPr>
              <w:t xml:space="preserve"> </w:t>
            </w:r>
            <w:r>
              <w:rPr>
                <w:color w:val="231F20"/>
                <w:w w:val="95"/>
                <w:sz w:val="20"/>
              </w:rPr>
              <w:t>(0.1% risk)</w:t>
            </w:r>
          </w:p>
          <w:p w14:paraId="0D676E1C" w14:textId="77777777" w:rsidR="00702958" w:rsidRDefault="00702958" w:rsidP="00B54C6E">
            <w:pPr>
              <w:pStyle w:val="TableParagraph"/>
              <w:spacing w:before="98" w:line="249" w:lineRule="auto"/>
              <w:ind w:left="73"/>
              <w:rPr>
                <w:sz w:val="20"/>
              </w:rPr>
            </w:pPr>
            <w:r>
              <w:rPr>
                <w:color w:val="231F20"/>
                <w:w w:val="90"/>
                <w:sz w:val="20"/>
              </w:rPr>
              <w:t xml:space="preserve">The predicted average </w:t>
            </w:r>
            <w:r>
              <w:rPr>
                <w:color w:val="231F20"/>
                <w:w w:val="95"/>
                <w:sz w:val="20"/>
              </w:rPr>
              <w:t>infection risk is 2%*</w:t>
            </w:r>
          </w:p>
        </w:tc>
      </w:tr>
      <w:tr w:rsidR="00702958" w14:paraId="13364053" w14:textId="77777777" w:rsidTr="00E66F34">
        <w:trPr>
          <w:trHeight w:val="2340"/>
        </w:trPr>
        <w:tc>
          <w:tcPr>
            <w:tcW w:w="1149" w:type="dxa"/>
            <w:tcBorders>
              <w:top w:val="single" w:sz="4" w:space="0" w:color="231F20"/>
              <w:bottom w:val="single" w:sz="4" w:space="0" w:color="231F20"/>
              <w:right w:val="single" w:sz="4" w:space="0" w:color="231F20"/>
            </w:tcBorders>
            <w:vAlign w:val="center"/>
          </w:tcPr>
          <w:p w14:paraId="65BDEBF8" w14:textId="77777777" w:rsidR="00702958" w:rsidRDefault="00702958" w:rsidP="00B54C6E">
            <w:pPr>
              <w:pStyle w:val="TableParagraph"/>
              <w:spacing w:before="177"/>
              <w:ind w:right="1"/>
              <w:jc w:val="center"/>
              <w:rPr>
                <w:rFonts w:ascii="Times New Roman"/>
                <w:b/>
                <w:sz w:val="20"/>
              </w:rPr>
            </w:pPr>
            <w:r>
              <w:rPr>
                <w:rFonts w:ascii="Times New Roman"/>
                <w:b/>
                <w:color w:val="231F20"/>
                <w:w w:val="93"/>
                <w:sz w:val="20"/>
              </w:rPr>
              <w:t>C</w:t>
            </w:r>
          </w:p>
          <w:p w14:paraId="42126781" w14:textId="77777777" w:rsidR="00702958" w:rsidRDefault="00702958" w:rsidP="00B54C6E">
            <w:pPr>
              <w:pStyle w:val="TableParagraph"/>
              <w:spacing w:before="37"/>
              <w:ind w:left="119" w:right="120"/>
              <w:jc w:val="center"/>
              <w:rPr>
                <w:rFonts w:ascii="Times New Roman"/>
                <w:b/>
                <w:sz w:val="20"/>
              </w:rPr>
            </w:pPr>
            <w:r>
              <w:rPr>
                <w:rFonts w:ascii="Times New Roman"/>
                <w:b/>
                <w:color w:val="231F20"/>
                <w:sz w:val="20"/>
              </w:rPr>
              <w:t>(Yellow)</w:t>
            </w:r>
          </w:p>
        </w:tc>
        <w:tc>
          <w:tcPr>
            <w:tcW w:w="1219" w:type="dxa"/>
            <w:tcBorders>
              <w:top w:val="single" w:sz="4" w:space="0" w:color="231F20"/>
              <w:left w:val="single" w:sz="4" w:space="0" w:color="231F20"/>
              <w:bottom w:val="single" w:sz="4" w:space="0" w:color="231F20"/>
              <w:right w:val="single" w:sz="4" w:space="0" w:color="231F20"/>
            </w:tcBorders>
            <w:vAlign w:val="center"/>
          </w:tcPr>
          <w:p w14:paraId="5719949B" w14:textId="77777777" w:rsidR="00702958" w:rsidRDefault="00702958" w:rsidP="00B54C6E">
            <w:pPr>
              <w:pStyle w:val="TableParagraph"/>
              <w:ind w:left="78"/>
              <w:rPr>
                <w:sz w:val="20"/>
              </w:rPr>
            </w:pPr>
            <w:r>
              <w:rPr>
                <w:color w:val="231F20"/>
                <w:sz w:val="20"/>
              </w:rPr>
              <w:t>10-20%</w:t>
            </w:r>
          </w:p>
        </w:tc>
        <w:tc>
          <w:tcPr>
            <w:tcW w:w="1219" w:type="dxa"/>
            <w:tcBorders>
              <w:top w:val="single" w:sz="4" w:space="0" w:color="231F20"/>
              <w:left w:val="single" w:sz="4" w:space="0" w:color="231F20"/>
              <w:bottom w:val="single" w:sz="4" w:space="0" w:color="231F20"/>
              <w:right w:val="single" w:sz="4" w:space="0" w:color="231F20"/>
            </w:tcBorders>
            <w:vAlign w:val="center"/>
          </w:tcPr>
          <w:p w14:paraId="0B66E8DC" w14:textId="77777777" w:rsidR="00702958" w:rsidRDefault="00702958" w:rsidP="00B54C6E">
            <w:pPr>
              <w:pStyle w:val="TableParagraph"/>
              <w:ind w:left="77"/>
              <w:rPr>
                <w:sz w:val="20"/>
              </w:rPr>
            </w:pPr>
            <w:r>
              <w:rPr>
                <w:color w:val="231F20"/>
                <w:sz w:val="20"/>
              </w:rPr>
              <w:t>20-34%</w:t>
            </w:r>
          </w:p>
        </w:tc>
        <w:tc>
          <w:tcPr>
            <w:tcW w:w="1293" w:type="dxa"/>
            <w:tcBorders>
              <w:top w:val="single" w:sz="4" w:space="0" w:color="231F20"/>
              <w:left w:val="single" w:sz="4" w:space="0" w:color="231F20"/>
              <w:bottom w:val="single" w:sz="4" w:space="0" w:color="231F20"/>
              <w:right w:val="single" w:sz="4" w:space="0" w:color="231F20"/>
            </w:tcBorders>
            <w:vAlign w:val="center"/>
          </w:tcPr>
          <w:p w14:paraId="05FFFEA4" w14:textId="77777777" w:rsidR="00702958" w:rsidRDefault="00702958" w:rsidP="00B54C6E">
            <w:pPr>
              <w:pStyle w:val="TableParagraph"/>
              <w:ind w:left="77"/>
              <w:rPr>
                <w:sz w:val="20"/>
              </w:rPr>
            </w:pPr>
            <w:r>
              <w:rPr>
                <w:color w:val="231F20"/>
                <w:sz w:val="20"/>
              </w:rPr>
              <w:t>≤130</w:t>
            </w:r>
          </w:p>
        </w:tc>
        <w:tc>
          <w:tcPr>
            <w:tcW w:w="1304" w:type="dxa"/>
            <w:tcBorders>
              <w:top w:val="single" w:sz="4" w:space="0" w:color="231F20"/>
              <w:left w:val="single" w:sz="4" w:space="0" w:color="231F20"/>
              <w:bottom w:val="single" w:sz="4" w:space="0" w:color="231F20"/>
            </w:tcBorders>
            <w:vAlign w:val="center"/>
          </w:tcPr>
          <w:p w14:paraId="48D88E54" w14:textId="77777777" w:rsidR="00702958" w:rsidRDefault="00702958" w:rsidP="00B54C6E">
            <w:pPr>
              <w:pStyle w:val="TableParagraph"/>
              <w:ind w:left="78"/>
              <w:rPr>
                <w:sz w:val="20"/>
              </w:rPr>
            </w:pPr>
            <w:r>
              <w:rPr>
                <w:color w:val="231F20"/>
                <w:sz w:val="20"/>
              </w:rPr>
              <w:t>≤1200</w:t>
            </w:r>
          </w:p>
        </w:tc>
        <w:tc>
          <w:tcPr>
            <w:tcW w:w="1613" w:type="dxa"/>
            <w:tcBorders>
              <w:top w:val="single" w:sz="4" w:space="0" w:color="231F20"/>
              <w:bottom w:val="single" w:sz="4" w:space="0" w:color="231F20"/>
            </w:tcBorders>
            <w:vAlign w:val="center"/>
          </w:tcPr>
          <w:p w14:paraId="36D9018F" w14:textId="77777777" w:rsidR="00702958" w:rsidRDefault="00702958" w:rsidP="00FE4F59">
            <w:pPr>
              <w:pStyle w:val="TableParagraph"/>
              <w:spacing w:line="249" w:lineRule="auto"/>
              <w:ind w:left="73" w:right="263"/>
              <w:rPr>
                <w:sz w:val="20"/>
              </w:rPr>
            </w:pPr>
            <w:r>
              <w:rPr>
                <w:color w:val="231F20"/>
                <w:spacing w:val="-3"/>
                <w:w w:val="95"/>
                <w:sz w:val="20"/>
              </w:rPr>
              <w:t>For</w:t>
            </w:r>
            <w:r>
              <w:rPr>
                <w:color w:val="231F20"/>
                <w:spacing w:val="-19"/>
                <w:w w:val="95"/>
                <w:sz w:val="20"/>
              </w:rPr>
              <w:t xml:space="preserve"> </w:t>
            </w:r>
            <w:r>
              <w:rPr>
                <w:color w:val="231F20"/>
                <w:w w:val="95"/>
                <w:sz w:val="20"/>
              </w:rPr>
              <w:t>at</w:t>
            </w:r>
            <w:r>
              <w:rPr>
                <w:color w:val="231F20"/>
                <w:spacing w:val="-19"/>
                <w:w w:val="95"/>
                <w:sz w:val="20"/>
              </w:rPr>
              <w:t xml:space="preserve"> </w:t>
            </w:r>
            <w:r>
              <w:rPr>
                <w:color w:val="231F20"/>
                <w:w w:val="95"/>
                <w:sz w:val="20"/>
              </w:rPr>
              <w:t>least</w:t>
            </w:r>
            <w:r>
              <w:rPr>
                <w:color w:val="231F20"/>
                <w:spacing w:val="-19"/>
                <w:w w:val="95"/>
                <w:sz w:val="20"/>
              </w:rPr>
              <w:t xml:space="preserve"> </w:t>
            </w:r>
            <w:r>
              <w:rPr>
                <w:color w:val="231F20"/>
                <w:w w:val="95"/>
                <w:sz w:val="20"/>
              </w:rPr>
              <w:t>half</w:t>
            </w:r>
            <w:r>
              <w:rPr>
                <w:color w:val="231F20"/>
                <w:spacing w:val="-19"/>
                <w:w w:val="95"/>
                <w:sz w:val="20"/>
              </w:rPr>
              <w:t xml:space="preserve"> </w:t>
            </w:r>
            <w:r>
              <w:rPr>
                <w:color w:val="231F20"/>
                <w:w w:val="95"/>
                <w:sz w:val="20"/>
              </w:rPr>
              <w:t xml:space="preserve">the </w:t>
            </w:r>
            <w:r>
              <w:rPr>
                <w:color w:val="231F20"/>
                <w:w w:val="90"/>
                <w:sz w:val="20"/>
              </w:rPr>
              <w:t xml:space="preserve">time, the estimated </w:t>
            </w:r>
            <w:r>
              <w:rPr>
                <w:color w:val="231F20"/>
                <w:sz w:val="20"/>
              </w:rPr>
              <w:t>risk</w:t>
            </w:r>
            <w:r>
              <w:rPr>
                <w:color w:val="231F20"/>
                <w:spacing w:val="-23"/>
                <w:sz w:val="20"/>
              </w:rPr>
              <w:t xml:space="preserve"> </w:t>
            </w:r>
            <w:r>
              <w:rPr>
                <w:color w:val="231F20"/>
                <w:sz w:val="20"/>
              </w:rPr>
              <w:t>is</w:t>
            </w:r>
            <w:r>
              <w:rPr>
                <w:color w:val="231F20"/>
                <w:spacing w:val="-23"/>
                <w:sz w:val="20"/>
              </w:rPr>
              <w:t xml:space="preserve"> </w:t>
            </w:r>
            <w:r>
              <w:rPr>
                <w:color w:val="231F20"/>
                <w:sz w:val="20"/>
              </w:rPr>
              <w:t>&lt;1</w:t>
            </w:r>
            <w:r>
              <w:rPr>
                <w:color w:val="231F20"/>
                <w:spacing w:val="-23"/>
                <w:sz w:val="20"/>
              </w:rPr>
              <w:t xml:space="preserve"> </w:t>
            </w:r>
            <w:r>
              <w:rPr>
                <w:color w:val="231F20"/>
                <w:sz w:val="20"/>
              </w:rPr>
              <w:t>in</w:t>
            </w:r>
            <w:r>
              <w:rPr>
                <w:color w:val="231F20"/>
                <w:spacing w:val="-23"/>
                <w:sz w:val="20"/>
              </w:rPr>
              <w:t xml:space="preserve"> </w:t>
            </w:r>
            <w:r>
              <w:rPr>
                <w:color w:val="231F20"/>
                <w:sz w:val="20"/>
              </w:rPr>
              <w:t>1000</w:t>
            </w:r>
            <w:r w:rsidR="00B54C6E">
              <w:rPr>
                <w:color w:val="231F20"/>
                <w:sz w:val="20"/>
              </w:rPr>
              <w:t xml:space="preserve"> </w:t>
            </w:r>
            <w:r>
              <w:rPr>
                <w:color w:val="231F20"/>
                <w:w w:val="95"/>
                <w:sz w:val="20"/>
              </w:rPr>
              <w:t>(0.1% risk)</w:t>
            </w:r>
          </w:p>
          <w:p w14:paraId="3E1DAB02" w14:textId="77777777" w:rsidR="00702958" w:rsidRDefault="00702958" w:rsidP="00B54C6E">
            <w:pPr>
              <w:pStyle w:val="TableParagraph"/>
              <w:spacing w:before="98" w:line="249" w:lineRule="auto"/>
              <w:ind w:left="73"/>
              <w:rPr>
                <w:sz w:val="20"/>
              </w:rPr>
            </w:pPr>
            <w:r>
              <w:rPr>
                <w:color w:val="231F20"/>
                <w:w w:val="90"/>
                <w:sz w:val="20"/>
              </w:rPr>
              <w:t xml:space="preserve">The predicted average </w:t>
            </w:r>
            <w:r>
              <w:rPr>
                <w:color w:val="231F20"/>
                <w:w w:val="95"/>
                <w:sz w:val="20"/>
              </w:rPr>
              <w:t>infection risk is 3%*</w:t>
            </w:r>
          </w:p>
        </w:tc>
      </w:tr>
      <w:tr w:rsidR="00702958" w14:paraId="6DCD7B32" w14:textId="77777777" w:rsidTr="006B6562">
        <w:trPr>
          <w:trHeight w:val="2080"/>
        </w:trPr>
        <w:tc>
          <w:tcPr>
            <w:tcW w:w="1149" w:type="dxa"/>
            <w:tcBorders>
              <w:top w:val="single" w:sz="4" w:space="0" w:color="231F20"/>
              <w:bottom w:val="single" w:sz="4" w:space="0" w:color="231F20"/>
              <w:right w:val="single" w:sz="4" w:space="0" w:color="231F20"/>
            </w:tcBorders>
            <w:vAlign w:val="center"/>
          </w:tcPr>
          <w:p w14:paraId="234E6667" w14:textId="77777777" w:rsidR="00702958" w:rsidRDefault="00702958" w:rsidP="00B54C6E">
            <w:pPr>
              <w:pStyle w:val="TableParagraph"/>
              <w:ind w:right="1"/>
              <w:jc w:val="center"/>
              <w:rPr>
                <w:rFonts w:ascii="Times New Roman"/>
                <w:b/>
                <w:sz w:val="20"/>
              </w:rPr>
            </w:pPr>
            <w:r>
              <w:rPr>
                <w:rFonts w:ascii="Times New Roman"/>
                <w:b/>
                <w:color w:val="231F20"/>
                <w:w w:val="105"/>
                <w:sz w:val="20"/>
              </w:rPr>
              <w:t>D</w:t>
            </w:r>
          </w:p>
          <w:p w14:paraId="11BB4461" w14:textId="77777777" w:rsidR="00702958" w:rsidRDefault="00702958" w:rsidP="00B54C6E">
            <w:pPr>
              <w:pStyle w:val="TableParagraph"/>
              <w:spacing w:before="37"/>
              <w:ind w:left="119" w:right="120"/>
              <w:jc w:val="center"/>
              <w:rPr>
                <w:rFonts w:ascii="Times New Roman"/>
                <w:b/>
                <w:sz w:val="20"/>
              </w:rPr>
            </w:pPr>
            <w:r>
              <w:rPr>
                <w:rFonts w:ascii="Times New Roman"/>
                <w:b/>
                <w:color w:val="231F20"/>
                <w:sz w:val="20"/>
              </w:rPr>
              <w:t>(Orange)</w:t>
            </w:r>
          </w:p>
        </w:tc>
        <w:tc>
          <w:tcPr>
            <w:tcW w:w="1219" w:type="dxa"/>
            <w:tcBorders>
              <w:top w:val="single" w:sz="4" w:space="0" w:color="231F20"/>
              <w:left w:val="single" w:sz="4" w:space="0" w:color="231F20"/>
              <w:bottom w:val="single" w:sz="4" w:space="0" w:color="231F20"/>
              <w:right w:val="single" w:sz="4" w:space="0" w:color="231F20"/>
            </w:tcBorders>
            <w:vAlign w:val="center"/>
          </w:tcPr>
          <w:p w14:paraId="583AF13D" w14:textId="77777777" w:rsidR="00702958" w:rsidRDefault="00702958" w:rsidP="00B54C6E">
            <w:pPr>
              <w:pStyle w:val="TableParagraph"/>
              <w:ind w:left="78"/>
              <w:rPr>
                <w:sz w:val="20"/>
              </w:rPr>
            </w:pPr>
            <w:r>
              <w:rPr>
                <w:color w:val="231F20"/>
                <w:sz w:val="20"/>
              </w:rPr>
              <w:t>20-30%</w:t>
            </w:r>
          </w:p>
        </w:tc>
        <w:tc>
          <w:tcPr>
            <w:tcW w:w="1219" w:type="dxa"/>
            <w:tcBorders>
              <w:top w:val="single" w:sz="4" w:space="0" w:color="231F20"/>
              <w:left w:val="single" w:sz="4" w:space="0" w:color="231F20"/>
              <w:bottom w:val="single" w:sz="4" w:space="0" w:color="231F20"/>
              <w:right w:val="single" w:sz="4" w:space="0" w:color="231F20"/>
            </w:tcBorders>
            <w:vAlign w:val="center"/>
          </w:tcPr>
          <w:p w14:paraId="68458D3F" w14:textId="77777777" w:rsidR="00702958" w:rsidRDefault="00702958" w:rsidP="00B54C6E">
            <w:pPr>
              <w:pStyle w:val="TableParagraph"/>
              <w:ind w:left="77"/>
              <w:rPr>
                <w:sz w:val="20"/>
              </w:rPr>
            </w:pPr>
            <w:r>
              <w:rPr>
                <w:color w:val="231F20"/>
                <w:sz w:val="20"/>
              </w:rPr>
              <w:t>&gt;34%</w:t>
            </w:r>
          </w:p>
        </w:tc>
        <w:tc>
          <w:tcPr>
            <w:tcW w:w="1293" w:type="dxa"/>
            <w:tcBorders>
              <w:top w:val="single" w:sz="4" w:space="0" w:color="231F20"/>
              <w:left w:val="single" w:sz="4" w:space="0" w:color="231F20"/>
              <w:bottom w:val="single" w:sz="4" w:space="0" w:color="231F20"/>
              <w:right w:val="single" w:sz="4" w:space="0" w:color="231F20"/>
            </w:tcBorders>
            <w:vAlign w:val="center"/>
          </w:tcPr>
          <w:p w14:paraId="4F488CCB" w14:textId="77777777" w:rsidR="00702958" w:rsidRDefault="00702958" w:rsidP="00B54C6E">
            <w:pPr>
              <w:pStyle w:val="TableParagraph"/>
              <w:ind w:left="77"/>
              <w:rPr>
                <w:sz w:val="20"/>
              </w:rPr>
            </w:pPr>
            <w:r>
              <w:rPr>
                <w:color w:val="231F20"/>
                <w:sz w:val="20"/>
              </w:rPr>
              <w:t>&gt;130</w:t>
            </w:r>
          </w:p>
        </w:tc>
        <w:tc>
          <w:tcPr>
            <w:tcW w:w="1304" w:type="dxa"/>
            <w:tcBorders>
              <w:top w:val="single" w:sz="4" w:space="0" w:color="231F20"/>
              <w:left w:val="single" w:sz="4" w:space="0" w:color="231F20"/>
              <w:bottom w:val="single" w:sz="4" w:space="0" w:color="231F20"/>
            </w:tcBorders>
            <w:vAlign w:val="center"/>
          </w:tcPr>
          <w:p w14:paraId="2D4E1898" w14:textId="77777777" w:rsidR="00702958" w:rsidRDefault="00702958" w:rsidP="00B54C6E">
            <w:pPr>
              <w:pStyle w:val="TableParagraph"/>
              <w:ind w:left="78"/>
              <w:rPr>
                <w:sz w:val="20"/>
              </w:rPr>
            </w:pPr>
            <w:r>
              <w:rPr>
                <w:color w:val="231F20"/>
                <w:sz w:val="20"/>
              </w:rPr>
              <w:t>&gt;1200</w:t>
            </w:r>
          </w:p>
        </w:tc>
        <w:tc>
          <w:tcPr>
            <w:tcW w:w="1613" w:type="dxa"/>
            <w:tcBorders>
              <w:top w:val="single" w:sz="4" w:space="0" w:color="231F20"/>
              <w:bottom w:val="single" w:sz="4" w:space="0" w:color="231F20"/>
            </w:tcBorders>
            <w:vAlign w:val="center"/>
          </w:tcPr>
          <w:p w14:paraId="281258AF" w14:textId="77777777" w:rsidR="00702958" w:rsidRDefault="00702958" w:rsidP="00FE4F59">
            <w:pPr>
              <w:pStyle w:val="TableParagraph"/>
              <w:spacing w:before="108" w:line="249" w:lineRule="auto"/>
              <w:ind w:left="73" w:right="205"/>
              <w:rPr>
                <w:sz w:val="20"/>
              </w:rPr>
            </w:pPr>
            <w:r>
              <w:rPr>
                <w:color w:val="231F20"/>
                <w:sz w:val="20"/>
              </w:rPr>
              <w:t>20-30%</w:t>
            </w:r>
            <w:r>
              <w:rPr>
                <w:color w:val="231F20"/>
                <w:spacing w:val="-27"/>
                <w:sz w:val="20"/>
              </w:rPr>
              <w:t xml:space="preserve"> </w:t>
            </w:r>
            <w:r>
              <w:rPr>
                <w:color w:val="231F20"/>
                <w:sz w:val="20"/>
              </w:rPr>
              <w:t>of</w:t>
            </w:r>
            <w:r>
              <w:rPr>
                <w:color w:val="231F20"/>
                <w:spacing w:val="-27"/>
                <w:sz w:val="20"/>
              </w:rPr>
              <w:t xml:space="preserve"> </w:t>
            </w:r>
            <w:r>
              <w:rPr>
                <w:color w:val="231F20"/>
                <w:sz w:val="20"/>
              </w:rPr>
              <w:t>the</w:t>
            </w:r>
            <w:r>
              <w:rPr>
                <w:color w:val="231F20"/>
                <w:spacing w:val="-27"/>
                <w:sz w:val="20"/>
              </w:rPr>
              <w:t xml:space="preserve"> </w:t>
            </w:r>
            <w:r>
              <w:rPr>
                <w:color w:val="231F20"/>
                <w:sz w:val="20"/>
              </w:rPr>
              <w:t xml:space="preserve">time </w:t>
            </w:r>
            <w:r>
              <w:rPr>
                <w:color w:val="231F20"/>
                <w:w w:val="95"/>
                <w:sz w:val="20"/>
              </w:rPr>
              <w:t>the</w:t>
            </w:r>
            <w:r>
              <w:rPr>
                <w:color w:val="231F20"/>
                <w:spacing w:val="-32"/>
                <w:w w:val="95"/>
                <w:sz w:val="20"/>
              </w:rPr>
              <w:t xml:space="preserve"> </w:t>
            </w:r>
            <w:r>
              <w:rPr>
                <w:color w:val="231F20"/>
                <w:w w:val="95"/>
                <w:sz w:val="20"/>
              </w:rPr>
              <w:t>estimated</w:t>
            </w:r>
            <w:r>
              <w:rPr>
                <w:color w:val="231F20"/>
                <w:spacing w:val="-32"/>
                <w:w w:val="95"/>
                <w:sz w:val="20"/>
              </w:rPr>
              <w:t xml:space="preserve"> </w:t>
            </w:r>
            <w:r>
              <w:rPr>
                <w:color w:val="231F20"/>
                <w:w w:val="95"/>
                <w:sz w:val="20"/>
              </w:rPr>
              <w:t>risk</w:t>
            </w:r>
            <w:r>
              <w:rPr>
                <w:color w:val="231F20"/>
                <w:spacing w:val="-32"/>
                <w:w w:val="95"/>
                <w:sz w:val="20"/>
              </w:rPr>
              <w:t xml:space="preserve"> </w:t>
            </w:r>
            <w:r>
              <w:rPr>
                <w:color w:val="231F20"/>
                <w:w w:val="95"/>
                <w:sz w:val="20"/>
              </w:rPr>
              <w:t>is</w:t>
            </w:r>
            <w:r w:rsidR="00B54C6E">
              <w:rPr>
                <w:color w:val="231F20"/>
                <w:w w:val="95"/>
                <w:sz w:val="20"/>
              </w:rPr>
              <w:t xml:space="preserve"> </w:t>
            </w:r>
            <w:r>
              <w:rPr>
                <w:color w:val="231F20"/>
                <w:sz w:val="20"/>
              </w:rPr>
              <w:t>≥50 in 1000 (&gt;5%</w:t>
            </w:r>
            <w:r w:rsidR="00B54C6E">
              <w:rPr>
                <w:color w:val="231F20"/>
                <w:sz w:val="20"/>
              </w:rPr>
              <w:t xml:space="preserve"> </w:t>
            </w:r>
            <w:r>
              <w:rPr>
                <w:color w:val="231F20"/>
                <w:sz w:val="20"/>
              </w:rPr>
              <w:t>risk)</w:t>
            </w:r>
          </w:p>
          <w:p w14:paraId="62E106C4" w14:textId="77777777" w:rsidR="00702958" w:rsidRDefault="00702958" w:rsidP="00B54C6E">
            <w:pPr>
              <w:pStyle w:val="TableParagraph"/>
              <w:spacing w:before="98" w:line="249" w:lineRule="auto"/>
              <w:ind w:left="73"/>
              <w:rPr>
                <w:sz w:val="20"/>
              </w:rPr>
            </w:pPr>
            <w:r>
              <w:rPr>
                <w:color w:val="231F20"/>
                <w:w w:val="90"/>
                <w:sz w:val="20"/>
              </w:rPr>
              <w:t xml:space="preserve">The predicted average </w:t>
            </w:r>
            <w:r>
              <w:rPr>
                <w:color w:val="231F20"/>
                <w:w w:val="95"/>
                <w:sz w:val="20"/>
              </w:rPr>
              <w:t>infection risk is &gt;3%*</w:t>
            </w:r>
          </w:p>
        </w:tc>
      </w:tr>
      <w:tr w:rsidR="00B54C6E" w14:paraId="5D6E55E1" w14:textId="77777777" w:rsidTr="00E66F34">
        <w:trPr>
          <w:trHeight w:val="2080"/>
        </w:trPr>
        <w:tc>
          <w:tcPr>
            <w:tcW w:w="1149" w:type="dxa"/>
            <w:tcBorders>
              <w:top w:val="single" w:sz="4" w:space="0" w:color="231F20"/>
              <w:bottom w:val="single" w:sz="4" w:space="0" w:color="231F20"/>
              <w:right w:val="single" w:sz="4" w:space="0" w:color="231F20"/>
            </w:tcBorders>
            <w:vAlign w:val="center"/>
          </w:tcPr>
          <w:p w14:paraId="7EFC1FE0" w14:textId="77777777" w:rsidR="00B54C6E" w:rsidRDefault="00B54C6E" w:rsidP="00B54C6E">
            <w:pPr>
              <w:pStyle w:val="TableParagraph"/>
              <w:ind w:right="1"/>
              <w:jc w:val="center"/>
              <w:rPr>
                <w:rFonts w:ascii="Times New Roman"/>
                <w:b/>
                <w:sz w:val="20"/>
              </w:rPr>
            </w:pPr>
            <w:r>
              <w:rPr>
                <w:rFonts w:ascii="Times New Roman"/>
                <w:b/>
                <w:color w:val="231F20"/>
                <w:w w:val="87"/>
                <w:sz w:val="20"/>
              </w:rPr>
              <w:lastRenderedPageBreak/>
              <w:t>E</w:t>
            </w:r>
          </w:p>
          <w:p w14:paraId="295FD82D" w14:textId="77777777" w:rsidR="00B54C6E" w:rsidRDefault="00B54C6E" w:rsidP="00FE4F59">
            <w:pPr>
              <w:pStyle w:val="TableParagraph"/>
              <w:jc w:val="center"/>
              <w:rPr>
                <w:rFonts w:ascii="Calibri"/>
                <w:sz w:val="28"/>
              </w:rPr>
            </w:pPr>
            <w:r>
              <w:rPr>
                <w:rFonts w:ascii="Times New Roman"/>
                <w:b/>
                <w:color w:val="231F20"/>
                <w:sz w:val="20"/>
              </w:rPr>
              <w:t>(Red)</w:t>
            </w:r>
          </w:p>
        </w:tc>
        <w:tc>
          <w:tcPr>
            <w:tcW w:w="1219" w:type="dxa"/>
            <w:tcBorders>
              <w:top w:val="single" w:sz="4" w:space="0" w:color="231F20"/>
              <w:left w:val="single" w:sz="4" w:space="0" w:color="231F20"/>
              <w:bottom w:val="single" w:sz="4" w:space="0" w:color="231F20"/>
              <w:right w:val="single" w:sz="4" w:space="0" w:color="231F20"/>
            </w:tcBorders>
            <w:vAlign w:val="center"/>
          </w:tcPr>
          <w:p w14:paraId="5CF4FD4E" w14:textId="77777777" w:rsidR="00B54C6E" w:rsidRDefault="00B54C6E" w:rsidP="00B54C6E">
            <w:pPr>
              <w:pStyle w:val="TableParagraph"/>
              <w:rPr>
                <w:rFonts w:ascii="Calibri"/>
                <w:sz w:val="26"/>
              </w:rPr>
            </w:pPr>
            <w:r>
              <w:rPr>
                <w:color w:val="231F20"/>
                <w:sz w:val="20"/>
              </w:rPr>
              <w:t>&gt;30%</w:t>
            </w:r>
          </w:p>
        </w:tc>
        <w:tc>
          <w:tcPr>
            <w:tcW w:w="1219" w:type="dxa"/>
            <w:tcBorders>
              <w:top w:val="single" w:sz="4" w:space="0" w:color="231F20"/>
              <w:left w:val="single" w:sz="4" w:space="0" w:color="231F20"/>
              <w:bottom w:val="single" w:sz="4" w:space="0" w:color="231F20"/>
              <w:right w:val="single" w:sz="4" w:space="0" w:color="231F20"/>
            </w:tcBorders>
            <w:vAlign w:val="center"/>
          </w:tcPr>
          <w:p w14:paraId="3DA673B3" w14:textId="77777777" w:rsidR="00B54C6E" w:rsidRDefault="00B54C6E" w:rsidP="00B54C6E">
            <w:pPr>
              <w:pStyle w:val="TableParagraph"/>
              <w:rPr>
                <w:rFonts w:ascii="Calibri"/>
                <w:sz w:val="26"/>
              </w:rPr>
            </w:pPr>
            <w:r>
              <w:rPr>
                <w:color w:val="231F20"/>
                <w:sz w:val="20"/>
              </w:rPr>
              <w:t>&gt;50%</w:t>
            </w:r>
          </w:p>
        </w:tc>
        <w:tc>
          <w:tcPr>
            <w:tcW w:w="1293" w:type="dxa"/>
            <w:tcBorders>
              <w:top w:val="single" w:sz="4" w:space="0" w:color="231F20"/>
              <w:left w:val="single" w:sz="4" w:space="0" w:color="231F20"/>
              <w:bottom w:val="single" w:sz="4" w:space="0" w:color="231F20"/>
              <w:right w:val="single" w:sz="4" w:space="0" w:color="231F20"/>
            </w:tcBorders>
            <w:vAlign w:val="center"/>
          </w:tcPr>
          <w:p w14:paraId="35B1761D" w14:textId="77777777" w:rsidR="00B54C6E" w:rsidRDefault="00B54C6E" w:rsidP="00B54C6E">
            <w:pPr>
              <w:pStyle w:val="TableParagraph"/>
              <w:rPr>
                <w:rFonts w:ascii="Calibri"/>
                <w:sz w:val="26"/>
              </w:rPr>
            </w:pPr>
            <w:r>
              <w:rPr>
                <w:color w:val="231F20"/>
                <w:sz w:val="20"/>
              </w:rPr>
              <w:t>&gt;260</w:t>
            </w:r>
          </w:p>
        </w:tc>
        <w:tc>
          <w:tcPr>
            <w:tcW w:w="1304" w:type="dxa"/>
            <w:tcBorders>
              <w:top w:val="single" w:sz="4" w:space="0" w:color="231F20"/>
              <w:left w:val="single" w:sz="4" w:space="0" w:color="231F20"/>
              <w:bottom w:val="single" w:sz="4" w:space="0" w:color="231F20"/>
            </w:tcBorders>
            <w:vAlign w:val="center"/>
          </w:tcPr>
          <w:p w14:paraId="740D1970" w14:textId="77777777" w:rsidR="00B54C6E" w:rsidRDefault="00B54C6E" w:rsidP="00B54C6E">
            <w:pPr>
              <w:pStyle w:val="TableParagraph"/>
              <w:rPr>
                <w:rFonts w:ascii="Calibri"/>
                <w:sz w:val="26"/>
              </w:rPr>
            </w:pPr>
            <w:r>
              <w:rPr>
                <w:color w:val="231F20"/>
                <w:sz w:val="20"/>
              </w:rPr>
              <w:t>&gt;1200</w:t>
            </w:r>
          </w:p>
        </w:tc>
        <w:tc>
          <w:tcPr>
            <w:tcW w:w="1613" w:type="dxa"/>
            <w:tcBorders>
              <w:top w:val="single" w:sz="4" w:space="0" w:color="231F20"/>
              <w:bottom w:val="single" w:sz="4" w:space="0" w:color="231F20"/>
            </w:tcBorders>
            <w:vAlign w:val="center"/>
          </w:tcPr>
          <w:p w14:paraId="3595D4E6" w14:textId="77777777" w:rsidR="00B54C6E" w:rsidRDefault="00B54C6E" w:rsidP="00B54C6E">
            <w:pPr>
              <w:pStyle w:val="TableParagraph"/>
              <w:spacing w:line="249" w:lineRule="auto"/>
              <w:ind w:left="74" w:right="60"/>
              <w:rPr>
                <w:sz w:val="20"/>
              </w:rPr>
            </w:pPr>
            <w:r>
              <w:rPr>
                <w:color w:val="231F20"/>
                <w:spacing w:val="-3"/>
                <w:sz w:val="20"/>
              </w:rPr>
              <w:t>For</w:t>
            </w:r>
            <w:r>
              <w:rPr>
                <w:color w:val="231F20"/>
                <w:spacing w:val="-33"/>
                <w:sz w:val="20"/>
              </w:rPr>
              <w:t xml:space="preserve"> </w:t>
            </w:r>
            <w:r>
              <w:rPr>
                <w:color w:val="231F20"/>
                <w:sz w:val="20"/>
              </w:rPr>
              <w:t>more</w:t>
            </w:r>
            <w:r>
              <w:rPr>
                <w:color w:val="231F20"/>
                <w:spacing w:val="-33"/>
                <w:sz w:val="20"/>
              </w:rPr>
              <w:t xml:space="preserve"> </w:t>
            </w:r>
            <w:r>
              <w:rPr>
                <w:color w:val="231F20"/>
                <w:sz w:val="20"/>
              </w:rPr>
              <w:t>than</w:t>
            </w:r>
            <w:r>
              <w:rPr>
                <w:color w:val="231F20"/>
                <w:spacing w:val="-33"/>
                <w:sz w:val="20"/>
              </w:rPr>
              <w:t xml:space="preserve"> </w:t>
            </w:r>
            <w:r>
              <w:rPr>
                <w:color w:val="231F20"/>
                <w:sz w:val="20"/>
              </w:rPr>
              <w:t>30%</w:t>
            </w:r>
            <w:r>
              <w:rPr>
                <w:color w:val="231F20"/>
                <w:spacing w:val="-33"/>
                <w:sz w:val="20"/>
              </w:rPr>
              <w:t xml:space="preserve"> </w:t>
            </w:r>
            <w:r>
              <w:rPr>
                <w:color w:val="231F20"/>
                <w:sz w:val="20"/>
              </w:rPr>
              <w:t xml:space="preserve">of </w:t>
            </w:r>
            <w:r>
              <w:rPr>
                <w:color w:val="231F20"/>
                <w:w w:val="95"/>
                <w:sz w:val="20"/>
              </w:rPr>
              <w:t>the</w:t>
            </w:r>
            <w:r>
              <w:rPr>
                <w:color w:val="231F20"/>
                <w:spacing w:val="-31"/>
                <w:w w:val="95"/>
                <w:sz w:val="20"/>
              </w:rPr>
              <w:t xml:space="preserve"> </w:t>
            </w:r>
            <w:r>
              <w:rPr>
                <w:color w:val="231F20"/>
                <w:w w:val="95"/>
                <w:sz w:val="20"/>
              </w:rPr>
              <w:t>time</w:t>
            </w:r>
            <w:r>
              <w:rPr>
                <w:color w:val="231F20"/>
                <w:spacing w:val="-31"/>
                <w:w w:val="95"/>
                <w:sz w:val="20"/>
              </w:rPr>
              <w:t xml:space="preserve"> </w:t>
            </w:r>
            <w:r>
              <w:rPr>
                <w:color w:val="231F20"/>
                <w:w w:val="95"/>
                <w:sz w:val="20"/>
              </w:rPr>
              <w:t>the</w:t>
            </w:r>
            <w:r>
              <w:rPr>
                <w:color w:val="231F20"/>
                <w:spacing w:val="-31"/>
                <w:w w:val="95"/>
                <w:sz w:val="20"/>
              </w:rPr>
              <w:t xml:space="preserve"> </w:t>
            </w:r>
            <w:r>
              <w:rPr>
                <w:color w:val="231F20"/>
                <w:w w:val="95"/>
                <w:sz w:val="20"/>
              </w:rPr>
              <w:t xml:space="preserve">estimated </w:t>
            </w:r>
            <w:r>
              <w:rPr>
                <w:color w:val="231F20"/>
                <w:sz w:val="20"/>
              </w:rPr>
              <w:t xml:space="preserve">risk is ≥50 in 1000 </w:t>
            </w:r>
            <w:r>
              <w:rPr>
                <w:color w:val="231F20"/>
                <w:w w:val="95"/>
                <w:sz w:val="20"/>
              </w:rPr>
              <w:t>(&gt;5% risk)</w:t>
            </w:r>
          </w:p>
          <w:p w14:paraId="50155518" w14:textId="77777777" w:rsidR="00B54C6E" w:rsidRDefault="00B54C6E" w:rsidP="00B54C6E">
            <w:pPr>
              <w:pStyle w:val="TableParagraph"/>
              <w:spacing w:before="108" w:line="249" w:lineRule="auto"/>
              <w:ind w:left="73" w:right="205"/>
              <w:rPr>
                <w:color w:val="231F20"/>
                <w:sz w:val="20"/>
              </w:rPr>
            </w:pPr>
            <w:r>
              <w:rPr>
                <w:color w:val="231F20"/>
                <w:w w:val="90"/>
                <w:sz w:val="20"/>
              </w:rPr>
              <w:t xml:space="preserve">The predicted average </w:t>
            </w:r>
            <w:r>
              <w:rPr>
                <w:color w:val="231F20"/>
                <w:w w:val="95"/>
                <w:sz w:val="20"/>
              </w:rPr>
              <w:t>infection risk is &gt;7%*</w:t>
            </w:r>
          </w:p>
        </w:tc>
      </w:tr>
      <w:tr w:rsidR="00B54C6E" w14:paraId="344BA600" w14:textId="77777777" w:rsidTr="00E66F34">
        <w:trPr>
          <w:trHeight w:val="2080"/>
        </w:trPr>
        <w:tc>
          <w:tcPr>
            <w:tcW w:w="7797" w:type="dxa"/>
            <w:gridSpan w:val="6"/>
            <w:tcBorders>
              <w:top w:val="single" w:sz="4" w:space="0" w:color="231F20"/>
            </w:tcBorders>
            <w:vAlign w:val="center"/>
          </w:tcPr>
          <w:p w14:paraId="6CE1829C" w14:textId="77777777" w:rsidR="00B54C6E" w:rsidRDefault="00B54C6E" w:rsidP="00FE4F59">
            <w:pPr>
              <w:pStyle w:val="BodyText"/>
              <w:spacing w:before="66" w:line="249" w:lineRule="auto"/>
            </w:pPr>
            <w:r>
              <w:rPr>
                <w:color w:val="231F20"/>
                <w:w w:val="95"/>
              </w:rPr>
              <w:t>*</w:t>
            </w:r>
            <w:r>
              <w:rPr>
                <w:color w:val="231F20"/>
                <w:spacing w:val="-30"/>
                <w:w w:val="95"/>
              </w:rPr>
              <w:t xml:space="preserve"> </w:t>
            </w:r>
            <w:r>
              <w:rPr>
                <w:color w:val="231F20"/>
                <w:w w:val="95"/>
              </w:rPr>
              <w:t>The</w:t>
            </w:r>
            <w:r>
              <w:rPr>
                <w:color w:val="231F20"/>
                <w:spacing w:val="-30"/>
                <w:w w:val="95"/>
              </w:rPr>
              <w:t xml:space="preserve"> </w:t>
            </w:r>
            <w:r>
              <w:rPr>
                <w:color w:val="231F20"/>
                <w:w w:val="95"/>
              </w:rPr>
              <w:t>predicted</w:t>
            </w:r>
            <w:r>
              <w:rPr>
                <w:color w:val="231F20"/>
                <w:spacing w:val="-30"/>
                <w:w w:val="95"/>
              </w:rPr>
              <w:t xml:space="preserve"> </w:t>
            </w:r>
            <w:r>
              <w:rPr>
                <w:color w:val="231F20"/>
                <w:w w:val="95"/>
              </w:rPr>
              <w:t>average</w:t>
            </w:r>
            <w:r>
              <w:rPr>
                <w:color w:val="231F20"/>
                <w:spacing w:val="-30"/>
                <w:w w:val="95"/>
              </w:rPr>
              <w:t xml:space="preserve"> </w:t>
            </w:r>
            <w:r>
              <w:rPr>
                <w:color w:val="231F20"/>
                <w:w w:val="95"/>
              </w:rPr>
              <w:t>infection</w:t>
            </w:r>
            <w:r>
              <w:rPr>
                <w:color w:val="231F20"/>
                <w:spacing w:val="-30"/>
                <w:w w:val="95"/>
              </w:rPr>
              <w:t xml:space="preserve"> </w:t>
            </w:r>
            <w:r>
              <w:rPr>
                <w:color w:val="231F20"/>
                <w:w w:val="95"/>
              </w:rPr>
              <w:t>risk</w:t>
            </w:r>
            <w:r>
              <w:rPr>
                <w:color w:val="231F20"/>
                <w:spacing w:val="-30"/>
                <w:w w:val="95"/>
              </w:rPr>
              <w:t xml:space="preserve"> </w:t>
            </w:r>
            <w:r>
              <w:rPr>
                <w:color w:val="231F20"/>
                <w:w w:val="95"/>
              </w:rPr>
              <w:t>is</w:t>
            </w:r>
            <w:r>
              <w:rPr>
                <w:color w:val="231F20"/>
                <w:spacing w:val="-30"/>
                <w:w w:val="95"/>
              </w:rPr>
              <w:t xml:space="preserve"> </w:t>
            </w:r>
            <w:r>
              <w:rPr>
                <w:color w:val="231F20"/>
                <w:w w:val="95"/>
              </w:rPr>
              <w:t>the</w:t>
            </w:r>
            <w:r>
              <w:rPr>
                <w:color w:val="231F20"/>
                <w:spacing w:val="-30"/>
                <w:w w:val="95"/>
              </w:rPr>
              <w:t xml:space="preserve"> </w:t>
            </w:r>
            <w:r>
              <w:rPr>
                <w:color w:val="231F20"/>
                <w:w w:val="95"/>
              </w:rPr>
              <w:t>overall</w:t>
            </w:r>
            <w:r>
              <w:rPr>
                <w:color w:val="231F20"/>
                <w:spacing w:val="-30"/>
                <w:w w:val="95"/>
              </w:rPr>
              <w:t xml:space="preserve"> </w:t>
            </w:r>
            <w:r>
              <w:rPr>
                <w:color w:val="231F20"/>
                <w:w w:val="95"/>
              </w:rPr>
              <w:t>average</w:t>
            </w:r>
            <w:r>
              <w:rPr>
                <w:color w:val="231F20"/>
                <w:spacing w:val="-30"/>
                <w:w w:val="95"/>
              </w:rPr>
              <w:t xml:space="preserve"> </w:t>
            </w:r>
            <w:r>
              <w:rPr>
                <w:color w:val="231F20"/>
                <w:w w:val="95"/>
              </w:rPr>
              <w:t>infection</w:t>
            </w:r>
            <w:r>
              <w:rPr>
                <w:color w:val="231F20"/>
                <w:spacing w:val="-30"/>
                <w:w w:val="95"/>
              </w:rPr>
              <w:t xml:space="preserve"> </w:t>
            </w:r>
            <w:r>
              <w:rPr>
                <w:color w:val="231F20"/>
                <w:w w:val="95"/>
              </w:rPr>
              <w:t>to</w:t>
            </w:r>
            <w:r>
              <w:rPr>
                <w:color w:val="231F20"/>
                <w:spacing w:val="-30"/>
                <w:w w:val="95"/>
              </w:rPr>
              <w:t xml:space="preserve"> </w:t>
            </w:r>
            <w:r>
              <w:rPr>
                <w:color w:val="231F20"/>
                <w:w w:val="95"/>
              </w:rPr>
              <w:t>swimmers</w:t>
            </w:r>
            <w:r>
              <w:rPr>
                <w:color w:val="231F20"/>
                <w:spacing w:val="-30"/>
                <w:w w:val="95"/>
              </w:rPr>
              <w:t xml:space="preserve"> </w:t>
            </w:r>
            <w:r>
              <w:rPr>
                <w:color w:val="231F20"/>
                <w:w w:val="95"/>
              </w:rPr>
              <w:t>based</w:t>
            </w:r>
            <w:r>
              <w:rPr>
                <w:color w:val="231F20"/>
                <w:spacing w:val="-30"/>
                <w:w w:val="95"/>
              </w:rPr>
              <w:t xml:space="preserve"> </w:t>
            </w:r>
            <w:r>
              <w:rPr>
                <w:color w:val="231F20"/>
                <w:w w:val="95"/>
              </w:rPr>
              <w:t>on</w:t>
            </w:r>
            <w:r>
              <w:rPr>
                <w:color w:val="231F20"/>
                <w:spacing w:val="-30"/>
                <w:w w:val="95"/>
              </w:rPr>
              <w:t xml:space="preserve"> </w:t>
            </w:r>
            <w:r>
              <w:rPr>
                <w:color w:val="231F20"/>
                <w:w w:val="95"/>
              </w:rPr>
              <w:t>a</w:t>
            </w:r>
            <w:r>
              <w:rPr>
                <w:color w:val="231F20"/>
                <w:spacing w:val="-30"/>
                <w:w w:val="95"/>
              </w:rPr>
              <w:t xml:space="preserve"> </w:t>
            </w:r>
            <w:r>
              <w:rPr>
                <w:color w:val="231F20"/>
                <w:w w:val="95"/>
              </w:rPr>
              <w:t>random exposure</w:t>
            </w:r>
            <w:r>
              <w:rPr>
                <w:color w:val="231F20"/>
                <w:spacing w:val="-31"/>
                <w:w w:val="95"/>
              </w:rPr>
              <w:t xml:space="preserve"> </w:t>
            </w:r>
            <w:r>
              <w:rPr>
                <w:color w:val="231F20"/>
                <w:w w:val="95"/>
              </w:rPr>
              <w:t>on</w:t>
            </w:r>
            <w:r>
              <w:rPr>
                <w:color w:val="231F20"/>
                <w:spacing w:val="-31"/>
                <w:w w:val="95"/>
              </w:rPr>
              <w:t xml:space="preserve"> </w:t>
            </w:r>
            <w:r>
              <w:rPr>
                <w:color w:val="231F20"/>
                <w:w w:val="95"/>
              </w:rPr>
              <w:t>a</w:t>
            </w:r>
            <w:r>
              <w:rPr>
                <w:color w:val="231F20"/>
                <w:spacing w:val="-31"/>
                <w:w w:val="95"/>
              </w:rPr>
              <w:t xml:space="preserve"> </w:t>
            </w:r>
            <w:r>
              <w:rPr>
                <w:color w:val="231F20"/>
                <w:w w:val="95"/>
              </w:rPr>
              <w:t>random</w:t>
            </w:r>
            <w:r>
              <w:rPr>
                <w:color w:val="231F20"/>
                <w:spacing w:val="-31"/>
                <w:w w:val="95"/>
              </w:rPr>
              <w:t xml:space="preserve"> </w:t>
            </w:r>
            <w:r>
              <w:rPr>
                <w:color w:val="231F20"/>
                <w:spacing w:val="-5"/>
                <w:w w:val="95"/>
              </w:rPr>
              <w:t>day,</w:t>
            </w:r>
            <w:r>
              <w:rPr>
                <w:color w:val="231F20"/>
                <w:spacing w:val="-15"/>
                <w:w w:val="95"/>
              </w:rPr>
              <w:t xml:space="preserve"> </w:t>
            </w:r>
            <w:r>
              <w:rPr>
                <w:color w:val="231F20"/>
                <w:w w:val="95"/>
              </w:rPr>
              <w:t>ignoring</w:t>
            </w:r>
            <w:r>
              <w:rPr>
                <w:color w:val="231F20"/>
                <w:spacing w:val="-31"/>
                <w:w w:val="95"/>
              </w:rPr>
              <w:t xml:space="preserve"> </w:t>
            </w:r>
            <w:r>
              <w:rPr>
                <w:color w:val="231F20"/>
                <w:spacing w:val="-3"/>
                <w:w w:val="95"/>
              </w:rPr>
              <w:t>any</w:t>
            </w:r>
            <w:r>
              <w:rPr>
                <w:color w:val="231F20"/>
                <w:spacing w:val="-31"/>
                <w:w w:val="95"/>
              </w:rPr>
              <w:t xml:space="preserve"> </w:t>
            </w:r>
            <w:r>
              <w:rPr>
                <w:color w:val="231F20"/>
                <w:w w:val="95"/>
              </w:rPr>
              <w:t>possibility</w:t>
            </w:r>
            <w:r>
              <w:rPr>
                <w:color w:val="231F20"/>
                <w:spacing w:val="-31"/>
                <w:w w:val="95"/>
              </w:rPr>
              <w:t xml:space="preserve"> </w:t>
            </w:r>
            <w:r>
              <w:rPr>
                <w:color w:val="231F20"/>
                <w:w w:val="95"/>
              </w:rPr>
              <w:t>of</w:t>
            </w:r>
            <w:r>
              <w:rPr>
                <w:color w:val="231F20"/>
                <w:spacing w:val="-31"/>
                <w:w w:val="95"/>
              </w:rPr>
              <w:t xml:space="preserve"> </w:t>
            </w:r>
            <w:r>
              <w:rPr>
                <w:color w:val="231F20"/>
                <w:w w:val="95"/>
              </w:rPr>
              <w:t>not</w:t>
            </w:r>
            <w:r>
              <w:rPr>
                <w:color w:val="231F20"/>
                <w:spacing w:val="-31"/>
                <w:w w:val="95"/>
              </w:rPr>
              <w:t xml:space="preserve"> </w:t>
            </w:r>
            <w:r>
              <w:rPr>
                <w:color w:val="231F20"/>
                <w:w w:val="95"/>
              </w:rPr>
              <w:t>swimming</w:t>
            </w:r>
            <w:r>
              <w:rPr>
                <w:color w:val="231F20"/>
                <w:spacing w:val="-31"/>
                <w:w w:val="95"/>
              </w:rPr>
              <w:t xml:space="preserve"> </w:t>
            </w:r>
            <w:r>
              <w:rPr>
                <w:color w:val="231F20"/>
                <w:w w:val="95"/>
              </w:rPr>
              <w:t>during</w:t>
            </w:r>
            <w:r>
              <w:rPr>
                <w:color w:val="231F20"/>
                <w:spacing w:val="-31"/>
                <w:w w:val="95"/>
              </w:rPr>
              <w:t xml:space="preserve"> </w:t>
            </w:r>
            <w:r>
              <w:rPr>
                <w:color w:val="231F20"/>
                <w:w w:val="95"/>
              </w:rPr>
              <w:t>high</w:t>
            </w:r>
            <w:r>
              <w:rPr>
                <w:color w:val="231F20"/>
                <w:spacing w:val="-31"/>
                <w:w w:val="95"/>
              </w:rPr>
              <w:t xml:space="preserve"> </w:t>
            </w:r>
            <w:r>
              <w:rPr>
                <w:color w:val="231F20"/>
                <w:w w:val="95"/>
              </w:rPr>
              <w:t>flows</w:t>
            </w:r>
            <w:r>
              <w:rPr>
                <w:color w:val="231F20"/>
                <w:spacing w:val="-31"/>
                <w:w w:val="95"/>
              </w:rPr>
              <w:t xml:space="preserve"> </w:t>
            </w:r>
            <w:r>
              <w:rPr>
                <w:color w:val="231F20"/>
                <w:w w:val="95"/>
              </w:rPr>
              <w:t>or</w:t>
            </w:r>
            <w:r>
              <w:rPr>
                <w:color w:val="231F20"/>
                <w:spacing w:val="-31"/>
                <w:w w:val="95"/>
              </w:rPr>
              <w:t xml:space="preserve"> </w:t>
            </w:r>
            <w:r>
              <w:rPr>
                <w:color w:val="231F20"/>
                <w:w w:val="95"/>
              </w:rPr>
              <w:t>when</w:t>
            </w:r>
            <w:r>
              <w:t xml:space="preserve"> </w:t>
            </w:r>
            <w:r>
              <w:rPr>
                <w:color w:val="231F20"/>
                <w:w w:val="95"/>
              </w:rPr>
              <w:t>a</w:t>
            </w:r>
            <w:r>
              <w:rPr>
                <w:color w:val="231F20"/>
                <w:spacing w:val="-28"/>
                <w:w w:val="95"/>
              </w:rPr>
              <w:t xml:space="preserve"> </w:t>
            </w:r>
            <w:r>
              <w:rPr>
                <w:color w:val="231F20"/>
                <w:w w:val="95"/>
              </w:rPr>
              <w:t>surveillance</w:t>
            </w:r>
            <w:r>
              <w:rPr>
                <w:color w:val="231F20"/>
                <w:spacing w:val="-28"/>
                <w:w w:val="95"/>
              </w:rPr>
              <w:t xml:space="preserve"> </w:t>
            </w:r>
            <w:r>
              <w:rPr>
                <w:color w:val="231F20"/>
                <w:w w:val="95"/>
              </w:rPr>
              <w:t>advisory</w:t>
            </w:r>
            <w:r>
              <w:rPr>
                <w:color w:val="231F20"/>
                <w:spacing w:val="-28"/>
                <w:w w:val="95"/>
              </w:rPr>
              <w:t xml:space="preserve"> </w:t>
            </w:r>
            <w:r>
              <w:rPr>
                <w:color w:val="231F20"/>
                <w:w w:val="95"/>
              </w:rPr>
              <w:t>is</w:t>
            </w:r>
            <w:r>
              <w:rPr>
                <w:color w:val="231F20"/>
                <w:spacing w:val="-28"/>
                <w:w w:val="95"/>
              </w:rPr>
              <w:t xml:space="preserve"> </w:t>
            </w:r>
            <w:r>
              <w:rPr>
                <w:color w:val="231F20"/>
                <w:w w:val="95"/>
              </w:rPr>
              <w:t>in</w:t>
            </w:r>
            <w:r>
              <w:rPr>
                <w:color w:val="231F20"/>
                <w:spacing w:val="-28"/>
                <w:w w:val="95"/>
              </w:rPr>
              <w:t xml:space="preserve"> </w:t>
            </w:r>
            <w:r>
              <w:rPr>
                <w:color w:val="231F20"/>
                <w:w w:val="95"/>
              </w:rPr>
              <w:t>place</w:t>
            </w:r>
            <w:r>
              <w:rPr>
                <w:color w:val="231F20"/>
                <w:spacing w:val="-28"/>
                <w:w w:val="95"/>
              </w:rPr>
              <w:t xml:space="preserve"> </w:t>
            </w:r>
            <w:r>
              <w:rPr>
                <w:color w:val="231F20"/>
                <w:w w:val="95"/>
              </w:rPr>
              <w:t>(assuming</w:t>
            </w:r>
            <w:r>
              <w:rPr>
                <w:color w:val="231F20"/>
                <w:spacing w:val="-28"/>
                <w:w w:val="95"/>
              </w:rPr>
              <w:t xml:space="preserve"> </w:t>
            </w:r>
            <w:r>
              <w:rPr>
                <w:color w:val="231F20"/>
                <w:w w:val="95"/>
              </w:rPr>
              <w:t>that</w:t>
            </w:r>
            <w:r>
              <w:rPr>
                <w:color w:val="231F20"/>
                <w:spacing w:val="-28"/>
                <w:w w:val="95"/>
              </w:rPr>
              <w:t xml:space="preserve"> </w:t>
            </w:r>
            <w:r>
              <w:rPr>
                <w:color w:val="231F20"/>
                <w:w w:val="95"/>
              </w:rPr>
              <w:t>the</w:t>
            </w:r>
            <w:r>
              <w:rPr>
                <w:color w:val="231F20"/>
                <w:spacing w:val="-28"/>
                <w:w w:val="95"/>
              </w:rPr>
              <w:t xml:space="preserve"> </w:t>
            </w:r>
            <w:r>
              <w:rPr>
                <w:i/>
                <w:color w:val="231F20"/>
                <w:w w:val="95"/>
              </w:rPr>
              <w:t>E.</w:t>
            </w:r>
            <w:r>
              <w:rPr>
                <w:i/>
                <w:color w:val="231F20"/>
                <w:spacing w:val="-28"/>
                <w:w w:val="95"/>
              </w:rPr>
              <w:t xml:space="preserve"> </w:t>
            </w:r>
            <w:r>
              <w:rPr>
                <w:i/>
                <w:color w:val="231F20"/>
                <w:w w:val="95"/>
              </w:rPr>
              <w:t>coli</w:t>
            </w:r>
            <w:r>
              <w:rPr>
                <w:i/>
                <w:color w:val="231F20"/>
                <w:spacing w:val="-28"/>
                <w:w w:val="95"/>
              </w:rPr>
              <w:t xml:space="preserve"> </w:t>
            </w:r>
            <w:r>
              <w:rPr>
                <w:color w:val="231F20"/>
                <w:w w:val="95"/>
              </w:rPr>
              <w:t>concentration</w:t>
            </w:r>
            <w:r>
              <w:rPr>
                <w:color w:val="231F20"/>
                <w:spacing w:val="-28"/>
                <w:w w:val="95"/>
              </w:rPr>
              <w:t xml:space="preserve"> </w:t>
            </w:r>
            <w:r>
              <w:rPr>
                <w:color w:val="231F20"/>
                <w:w w:val="95"/>
              </w:rPr>
              <w:t>follows</w:t>
            </w:r>
            <w:r>
              <w:rPr>
                <w:color w:val="231F20"/>
                <w:spacing w:val="-28"/>
                <w:w w:val="95"/>
              </w:rPr>
              <w:t xml:space="preserve"> </w:t>
            </w:r>
            <w:r>
              <w:rPr>
                <w:color w:val="231F20"/>
                <w:w w:val="95"/>
              </w:rPr>
              <w:t>a</w:t>
            </w:r>
            <w:r>
              <w:rPr>
                <w:color w:val="231F20"/>
                <w:spacing w:val="-28"/>
                <w:w w:val="95"/>
              </w:rPr>
              <w:t xml:space="preserve"> </w:t>
            </w:r>
            <w:r>
              <w:rPr>
                <w:color w:val="231F20"/>
                <w:w w:val="95"/>
              </w:rPr>
              <w:t>lognormal distribution).</w:t>
            </w:r>
            <w:r>
              <w:rPr>
                <w:color w:val="231F20"/>
                <w:spacing w:val="-32"/>
                <w:w w:val="95"/>
              </w:rPr>
              <w:t xml:space="preserve"> </w:t>
            </w:r>
            <w:r>
              <w:rPr>
                <w:color w:val="231F20"/>
                <w:w w:val="95"/>
              </w:rPr>
              <w:t>Actual</w:t>
            </w:r>
            <w:r>
              <w:rPr>
                <w:color w:val="231F20"/>
                <w:spacing w:val="-32"/>
                <w:w w:val="95"/>
              </w:rPr>
              <w:t xml:space="preserve"> </w:t>
            </w:r>
            <w:r>
              <w:rPr>
                <w:color w:val="231F20"/>
                <w:w w:val="95"/>
              </w:rPr>
              <w:t>risk</w:t>
            </w:r>
            <w:r>
              <w:rPr>
                <w:color w:val="231F20"/>
                <w:spacing w:val="-32"/>
                <w:w w:val="95"/>
              </w:rPr>
              <w:t xml:space="preserve"> </w:t>
            </w:r>
            <w:r>
              <w:rPr>
                <w:color w:val="231F20"/>
                <w:w w:val="95"/>
              </w:rPr>
              <w:t>will</w:t>
            </w:r>
            <w:r>
              <w:rPr>
                <w:color w:val="231F20"/>
                <w:spacing w:val="-32"/>
                <w:w w:val="95"/>
              </w:rPr>
              <w:t xml:space="preserve"> </w:t>
            </w:r>
            <w:r>
              <w:rPr>
                <w:color w:val="231F20"/>
                <w:w w:val="95"/>
              </w:rPr>
              <w:t>generally</w:t>
            </w:r>
            <w:r>
              <w:rPr>
                <w:color w:val="231F20"/>
                <w:spacing w:val="-32"/>
                <w:w w:val="95"/>
              </w:rPr>
              <w:t xml:space="preserve"> </w:t>
            </w:r>
            <w:r>
              <w:rPr>
                <w:color w:val="231F20"/>
                <w:w w:val="95"/>
              </w:rPr>
              <w:t>be</w:t>
            </w:r>
            <w:r>
              <w:rPr>
                <w:color w:val="231F20"/>
                <w:spacing w:val="-32"/>
                <w:w w:val="95"/>
              </w:rPr>
              <w:t xml:space="preserve"> </w:t>
            </w:r>
            <w:r>
              <w:rPr>
                <w:color w:val="231F20"/>
                <w:w w:val="95"/>
              </w:rPr>
              <w:t>less</w:t>
            </w:r>
            <w:r>
              <w:rPr>
                <w:color w:val="231F20"/>
                <w:spacing w:val="-32"/>
                <w:w w:val="95"/>
              </w:rPr>
              <w:t xml:space="preserve"> </w:t>
            </w:r>
            <w:r>
              <w:rPr>
                <w:color w:val="231F20"/>
                <w:w w:val="95"/>
              </w:rPr>
              <w:t>if</w:t>
            </w:r>
            <w:r>
              <w:rPr>
                <w:color w:val="231F20"/>
                <w:spacing w:val="-32"/>
                <w:w w:val="95"/>
              </w:rPr>
              <w:t xml:space="preserve"> </w:t>
            </w:r>
            <w:r>
              <w:rPr>
                <w:color w:val="231F20"/>
                <w:w w:val="95"/>
              </w:rPr>
              <w:t>a</w:t>
            </w:r>
            <w:r>
              <w:rPr>
                <w:color w:val="231F20"/>
                <w:spacing w:val="-32"/>
                <w:w w:val="95"/>
              </w:rPr>
              <w:t xml:space="preserve"> </w:t>
            </w:r>
            <w:r>
              <w:rPr>
                <w:color w:val="231F20"/>
                <w:w w:val="95"/>
              </w:rPr>
              <w:t>person</w:t>
            </w:r>
            <w:r>
              <w:rPr>
                <w:color w:val="231F20"/>
                <w:spacing w:val="-32"/>
                <w:w w:val="95"/>
              </w:rPr>
              <w:t xml:space="preserve"> </w:t>
            </w:r>
            <w:r>
              <w:rPr>
                <w:color w:val="231F20"/>
                <w:w w:val="95"/>
              </w:rPr>
              <w:t>does</w:t>
            </w:r>
            <w:r>
              <w:rPr>
                <w:color w:val="231F20"/>
                <w:spacing w:val="-32"/>
                <w:w w:val="95"/>
              </w:rPr>
              <w:t xml:space="preserve"> </w:t>
            </w:r>
            <w:r>
              <w:rPr>
                <w:color w:val="231F20"/>
                <w:w w:val="95"/>
              </w:rPr>
              <w:t>not</w:t>
            </w:r>
            <w:r>
              <w:rPr>
                <w:color w:val="231F20"/>
                <w:spacing w:val="-32"/>
                <w:w w:val="95"/>
              </w:rPr>
              <w:t xml:space="preserve"> </w:t>
            </w:r>
            <w:r>
              <w:rPr>
                <w:color w:val="231F20"/>
                <w:w w:val="95"/>
              </w:rPr>
              <w:t>swim</w:t>
            </w:r>
            <w:r>
              <w:rPr>
                <w:color w:val="231F20"/>
                <w:spacing w:val="-32"/>
                <w:w w:val="95"/>
              </w:rPr>
              <w:t xml:space="preserve"> </w:t>
            </w:r>
            <w:r>
              <w:rPr>
                <w:color w:val="231F20"/>
                <w:w w:val="95"/>
              </w:rPr>
              <w:t>during</w:t>
            </w:r>
            <w:r>
              <w:rPr>
                <w:color w:val="231F20"/>
                <w:spacing w:val="-32"/>
                <w:w w:val="95"/>
              </w:rPr>
              <w:t xml:space="preserve"> </w:t>
            </w:r>
            <w:r>
              <w:rPr>
                <w:color w:val="231F20"/>
                <w:w w:val="95"/>
              </w:rPr>
              <w:t>high</w:t>
            </w:r>
            <w:r>
              <w:rPr>
                <w:color w:val="231F20"/>
                <w:spacing w:val="-32"/>
                <w:w w:val="95"/>
              </w:rPr>
              <w:t xml:space="preserve"> </w:t>
            </w:r>
            <w:r>
              <w:rPr>
                <w:color w:val="231F20"/>
                <w:w w:val="95"/>
              </w:rPr>
              <w:t>flows.</w:t>
            </w:r>
          </w:p>
          <w:p w14:paraId="225C8DC4" w14:textId="77777777" w:rsidR="00B54C6E" w:rsidRDefault="00B54C6E" w:rsidP="00FE4F59">
            <w:pPr>
              <w:pStyle w:val="BodyText"/>
              <w:spacing w:before="91" w:line="249" w:lineRule="auto"/>
            </w:pPr>
            <w:r>
              <w:rPr>
                <w:color w:val="231F20"/>
                <w:w w:val="95"/>
                <w:position w:val="7"/>
                <w:sz w:val="11"/>
              </w:rPr>
              <w:t>1</w:t>
            </w:r>
            <w:r>
              <w:rPr>
                <w:color w:val="231F20"/>
                <w:spacing w:val="-14"/>
                <w:w w:val="95"/>
                <w:position w:val="7"/>
                <w:sz w:val="11"/>
              </w:rPr>
              <w:t xml:space="preserve"> </w:t>
            </w:r>
            <w:r>
              <w:rPr>
                <w:color w:val="231F20"/>
                <w:spacing w:val="-3"/>
                <w:w w:val="95"/>
              </w:rPr>
              <w:t>Attribute</w:t>
            </w:r>
            <w:r>
              <w:rPr>
                <w:color w:val="231F20"/>
                <w:spacing w:val="-25"/>
                <w:w w:val="95"/>
              </w:rPr>
              <w:t xml:space="preserve"> </w:t>
            </w:r>
            <w:r>
              <w:rPr>
                <w:color w:val="231F20"/>
                <w:w w:val="95"/>
              </w:rPr>
              <w:t>state</w:t>
            </w:r>
            <w:r>
              <w:rPr>
                <w:color w:val="231F20"/>
                <w:spacing w:val="-25"/>
                <w:w w:val="95"/>
              </w:rPr>
              <w:t xml:space="preserve"> </w:t>
            </w:r>
            <w:r>
              <w:rPr>
                <w:color w:val="231F20"/>
                <w:w w:val="95"/>
              </w:rPr>
              <w:t>should</w:t>
            </w:r>
            <w:r>
              <w:rPr>
                <w:color w:val="231F20"/>
                <w:spacing w:val="-25"/>
                <w:w w:val="95"/>
              </w:rPr>
              <w:t xml:space="preserve"> </w:t>
            </w:r>
            <w:r>
              <w:rPr>
                <w:color w:val="231F20"/>
                <w:w w:val="95"/>
              </w:rPr>
              <w:t>be</w:t>
            </w:r>
            <w:r>
              <w:rPr>
                <w:color w:val="231F20"/>
                <w:spacing w:val="-25"/>
                <w:w w:val="95"/>
              </w:rPr>
              <w:t xml:space="preserve"> </w:t>
            </w:r>
            <w:r>
              <w:rPr>
                <w:color w:val="231F20"/>
                <w:w w:val="95"/>
              </w:rPr>
              <w:t>determined</w:t>
            </w:r>
            <w:r>
              <w:rPr>
                <w:color w:val="231F20"/>
                <w:spacing w:val="-25"/>
                <w:w w:val="95"/>
              </w:rPr>
              <w:t xml:space="preserve"> </w:t>
            </w:r>
            <w:r>
              <w:rPr>
                <w:color w:val="231F20"/>
                <w:w w:val="95"/>
              </w:rPr>
              <w:t>by</w:t>
            </w:r>
            <w:r>
              <w:rPr>
                <w:color w:val="231F20"/>
                <w:spacing w:val="-25"/>
                <w:w w:val="95"/>
              </w:rPr>
              <w:t xml:space="preserve"> </w:t>
            </w:r>
            <w:r>
              <w:rPr>
                <w:color w:val="231F20"/>
                <w:w w:val="95"/>
              </w:rPr>
              <w:t>using</w:t>
            </w:r>
            <w:r>
              <w:rPr>
                <w:color w:val="231F20"/>
                <w:spacing w:val="-25"/>
                <w:w w:val="95"/>
              </w:rPr>
              <w:t xml:space="preserve"> </w:t>
            </w:r>
            <w:r>
              <w:rPr>
                <w:color w:val="231F20"/>
                <w:w w:val="95"/>
              </w:rPr>
              <w:t>a</w:t>
            </w:r>
            <w:r>
              <w:rPr>
                <w:color w:val="231F20"/>
                <w:spacing w:val="-25"/>
                <w:w w:val="95"/>
              </w:rPr>
              <w:t xml:space="preserve"> </w:t>
            </w:r>
            <w:r>
              <w:rPr>
                <w:color w:val="231F20"/>
                <w:w w:val="95"/>
              </w:rPr>
              <w:t>minimum</w:t>
            </w:r>
            <w:r>
              <w:rPr>
                <w:color w:val="231F20"/>
                <w:spacing w:val="-25"/>
                <w:w w:val="95"/>
              </w:rPr>
              <w:t xml:space="preserve"> </w:t>
            </w:r>
            <w:r>
              <w:rPr>
                <w:color w:val="231F20"/>
                <w:w w:val="95"/>
              </w:rPr>
              <w:t>of</w:t>
            </w:r>
            <w:r>
              <w:rPr>
                <w:color w:val="231F20"/>
                <w:spacing w:val="-25"/>
                <w:w w:val="95"/>
              </w:rPr>
              <w:t xml:space="preserve"> </w:t>
            </w:r>
            <w:r>
              <w:rPr>
                <w:color w:val="231F20"/>
                <w:w w:val="95"/>
              </w:rPr>
              <w:t>60</w:t>
            </w:r>
            <w:r>
              <w:rPr>
                <w:color w:val="231F20"/>
                <w:spacing w:val="-25"/>
                <w:w w:val="95"/>
              </w:rPr>
              <w:t xml:space="preserve"> </w:t>
            </w:r>
            <w:r>
              <w:rPr>
                <w:color w:val="231F20"/>
                <w:w w:val="95"/>
              </w:rPr>
              <w:t>samples</w:t>
            </w:r>
            <w:r>
              <w:rPr>
                <w:color w:val="231F20"/>
                <w:spacing w:val="-25"/>
                <w:w w:val="95"/>
              </w:rPr>
              <w:t xml:space="preserve"> </w:t>
            </w:r>
            <w:r>
              <w:rPr>
                <w:color w:val="231F20"/>
                <w:w w:val="95"/>
              </w:rPr>
              <w:t>over</w:t>
            </w:r>
            <w:r>
              <w:rPr>
                <w:color w:val="231F20"/>
                <w:spacing w:val="-25"/>
                <w:w w:val="95"/>
              </w:rPr>
              <w:t xml:space="preserve"> </w:t>
            </w:r>
            <w:r>
              <w:rPr>
                <w:color w:val="231F20"/>
                <w:w w:val="95"/>
              </w:rPr>
              <w:t>a</w:t>
            </w:r>
            <w:r>
              <w:rPr>
                <w:color w:val="231F20"/>
                <w:spacing w:val="-25"/>
                <w:w w:val="95"/>
              </w:rPr>
              <w:t xml:space="preserve"> </w:t>
            </w:r>
            <w:r>
              <w:rPr>
                <w:color w:val="231F20"/>
                <w:w w:val="95"/>
              </w:rPr>
              <w:t>maximum</w:t>
            </w:r>
            <w:r>
              <w:rPr>
                <w:color w:val="231F20"/>
                <w:spacing w:val="-25"/>
                <w:w w:val="95"/>
              </w:rPr>
              <w:t xml:space="preserve"> </w:t>
            </w:r>
            <w:r>
              <w:rPr>
                <w:color w:val="231F20"/>
                <w:w w:val="95"/>
              </w:rPr>
              <w:t>of</w:t>
            </w:r>
            <w:r>
              <w:rPr>
                <w:color w:val="231F20"/>
                <w:spacing w:val="-25"/>
                <w:w w:val="95"/>
              </w:rPr>
              <w:t xml:space="preserve"> </w:t>
            </w:r>
            <w:r>
              <w:rPr>
                <w:color w:val="231F20"/>
                <w:w w:val="95"/>
              </w:rPr>
              <w:t>5</w:t>
            </w:r>
            <w:r>
              <w:rPr>
                <w:color w:val="231F20"/>
                <w:spacing w:val="-25"/>
                <w:w w:val="95"/>
              </w:rPr>
              <w:t xml:space="preserve"> </w:t>
            </w:r>
            <w:r>
              <w:rPr>
                <w:color w:val="231F20"/>
                <w:w w:val="95"/>
              </w:rPr>
              <w:t>years, collected</w:t>
            </w:r>
            <w:r>
              <w:rPr>
                <w:color w:val="231F20"/>
                <w:spacing w:val="-29"/>
                <w:w w:val="95"/>
              </w:rPr>
              <w:t xml:space="preserve"> </w:t>
            </w:r>
            <w:r>
              <w:rPr>
                <w:color w:val="231F20"/>
                <w:w w:val="95"/>
              </w:rPr>
              <w:t>on</w:t>
            </w:r>
            <w:r>
              <w:rPr>
                <w:color w:val="231F20"/>
                <w:spacing w:val="-29"/>
                <w:w w:val="95"/>
              </w:rPr>
              <w:t xml:space="preserve"> </w:t>
            </w:r>
            <w:r>
              <w:rPr>
                <w:color w:val="231F20"/>
                <w:w w:val="95"/>
              </w:rPr>
              <w:t>a</w:t>
            </w:r>
            <w:r>
              <w:rPr>
                <w:color w:val="231F20"/>
                <w:spacing w:val="-29"/>
                <w:w w:val="95"/>
              </w:rPr>
              <w:t xml:space="preserve"> </w:t>
            </w:r>
            <w:r>
              <w:rPr>
                <w:color w:val="231F20"/>
                <w:w w:val="95"/>
              </w:rPr>
              <w:t>regular</w:t>
            </w:r>
            <w:r>
              <w:rPr>
                <w:color w:val="231F20"/>
                <w:spacing w:val="-29"/>
                <w:w w:val="95"/>
              </w:rPr>
              <w:t xml:space="preserve"> </w:t>
            </w:r>
            <w:r>
              <w:rPr>
                <w:color w:val="231F20"/>
                <w:w w:val="95"/>
              </w:rPr>
              <w:t>basis</w:t>
            </w:r>
            <w:r>
              <w:rPr>
                <w:color w:val="231F20"/>
                <w:spacing w:val="-29"/>
                <w:w w:val="95"/>
              </w:rPr>
              <w:t xml:space="preserve"> </w:t>
            </w:r>
            <w:r>
              <w:rPr>
                <w:color w:val="231F20"/>
                <w:w w:val="95"/>
              </w:rPr>
              <w:t>regardless</w:t>
            </w:r>
            <w:r>
              <w:rPr>
                <w:color w:val="231F20"/>
                <w:spacing w:val="-29"/>
                <w:w w:val="95"/>
              </w:rPr>
              <w:t xml:space="preserve"> </w:t>
            </w:r>
            <w:r>
              <w:rPr>
                <w:color w:val="231F20"/>
                <w:w w:val="95"/>
              </w:rPr>
              <w:t>of</w:t>
            </w:r>
            <w:r>
              <w:rPr>
                <w:color w:val="231F20"/>
                <w:spacing w:val="-29"/>
                <w:w w:val="95"/>
              </w:rPr>
              <w:t xml:space="preserve"> </w:t>
            </w:r>
            <w:r>
              <w:rPr>
                <w:color w:val="231F20"/>
                <w:w w:val="95"/>
              </w:rPr>
              <w:t>weather</w:t>
            </w:r>
            <w:r>
              <w:rPr>
                <w:color w:val="231F20"/>
                <w:spacing w:val="-29"/>
                <w:w w:val="95"/>
              </w:rPr>
              <w:t xml:space="preserve"> </w:t>
            </w:r>
            <w:r>
              <w:rPr>
                <w:color w:val="231F20"/>
                <w:w w:val="95"/>
              </w:rPr>
              <w:t>and</w:t>
            </w:r>
            <w:r>
              <w:rPr>
                <w:color w:val="231F20"/>
                <w:spacing w:val="-29"/>
                <w:w w:val="95"/>
              </w:rPr>
              <w:t xml:space="preserve"> </w:t>
            </w:r>
            <w:r>
              <w:rPr>
                <w:color w:val="231F20"/>
                <w:w w:val="95"/>
              </w:rPr>
              <w:t>flow</w:t>
            </w:r>
            <w:r>
              <w:rPr>
                <w:color w:val="231F20"/>
                <w:spacing w:val="-29"/>
                <w:w w:val="95"/>
              </w:rPr>
              <w:t xml:space="preserve"> </w:t>
            </w:r>
            <w:r>
              <w:rPr>
                <w:color w:val="231F20"/>
                <w:w w:val="95"/>
              </w:rPr>
              <w:t>conditions.</w:t>
            </w:r>
            <w:r>
              <w:rPr>
                <w:color w:val="231F20"/>
                <w:spacing w:val="-29"/>
                <w:w w:val="95"/>
              </w:rPr>
              <w:t xml:space="preserve"> </w:t>
            </w:r>
            <w:r>
              <w:rPr>
                <w:color w:val="231F20"/>
                <w:spacing w:val="-4"/>
                <w:w w:val="95"/>
              </w:rPr>
              <w:t>However,</w:t>
            </w:r>
            <w:r>
              <w:rPr>
                <w:color w:val="231F20"/>
                <w:spacing w:val="-29"/>
                <w:w w:val="95"/>
              </w:rPr>
              <w:t xml:space="preserve"> </w:t>
            </w:r>
            <w:r>
              <w:rPr>
                <w:color w:val="231F20"/>
                <w:w w:val="95"/>
              </w:rPr>
              <w:t>where</w:t>
            </w:r>
            <w:r>
              <w:rPr>
                <w:color w:val="231F20"/>
                <w:spacing w:val="-29"/>
                <w:w w:val="95"/>
              </w:rPr>
              <w:t xml:space="preserve"> </w:t>
            </w:r>
            <w:r>
              <w:rPr>
                <w:color w:val="231F20"/>
                <w:w w:val="95"/>
              </w:rPr>
              <w:t>a</w:t>
            </w:r>
            <w:r>
              <w:rPr>
                <w:color w:val="231F20"/>
                <w:spacing w:val="-29"/>
                <w:w w:val="95"/>
              </w:rPr>
              <w:t xml:space="preserve"> </w:t>
            </w:r>
            <w:r>
              <w:rPr>
                <w:color w:val="231F20"/>
                <w:w w:val="95"/>
              </w:rPr>
              <w:t>sample</w:t>
            </w:r>
            <w:r>
              <w:rPr>
                <w:color w:val="231F20"/>
                <w:spacing w:val="-29"/>
                <w:w w:val="95"/>
              </w:rPr>
              <w:t xml:space="preserve"> </w:t>
            </w:r>
            <w:r>
              <w:rPr>
                <w:color w:val="231F20"/>
                <w:w w:val="95"/>
              </w:rPr>
              <w:t>has been</w:t>
            </w:r>
            <w:r>
              <w:rPr>
                <w:color w:val="231F20"/>
                <w:spacing w:val="-28"/>
                <w:w w:val="95"/>
              </w:rPr>
              <w:t xml:space="preserve"> </w:t>
            </w:r>
            <w:r>
              <w:rPr>
                <w:color w:val="231F20"/>
                <w:w w:val="95"/>
              </w:rPr>
              <w:t>missed</w:t>
            </w:r>
            <w:r>
              <w:rPr>
                <w:color w:val="231F20"/>
                <w:spacing w:val="-28"/>
                <w:w w:val="95"/>
              </w:rPr>
              <w:t xml:space="preserve"> </w:t>
            </w:r>
            <w:r>
              <w:rPr>
                <w:color w:val="231F20"/>
                <w:w w:val="95"/>
              </w:rPr>
              <w:t>due</w:t>
            </w:r>
            <w:r>
              <w:rPr>
                <w:color w:val="231F20"/>
                <w:spacing w:val="-28"/>
                <w:w w:val="95"/>
              </w:rPr>
              <w:t xml:space="preserve"> </w:t>
            </w:r>
            <w:r>
              <w:rPr>
                <w:color w:val="231F20"/>
                <w:w w:val="95"/>
              </w:rPr>
              <w:t>to</w:t>
            </w:r>
            <w:r>
              <w:rPr>
                <w:color w:val="231F20"/>
                <w:spacing w:val="-28"/>
                <w:w w:val="95"/>
              </w:rPr>
              <w:t xml:space="preserve"> </w:t>
            </w:r>
            <w:r>
              <w:rPr>
                <w:color w:val="231F20"/>
                <w:w w:val="95"/>
              </w:rPr>
              <w:t>adverse</w:t>
            </w:r>
            <w:r>
              <w:rPr>
                <w:color w:val="231F20"/>
                <w:spacing w:val="-28"/>
                <w:w w:val="95"/>
              </w:rPr>
              <w:t xml:space="preserve"> </w:t>
            </w:r>
            <w:r>
              <w:rPr>
                <w:color w:val="231F20"/>
                <w:w w:val="95"/>
              </w:rPr>
              <w:t>weather</w:t>
            </w:r>
            <w:r>
              <w:rPr>
                <w:color w:val="231F20"/>
                <w:spacing w:val="-28"/>
                <w:w w:val="95"/>
              </w:rPr>
              <w:t xml:space="preserve"> </w:t>
            </w:r>
            <w:r>
              <w:rPr>
                <w:color w:val="231F20"/>
                <w:w w:val="95"/>
              </w:rPr>
              <w:t>or</w:t>
            </w:r>
            <w:r>
              <w:rPr>
                <w:color w:val="231F20"/>
                <w:spacing w:val="-28"/>
                <w:w w:val="95"/>
              </w:rPr>
              <w:t xml:space="preserve"> </w:t>
            </w:r>
            <w:r>
              <w:rPr>
                <w:color w:val="231F20"/>
                <w:spacing w:val="-4"/>
                <w:w w:val="95"/>
              </w:rPr>
              <w:t>error,</w:t>
            </w:r>
            <w:r>
              <w:rPr>
                <w:color w:val="231F20"/>
                <w:spacing w:val="-28"/>
                <w:w w:val="95"/>
              </w:rPr>
              <w:t xml:space="preserve"> </w:t>
            </w:r>
            <w:r>
              <w:rPr>
                <w:color w:val="231F20"/>
                <w:w w:val="95"/>
              </w:rPr>
              <w:t>attribute</w:t>
            </w:r>
            <w:r>
              <w:rPr>
                <w:color w:val="231F20"/>
                <w:spacing w:val="-28"/>
                <w:w w:val="95"/>
              </w:rPr>
              <w:t xml:space="preserve"> </w:t>
            </w:r>
            <w:r>
              <w:rPr>
                <w:color w:val="231F20"/>
                <w:w w:val="95"/>
              </w:rPr>
              <w:t>state</w:t>
            </w:r>
            <w:r>
              <w:rPr>
                <w:color w:val="231F20"/>
                <w:spacing w:val="-28"/>
                <w:w w:val="95"/>
              </w:rPr>
              <w:t xml:space="preserve"> </w:t>
            </w:r>
            <w:r>
              <w:rPr>
                <w:color w:val="231F20"/>
                <w:w w:val="95"/>
              </w:rPr>
              <w:t>may</w:t>
            </w:r>
            <w:r>
              <w:rPr>
                <w:color w:val="231F20"/>
                <w:spacing w:val="-28"/>
                <w:w w:val="95"/>
              </w:rPr>
              <w:t xml:space="preserve"> </w:t>
            </w:r>
            <w:r>
              <w:rPr>
                <w:color w:val="231F20"/>
                <w:w w:val="95"/>
              </w:rPr>
              <w:t>be</w:t>
            </w:r>
            <w:r>
              <w:rPr>
                <w:color w:val="231F20"/>
                <w:spacing w:val="-28"/>
                <w:w w:val="95"/>
              </w:rPr>
              <w:t xml:space="preserve"> </w:t>
            </w:r>
            <w:r>
              <w:rPr>
                <w:color w:val="231F20"/>
                <w:w w:val="95"/>
              </w:rPr>
              <w:t>determined</w:t>
            </w:r>
            <w:r>
              <w:rPr>
                <w:color w:val="231F20"/>
                <w:spacing w:val="-28"/>
                <w:w w:val="95"/>
              </w:rPr>
              <w:t xml:space="preserve"> </w:t>
            </w:r>
            <w:r>
              <w:rPr>
                <w:color w:val="231F20"/>
                <w:w w:val="95"/>
              </w:rPr>
              <w:t>using</w:t>
            </w:r>
            <w:r>
              <w:rPr>
                <w:color w:val="231F20"/>
                <w:spacing w:val="-28"/>
                <w:w w:val="95"/>
              </w:rPr>
              <w:t xml:space="preserve"> </w:t>
            </w:r>
            <w:r>
              <w:rPr>
                <w:color w:val="231F20"/>
                <w:w w:val="95"/>
              </w:rPr>
              <w:t>samples</w:t>
            </w:r>
            <w:r>
              <w:rPr>
                <w:color w:val="231F20"/>
                <w:spacing w:val="-28"/>
                <w:w w:val="95"/>
              </w:rPr>
              <w:t xml:space="preserve"> </w:t>
            </w:r>
            <w:r>
              <w:rPr>
                <w:color w:val="231F20"/>
                <w:w w:val="95"/>
              </w:rPr>
              <w:t>over</w:t>
            </w:r>
            <w:r>
              <w:rPr>
                <w:color w:val="231F20"/>
                <w:spacing w:val="-28"/>
                <w:w w:val="95"/>
              </w:rPr>
              <w:t xml:space="preserve"> </w:t>
            </w:r>
            <w:r>
              <w:rPr>
                <w:color w:val="231F20"/>
                <w:w w:val="95"/>
              </w:rPr>
              <w:t xml:space="preserve">a </w:t>
            </w:r>
            <w:r>
              <w:rPr>
                <w:color w:val="231F20"/>
                <w:w w:val="90"/>
              </w:rPr>
              <w:t>longer</w:t>
            </w:r>
            <w:r>
              <w:rPr>
                <w:color w:val="231F20"/>
                <w:spacing w:val="2"/>
                <w:w w:val="90"/>
              </w:rPr>
              <w:t xml:space="preserve"> </w:t>
            </w:r>
            <w:r>
              <w:rPr>
                <w:color w:val="231F20"/>
                <w:w w:val="90"/>
              </w:rPr>
              <w:t>timeframe.</w:t>
            </w:r>
          </w:p>
          <w:p w14:paraId="53B74BAE" w14:textId="77777777" w:rsidR="00B54C6E" w:rsidRDefault="00B54C6E" w:rsidP="00B54C6E">
            <w:pPr>
              <w:pStyle w:val="BodyText"/>
              <w:spacing w:before="6"/>
              <w:rPr>
                <w:sz w:val="17"/>
              </w:rPr>
            </w:pPr>
          </w:p>
          <w:p w14:paraId="39DF23E2" w14:textId="77777777" w:rsidR="00B54C6E" w:rsidRDefault="00B54C6E" w:rsidP="00FE4F59">
            <w:pPr>
              <w:pStyle w:val="BodyText"/>
            </w:pPr>
            <w:r>
              <w:rPr>
                <w:color w:val="231F20"/>
                <w:w w:val="90"/>
                <w:position w:val="7"/>
                <w:sz w:val="11"/>
              </w:rPr>
              <w:t xml:space="preserve">2 </w:t>
            </w:r>
            <w:r>
              <w:rPr>
                <w:color w:val="231F20"/>
                <w:w w:val="90"/>
              </w:rPr>
              <w:t>Attribute state must be determined by satisfying all numeric attribute states.</w:t>
            </w:r>
          </w:p>
          <w:p w14:paraId="40706E7E" w14:textId="77777777" w:rsidR="00B54C6E" w:rsidRDefault="00B54C6E" w:rsidP="00B54C6E">
            <w:pPr>
              <w:pStyle w:val="TableParagraph"/>
              <w:spacing w:before="4"/>
              <w:rPr>
                <w:rFonts w:ascii="Calibri"/>
                <w:sz w:val="32"/>
              </w:rPr>
            </w:pPr>
          </w:p>
        </w:tc>
      </w:tr>
    </w:tbl>
    <w:p w14:paraId="552C19C0" w14:textId="77777777" w:rsidR="00702958" w:rsidRDefault="00702958" w:rsidP="00882034">
      <w:pPr>
        <w:pStyle w:val="Body"/>
      </w:pPr>
    </w:p>
    <w:p w14:paraId="17E4CD18" w14:textId="77777777" w:rsidR="00B15876" w:rsidRDefault="00B15876" w:rsidP="00882034">
      <w:pPr>
        <w:pStyle w:val="Body"/>
      </w:pPr>
    </w:p>
    <w:p w14:paraId="3F9CCC3D" w14:textId="77777777" w:rsidR="00B15876" w:rsidRDefault="00B15876">
      <w:pPr>
        <w:spacing w:after="0"/>
      </w:pPr>
      <w:r>
        <w:br w:type="page"/>
      </w:r>
    </w:p>
    <w:p w14:paraId="7D5414AD" w14:textId="77777777" w:rsidR="006F4ECD" w:rsidRDefault="00F03477" w:rsidP="00B9536D">
      <w:pPr>
        <w:pStyle w:val="Appendix"/>
      </w:pPr>
      <w:bookmarkStart w:id="796" w:name="_Toc516822520"/>
      <w:bookmarkStart w:id="797" w:name="_Toc516739077"/>
      <w:bookmarkStart w:id="798" w:name="_Toc516740805"/>
      <w:bookmarkStart w:id="799" w:name="_Toc516741316"/>
      <w:bookmarkStart w:id="800" w:name="_Toc516809689"/>
      <w:bookmarkStart w:id="801" w:name="_Ref516816289"/>
      <w:bookmarkStart w:id="802" w:name="_Toc516839816"/>
      <w:bookmarkStart w:id="803" w:name="_Toc516840488"/>
      <w:bookmarkStart w:id="804" w:name="_Toc516841498"/>
      <w:bookmarkStart w:id="805" w:name="_Toc516841729"/>
      <w:bookmarkStart w:id="806" w:name="_Toc516841731"/>
      <w:bookmarkStart w:id="807" w:name="_Toc517186074"/>
      <w:bookmarkStart w:id="808" w:name="_Ref517186315"/>
      <w:bookmarkStart w:id="809" w:name="_Toc517254464"/>
      <w:bookmarkStart w:id="810" w:name="_Ref517678804"/>
      <w:bookmarkStart w:id="811" w:name="_Ref517682086"/>
      <w:bookmarkStart w:id="812" w:name="_Toc517687771"/>
      <w:bookmarkStart w:id="813" w:name="_Toc517687774"/>
      <w:bookmarkStart w:id="814" w:name="_Toc517698913"/>
      <w:bookmarkStart w:id="815" w:name="_Toc517795808"/>
      <w:bookmarkStart w:id="816" w:name="_Toc517795844"/>
      <w:bookmarkStart w:id="817" w:name="_Toc517796096"/>
      <w:bookmarkStart w:id="818" w:name="_Toc518540288"/>
      <w:bookmarkStart w:id="819" w:name="_Toc518540291"/>
      <w:bookmarkStart w:id="820" w:name="_Toc518648676"/>
      <w:bookmarkStart w:id="821" w:name="_Ref518650521"/>
      <w:bookmarkStart w:id="822" w:name="_Toc518659672"/>
      <w:bookmarkStart w:id="823" w:name="_Toc518659750"/>
      <w:bookmarkStart w:id="824" w:name="_Toc518659957"/>
      <w:bookmarkStart w:id="825" w:name="_Toc520963139"/>
      <w:bookmarkStart w:id="826" w:name="_Toc520963142"/>
      <w:bookmarkStart w:id="827" w:name="_Toc521055391"/>
      <w:bookmarkStart w:id="828" w:name="_Toc521055394"/>
      <w:bookmarkStart w:id="829" w:name="_Toc521058292"/>
      <w:bookmarkStart w:id="830" w:name="_Toc521062208"/>
      <w:bookmarkStart w:id="831" w:name="_Toc521062286"/>
      <w:bookmarkStart w:id="832" w:name="_Toc521064820"/>
      <w:bookmarkStart w:id="833" w:name="_Toc523143928"/>
      <w:bookmarkStart w:id="834" w:name="_Toc523143931"/>
      <w:r>
        <w:lastRenderedPageBreak/>
        <w:t>–</w:t>
      </w:r>
      <w:bookmarkEnd w:id="796"/>
      <w:r w:rsidR="00B15876">
        <w:t xml:space="preserve"> </w:t>
      </w:r>
      <w:bookmarkEnd w:id="797"/>
      <w:bookmarkEnd w:id="798"/>
      <w:bookmarkEnd w:id="799"/>
      <w:bookmarkEnd w:id="800"/>
      <w:bookmarkEnd w:id="801"/>
      <w:bookmarkEnd w:id="802"/>
      <w:bookmarkEnd w:id="803"/>
      <w:bookmarkEnd w:id="804"/>
      <w:bookmarkEnd w:id="805"/>
      <w:bookmarkEnd w:id="806"/>
      <w:r w:rsidR="006F4ECD">
        <w:t xml:space="preserve">Wastewater </w:t>
      </w:r>
      <w:r w:rsidR="00201A07">
        <w:t>n</w:t>
      </w:r>
      <w:r w:rsidR="006F4ECD">
        <w:t xml:space="preserve">etwork </w:t>
      </w:r>
      <w:r w:rsidR="00201A07">
        <w:t>o</w:t>
      </w:r>
      <w:r w:rsidR="006F4ECD">
        <w:t xml:space="preserve">verflow </w:t>
      </w:r>
      <w:r w:rsidR="00201A07">
        <w:t>e</w:t>
      </w:r>
      <w:r w:rsidR="006F4ECD">
        <w:t xml:space="preserve">xample </w:t>
      </w:r>
      <w:r w:rsidR="00201A07">
        <w:t>m</w:t>
      </w:r>
      <w:r w:rsidR="006F4ECD">
        <w:t xml:space="preserve">anagement </w:t>
      </w:r>
      <w:r w:rsidR="00201A07">
        <w:t>a</w:t>
      </w:r>
      <w:r w:rsidR="006F4ECD">
        <w:t>pproaches</w:t>
      </w:r>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p w14:paraId="1DAA2CDB" w14:textId="77777777" w:rsidR="006F4ECD" w:rsidRDefault="006F4ECD" w:rsidP="006F4ECD">
      <w:pPr>
        <w:pStyle w:val="RestartNumbering"/>
        <w:rPr>
          <w:highlight w:val="lightGray"/>
          <w:lang w:eastAsia="en-AU"/>
        </w:rPr>
      </w:pPr>
    </w:p>
    <w:p w14:paraId="248798B7" w14:textId="77777777" w:rsidR="006F4ECD" w:rsidRPr="00ED66CC" w:rsidRDefault="004E6D0F" w:rsidP="00A924E4">
      <w:pPr>
        <w:pStyle w:val="BodyText"/>
        <w:ind w:left="567"/>
        <w:rPr>
          <w:rFonts w:ascii="Arial Black" w:eastAsia="Times New Roman" w:hAnsi="Arial Black" w:cs="Times New Roman"/>
          <w:color w:val="00599C"/>
          <w:sz w:val="22"/>
          <w:szCs w:val="22"/>
          <w:lang w:val="en-AU"/>
        </w:rPr>
      </w:pPr>
      <w:bookmarkStart w:id="835" w:name="_Toc517267854"/>
      <w:bookmarkStart w:id="836" w:name="_Toc517687752"/>
      <w:bookmarkStart w:id="837" w:name="_Toc517707423"/>
      <w:bookmarkStart w:id="838" w:name="_Toc517776795"/>
      <w:bookmarkStart w:id="839" w:name="_Toc517787180"/>
      <w:r w:rsidRPr="00ED66CC">
        <w:rPr>
          <w:rFonts w:ascii="Arial Black" w:eastAsia="Times New Roman" w:hAnsi="Arial Black" w:cs="Times New Roman"/>
          <w:bCs/>
          <w:color w:val="00599C"/>
          <w:sz w:val="22"/>
          <w:szCs w:val="22"/>
          <w:lang w:val="en-AU"/>
        </w:rPr>
        <w:t>C</w:t>
      </w:r>
      <w:r w:rsidR="006F4ECD" w:rsidRPr="00ED66CC">
        <w:rPr>
          <w:rFonts w:ascii="Arial Black" w:eastAsia="Times New Roman" w:hAnsi="Arial Black" w:cs="Times New Roman"/>
          <w:bCs/>
          <w:color w:val="00599C"/>
          <w:sz w:val="22"/>
          <w:szCs w:val="22"/>
          <w:lang w:val="en-AU"/>
        </w:rPr>
        <w:t>.1 Over</w:t>
      </w:r>
      <w:r w:rsidR="00C83BE4" w:rsidRPr="00ED66CC">
        <w:rPr>
          <w:rFonts w:ascii="Arial Black" w:eastAsia="Times New Roman" w:hAnsi="Arial Black" w:cs="Times New Roman"/>
          <w:bCs/>
          <w:color w:val="00599C"/>
          <w:sz w:val="22"/>
          <w:szCs w:val="22"/>
          <w:lang w:val="en-AU"/>
        </w:rPr>
        <w:t>v</w:t>
      </w:r>
      <w:r w:rsidR="006F4ECD" w:rsidRPr="00ED66CC">
        <w:rPr>
          <w:rFonts w:ascii="Arial Black" w:eastAsia="Times New Roman" w:hAnsi="Arial Black" w:cs="Times New Roman"/>
          <w:bCs/>
          <w:color w:val="00599C"/>
          <w:sz w:val="22"/>
          <w:szCs w:val="22"/>
          <w:lang w:val="en-AU"/>
        </w:rPr>
        <w:t>iew</w:t>
      </w:r>
      <w:bookmarkEnd w:id="835"/>
      <w:bookmarkEnd w:id="836"/>
      <w:bookmarkEnd w:id="837"/>
      <w:bookmarkEnd w:id="838"/>
      <w:bookmarkEnd w:id="839"/>
    </w:p>
    <w:p w14:paraId="00FA5F14" w14:textId="77777777" w:rsidR="006F4ECD" w:rsidRDefault="006F4ECD" w:rsidP="006F4ECD">
      <w:pPr>
        <w:pStyle w:val="Body"/>
        <w:rPr>
          <w:lang w:eastAsia="en-AU"/>
        </w:rPr>
      </w:pPr>
      <w:r>
        <w:rPr>
          <w:lang w:eastAsia="en-AU"/>
        </w:rPr>
        <w:t>The following Councils and network owners were interviewed and provided information about their network overflows:</w:t>
      </w:r>
    </w:p>
    <w:p w14:paraId="201E3764" w14:textId="77777777" w:rsidR="006F4ECD" w:rsidRDefault="006F4ECD" w:rsidP="006F4ECD">
      <w:pPr>
        <w:pStyle w:val="Caption"/>
        <w:rPr>
          <w:lang w:eastAsia="en-AU"/>
        </w:rPr>
      </w:pPr>
      <w:bookmarkStart w:id="840" w:name="_Toc516840505"/>
      <w:r>
        <w:t xml:space="preserve">Table </w:t>
      </w:r>
      <w:r w:rsidR="004E6D0F">
        <w:t>C-1</w:t>
      </w:r>
      <w:r>
        <w:t xml:space="preserve"> </w:t>
      </w:r>
      <w:r w:rsidR="00A924E4">
        <w:t xml:space="preserve"> </w:t>
      </w:r>
      <w:r>
        <w:t>Summary of Network Overflow Information</w:t>
      </w:r>
      <w:bookmarkEnd w:id="840"/>
    </w:p>
    <w:tbl>
      <w:tblPr>
        <w:tblStyle w:val="Table-Style3"/>
        <w:tblW w:w="0" w:type="auto"/>
        <w:tblInd w:w="465" w:type="dxa"/>
        <w:tblLook w:val="04A0" w:firstRow="1" w:lastRow="0" w:firstColumn="1" w:lastColumn="0" w:noHBand="0" w:noVBand="1"/>
      </w:tblPr>
      <w:tblGrid>
        <w:gridCol w:w="2502"/>
        <w:gridCol w:w="6085"/>
      </w:tblGrid>
      <w:tr w:rsidR="006F4ECD" w14:paraId="0EA2D8F6" w14:textId="77777777" w:rsidTr="00E66F34">
        <w:trPr>
          <w:cnfStyle w:val="100000000000" w:firstRow="1" w:lastRow="0" w:firstColumn="0" w:lastColumn="0" w:oddVBand="0" w:evenVBand="0" w:oddHBand="0" w:evenHBand="0" w:firstRowFirstColumn="0" w:firstRowLastColumn="0" w:lastRowFirstColumn="0" w:lastRowLastColumn="0"/>
          <w:tblHeader/>
        </w:trPr>
        <w:tc>
          <w:tcPr>
            <w:tcW w:w="2502" w:type="dxa"/>
          </w:tcPr>
          <w:p w14:paraId="423FC8DA" w14:textId="77777777" w:rsidR="006F4ECD" w:rsidRDefault="006F4ECD" w:rsidP="00DE480E">
            <w:pPr>
              <w:pStyle w:val="Body"/>
              <w:spacing w:before="45" w:after="91"/>
              <w:ind w:left="0"/>
              <w:rPr>
                <w:lang w:eastAsia="en-AU"/>
              </w:rPr>
            </w:pPr>
            <w:r>
              <w:rPr>
                <w:lang w:eastAsia="en-AU"/>
              </w:rPr>
              <w:t>Network Owner</w:t>
            </w:r>
          </w:p>
        </w:tc>
        <w:tc>
          <w:tcPr>
            <w:tcW w:w="6085" w:type="dxa"/>
          </w:tcPr>
          <w:p w14:paraId="24092A27" w14:textId="77777777" w:rsidR="006F4ECD" w:rsidRDefault="006F4ECD" w:rsidP="00DE480E">
            <w:pPr>
              <w:pStyle w:val="Body"/>
              <w:spacing w:before="45" w:after="91"/>
              <w:ind w:left="0"/>
              <w:rPr>
                <w:lang w:eastAsia="en-AU"/>
              </w:rPr>
            </w:pPr>
            <w:r>
              <w:rPr>
                <w:lang w:eastAsia="en-AU"/>
              </w:rPr>
              <w:t>Information Received</w:t>
            </w:r>
          </w:p>
        </w:tc>
      </w:tr>
      <w:tr w:rsidR="006F4ECD" w14:paraId="5082D633" w14:textId="77777777" w:rsidTr="00E66F34">
        <w:tc>
          <w:tcPr>
            <w:tcW w:w="2502" w:type="dxa"/>
          </w:tcPr>
          <w:p w14:paraId="186A1116" w14:textId="77777777" w:rsidR="006F4ECD" w:rsidRDefault="006F4ECD" w:rsidP="00DE480E">
            <w:pPr>
              <w:pStyle w:val="Body"/>
              <w:spacing w:before="45" w:after="91"/>
              <w:ind w:left="0"/>
              <w:rPr>
                <w:lang w:eastAsia="en-AU"/>
              </w:rPr>
            </w:pPr>
            <w:r>
              <w:rPr>
                <w:lang w:eastAsia="en-AU"/>
              </w:rPr>
              <w:t>Christchurch City Council</w:t>
            </w:r>
          </w:p>
        </w:tc>
        <w:tc>
          <w:tcPr>
            <w:tcW w:w="6085" w:type="dxa"/>
          </w:tcPr>
          <w:p w14:paraId="381E49EA" w14:textId="77777777" w:rsidR="006F4ECD" w:rsidRDefault="006F4ECD" w:rsidP="00DE480E">
            <w:pPr>
              <w:pStyle w:val="Body"/>
              <w:spacing w:before="45" w:after="91"/>
              <w:ind w:left="0"/>
              <w:rPr>
                <w:lang w:eastAsia="en-AU"/>
              </w:rPr>
            </w:pPr>
            <w:r>
              <w:rPr>
                <w:lang w:eastAsia="en-AU"/>
              </w:rPr>
              <w:t>GIS Location map of all overflows</w:t>
            </w:r>
          </w:p>
          <w:p w14:paraId="7D067670" w14:textId="77777777" w:rsidR="006F4ECD" w:rsidRDefault="006F4ECD" w:rsidP="00DE480E">
            <w:pPr>
              <w:pStyle w:val="Body"/>
              <w:spacing w:before="45" w:after="91"/>
              <w:ind w:left="0"/>
              <w:rPr>
                <w:lang w:eastAsia="en-AU"/>
              </w:rPr>
            </w:pPr>
            <w:r w:rsidRPr="007928F7">
              <w:rPr>
                <w:lang w:eastAsia="en-AU"/>
              </w:rPr>
              <w:t>Faecal source tracking report (ESR, 2015)</w:t>
            </w:r>
            <w:r>
              <w:rPr>
                <w:lang w:eastAsia="en-AU"/>
              </w:rPr>
              <w:t xml:space="preserve"> </w:t>
            </w:r>
          </w:p>
          <w:p w14:paraId="7BFA9E1F" w14:textId="77777777" w:rsidR="006F4ECD" w:rsidRDefault="006F4ECD" w:rsidP="00DE480E">
            <w:pPr>
              <w:pStyle w:val="Body"/>
              <w:spacing w:before="45" w:after="91"/>
              <w:ind w:left="0"/>
              <w:rPr>
                <w:lang w:eastAsia="en-AU"/>
              </w:rPr>
            </w:pPr>
            <w:r w:rsidRPr="007928F7">
              <w:rPr>
                <w:lang w:eastAsia="en-AU"/>
              </w:rPr>
              <w:t>City-wide wastewater optimisation - Phase 2 - preliminary solutions (WCS Engineering, April 2017)</w:t>
            </w:r>
          </w:p>
          <w:p w14:paraId="5890F9A1" w14:textId="77777777" w:rsidR="006F4ECD" w:rsidRDefault="006F4ECD" w:rsidP="00DE480E">
            <w:pPr>
              <w:pStyle w:val="Body"/>
              <w:spacing w:before="45" w:after="91"/>
              <w:ind w:left="0"/>
              <w:rPr>
                <w:lang w:eastAsia="en-AU"/>
              </w:rPr>
            </w:pPr>
            <w:r>
              <w:rPr>
                <w:lang w:eastAsia="en-AU"/>
              </w:rPr>
              <w:t>CCC Overflow Consent Modelling report Draft V12</w:t>
            </w:r>
          </w:p>
          <w:p w14:paraId="4CC584C2" w14:textId="77777777" w:rsidR="006F4ECD" w:rsidRDefault="006F4ECD" w:rsidP="00DE480E">
            <w:pPr>
              <w:pStyle w:val="Body"/>
              <w:spacing w:before="45" w:after="91"/>
              <w:ind w:left="0"/>
              <w:rPr>
                <w:lang w:eastAsia="en-AU"/>
              </w:rPr>
            </w:pPr>
            <w:r w:rsidRPr="007928F7">
              <w:rPr>
                <w:lang w:eastAsia="en-AU"/>
              </w:rPr>
              <w:t>Reducing wastewater overflows: a pragmatic approach to optimise capital investment in Christchurch</w:t>
            </w:r>
            <w:r>
              <w:rPr>
                <w:lang w:eastAsia="en-AU"/>
              </w:rPr>
              <w:t xml:space="preserve">  (OzWater paper 2018)</w:t>
            </w:r>
          </w:p>
        </w:tc>
      </w:tr>
      <w:tr w:rsidR="006F4ECD" w14:paraId="4F3C7516" w14:textId="77777777" w:rsidTr="00E66F34">
        <w:tc>
          <w:tcPr>
            <w:tcW w:w="2502" w:type="dxa"/>
          </w:tcPr>
          <w:p w14:paraId="4660468E" w14:textId="77777777" w:rsidR="006F4ECD" w:rsidRDefault="006F4ECD" w:rsidP="00DE480E">
            <w:pPr>
              <w:pStyle w:val="Body"/>
              <w:spacing w:before="45" w:after="91"/>
              <w:ind w:left="0"/>
              <w:rPr>
                <w:lang w:eastAsia="en-AU"/>
              </w:rPr>
            </w:pPr>
            <w:r>
              <w:rPr>
                <w:lang w:eastAsia="en-AU"/>
              </w:rPr>
              <w:t>Dunedin City Council</w:t>
            </w:r>
          </w:p>
        </w:tc>
        <w:tc>
          <w:tcPr>
            <w:tcW w:w="6085" w:type="dxa"/>
          </w:tcPr>
          <w:p w14:paraId="767FA23B" w14:textId="77777777" w:rsidR="006F4ECD" w:rsidRDefault="006F4ECD" w:rsidP="00DE480E">
            <w:pPr>
              <w:pStyle w:val="Body"/>
              <w:spacing w:before="45" w:after="91"/>
              <w:ind w:left="0"/>
              <w:rPr>
                <w:lang w:eastAsia="en-AU"/>
              </w:rPr>
            </w:pPr>
            <w:r w:rsidRPr="00F32C02">
              <w:rPr>
                <w:lang w:eastAsia="en-AU"/>
              </w:rPr>
              <w:t>GIS Location map of all overflows</w:t>
            </w:r>
          </w:p>
          <w:p w14:paraId="197F99D0" w14:textId="77777777" w:rsidR="006F4ECD" w:rsidRDefault="006F4ECD" w:rsidP="00DE480E">
            <w:pPr>
              <w:pStyle w:val="Body"/>
              <w:spacing w:before="45" w:after="91"/>
              <w:ind w:left="0"/>
              <w:rPr>
                <w:lang w:eastAsia="en-AU"/>
              </w:rPr>
            </w:pPr>
            <w:r>
              <w:rPr>
                <w:lang w:eastAsia="en-AU"/>
              </w:rPr>
              <w:t>Overflow events track sheet (monitored events since 2012)</w:t>
            </w:r>
          </w:p>
        </w:tc>
      </w:tr>
      <w:tr w:rsidR="006F4ECD" w14:paraId="676DB2A2" w14:textId="77777777" w:rsidTr="00E66F34">
        <w:tc>
          <w:tcPr>
            <w:tcW w:w="2502" w:type="dxa"/>
          </w:tcPr>
          <w:p w14:paraId="5D64B37E" w14:textId="77777777" w:rsidR="006F4ECD" w:rsidRDefault="006F4ECD" w:rsidP="00DE480E">
            <w:pPr>
              <w:pStyle w:val="Body"/>
              <w:spacing w:before="45" w:after="91"/>
              <w:ind w:left="0"/>
              <w:rPr>
                <w:lang w:eastAsia="en-AU"/>
              </w:rPr>
            </w:pPr>
            <w:r>
              <w:rPr>
                <w:lang w:eastAsia="en-AU"/>
              </w:rPr>
              <w:t>Queenstown Lakes District Council</w:t>
            </w:r>
          </w:p>
        </w:tc>
        <w:tc>
          <w:tcPr>
            <w:tcW w:w="6085" w:type="dxa"/>
          </w:tcPr>
          <w:p w14:paraId="7B46D531" w14:textId="77777777" w:rsidR="006F4ECD" w:rsidRDefault="006F4ECD" w:rsidP="00DE480E">
            <w:pPr>
              <w:pStyle w:val="Body"/>
              <w:spacing w:before="45" w:after="91"/>
              <w:ind w:left="0"/>
              <w:rPr>
                <w:lang w:eastAsia="en-AU"/>
              </w:rPr>
            </w:pPr>
            <w:r>
              <w:rPr>
                <w:lang w:eastAsia="en-AU"/>
              </w:rPr>
              <w:t>GIS maps of recorded dry weather overflows</w:t>
            </w:r>
          </w:p>
        </w:tc>
      </w:tr>
      <w:tr w:rsidR="006F4ECD" w14:paraId="27899FC1" w14:textId="77777777" w:rsidTr="00E66F34">
        <w:tc>
          <w:tcPr>
            <w:tcW w:w="2502" w:type="dxa"/>
          </w:tcPr>
          <w:p w14:paraId="766AD806" w14:textId="77777777" w:rsidR="006F4ECD" w:rsidRDefault="006F4ECD" w:rsidP="00DE480E">
            <w:pPr>
              <w:pStyle w:val="Body"/>
              <w:spacing w:before="45" w:after="91"/>
              <w:ind w:left="0"/>
              <w:rPr>
                <w:lang w:eastAsia="en-AU"/>
              </w:rPr>
            </w:pPr>
            <w:r>
              <w:rPr>
                <w:lang w:eastAsia="en-AU"/>
              </w:rPr>
              <w:t>Watercare Services Ltd</w:t>
            </w:r>
          </w:p>
        </w:tc>
        <w:tc>
          <w:tcPr>
            <w:tcW w:w="6085" w:type="dxa"/>
          </w:tcPr>
          <w:p w14:paraId="7BEE62F3" w14:textId="77777777" w:rsidR="006F4ECD" w:rsidRDefault="006F4ECD" w:rsidP="00DE480E">
            <w:pPr>
              <w:pStyle w:val="Body"/>
              <w:spacing w:before="45" w:after="91"/>
              <w:ind w:left="0"/>
              <w:rPr>
                <w:lang w:eastAsia="en-AU"/>
              </w:rPr>
            </w:pPr>
            <w:r>
              <w:rPr>
                <w:lang w:eastAsia="en-AU"/>
              </w:rPr>
              <w:t>Auckland Wastewater Network - Annual Performance Report 1 July 2016 to 30 June 2017.</w:t>
            </w:r>
          </w:p>
          <w:p w14:paraId="0356FF63" w14:textId="77777777" w:rsidR="006F4ECD" w:rsidRDefault="006F4ECD" w:rsidP="00DE480E">
            <w:pPr>
              <w:pStyle w:val="Body"/>
              <w:spacing w:before="45" w:after="91"/>
              <w:ind w:left="0"/>
              <w:rPr>
                <w:lang w:eastAsia="en-AU"/>
              </w:rPr>
            </w:pPr>
            <w:r>
              <w:rPr>
                <w:lang w:eastAsia="en-AU"/>
              </w:rPr>
              <w:t>Wastewater Network Strategy Executive Summary (Final June 2017)</w:t>
            </w:r>
          </w:p>
          <w:p w14:paraId="3B903D3A" w14:textId="77777777" w:rsidR="006F4ECD" w:rsidRDefault="006F4ECD" w:rsidP="00DE480E">
            <w:pPr>
              <w:pStyle w:val="Body"/>
              <w:spacing w:before="45" w:after="91"/>
              <w:ind w:left="0"/>
              <w:rPr>
                <w:lang w:eastAsia="en-AU"/>
              </w:rPr>
            </w:pPr>
            <w:r>
              <w:rPr>
                <w:lang w:eastAsia="en-AU"/>
              </w:rPr>
              <w:t>Watercare’s Comprehensive Wastewater Network Discharge Permit Summary Presentation</w:t>
            </w:r>
          </w:p>
        </w:tc>
      </w:tr>
      <w:tr w:rsidR="006F4ECD" w14:paraId="27FB4A37" w14:textId="77777777" w:rsidTr="00E66F34">
        <w:tc>
          <w:tcPr>
            <w:tcW w:w="2502" w:type="dxa"/>
          </w:tcPr>
          <w:p w14:paraId="65C2861A" w14:textId="77777777" w:rsidR="006F4ECD" w:rsidRDefault="006F4ECD" w:rsidP="00DE480E">
            <w:pPr>
              <w:pStyle w:val="Body"/>
              <w:spacing w:before="45" w:after="91"/>
              <w:ind w:left="0"/>
              <w:rPr>
                <w:lang w:eastAsia="en-AU"/>
              </w:rPr>
            </w:pPr>
            <w:r>
              <w:rPr>
                <w:lang w:eastAsia="en-AU"/>
              </w:rPr>
              <w:t>Wellington Water</w:t>
            </w:r>
          </w:p>
        </w:tc>
        <w:tc>
          <w:tcPr>
            <w:tcW w:w="6085" w:type="dxa"/>
          </w:tcPr>
          <w:p w14:paraId="729F8F39" w14:textId="77777777" w:rsidR="006F4ECD" w:rsidRDefault="006F4ECD" w:rsidP="00DE480E">
            <w:pPr>
              <w:pStyle w:val="Body"/>
              <w:spacing w:before="45" w:after="91"/>
              <w:ind w:left="0"/>
              <w:rPr>
                <w:lang w:eastAsia="en-AU"/>
              </w:rPr>
            </w:pPr>
            <w:r>
              <w:rPr>
                <w:lang w:eastAsia="en-AU"/>
              </w:rPr>
              <w:t>City maps including:</w:t>
            </w:r>
          </w:p>
          <w:p w14:paraId="6E46809B" w14:textId="77777777" w:rsidR="006F4ECD" w:rsidRDefault="006F4ECD" w:rsidP="00DE480E">
            <w:pPr>
              <w:pStyle w:val="Body"/>
              <w:spacing w:before="45" w:after="91"/>
              <w:ind w:left="0"/>
              <w:rPr>
                <w:lang w:eastAsia="en-AU"/>
              </w:rPr>
            </w:pPr>
            <w:r w:rsidRPr="00174A6C">
              <w:rPr>
                <w:lang w:eastAsia="en-AU"/>
              </w:rPr>
              <w:t>Wellington Region Wastewater Overflow Locations</w:t>
            </w:r>
            <w:r>
              <w:rPr>
                <w:lang w:eastAsia="en-AU"/>
              </w:rPr>
              <w:t xml:space="preserve"> and Consent Status</w:t>
            </w:r>
          </w:p>
          <w:p w14:paraId="21C0A0BD" w14:textId="77777777" w:rsidR="006F4ECD" w:rsidRDefault="006F4ECD" w:rsidP="00DE480E">
            <w:pPr>
              <w:pStyle w:val="Body"/>
              <w:spacing w:before="45" w:after="91"/>
              <w:ind w:left="0"/>
              <w:rPr>
                <w:lang w:eastAsia="en-AU"/>
              </w:rPr>
            </w:pPr>
            <w:r>
              <w:rPr>
                <w:lang w:eastAsia="en-AU"/>
              </w:rPr>
              <w:t>Wastewater overflow locations</w:t>
            </w:r>
          </w:p>
          <w:p w14:paraId="75E331D2" w14:textId="77777777" w:rsidR="006F4ECD" w:rsidRDefault="006F4ECD" w:rsidP="00DE480E">
            <w:pPr>
              <w:pStyle w:val="Body"/>
              <w:spacing w:before="45" w:after="91"/>
              <w:ind w:left="0"/>
              <w:rPr>
                <w:lang w:eastAsia="en-AU"/>
              </w:rPr>
            </w:pPr>
          </w:p>
        </w:tc>
      </w:tr>
    </w:tbl>
    <w:p w14:paraId="6E5ADC4C" w14:textId="77777777" w:rsidR="00A924E4" w:rsidRDefault="00A924E4" w:rsidP="006F4ECD">
      <w:pPr>
        <w:pStyle w:val="Body"/>
        <w:ind w:left="0"/>
        <w:rPr>
          <w:lang w:eastAsia="en-AU"/>
        </w:rPr>
      </w:pPr>
    </w:p>
    <w:p w14:paraId="2EC231EB" w14:textId="77777777" w:rsidR="00A924E4" w:rsidRDefault="00A924E4">
      <w:pPr>
        <w:spacing w:after="0"/>
        <w:rPr>
          <w:lang w:eastAsia="en-AU"/>
        </w:rPr>
      </w:pPr>
      <w:r>
        <w:rPr>
          <w:lang w:eastAsia="en-AU"/>
        </w:rPr>
        <w:br w:type="page"/>
      </w:r>
    </w:p>
    <w:p w14:paraId="6B01C3D5" w14:textId="77777777" w:rsidR="006F4ECD" w:rsidRPr="00ED66CC" w:rsidRDefault="004E6D0F" w:rsidP="00ED66CC">
      <w:pPr>
        <w:pStyle w:val="BodyText"/>
        <w:ind w:firstLine="567"/>
        <w:rPr>
          <w:rFonts w:ascii="Arial Black" w:eastAsia="Times New Roman" w:hAnsi="Arial Black" w:cs="Times New Roman"/>
          <w:color w:val="00599C"/>
          <w:sz w:val="22"/>
          <w:szCs w:val="22"/>
          <w:lang w:val="en-AU"/>
        </w:rPr>
      </w:pPr>
      <w:bookmarkStart w:id="841" w:name="_Toc517267855"/>
      <w:bookmarkStart w:id="842" w:name="_Toc517687753"/>
      <w:bookmarkStart w:id="843" w:name="_Toc517707424"/>
      <w:bookmarkStart w:id="844" w:name="_Toc517776796"/>
      <w:bookmarkStart w:id="845" w:name="_Toc517787181"/>
      <w:r w:rsidRPr="00ED66CC">
        <w:rPr>
          <w:rFonts w:ascii="Arial Black" w:eastAsia="Times New Roman" w:hAnsi="Arial Black" w:cs="Times New Roman"/>
          <w:color w:val="00599C"/>
          <w:sz w:val="22"/>
          <w:szCs w:val="22"/>
          <w:lang w:val="en-AU"/>
        </w:rPr>
        <w:lastRenderedPageBreak/>
        <w:t>C</w:t>
      </w:r>
      <w:r w:rsidR="006F4ECD" w:rsidRPr="00ED66CC">
        <w:rPr>
          <w:rFonts w:ascii="Arial Black" w:eastAsia="Times New Roman" w:hAnsi="Arial Black" w:cs="Times New Roman"/>
          <w:color w:val="00599C"/>
          <w:sz w:val="22"/>
          <w:szCs w:val="22"/>
          <w:lang w:val="en-AU"/>
        </w:rPr>
        <w:t>.2 Christchurch City Council</w:t>
      </w:r>
      <w:bookmarkEnd w:id="841"/>
      <w:bookmarkEnd w:id="842"/>
      <w:bookmarkEnd w:id="843"/>
      <w:bookmarkEnd w:id="844"/>
      <w:bookmarkEnd w:id="845"/>
    </w:p>
    <w:p w14:paraId="3DC2BCD0" w14:textId="77777777" w:rsidR="006F4ECD" w:rsidRDefault="006F4ECD" w:rsidP="006F4ECD">
      <w:pPr>
        <w:pStyle w:val="Body"/>
        <w:rPr>
          <w:lang w:eastAsia="en-AU"/>
        </w:rPr>
      </w:pPr>
      <w:r>
        <w:rPr>
          <w:lang w:eastAsia="en-AU"/>
        </w:rPr>
        <w:t xml:space="preserve">There are a number of WWO’s in Christchurch that discharge to both the Avon and Heathcote Rivers; ultimately entering the Avon-Heathcote Estuary. </w:t>
      </w:r>
    </w:p>
    <w:p w14:paraId="72D249C2" w14:textId="77777777" w:rsidR="006F4ECD" w:rsidRDefault="006F4ECD" w:rsidP="006F4ECD">
      <w:pPr>
        <w:pStyle w:val="Body"/>
        <w:rPr>
          <w:lang w:eastAsia="en-AU"/>
        </w:rPr>
      </w:pPr>
      <w:r>
        <w:rPr>
          <w:lang w:eastAsia="en-AU"/>
        </w:rPr>
        <w:t>Christchurch City Council (CCC) was granted a discharge consent for these overflows by Environment Canterbury (ECan) in 2014. The essence of the associated consent conditions was that the frequency and volume of overflows was required to reduce progressively to 2025. Consent conditions also required that a network model be used to demonstrate compliance, with the relevant condition being reproduced following:</w:t>
      </w:r>
    </w:p>
    <w:p w14:paraId="08647B49" w14:textId="77777777" w:rsidR="006F4ECD" w:rsidRDefault="006F4ECD" w:rsidP="006F4ECD">
      <w:pPr>
        <w:pStyle w:val="Body"/>
        <w:rPr>
          <w:lang w:eastAsia="en-AU"/>
        </w:rPr>
      </w:pPr>
      <w:r>
        <w:rPr>
          <w:lang w:eastAsia="en-AU"/>
        </w:rPr>
        <w:t>“</w:t>
      </w:r>
      <w:r w:rsidRPr="00CC75A7">
        <w:rPr>
          <w:i/>
          <w:lang w:eastAsia="en-AU"/>
        </w:rPr>
        <w:t>For the purposes of determining compliance with Condition (5) and Condition (6), the overflow frequency shall be calculated using a field-calibrated computer model which predicts the annual average number of overflow events and total overflow volumes into the Avon and Heathcote Rivers and the Avon-Heathcote Estuary. The model shall use a long-term time series methodology to assess current system performance against actual rainfall records. The period of actual rainfall to be analysed shall be of 25 years duration (later amended to 15 years) and the period end shall be less than three years from the date of the analysis being undertaken</w:t>
      </w:r>
      <w:r>
        <w:rPr>
          <w:lang w:eastAsia="en-AU"/>
        </w:rPr>
        <w:t xml:space="preserve">.” </w:t>
      </w:r>
    </w:p>
    <w:p w14:paraId="11DA50E7" w14:textId="77777777" w:rsidR="006F4ECD" w:rsidRDefault="006F4ECD" w:rsidP="006F4ECD">
      <w:pPr>
        <w:pStyle w:val="Body"/>
        <w:rPr>
          <w:lang w:eastAsia="en-AU"/>
        </w:rPr>
      </w:pPr>
      <w:r>
        <w:rPr>
          <w:lang w:eastAsia="en-AU"/>
        </w:rPr>
        <w:t xml:space="preserve">The basis for reducing the frequency of overflows as outlined in the resource consents is inferred to be largely a response to community concern rather than being due to impacts on receiving water quality. CCC has demonstrated through faecal mapping studies (summarised in section </w:t>
      </w:r>
      <w:r>
        <w:rPr>
          <w:lang w:eastAsia="en-AU"/>
        </w:rPr>
        <w:fldChar w:fldCharType="begin"/>
      </w:r>
      <w:r>
        <w:rPr>
          <w:lang w:eastAsia="en-AU"/>
        </w:rPr>
        <w:instrText xml:space="preserve"> REF _Ref516058352 \r \h </w:instrText>
      </w:r>
      <w:r>
        <w:rPr>
          <w:lang w:eastAsia="en-AU"/>
        </w:rPr>
      </w:r>
      <w:r>
        <w:rPr>
          <w:lang w:eastAsia="en-AU"/>
        </w:rPr>
        <w:fldChar w:fldCharType="separate"/>
      </w:r>
      <w:r w:rsidR="002777A8">
        <w:rPr>
          <w:lang w:eastAsia="en-AU"/>
        </w:rPr>
        <w:t>5.1</w:t>
      </w:r>
      <w:r>
        <w:rPr>
          <w:lang w:eastAsia="en-AU"/>
        </w:rPr>
        <w:fldChar w:fldCharType="end"/>
      </w:r>
      <w:r w:rsidR="003F5DE8">
        <w:rPr>
          <w:lang w:eastAsia="en-AU"/>
        </w:rPr>
        <w:t>.1</w:t>
      </w:r>
      <w:r>
        <w:rPr>
          <w:lang w:eastAsia="en-AU"/>
        </w:rPr>
        <w:t xml:space="preserve">) that overflows from the wastewater network are a relatively small and infrequent contributor of contaminants. </w:t>
      </w:r>
    </w:p>
    <w:p w14:paraId="7F5E55ED" w14:textId="77777777" w:rsidR="006F4ECD" w:rsidRDefault="006F4ECD" w:rsidP="006F4ECD">
      <w:pPr>
        <w:pStyle w:val="Body"/>
        <w:rPr>
          <w:lang w:eastAsia="en-AU"/>
        </w:rPr>
      </w:pPr>
      <w:r w:rsidRPr="00174A6C">
        <w:rPr>
          <w:lang w:eastAsia="en-AU"/>
        </w:rPr>
        <w:t>The long time series modelling required to demonstrate consent compliance took several months. Due to unrepaired earthquake damage to the wastewater network, CCC staff expected that compliance with the permitted overflow frequency in the consent would not be achieved. Due to time constraints, the decision was made to proceed with preparing to apply for a new overflow consent, in parallel with the long time series modelling.</w:t>
      </w:r>
    </w:p>
    <w:p w14:paraId="61136526" w14:textId="77777777" w:rsidR="006F4ECD" w:rsidRDefault="006F4ECD" w:rsidP="006F4ECD">
      <w:pPr>
        <w:pStyle w:val="Body"/>
        <w:rPr>
          <w:lang w:eastAsia="en-AU"/>
        </w:rPr>
      </w:pPr>
      <w:r>
        <w:rPr>
          <w:lang w:eastAsia="en-AU"/>
        </w:rPr>
        <w:t xml:space="preserve">CCC chose to apply optimisation techniques to modelling rather than a traditional trial-and-error approach to determine projects to reduce overflows. Hence rather than looking at the costs and options for case by case removal or reduction of specific overflows; CCC analysed multiple combinations of storage addition, infiltration reduction, increased network conveyance and treatment capacity across the network. This approach informed a cost benefit analysis on how options would benefit the overall system in terms of overflow reduction. </w:t>
      </w:r>
    </w:p>
    <w:p w14:paraId="401C4CFA" w14:textId="77777777" w:rsidR="006F4ECD" w:rsidRDefault="006F4ECD" w:rsidP="006F4ECD">
      <w:pPr>
        <w:pStyle w:val="Body"/>
        <w:rPr>
          <w:lang w:eastAsia="en-AU"/>
        </w:rPr>
      </w:pPr>
      <w:r w:rsidRPr="00174A6C">
        <w:rPr>
          <w:lang w:eastAsia="en-AU"/>
        </w:rPr>
        <w:t>CCC took this approach because the city network is complex and CCC wanted to determine the most cost-effective suite of projects to eliminate wastewater overflows for a range of design storms (6-month, 1-year and 3-year ARI). The long term target was to reduce all overflows to no more than 2 events per year. The model optimisation software used by CCC (Optimizer WCS) coupled with their wastewater hydraulic model allowed thousands of combinations of solutions to be tested to determine the most cost effective suite of projects to reduce overflows. For reference the optimisation process is reported in a paper prepared by O’Brien and Wilson (OzWater 2018).</w:t>
      </w:r>
    </w:p>
    <w:p w14:paraId="18C1FB6C" w14:textId="77777777" w:rsidR="006F4ECD" w:rsidRDefault="006F4ECD" w:rsidP="006F4ECD">
      <w:pPr>
        <w:pStyle w:val="Body"/>
        <w:rPr>
          <w:lang w:eastAsia="en-AU"/>
        </w:rPr>
      </w:pPr>
      <w:r>
        <w:rPr>
          <w:lang w:eastAsia="en-AU"/>
        </w:rPr>
        <w:t>Optimisation scenarios were performed sequentially with an increasing number of allowable improvement alternatives including:</w:t>
      </w:r>
    </w:p>
    <w:p w14:paraId="64D72796" w14:textId="77777777" w:rsidR="006F4ECD" w:rsidRPr="00704766" w:rsidRDefault="006F4ECD" w:rsidP="006F4ECD">
      <w:pPr>
        <w:pStyle w:val="Body"/>
        <w:numPr>
          <w:ilvl w:val="0"/>
          <w:numId w:val="43"/>
        </w:numPr>
        <w:rPr>
          <w:lang w:eastAsia="en-AU"/>
        </w:rPr>
      </w:pPr>
      <w:r w:rsidRPr="00704766">
        <w:rPr>
          <w:lang w:eastAsia="en-AU"/>
        </w:rPr>
        <w:t>1. Conveyance improvements along existing alignments</w:t>
      </w:r>
    </w:p>
    <w:p w14:paraId="2D169F07" w14:textId="77777777" w:rsidR="006F4ECD" w:rsidRPr="00704766" w:rsidRDefault="006F4ECD" w:rsidP="006F4ECD">
      <w:pPr>
        <w:pStyle w:val="Body"/>
        <w:numPr>
          <w:ilvl w:val="0"/>
          <w:numId w:val="43"/>
        </w:numPr>
        <w:rPr>
          <w:lang w:eastAsia="en-AU"/>
        </w:rPr>
      </w:pPr>
      <w:r w:rsidRPr="00704766">
        <w:rPr>
          <w:lang w:eastAsia="en-AU"/>
        </w:rPr>
        <w:t>2. Conveyance improvements along existing alignments, flow controls, flow diversions and storage</w:t>
      </w:r>
    </w:p>
    <w:p w14:paraId="57DF9AD8" w14:textId="77777777" w:rsidR="006F4ECD" w:rsidRPr="00704766" w:rsidRDefault="006F4ECD" w:rsidP="006F4ECD">
      <w:pPr>
        <w:pStyle w:val="Body"/>
        <w:numPr>
          <w:ilvl w:val="0"/>
          <w:numId w:val="43"/>
        </w:numPr>
        <w:rPr>
          <w:lang w:eastAsia="en-AU"/>
        </w:rPr>
      </w:pPr>
      <w:r w:rsidRPr="00704766">
        <w:rPr>
          <w:lang w:eastAsia="en-AU"/>
        </w:rPr>
        <w:t>3. Conveyance improvements along existing alignments, flow controls, flow diversions, storage and I/I reduction alternatives</w:t>
      </w:r>
    </w:p>
    <w:p w14:paraId="38443F5D" w14:textId="77777777" w:rsidR="006F4ECD" w:rsidRDefault="006F4ECD" w:rsidP="006F4ECD">
      <w:pPr>
        <w:pStyle w:val="Body"/>
        <w:rPr>
          <w:lang w:eastAsia="en-AU"/>
        </w:rPr>
      </w:pPr>
      <w:r>
        <w:rPr>
          <w:lang w:eastAsia="en-AU"/>
        </w:rPr>
        <w:lastRenderedPageBreak/>
        <w:fldChar w:fldCharType="begin"/>
      </w:r>
      <w:r>
        <w:rPr>
          <w:lang w:eastAsia="en-AU"/>
        </w:rPr>
        <w:instrText xml:space="preserve"> REF _Ref516057567 \h </w:instrText>
      </w:r>
      <w:r>
        <w:rPr>
          <w:lang w:eastAsia="en-AU"/>
        </w:rPr>
      </w:r>
      <w:r>
        <w:rPr>
          <w:lang w:eastAsia="en-AU"/>
        </w:rPr>
        <w:fldChar w:fldCharType="separate"/>
      </w:r>
      <w:r w:rsidR="002777A8">
        <w:t xml:space="preserve">Table </w:t>
      </w:r>
      <w:r>
        <w:rPr>
          <w:lang w:eastAsia="en-AU"/>
        </w:rPr>
        <w:fldChar w:fldCharType="end"/>
      </w:r>
      <w:r>
        <w:rPr>
          <w:lang w:eastAsia="en-AU"/>
        </w:rPr>
        <w:t xml:space="preserve"> </w:t>
      </w:r>
      <w:r w:rsidR="002D64F6">
        <w:rPr>
          <w:lang w:eastAsia="en-AU"/>
        </w:rPr>
        <w:t xml:space="preserve">C-2 </w:t>
      </w:r>
      <w:r>
        <w:rPr>
          <w:lang w:eastAsia="en-AU"/>
        </w:rPr>
        <w:t xml:space="preserve">summarises the results of the analysis and </w:t>
      </w:r>
      <w:r>
        <w:rPr>
          <w:lang w:eastAsia="en-AU"/>
        </w:rPr>
        <w:fldChar w:fldCharType="begin"/>
      </w:r>
      <w:r>
        <w:rPr>
          <w:lang w:eastAsia="en-AU"/>
        </w:rPr>
        <w:instrText xml:space="preserve"> REF _Ref516057594 \h </w:instrText>
      </w:r>
      <w:r>
        <w:rPr>
          <w:lang w:eastAsia="en-AU"/>
        </w:rPr>
      </w:r>
      <w:r>
        <w:rPr>
          <w:lang w:eastAsia="en-AU"/>
        </w:rPr>
        <w:fldChar w:fldCharType="separate"/>
      </w:r>
      <w:r w:rsidR="002777A8">
        <w:t xml:space="preserve">Figure </w:t>
      </w:r>
      <w:r>
        <w:rPr>
          <w:lang w:eastAsia="en-AU"/>
        </w:rPr>
        <w:fldChar w:fldCharType="end"/>
      </w:r>
      <w:r>
        <w:rPr>
          <w:lang w:eastAsia="en-AU"/>
        </w:rPr>
        <w:t xml:space="preserve"> </w:t>
      </w:r>
      <w:r w:rsidR="002D64F6">
        <w:rPr>
          <w:lang w:eastAsia="en-AU"/>
        </w:rPr>
        <w:t>C-1</w:t>
      </w:r>
      <w:r>
        <w:rPr>
          <w:lang w:eastAsia="en-AU"/>
        </w:rPr>
        <w:t xml:space="preserve"> shows graphical representation of the return on investment for improvement scenarios.</w:t>
      </w:r>
    </w:p>
    <w:p w14:paraId="2D3FA608" w14:textId="77777777" w:rsidR="006F4ECD" w:rsidRDefault="006F4ECD" w:rsidP="006F4ECD">
      <w:pPr>
        <w:pStyle w:val="Caption"/>
        <w:rPr>
          <w:lang w:eastAsia="en-AU"/>
        </w:rPr>
      </w:pPr>
      <w:bookmarkStart w:id="846" w:name="_Ref516057567"/>
      <w:bookmarkStart w:id="847" w:name="_Toc516840506"/>
      <w:r>
        <w:t xml:space="preserve">Table </w:t>
      </w:r>
      <w:bookmarkEnd w:id="846"/>
      <w:r w:rsidR="004E6D0F">
        <w:t>C-2</w:t>
      </w:r>
      <w:r>
        <w:t xml:space="preserve">  </w:t>
      </w:r>
      <w:r>
        <w:rPr>
          <w:lang w:eastAsia="en-AU"/>
        </w:rPr>
        <w:t>Comparison of Phase 2 Optimisation Solutions (O’Brien and Wilson 2018)</w:t>
      </w:r>
      <w:bookmarkEnd w:id="847"/>
    </w:p>
    <w:p w14:paraId="7DD1532D" w14:textId="77777777" w:rsidR="006F4ECD" w:rsidRDefault="006F4ECD" w:rsidP="006F4ECD">
      <w:pPr>
        <w:pStyle w:val="Body"/>
        <w:jc w:val="center"/>
        <w:rPr>
          <w:lang w:eastAsia="en-AU"/>
        </w:rPr>
      </w:pPr>
      <w:r w:rsidRPr="004B114F">
        <w:rPr>
          <w:noProof/>
          <w:lang w:val="en-NZ" w:eastAsia="en-NZ"/>
        </w:rPr>
        <w:drawing>
          <wp:inline distT="0" distB="0" distL="0" distR="0" wp14:anchorId="153BD192" wp14:editId="32E3838A">
            <wp:extent cx="3764280" cy="2029621"/>
            <wp:effectExtent l="0" t="0" r="762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75502" cy="2035671"/>
                    </a:xfrm>
                    <a:prstGeom prst="rect">
                      <a:avLst/>
                    </a:prstGeom>
                  </pic:spPr>
                </pic:pic>
              </a:graphicData>
            </a:graphic>
          </wp:inline>
        </w:drawing>
      </w:r>
    </w:p>
    <w:p w14:paraId="6270D01E" w14:textId="77777777" w:rsidR="006F4ECD" w:rsidRDefault="006F4ECD" w:rsidP="006F4ECD">
      <w:pPr>
        <w:pStyle w:val="Body"/>
        <w:rPr>
          <w:lang w:eastAsia="en-AU"/>
        </w:rPr>
      </w:pPr>
      <w:r w:rsidRPr="00186B12">
        <w:rPr>
          <w:lang w:eastAsia="en-AU"/>
        </w:rPr>
        <w:t>As it turned out, the long time series modelling did demonstrate that CCC largely complied with its overflow consent, with only six locations overflowing more frequently than the permitted twice per year. The results of the optimisation project were used by CCC to identify the most cost-effective capital projects to achieve full compliance with their resource consent conditions,</w:t>
      </w:r>
    </w:p>
    <w:p w14:paraId="1CED08F6" w14:textId="77777777" w:rsidR="006F4ECD" w:rsidRDefault="006F4ECD" w:rsidP="006F4ECD">
      <w:pPr>
        <w:pStyle w:val="Body"/>
        <w:rPr>
          <w:lang w:eastAsia="en-AU"/>
        </w:rPr>
      </w:pPr>
      <w:r w:rsidRPr="00186B12">
        <w:rPr>
          <w:lang w:eastAsia="en-AU"/>
        </w:rPr>
        <w:t>Based on the optimisation study CCC has developed a targeted program of capital works; with the initial capital investment planned of ~ $10</w:t>
      </w:r>
      <w:r w:rsidR="002D64F6">
        <w:rPr>
          <w:lang w:eastAsia="en-AU"/>
        </w:rPr>
        <w:t xml:space="preserve"> </w:t>
      </w:r>
      <w:r w:rsidRPr="00186B12">
        <w:rPr>
          <w:lang w:eastAsia="en-AU"/>
        </w:rPr>
        <w:t>M</w:t>
      </w:r>
      <w:r w:rsidR="00201A07">
        <w:rPr>
          <w:lang w:eastAsia="en-AU"/>
        </w:rPr>
        <w:t>illion</w:t>
      </w:r>
      <w:r w:rsidRPr="00186B12">
        <w:rPr>
          <w:lang w:eastAsia="en-AU"/>
        </w:rPr>
        <w:t xml:space="preserve"> investment for improving conveyance and storage</w:t>
      </w:r>
      <w:r>
        <w:rPr>
          <w:lang w:eastAsia="en-AU"/>
        </w:rPr>
        <w:t xml:space="preserve"> </w:t>
      </w:r>
      <w:r w:rsidRPr="00186B12">
        <w:rPr>
          <w:lang w:eastAsia="en-AU"/>
        </w:rPr>
        <w:t>pumping flow to a trunk main with spare capacity. This is much less than the $</w:t>
      </w:r>
      <w:r>
        <w:rPr>
          <w:lang w:eastAsia="en-AU"/>
        </w:rPr>
        <w:t xml:space="preserve"> </w:t>
      </w:r>
      <w:r w:rsidRPr="00186B12">
        <w:rPr>
          <w:lang w:eastAsia="en-AU"/>
        </w:rPr>
        <w:t>68</w:t>
      </w:r>
      <w:r w:rsidR="00C83BE4">
        <w:rPr>
          <w:lang w:eastAsia="en-AU"/>
        </w:rPr>
        <w:t xml:space="preserve"> </w:t>
      </w:r>
      <w:r w:rsidRPr="00186B12">
        <w:rPr>
          <w:lang w:eastAsia="en-AU"/>
        </w:rPr>
        <w:t>M</w:t>
      </w:r>
      <w:r w:rsidR="00201A07">
        <w:rPr>
          <w:lang w:eastAsia="en-AU"/>
        </w:rPr>
        <w:t>illion</w:t>
      </w:r>
      <w:r w:rsidRPr="00186B12">
        <w:rPr>
          <w:lang w:eastAsia="en-AU"/>
        </w:rPr>
        <w:t xml:space="preserve"> originally envisaged in the previous Long Term Plan, demonstrating the benefits of the optimisation process.</w:t>
      </w:r>
    </w:p>
    <w:p w14:paraId="4C7D74B9" w14:textId="77777777" w:rsidR="006F4ECD" w:rsidRDefault="006F4ECD" w:rsidP="006F4ECD">
      <w:pPr>
        <w:pStyle w:val="Body"/>
        <w:jc w:val="center"/>
        <w:rPr>
          <w:lang w:eastAsia="en-AU"/>
        </w:rPr>
      </w:pPr>
      <w:r>
        <w:rPr>
          <w:noProof/>
          <w:lang w:val="en-NZ" w:eastAsia="en-NZ"/>
        </w:rPr>
        <w:drawing>
          <wp:inline distT="0" distB="0" distL="0" distR="0" wp14:anchorId="5D3A1322" wp14:editId="17FCDC91">
            <wp:extent cx="5151339" cy="31851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54722" cy="3187252"/>
                    </a:xfrm>
                    <a:prstGeom prst="rect">
                      <a:avLst/>
                    </a:prstGeom>
                    <a:noFill/>
                  </pic:spPr>
                </pic:pic>
              </a:graphicData>
            </a:graphic>
          </wp:inline>
        </w:drawing>
      </w:r>
    </w:p>
    <w:p w14:paraId="03F3AF42" w14:textId="77777777" w:rsidR="006F4ECD" w:rsidRDefault="006F4ECD" w:rsidP="006F4ECD">
      <w:pPr>
        <w:pStyle w:val="Caption"/>
      </w:pPr>
      <w:bookmarkStart w:id="848" w:name="_Ref516057594"/>
      <w:bookmarkStart w:id="849" w:name="_Toc516840492"/>
      <w:r>
        <w:t xml:space="preserve">Figure </w:t>
      </w:r>
      <w:bookmarkEnd w:id="848"/>
      <w:r w:rsidR="004E6D0F">
        <w:t>C-1</w:t>
      </w:r>
      <w:r>
        <w:rPr>
          <w:noProof/>
        </w:rPr>
        <w:t xml:space="preserve"> </w:t>
      </w:r>
      <w:r>
        <w:t xml:space="preserve"> CCC Analysis (2018) Return on Investment for Cost versus Overflow Volume Reduction.</w:t>
      </w:r>
      <w:bookmarkEnd w:id="849"/>
    </w:p>
    <w:p w14:paraId="3697267B" w14:textId="77777777" w:rsidR="00A924E4" w:rsidRDefault="00A924E4" w:rsidP="00A924E4">
      <w:pPr>
        <w:pStyle w:val="Body"/>
      </w:pPr>
    </w:p>
    <w:p w14:paraId="5FAC1CAA" w14:textId="77777777" w:rsidR="00A924E4" w:rsidRDefault="00A924E4" w:rsidP="00A924E4">
      <w:pPr>
        <w:pStyle w:val="Body"/>
      </w:pPr>
    </w:p>
    <w:p w14:paraId="68D499BF" w14:textId="77777777" w:rsidR="00A924E4" w:rsidRPr="00A924E4" w:rsidRDefault="00A924E4" w:rsidP="00A924E4">
      <w:pPr>
        <w:pStyle w:val="Body"/>
      </w:pPr>
    </w:p>
    <w:p w14:paraId="3F1B151F" w14:textId="77777777" w:rsidR="006F4ECD" w:rsidRDefault="006F4ECD" w:rsidP="006F4ECD">
      <w:pPr>
        <w:pStyle w:val="Body"/>
        <w:rPr>
          <w:lang w:eastAsia="en-AU"/>
        </w:rPr>
      </w:pPr>
      <w:r>
        <w:rPr>
          <w:lang w:eastAsia="en-AU"/>
        </w:rPr>
        <w:lastRenderedPageBreak/>
        <w:t>Next steps for CCC include:</w:t>
      </w:r>
    </w:p>
    <w:p w14:paraId="0D060CD9" w14:textId="77777777" w:rsidR="006F4ECD" w:rsidRDefault="006F4ECD" w:rsidP="006F4ECD">
      <w:pPr>
        <w:pStyle w:val="Body"/>
        <w:numPr>
          <w:ilvl w:val="0"/>
          <w:numId w:val="43"/>
        </w:numPr>
        <w:rPr>
          <w:lang w:eastAsia="en-AU"/>
        </w:rPr>
      </w:pPr>
      <w:r>
        <w:rPr>
          <w:lang w:eastAsia="en-AU"/>
        </w:rPr>
        <w:t>Refine the design storms used for master planning based on 15-year LTS results;</w:t>
      </w:r>
    </w:p>
    <w:p w14:paraId="3C27985B" w14:textId="77777777" w:rsidR="006F4ECD" w:rsidRDefault="006F4ECD" w:rsidP="006F4ECD">
      <w:pPr>
        <w:pStyle w:val="Body"/>
        <w:numPr>
          <w:ilvl w:val="0"/>
          <w:numId w:val="43"/>
        </w:numPr>
        <w:rPr>
          <w:lang w:eastAsia="en-AU"/>
        </w:rPr>
      </w:pPr>
      <w:r>
        <w:rPr>
          <w:lang w:eastAsia="en-AU"/>
        </w:rPr>
        <w:t>Additional flow monitoring and calibration; and</w:t>
      </w:r>
    </w:p>
    <w:p w14:paraId="560CA563" w14:textId="77777777" w:rsidR="006F4ECD" w:rsidRDefault="006F4ECD" w:rsidP="006F4ECD">
      <w:pPr>
        <w:pStyle w:val="Body"/>
        <w:numPr>
          <w:ilvl w:val="0"/>
          <w:numId w:val="43"/>
        </w:numPr>
        <w:rPr>
          <w:lang w:eastAsia="en-AU"/>
        </w:rPr>
      </w:pPr>
      <w:r>
        <w:rPr>
          <w:lang w:eastAsia="en-AU"/>
        </w:rPr>
        <w:t>Perform Phase 3 optimisation and capital works prioritisation based on the outcomes of the Phase 2 optimisation peer review and the revised design storm and updated hydraulic model.</w:t>
      </w:r>
    </w:p>
    <w:p w14:paraId="3E31A7FF" w14:textId="77777777" w:rsidR="006F4ECD" w:rsidRPr="00ED66CC" w:rsidRDefault="004E6D0F" w:rsidP="00ED66CC">
      <w:pPr>
        <w:pStyle w:val="BodyText"/>
        <w:ind w:firstLine="567"/>
        <w:rPr>
          <w:rFonts w:ascii="Arial Black" w:eastAsia="Times New Roman" w:hAnsi="Arial Black" w:cs="Times New Roman"/>
          <w:color w:val="00599C"/>
          <w:sz w:val="22"/>
          <w:szCs w:val="22"/>
          <w:lang w:val="en-AU"/>
        </w:rPr>
      </w:pPr>
      <w:bookmarkStart w:id="850" w:name="_Toc517267856"/>
      <w:bookmarkStart w:id="851" w:name="_Toc517687754"/>
      <w:bookmarkStart w:id="852" w:name="_Toc517707425"/>
      <w:bookmarkStart w:id="853" w:name="_Toc517776797"/>
      <w:bookmarkStart w:id="854" w:name="_Toc517787182"/>
      <w:r w:rsidRPr="00ED66CC">
        <w:rPr>
          <w:rFonts w:ascii="Arial Black" w:eastAsia="Times New Roman" w:hAnsi="Arial Black" w:cs="Times New Roman"/>
          <w:color w:val="00599C"/>
          <w:sz w:val="22"/>
          <w:szCs w:val="22"/>
          <w:lang w:val="en-AU"/>
        </w:rPr>
        <w:t>C</w:t>
      </w:r>
      <w:r w:rsidR="006F4ECD" w:rsidRPr="00ED66CC">
        <w:rPr>
          <w:rFonts w:ascii="Arial Black" w:eastAsia="Times New Roman" w:hAnsi="Arial Black" w:cs="Times New Roman"/>
          <w:color w:val="00599C"/>
          <w:sz w:val="22"/>
          <w:szCs w:val="22"/>
          <w:lang w:val="en-AU"/>
        </w:rPr>
        <w:t>.3 Dunedin City Council</w:t>
      </w:r>
      <w:bookmarkEnd w:id="850"/>
      <w:bookmarkEnd w:id="851"/>
      <w:bookmarkEnd w:id="852"/>
      <w:bookmarkEnd w:id="853"/>
      <w:bookmarkEnd w:id="854"/>
    </w:p>
    <w:p w14:paraId="1206C418" w14:textId="77777777" w:rsidR="006F4ECD" w:rsidRDefault="006F4ECD" w:rsidP="006F4ECD">
      <w:pPr>
        <w:pStyle w:val="Body"/>
        <w:rPr>
          <w:lang w:eastAsia="en-AU"/>
        </w:rPr>
      </w:pPr>
      <w:r>
        <w:rPr>
          <w:lang w:eastAsia="en-AU"/>
        </w:rPr>
        <w:t xml:space="preserve">The </w:t>
      </w:r>
      <w:r>
        <w:rPr>
          <w:rStyle w:val="FootnoteReference"/>
          <w:lang w:eastAsia="en-AU"/>
        </w:rPr>
        <w:footnoteReference w:id="10"/>
      </w:r>
      <w:r>
        <w:rPr>
          <w:lang w:eastAsia="en-AU"/>
        </w:rPr>
        <w:t>DCC Three Waters Strategic Direction Statement identifies 7 strategic priorities for the city including:</w:t>
      </w:r>
    </w:p>
    <w:p w14:paraId="412E6317" w14:textId="77777777" w:rsidR="006F4ECD" w:rsidRPr="00565111" w:rsidRDefault="006F4ECD" w:rsidP="006F4ECD">
      <w:pPr>
        <w:pStyle w:val="Body"/>
        <w:rPr>
          <w:i/>
          <w:lang w:eastAsia="en-AU"/>
        </w:rPr>
      </w:pPr>
      <w:r w:rsidRPr="00565111">
        <w:rPr>
          <w:i/>
          <w:lang w:eastAsia="en-AU"/>
        </w:rPr>
        <w:t>4. We will improve the quality of our discharges to minimise the impact on the environment.</w:t>
      </w:r>
    </w:p>
    <w:p w14:paraId="2B9C3C4D" w14:textId="77777777" w:rsidR="006F4ECD" w:rsidRPr="00565111" w:rsidRDefault="006F4ECD" w:rsidP="006F4ECD">
      <w:pPr>
        <w:pStyle w:val="Body"/>
        <w:rPr>
          <w:i/>
          <w:lang w:eastAsia="en-AU"/>
        </w:rPr>
      </w:pPr>
      <w:r w:rsidRPr="00565111">
        <w:rPr>
          <w:i/>
          <w:lang w:eastAsia="en-AU"/>
        </w:rPr>
        <w:t>5. We will ensure that, as a minimum, key service levels are maintained into the future.</w:t>
      </w:r>
    </w:p>
    <w:p w14:paraId="23C232BC" w14:textId="77777777" w:rsidR="006F4ECD" w:rsidRDefault="006F4ECD" w:rsidP="006F4ECD">
      <w:pPr>
        <w:pStyle w:val="Body"/>
        <w:rPr>
          <w:lang w:eastAsia="en-AU"/>
        </w:rPr>
      </w:pPr>
      <w:r>
        <w:rPr>
          <w:lang w:eastAsia="en-AU"/>
        </w:rPr>
        <w:t xml:space="preserve">These priorities were developed through a process of community consultation and have set the direction for investment in the three waters. The strategy specifically acknowledges the concerns of iwi associated with discharge of treated wastewater to the sea and land due to kaimoana becoming vulnerable to contamination.  </w:t>
      </w:r>
    </w:p>
    <w:p w14:paraId="6C212B30" w14:textId="77777777" w:rsidR="006F4ECD" w:rsidRDefault="006F4ECD" w:rsidP="006F4ECD">
      <w:pPr>
        <w:pStyle w:val="Body"/>
        <w:rPr>
          <w:lang w:eastAsia="en-AU"/>
        </w:rPr>
      </w:pPr>
      <w:r>
        <w:rPr>
          <w:lang w:eastAsia="en-AU"/>
        </w:rPr>
        <w:t xml:space="preserve">In the strategy the DCC outlines an intent to </w:t>
      </w:r>
      <w:r w:rsidRPr="00406906">
        <w:rPr>
          <w:lang w:eastAsia="en-AU"/>
        </w:rPr>
        <w:t xml:space="preserve">reduce the number of wastewater overflows as a result of system capacity and </w:t>
      </w:r>
      <w:r>
        <w:rPr>
          <w:lang w:eastAsia="en-AU"/>
        </w:rPr>
        <w:t>an intent to</w:t>
      </w:r>
      <w:r w:rsidRPr="00406906">
        <w:rPr>
          <w:lang w:eastAsia="en-AU"/>
        </w:rPr>
        <w:t xml:space="preserve"> engage the community </w:t>
      </w:r>
      <w:r>
        <w:rPr>
          <w:lang w:eastAsia="en-AU"/>
        </w:rPr>
        <w:t>“</w:t>
      </w:r>
      <w:r w:rsidRPr="003C3281">
        <w:rPr>
          <w:i/>
          <w:lang w:eastAsia="en-AU"/>
        </w:rPr>
        <w:t xml:space="preserve">in debate on the appropriate improvement targets and associated costs </w:t>
      </w:r>
      <w:r w:rsidRPr="00406906">
        <w:rPr>
          <w:lang w:eastAsia="en-AU"/>
        </w:rPr>
        <w:t>“</w:t>
      </w:r>
      <w:r>
        <w:rPr>
          <w:lang w:eastAsia="en-AU"/>
        </w:rPr>
        <w:t xml:space="preserve"> </w:t>
      </w:r>
    </w:p>
    <w:p w14:paraId="4F82C8EC" w14:textId="77777777" w:rsidR="006F4ECD" w:rsidRDefault="006F4ECD" w:rsidP="006F4ECD">
      <w:pPr>
        <w:pStyle w:val="Body"/>
        <w:rPr>
          <w:lang w:eastAsia="en-AU"/>
        </w:rPr>
      </w:pPr>
      <w:r>
        <w:rPr>
          <w:lang w:eastAsia="en-AU"/>
        </w:rPr>
        <w:t xml:space="preserve">Of relevance DCC has reported that the cost of preventing overflows (to both freshwater and the coast) is estimated at $35–$130 </w:t>
      </w:r>
      <w:r w:rsidR="00201A07">
        <w:rPr>
          <w:lang w:eastAsia="en-AU"/>
        </w:rPr>
        <w:t>M</w:t>
      </w:r>
      <w:r>
        <w:rPr>
          <w:lang w:eastAsia="en-AU"/>
        </w:rPr>
        <w:t xml:space="preserve">illion (2009–2011 figures).  The forecast total spend over the next 10 years on improving the wastewater network is $48 </w:t>
      </w:r>
      <w:r w:rsidR="00201A07">
        <w:rPr>
          <w:lang w:eastAsia="en-AU"/>
        </w:rPr>
        <w:t>M</w:t>
      </w:r>
      <w:r>
        <w:rPr>
          <w:lang w:eastAsia="en-AU"/>
        </w:rPr>
        <w:t>illion.</w:t>
      </w:r>
    </w:p>
    <w:p w14:paraId="6762E292" w14:textId="77777777" w:rsidR="006F4ECD" w:rsidRDefault="006F4ECD" w:rsidP="006F4ECD">
      <w:pPr>
        <w:pStyle w:val="Body"/>
        <w:rPr>
          <w:lang w:eastAsia="en-AU"/>
        </w:rPr>
      </w:pPr>
      <w:r w:rsidRPr="00B9536D">
        <w:rPr>
          <w:lang w:eastAsia="en-AU"/>
        </w:rPr>
        <w:t xml:space="preserve">The Dunedin city wastewater network currently incorporates a number of emergency  and constructed overflows. </w:t>
      </w:r>
    </w:p>
    <w:p w14:paraId="579AD6E6" w14:textId="77777777" w:rsidR="006F4ECD" w:rsidRDefault="006F4ECD" w:rsidP="006F4ECD">
      <w:pPr>
        <w:pStyle w:val="Body"/>
        <w:rPr>
          <w:lang w:eastAsia="en-AU"/>
        </w:rPr>
      </w:pPr>
      <w:r>
        <w:rPr>
          <w:lang w:eastAsia="en-AU"/>
        </w:rPr>
        <w:t>Constructed overflows to freshwater include:</w:t>
      </w:r>
    </w:p>
    <w:p w14:paraId="6A3329EB" w14:textId="77777777" w:rsidR="006F4ECD" w:rsidRDefault="006F4ECD" w:rsidP="006F4ECD">
      <w:pPr>
        <w:pStyle w:val="Body"/>
        <w:numPr>
          <w:ilvl w:val="0"/>
          <w:numId w:val="43"/>
        </w:numPr>
        <w:rPr>
          <w:lang w:eastAsia="en-AU"/>
        </w:rPr>
      </w:pPr>
      <w:r>
        <w:rPr>
          <w:lang w:eastAsia="en-AU"/>
        </w:rPr>
        <w:t>◦Kaikorai Valley (Kaikorai Common and Kaikorai Valley Road, affecting the Kaikorai Stream)</w:t>
      </w:r>
    </w:p>
    <w:p w14:paraId="47DBF995" w14:textId="77777777" w:rsidR="006F4ECD" w:rsidRDefault="006F4ECD" w:rsidP="006F4ECD">
      <w:pPr>
        <w:pStyle w:val="Body"/>
        <w:numPr>
          <w:ilvl w:val="0"/>
          <w:numId w:val="43"/>
        </w:numPr>
        <w:rPr>
          <w:lang w:eastAsia="en-AU"/>
        </w:rPr>
      </w:pPr>
      <w:r>
        <w:rPr>
          <w:lang w:eastAsia="en-AU"/>
        </w:rPr>
        <w:t>◦North East Valley (affecting Lindsay Creek)</w:t>
      </w:r>
    </w:p>
    <w:p w14:paraId="5D02A178" w14:textId="77777777" w:rsidR="006F4ECD" w:rsidRDefault="006F4ECD" w:rsidP="006F4ECD">
      <w:pPr>
        <w:pStyle w:val="Body"/>
        <w:rPr>
          <w:lang w:eastAsia="en-AU"/>
        </w:rPr>
      </w:pPr>
      <w:r w:rsidRPr="00486AF7">
        <w:rPr>
          <w:lang w:eastAsia="en-AU"/>
        </w:rPr>
        <w:t>The Kaikorai Common and North East Valley overflows typically operate six to nine times per year. The Kaikorai Valley Road overflow is the most active, operating on average 19 times per year.</w:t>
      </w:r>
    </w:p>
    <w:p w14:paraId="48F9585A" w14:textId="77777777" w:rsidR="006F4ECD" w:rsidRDefault="006F4ECD" w:rsidP="006F4ECD">
      <w:pPr>
        <w:pStyle w:val="Body"/>
        <w:rPr>
          <w:lang w:eastAsia="en-AU"/>
        </w:rPr>
      </w:pPr>
      <w:r>
        <w:rPr>
          <w:lang w:eastAsia="en-AU"/>
        </w:rPr>
        <w:t>DCC hold resource consents that permit the constructed overflows and these direct the DCC to provide information to the public on the overflows, associated risks and ongoing progress for their prevention. A specific annual overflow frequency target is not applied.</w:t>
      </w:r>
    </w:p>
    <w:p w14:paraId="20BF53C8" w14:textId="77777777" w:rsidR="006F4ECD" w:rsidRDefault="006F4ECD" w:rsidP="006F4ECD">
      <w:pPr>
        <w:pStyle w:val="Body"/>
        <w:rPr>
          <w:lang w:eastAsia="en-AU"/>
        </w:rPr>
      </w:pPr>
      <w:r>
        <w:rPr>
          <w:lang w:eastAsia="en-AU"/>
        </w:rPr>
        <w:t>In support of wastewater network discharge consent applications, DCC engaged Ryder Consulting Ltd (2015) to undertake a study on the impact of wastewater overflows on local ecology and receiving water quality.</w:t>
      </w:r>
      <w:r w:rsidR="00C83BE4">
        <w:rPr>
          <w:lang w:eastAsia="en-AU"/>
        </w:rPr>
        <w:t xml:space="preserve"> </w:t>
      </w:r>
      <w:r>
        <w:rPr>
          <w:lang w:eastAsia="en-AU"/>
        </w:rPr>
        <w:t xml:space="preserve">The study outcome support the findings from studies completed for other centres i.e. that overflows from the wastewater network in wet weather contribute, but are not the major source of receiving water contamination. The study noted that during any rainfall event, there is potential for a number of water quality guidelines and standards to be exceeded, as shown by annual stormwater compliance monitoring. However </w:t>
      </w:r>
      <w:r>
        <w:rPr>
          <w:lang w:eastAsia="en-AU"/>
        </w:rPr>
        <w:lastRenderedPageBreak/>
        <w:t xml:space="preserve">runoff from other landuses is a significant contributor and wet weather overflows by their nature are diluted and of short duration. </w:t>
      </w:r>
    </w:p>
    <w:p w14:paraId="66FDE663" w14:textId="77777777" w:rsidR="006F4ECD" w:rsidRPr="00486AF7" w:rsidRDefault="006F4ECD" w:rsidP="006F4ECD">
      <w:pPr>
        <w:pStyle w:val="Body"/>
        <w:rPr>
          <w:lang w:eastAsia="en-AU"/>
        </w:rPr>
      </w:pPr>
      <w:r>
        <w:rPr>
          <w:lang w:eastAsia="en-AU"/>
        </w:rPr>
        <w:t>The study concluded that the ecological values in waterways examined were “</w:t>
      </w:r>
      <w:r w:rsidRPr="00BD3DFB">
        <w:rPr>
          <w:i/>
          <w:lang w:eastAsia="en-AU"/>
        </w:rPr>
        <w:t>not particularly high and discharges from overflow conduits on their own appear to have little impact on biological communities</w:t>
      </w:r>
      <w:r>
        <w:rPr>
          <w:lang w:eastAsia="en-AU"/>
        </w:rPr>
        <w:t>”.</w:t>
      </w:r>
    </w:p>
    <w:p w14:paraId="357C4FCA" w14:textId="77777777" w:rsidR="00727E59" w:rsidRPr="00486AF7" w:rsidRDefault="00727E59" w:rsidP="006F4ECD">
      <w:pPr>
        <w:pStyle w:val="Body"/>
        <w:rPr>
          <w:lang w:eastAsia="en-AU"/>
        </w:rPr>
      </w:pPr>
    </w:p>
    <w:p w14:paraId="7D0DBA77" w14:textId="77777777" w:rsidR="006F4ECD" w:rsidRPr="00ED66CC" w:rsidRDefault="004E6D0F" w:rsidP="00ED66CC">
      <w:pPr>
        <w:pStyle w:val="BodyText"/>
        <w:ind w:firstLine="567"/>
        <w:rPr>
          <w:rFonts w:ascii="Arial Black" w:eastAsia="Times New Roman" w:hAnsi="Arial Black" w:cs="Times New Roman"/>
          <w:color w:val="00599C"/>
          <w:sz w:val="22"/>
          <w:szCs w:val="22"/>
          <w:lang w:val="en-AU"/>
        </w:rPr>
      </w:pPr>
      <w:bookmarkStart w:id="855" w:name="_Toc517267857"/>
      <w:bookmarkStart w:id="856" w:name="_Toc517687755"/>
      <w:bookmarkStart w:id="857" w:name="_Toc517707426"/>
      <w:bookmarkStart w:id="858" w:name="_Toc517776798"/>
      <w:bookmarkStart w:id="859" w:name="_Toc517787183"/>
      <w:r w:rsidRPr="00ED66CC">
        <w:rPr>
          <w:rFonts w:ascii="Arial Black" w:eastAsia="Times New Roman" w:hAnsi="Arial Black" w:cs="Times New Roman"/>
          <w:color w:val="00599C"/>
          <w:sz w:val="22"/>
          <w:szCs w:val="22"/>
          <w:lang w:val="en-AU"/>
        </w:rPr>
        <w:t>C</w:t>
      </w:r>
      <w:r w:rsidR="006F4ECD" w:rsidRPr="00ED66CC">
        <w:rPr>
          <w:rFonts w:ascii="Arial Black" w:eastAsia="Times New Roman" w:hAnsi="Arial Black" w:cs="Times New Roman"/>
          <w:color w:val="00599C"/>
          <w:sz w:val="22"/>
          <w:szCs w:val="22"/>
          <w:lang w:val="en-AU"/>
        </w:rPr>
        <w:t>.</w:t>
      </w:r>
      <w:r w:rsidRPr="00ED66CC">
        <w:rPr>
          <w:rFonts w:ascii="Arial Black" w:eastAsia="Times New Roman" w:hAnsi="Arial Black" w:cs="Times New Roman"/>
          <w:color w:val="00599C"/>
          <w:sz w:val="22"/>
          <w:szCs w:val="22"/>
          <w:lang w:val="en-AU"/>
        </w:rPr>
        <w:t>4</w:t>
      </w:r>
      <w:r w:rsidR="006F4ECD" w:rsidRPr="00ED66CC">
        <w:rPr>
          <w:rFonts w:ascii="Arial Black" w:eastAsia="Times New Roman" w:hAnsi="Arial Black" w:cs="Times New Roman"/>
          <w:color w:val="00599C"/>
          <w:sz w:val="22"/>
          <w:szCs w:val="22"/>
          <w:lang w:val="en-AU"/>
        </w:rPr>
        <w:t xml:space="preserve"> Watercare</w:t>
      </w:r>
      <w:bookmarkEnd w:id="855"/>
      <w:bookmarkEnd w:id="856"/>
      <w:bookmarkEnd w:id="857"/>
      <w:bookmarkEnd w:id="858"/>
      <w:bookmarkEnd w:id="859"/>
    </w:p>
    <w:p w14:paraId="12B76F61" w14:textId="77777777" w:rsidR="006F4ECD" w:rsidRDefault="006F4ECD" w:rsidP="006F4ECD">
      <w:pPr>
        <w:spacing w:after="0" w:line="280" w:lineRule="atLeast"/>
        <w:ind w:left="567"/>
        <w:rPr>
          <w:lang w:eastAsia="en-AU"/>
        </w:rPr>
      </w:pPr>
      <w:r w:rsidRPr="0074123C">
        <w:rPr>
          <w:lang w:eastAsia="en-AU"/>
        </w:rPr>
        <w:t>Over the next 20 years, Watercare proposes to invest in the order of $3 billion in wastewater networks to improve p</w:t>
      </w:r>
      <w:r>
        <w:rPr>
          <w:lang w:eastAsia="en-AU"/>
        </w:rPr>
        <w:t xml:space="preserve">erformance and service growth.  </w:t>
      </w:r>
      <w:r w:rsidRPr="0074123C">
        <w:rPr>
          <w:lang w:eastAsia="en-AU"/>
        </w:rPr>
        <w:t xml:space="preserve">A significant part of that wastewater investment is the Central Interceptor, to enable growth in the central and southern areas of Auckland and also provide an interim solution for stormwater issues, providing time for Auckland Council to construct adequate stormwater infrastructure to service the area. </w:t>
      </w:r>
    </w:p>
    <w:p w14:paraId="2238915D" w14:textId="77777777" w:rsidR="006F4ECD" w:rsidRPr="00757979" w:rsidRDefault="006F4ECD" w:rsidP="006F4ECD">
      <w:pPr>
        <w:spacing w:before="240" w:line="280" w:lineRule="atLeast"/>
        <w:ind w:left="567"/>
        <w:rPr>
          <w:lang w:eastAsia="en-AU"/>
        </w:rPr>
      </w:pPr>
      <w:r w:rsidRPr="00757979">
        <w:rPr>
          <w:lang w:eastAsia="en-AU"/>
        </w:rPr>
        <w:t>Watercare provides wastewater services to Auckland, New Zealand; from Te Hana in the</w:t>
      </w:r>
    </w:p>
    <w:p w14:paraId="6F2D6E4E" w14:textId="77777777" w:rsidR="006F4ECD" w:rsidRPr="00757979" w:rsidRDefault="006F4ECD" w:rsidP="006F4ECD">
      <w:pPr>
        <w:spacing w:after="0" w:line="280" w:lineRule="atLeast"/>
        <w:ind w:left="567"/>
        <w:rPr>
          <w:lang w:eastAsia="en-AU"/>
        </w:rPr>
      </w:pPr>
      <w:r w:rsidRPr="00757979">
        <w:rPr>
          <w:lang w:eastAsia="en-AU"/>
        </w:rPr>
        <w:t>North of the region to Waiuku in the South. The wastewater network consists of</w:t>
      </w:r>
    </w:p>
    <w:p w14:paraId="3CED9827" w14:textId="77777777" w:rsidR="006F4ECD" w:rsidRPr="00757979" w:rsidRDefault="006F4ECD" w:rsidP="006F4ECD">
      <w:pPr>
        <w:spacing w:after="0" w:line="280" w:lineRule="atLeast"/>
        <w:ind w:left="567"/>
        <w:rPr>
          <w:lang w:eastAsia="en-AU"/>
        </w:rPr>
      </w:pPr>
      <w:r w:rsidRPr="00757979">
        <w:rPr>
          <w:lang w:eastAsia="en-AU"/>
        </w:rPr>
        <w:t>approximately 7,999 km of wastewater pipes, 167,264 manholes, 515 pump stations and 18</w:t>
      </w:r>
    </w:p>
    <w:p w14:paraId="01F2E6B7" w14:textId="77777777" w:rsidR="006F4ECD" w:rsidRDefault="006F4ECD" w:rsidP="006F4ECD">
      <w:pPr>
        <w:spacing w:before="60" w:after="120" w:line="280" w:lineRule="atLeast"/>
        <w:ind w:left="567"/>
        <w:rPr>
          <w:lang w:eastAsia="en-AU"/>
        </w:rPr>
      </w:pPr>
      <w:r w:rsidRPr="00757979">
        <w:rPr>
          <w:lang w:eastAsia="en-AU"/>
        </w:rPr>
        <w:t>waste</w:t>
      </w:r>
      <w:r>
        <w:rPr>
          <w:lang w:eastAsia="en-AU"/>
        </w:rPr>
        <w:t xml:space="preserve">water treatment plants. </w:t>
      </w:r>
    </w:p>
    <w:p w14:paraId="5E89A616" w14:textId="77777777" w:rsidR="006F4ECD" w:rsidRDefault="006F4ECD" w:rsidP="006F4ECD">
      <w:pPr>
        <w:spacing w:before="60" w:after="120" w:line="280" w:lineRule="atLeast"/>
        <w:ind w:left="567"/>
        <w:rPr>
          <w:lang w:eastAsia="en-AU"/>
        </w:rPr>
      </w:pPr>
      <w:r>
        <w:rPr>
          <w:lang w:eastAsia="en-AU"/>
        </w:rPr>
        <w:t>The Watercare network incorporates both constructed wet weather overflows (termed Engineered Overflow Points by Watercare) and</w:t>
      </w:r>
      <w:r w:rsidRPr="00266DF8">
        <w:t xml:space="preserve"> </w:t>
      </w:r>
      <w:r w:rsidRPr="00266DF8">
        <w:rPr>
          <w:lang w:eastAsia="en-AU"/>
        </w:rPr>
        <w:t>Combined Sewer Overflows (CSO’s)</w:t>
      </w:r>
      <w:r>
        <w:rPr>
          <w:lang w:eastAsia="en-AU"/>
        </w:rPr>
        <w:t xml:space="preserve">. </w:t>
      </w:r>
      <w:r w:rsidRPr="00266DF8">
        <w:rPr>
          <w:lang w:eastAsia="en-AU"/>
        </w:rPr>
        <w:t xml:space="preserve">The Auckland region is one of the few areas of New Zealand where </w:t>
      </w:r>
      <w:r>
        <w:rPr>
          <w:lang w:eastAsia="en-AU"/>
        </w:rPr>
        <w:t xml:space="preserve">CSOs </w:t>
      </w:r>
      <w:r w:rsidRPr="00266DF8">
        <w:rPr>
          <w:lang w:eastAsia="en-AU"/>
        </w:rPr>
        <w:t>are still operating within the network. Combined networks are designed to collect both stormwater and wastewater in a common pipe: with constructed overflow points (CSO’s) that operate in rainfall events.</w:t>
      </w:r>
      <w:r>
        <w:rPr>
          <w:lang w:eastAsia="en-AU"/>
        </w:rPr>
        <w:t xml:space="preserve"> Whilst the combined network only represents less than 4% of customers, it contains 68% of EOPs that overflow more than 12 times per year.  </w:t>
      </w:r>
    </w:p>
    <w:p w14:paraId="61B58F41" w14:textId="77777777" w:rsidR="006F4ECD" w:rsidRDefault="006F4ECD" w:rsidP="006F4ECD">
      <w:pPr>
        <w:spacing w:before="60" w:after="120" w:line="280" w:lineRule="atLeast"/>
        <w:ind w:left="567"/>
        <w:rPr>
          <w:lang w:eastAsia="en-AU"/>
        </w:rPr>
      </w:pPr>
      <w:r>
        <w:rPr>
          <w:lang w:eastAsia="en-AU"/>
        </w:rPr>
        <w:t>Wastewater can also discharge during wet weather conditions from manholes when there is lack of hydraulic capacity in the network and these overflows are referred to as “Type 3” overflows. A summary of the numbers of “EOPs” and Type 3 overflows currently identified in the Watercare network is provided below:</w:t>
      </w:r>
    </w:p>
    <w:p w14:paraId="0D45ABB9" w14:textId="77777777" w:rsidR="006F4ECD" w:rsidRDefault="006F4ECD" w:rsidP="006F4ECD">
      <w:pPr>
        <w:pStyle w:val="Caption"/>
        <w:rPr>
          <w:lang w:eastAsia="en-AU"/>
        </w:rPr>
      </w:pPr>
      <w:bookmarkStart w:id="860" w:name="_Toc516840507"/>
      <w:r>
        <w:t xml:space="preserve">Table </w:t>
      </w:r>
      <w:r w:rsidR="004E6D0F">
        <w:t>C-3</w:t>
      </w:r>
      <w:r>
        <w:t xml:space="preserve">  Summary of Watercare Engineered Overflow Points (EOPs) and Type 3 </w:t>
      </w:r>
      <w:r w:rsidR="002D64F6">
        <w:t>o</w:t>
      </w:r>
      <w:r>
        <w:t xml:space="preserve">verflow </w:t>
      </w:r>
      <w:r w:rsidR="002D64F6">
        <w:t>l</w:t>
      </w:r>
      <w:r>
        <w:t>ocations</w:t>
      </w:r>
      <w:bookmarkEnd w:id="860"/>
    </w:p>
    <w:tbl>
      <w:tblPr>
        <w:tblStyle w:val="Table-Style3"/>
        <w:tblW w:w="0" w:type="auto"/>
        <w:tblLook w:val="04A0" w:firstRow="1" w:lastRow="0" w:firstColumn="1" w:lastColumn="0" w:noHBand="0" w:noVBand="1"/>
      </w:tblPr>
      <w:tblGrid>
        <w:gridCol w:w="2853"/>
        <w:gridCol w:w="2803"/>
        <w:gridCol w:w="2829"/>
      </w:tblGrid>
      <w:tr w:rsidR="006F4ECD" w14:paraId="58448B3C" w14:textId="77777777" w:rsidTr="00A924E4">
        <w:trPr>
          <w:cnfStyle w:val="100000000000" w:firstRow="1" w:lastRow="0" w:firstColumn="0" w:lastColumn="0" w:oddVBand="0" w:evenVBand="0" w:oddHBand="0" w:evenHBand="0" w:firstRowFirstColumn="0" w:firstRowLastColumn="0" w:lastRowFirstColumn="0" w:lastRowLastColumn="0"/>
        </w:trPr>
        <w:tc>
          <w:tcPr>
            <w:tcW w:w="2853" w:type="dxa"/>
            <w:vAlign w:val="center"/>
          </w:tcPr>
          <w:p w14:paraId="44D99C64" w14:textId="77777777" w:rsidR="006F4ECD" w:rsidRDefault="006F4ECD" w:rsidP="00A924E4">
            <w:pPr>
              <w:spacing w:before="45" w:after="91" w:line="280" w:lineRule="atLeast"/>
              <w:rPr>
                <w:lang w:eastAsia="en-AU"/>
              </w:rPr>
            </w:pPr>
          </w:p>
        </w:tc>
        <w:tc>
          <w:tcPr>
            <w:tcW w:w="2803" w:type="dxa"/>
          </w:tcPr>
          <w:p w14:paraId="6B518D67" w14:textId="77777777" w:rsidR="006F4ECD" w:rsidRDefault="006F4ECD" w:rsidP="00A924E4">
            <w:pPr>
              <w:spacing w:before="45" w:after="91" w:line="280" w:lineRule="atLeast"/>
              <w:jc w:val="center"/>
              <w:rPr>
                <w:lang w:eastAsia="en-AU"/>
              </w:rPr>
            </w:pPr>
            <w:r>
              <w:rPr>
                <w:lang w:eastAsia="en-AU"/>
              </w:rPr>
              <w:t>Number</w:t>
            </w:r>
            <w:r w:rsidR="00763D1E">
              <w:rPr>
                <w:lang w:eastAsia="en-AU"/>
              </w:rPr>
              <w:t xml:space="preserve"> </w:t>
            </w:r>
            <w:r>
              <w:rPr>
                <w:lang w:eastAsia="en-AU"/>
              </w:rPr>
              <w:t>of EOPs</w:t>
            </w:r>
          </w:p>
        </w:tc>
        <w:tc>
          <w:tcPr>
            <w:tcW w:w="2829" w:type="dxa"/>
          </w:tcPr>
          <w:p w14:paraId="32AAA9E5" w14:textId="77777777" w:rsidR="006F4ECD" w:rsidRDefault="006F4ECD" w:rsidP="00A924E4">
            <w:pPr>
              <w:spacing w:before="45" w:after="91" w:line="280" w:lineRule="atLeast"/>
              <w:jc w:val="center"/>
              <w:rPr>
                <w:lang w:eastAsia="en-AU"/>
              </w:rPr>
            </w:pPr>
            <w:r>
              <w:rPr>
                <w:lang w:eastAsia="en-AU"/>
              </w:rPr>
              <w:t>Number of Type 3 Locations</w:t>
            </w:r>
          </w:p>
        </w:tc>
      </w:tr>
      <w:tr w:rsidR="006F4ECD" w14:paraId="630B459D" w14:textId="77777777" w:rsidTr="00E66F34">
        <w:tc>
          <w:tcPr>
            <w:tcW w:w="2853" w:type="dxa"/>
          </w:tcPr>
          <w:p w14:paraId="589E5CDB" w14:textId="77777777" w:rsidR="006F4ECD" w:rsidRDefault="006F4ECD" w:rsidP="00DE480E">
            <w:pPr>
              <w:spacing w:before="45" w:after="91" w:line="280" w:lineRule="atLeast"/>
              <w:rPr>
                <w:lang w:eastAsia="en-AU"/>
              </w:rPr>
            </w:pPr>
            <w:r>
              <w:rPr>
                <w:lang w:eastAsia="en-AU"/>
              </w:rPr>
              <w:t xml:space="preserve">2013 </w:t>
            </w:r>
          </w:p>
        </w:tc>
        <w:tc>
          <w:tcPr>
            <w:tcW w:w="2803" w:type="dxa"/>
          </w:tcPr>
          <w:p w14:paraId="4E5D1227" w14:textId="77777777" w:rsidR="006F4ECD" w:rsidRDefault="006F4ECD" w:rsidP="00DE480E">
            <w:pPr>
              <w:spacing w:before="45" w:after="91" w:line="280" w:lineRule="atLeast"/>
              <w:jc w:val="center"/>
              <w:rPr>
                <w:lang w:eastAsia="en-AU"/>
              </w:rPr>
            </w:pPr>
            <w:r>
              <w:rPr>
                <w:lang w:eastAsia="en-AU"/>
              </w:rPr>
              <w:t>902</w:t>
            </w:r>
          </w:p>
        </w:tc>
        <w:tc>
          <w:tcPr>
            <w:tcW w:w="2829" w:type="dxa"/>
          </w:tcPr>
          <w:p w14:paraId="638E3EC7" w14:textId="77777777" w:rsidR="006F4ECD" w:rsidRDefault="006F4ECD" w:rsidP="00DE480E">
            <w:pPr>
              <w:spacing w:before="45" w:after="91" w:line="280" w:lineRule="atLeast"/>
              <w:jc w:val="center"/>
              <w:rPr>
                <w:lang w:eastAsia="en-AU"/>
              </w:rPr>
            </w:pPr>
            <w:r>
              <w:rPr>
                <w:lang w:eastAsia="en-AU"/>
              </w:rPr>
              <w:t>29</w:t>
            </w:r>
          </w:p>
        </w:tc>
      </w:tr>
      <w:tr w:rsidR="006F4ECD" w14:paraId="3E3EA665" w14:textId="77777777" w:rsidTr="00E66F34">
        <w:tc>
          <w:tcPr>
            <w:tcW w:w="2853" w:type="dxa"/>
          </w:tcPr>
          <w:p w14:paraId="427A7266" w14:textId="77777777" w:rsidR="006F4ECD" w:rsidRDefault="006F4ECD" w:rsidP="00DE480E">
            <w:pPr>
              <w:spacing w:before="45" w:after="91" w:line="280" w:lineRule="atLeast"/>
              <w:rPr>
                <w:lang w:eastAsia="en-AU"/>
              </w:rPr>
            </w:pPr>
            <w:r>
              <w:rPr>
                <w:lang w:eastAsia="en-AU"/>
              </w:rPr>
              <w:t>2015 (</w:t>
            </w:r>
            <w:r w:rsidRPr="00C00E95">
              <w:rPr>
                <w:lang w:eastAsia="en-AU"/>
              </w:rPr>
              <w:t>Wastewater Network Strateg</w:t>
            </w:r>
            <w:r>
              <w:rPr>
                <w:lang w:eastAsia="en-AU"/>
              </w:rPr>
              <w:t>y)</w:t>
            </w:r>
          </w:p>
        </w:tc>
        <w:tc>
          <w:tcPr>
            <w:tcW w:w="2803" w:type="dxa"/>
          </w:tcPr>
          <w:p w14:paraId="6E838F24" w14:textId="77777777" w:rsidR="006F4ECD" w:rsidRDefault="006F4ECD" w:rsidP="00DE480E">
            <w:pPr>
              <w:spacing w:before="45" w:after="91" w:line="280" w:lineRule="atLeast"/>
              <w:jc w:val="center"/>
              <w:rPr>
                <w:lang w:eastAsia="en-AU"/>
              </w:rPr>
            </w:pPr>
            <w:r>
              <w:rPr>
                <w:lang w:eastAsia="en-AU"/>
              </w:rPr>
              <w:t>787</w:t>
            </w:r>
          </w:p>
        </w:tc>
        <w:tc>
          <w:tcPr>
            <w:tcW w:w="2829" w:type="dxa"/>
          </w:tcPr>
          <w:p w14:paraId="48173AFC" w14:textId="77777777" w:rsidR="006F4ECD" w:rsidRDefault="006F4ECD" w:rsidP="00DE480E">
            <w:pPr>
              <w:spacing w:before="45" w:after="91" w:line="280" w:lineRule="atLeast"/>
              <w:jc w:val="center"/>
              <w:rPr>
                <w:lang w:eastAsia="en-AU"/>
              </w:rPr>
            </w:pPr>
            <w:r>
              <w:rPr>
                <w:lang w:eastAsia="en-AU"/>
              </w:rPr>
              <w:t>29</w:t>
            </w:r>
          </w:p>
        </w:tc>
      </w:tr>
    </w:tbl>
    <w:p w14:paraId="04824A29" w14:textId="77777777" w:rsidR="006F4ECD" w:rsidRDefault="006F4ECD" w:rsidP="006F4ECD">
      <w:pPr>
        <w:spacing w:before="60" w:after="120" w:line="280" w:lineRule="atLeast"/>
        <w:ind w:left="567"/>
        <w:rPr>
          <w:lang w:eastAsia="en-AU"/>
        </w:rPr>
      </w:pPr>
      <w:r>
        <w:rPr>
          <w:lang w:eastAsia="en-AU"/>
        </w:rPr>
        <w:t xml:space="preserve">A </w:t>
      </w:r>
      <w:r w:rsidRPr="00EE7E56">
        <w:rPr>
          <w:lang w:eastAsia="en-AU"/>
        </w:rPr>
        <w:t>Comprehensive Wastewater Network Discharge Permit</w:t>
      </w:r>
      <w:r>
        <w:rPr>
          <w:lang w:eastAsia="en-AU"/>
        </w:rPr>
        <w:t xml:space="preserve"> issued in June 2017 by Auckland Council permits overflows from the network. The allowable discharge frequency provided for by the permit is summ</w:t>
      </w:r>
      <w:r w:rsidR="001052DF">
        <w:rPr>
          <w:lang w:eastAsia="en-AU"/>
        </w:rPr>
        <w:t>a</w:t>
      </w:r>
      <w:r>
        <w:rPr>
          <w:lang w:eastAsia="en-AU"/>
        </w:rPr>
        <w:t>rised as follows:</w:t>
      </w:r>
    </w:p>
    <w:p w14:paraId="1563B5BA" w14:textId="77777777" w:rsidR="006F4ECD" w:rsidRPr="002E3514" w:rsidRDefault="006F4ECD" w:rsidP="006F4ECD">
      <w:pPr>
        <w:pStyle w:val="ListParagraph"/>
        <w:numPr>
          <w:ilvl w:val="0"/>
          <w:numId w:val="52"/>
        </w:numPr>
        <w:spacing w:before="60" w:after="120" w:line="280" w:lineRule="atLeast"/>
        <w:contextualSpacing/>
        <w:rPr>
          <w:rFonts w:ascii="Arial" w:eastAsia="Times New Roman" w:hAnsi="Arial"/>
          <w:sz w:val="20"/>
          <w:szCs w:val="24"/>
          <w:lang w:val="en-AU" w:eastAsia="en-AU"/>
        </w:rPr>
      </w:pPr>
      <w:r>
        <w:rPr>
          <w:rFonts w:ascii="Arial" w:eastAsia="Times New Roman" w:hAnsi="Arial"/>
          <w:sz w:val="20"/>
          <w:szCs w:val="24"/>
          <w:lang w:val="en-AU" w:eastAsia="en-AU"/>
        </w:rPr>
        <w:t>A</w:t>
      </w:r>
      <w:r w:rsidRPr="002E3514">
        <w:rPr>
          <w:rFonts w:ascii="Arial" w:eastAsia="Times New Roman" w:hAnsi="Arial"/>
          <w:sz w:val="20"/>
          <w:szCs w:val="24"/>
          <w:lang w:val="en-AU" w:eastAsia="en-AU"/>
        </w:rPr>
        <w:t xml:space="preserve">n average of no more than two Wet Weather Overflow Events per Engineered Overflow Point per year; </w:t>
      </w:r>
      <w:r>
        <w:rPr>
          <w:rFonts w:ascii="Arial" w:eastAsia="Times New Roman" w:hAnsi="Arial"/>
          <w:sz w:val="20"/>
          <w:szCs w:val="24"/>
          <w:lang w:val="en-AU" w:eastAsia="en-AU"/>
        </w:rPr>
        <w:t>or</w:t>
      </w:r>
    </w:p>
    <w:p w14:paraId="2D3F6834" w14:textId="77777777" w:rsidR="006F4ECD" w:rsidRPr="00822A36" w:rsidRDefault="006F4ECD" w:rsidP="006F4ECD">
      <w:pPr>
        <w:pStyle w:val="ListParagraph"/>
        <w:numPr>
          <w:ilvl w:val="0"/>
          <w:numId w:val="52"/>
        </w:numPr>
        <w:spacing w:before="60" w:after="120" w:line="280" w:lineRule="atLeast"/>
        <w:contextualSpacing/>
        <w:rPr>
          <w:rFonts w:ascii="Arial" w:eastAsia="Times New Roman" w:hAnsi="Arial"/>
          <w:sz w:val="20"/>
          <w:szCs w:val="24"/>
          <w:lang w:val="en-AU" w:eastAsia="en-AU"/>
        </w:rPr>
      </w:pPr>
      <w:r w:rsidRPr="002E3514">
        <w:rPr>
          <w:rFonts w:ascii="Arial" w:eastAsia="Times New Roman" w:hAnsi="Arial"/>
          <w:sz w:val="20"/>
          <w:szCs w:val="24"/>
          <w:lang w:val="en-AU" w:eastAsia="en-AU"/>
        </w:rPr>
        <w:t>–</w:t>
      </w:r>
      <w:r>
        <w:rPr>
          <w:rFonts w:ascii="Arial" w:eastAsia="Times New Roman" w:hAnsi="Arial"/>
          <w:sz w:val="20"/>
          <w:szCs w:val="24"/>
          <w:lang w:val="en-AU" w:eastAsia="en-AU"/>
        </w:rPr>
        <w:t>A</w:t>
      </w:r>
      <w:r w:rsidRPr="002E3514">
        <w:rPr>
          <w:rFonts w:ascii="Arial" w:eastAsia="Times New Roman" w:hAnsi="Arial"/>
          <w:sz w:val="20"/>
          <w:szCs w:val="24"/>
          <w:lang w:val="en-AU" w:eastAsia="en-AU"/>
        </w:rPr>
        <w:t>n alternative discharge frequency that can be shown to be the Best Practicable Option (BPO) if this cannot be achieved for one or more Engineered Overflow Points.</w:t>
      </w:r>
    </w:p>
    <w:p w14:paraId="748D5F3D" w14:textId="77777777" w:rsidR="006F4ECD" w:rsidRDefault="006F4ECD" w:rsidP="006F4ECD">
      <w:pPr>
        <w:spacing w:before="60" w:after="120" w:line="280" w:lineRule="atLeast"/>
        <w:ind w:left="567"/>
        <w:rPr>
          <w:lang w:eastAsia="en-AU"/>
        </w:rPr>
      </w:pPr>
      <w:r>
        <w:rPr>
          <w:lang w:eastAsia="en-AU"/>
        </w:rPr>
        <w:t xml:space="preserve">A suite of additional requirements are included as consent conditions with the underlying objective being that </w:t>
      </w:r>
      <w:r w:rsidRPr="002E3514">
        <w:rPr>
          <w:lang w:eastAsia="en-AU"/>
        </w:rPr>
        <w:t>Watercare demonstrate</w:t>
      </w:r>
      <w:r>
        <w:rPr>
          <w:lang w:eastAsia="en-AU"/>
        </w:rPr>
        <w:t>s</w:t>
      </w:r>
      <w:r w:rsidRPr="002E3514">
        <w:rPr>
          <w:lang w:eastAsia="en-AU"/>
        </w:rPr>
        <w:t xml:space="preserve"> and document</w:t>
      </w:r>
      <w:r>
        <w:rPr>
          <w:lang w:eastAsia="en-AU"/>
        </w:rPr>
        <w:t>s</w:t>
      </w:r>
      <w:r w:rsidRPr="002E3514">
        <w:rPr>
          <w:lang w:eastAsia="en-AU"/>
        </w:rPr>
        <w:t xml:space="preserve"> that it is a responsible network operator.</w:t>
      </w:r>
      <w:r>
        <w:rPr>
          <w:lang w:eastAsia="en-AU"/>
        </w:rPr>
        <w:t xml:space="preserve"> This includes planning for growth in addition to progressively addressing existing legacy issues within the network. </w:t>
      </w:r>
    </w:p>
    <w:p w14:paraId="6E8BAAE2" w14:textId="77777777" w:rsidR="006F4ECD" w:rsidRDefault="006F4ECD" w:rsidP="006F4ECD">
      <w:pPr>
        <w:spacing w:before="60" w:after="120" w:line="280" w:lineRule="atLeast"/>
        <w:ind w:left="567"/>
        <w:rPr>
          <w:lang w:eastAsia="en-AU"/>
        </w:rPr>
      </w:pPr>
      <w:r>
        <w:rPr>
          <w:lang w:eastAsia="en-AU"/>
        </w:rPr>
        <w:lastRenderedPageBreak/>
        <w:t xml:space="preserve">Watercare is required to </w:t>
      </w:r>
      <w:r w:rsidRPr="00D8488E">
        <w:rPr>
          <w:lang w:eastAsia="en-AU"/>
        </w:rPr>
        <w:t>prepare, review and update a Wastewater Network Strategy every six years, and implement the Wastewater Network Improvement Works Programme set out in the Wastewater Network Strategy.</w:t>
      </w:r>
      <w:r>
        <w:rPr>
          <w:lang w:eastAsia="en-AU"/>
        </w:rPr>
        <w:t xml:space="preserve"> </w:t>
      </w:r>
    </w:p>
    <w:p w14:paraId="7F278660" w14:textId="77777777" w:rsidR="006F4ECD" w:rsidRDefault="006F4ECD" w:rsidP="006F4ECD">
      <w:pPr>
        <w:spacing w:before="60" w:after="120" w:line="280" w:lineRule="atLeast"/>
        <w:ind w:left="567"/>
        <w:rPr>
          <w:lang w:eastAsia="en-AU"/>
        </w:rPr>
      </w:pPr>
      <w:r w:rsidRPr="00D8488E">
        <w:rPr>
          <w:lang w:eastAsia="en-AU"/>
        </w:rPr>
        <w:t>The first Wastewater Network Strategy Plan was delivered in</w:t>
      </w:r>
      <w:r>
        <w:rPr>
          <w:lang w:eastAsia="en-AU"/>
        </w:rPr>
        <w:t xml:space="preserve"> </w:t>
      </w:r>
      <w:r w:rsidRPr="00D8488E">
        <w:rPr>
          <w:lang w:eastAsia="en-AU"/>
        </w:rPr>
        <w:t>June 2017</w:t>
      </w:r>
      <w:r>
        <w:rPr>
          <w:lang w:eastAsia="en-AU"/>
        </w:rPr>
        <w:t xml:space="preserve"> and the associated </w:t>
      </w:r>
      <w:r w:rsidRPr="00D8488E">
        <w:rPr>
          <w:lang w:eastAsia="en-AU"/>
        </w:rPr>
        <w:t>Wastewater Network Improvement Works Programme sets out how growth</w:t>
      </w:r>
      <w:r>
        <w:rPr>
          <w:lang w:eastAsia="en-AU"/>
        </w:rPr>
        <w:t xml:space="preserve"> </w:t>
      </w:r>
      <w:r w:rsidRPr="00D8488E">
        <w:rPr>
          <w:lang w:eastAsia="en-AU"/>
        </w:rPr>
        <w:t>will be serviced, and how wastewater network performance will be improved over the next</w:t>
      </w:r>
      <w:r>
        <w:rPr>
          <w:lang w:eastAsia="en-AU"/>
        </w:rPr>
        <w:t xml:space="preserve"> </w:t>
      </w:r>
      <w:r w:rsidRPr="00D8488E">
        <w:rPr>
          <w:lang w:eastAsia="en-AU"/>
        </w:rPr>
        <w:t>six-yearly planning period, as well as how works will be prioritised.</w:t>
      </w:r>
      <w:r>
        <w:rPr>
          <w:lang w:eastAsia="en-AU"/>
        </w:rPr>
        <w:t xml:space="preserve"> </w:t>
      </w:r>
    </w:p>
    <w:p w14:paraId="2A5B0ED5" w14:textId="77777777" w:rsidR="006F4ECD" w:rsidRDefault="006F4ECD" w:rsidP="006F4ECD">
      <w:pPr>
        <w:spacing w:before="60" w:after="120" w:line="280" w:lineRule="atLeast"/>
        <w:ind w:left="567"/>
        <w:rPr>
          <w:lang w:eastAsia="en-AU"/>
        </w:rPr>
      </w:pPr>
      <w:r>
        <w:rPr>
          <w:lang w:eastAsia="en-AU"/>
        </w:rPr>
        <w:t xml:space="preserve">Watercare’s approach to developing the strategy is summarised below: </w:t>
      </w:r>
    </w:p>
    <w:p w14:paraId="0254C1E5" w14:textId="77777777" w:rsidR="006F4ECD" w:rsidRDefault="006F4ECD" w:rsidP="006F4ECD">
      <w:pPr>
        <w:spacing w:before="60" w:after="120" w:line="280" w:lineRule="atLeast"/>
        <w:ind w:left="567"/>
        <w:rPr>
          <w:lang w:eastAsia="en-AU"/>
        </w:rPr>
      </w:pPr>
    </w:p>
    <w:p w14:paraId="089F30BB" w14:textId="77777777" w:rsidR="006F4ECD" w:rsidRDefault="006F4ECD" w:rsidP="006F4ECD">
      <w:pPr>
        <w:spacing w:before="60" w:after="120" w:line="280" w:lineRule="atLeast"/>
        <w:ind w:left="567"/>
        <w:rPr>
          <w:lang w:eastAsia="en-AU"/>
        </w:rPr>
      </w:pPr>
      <w:r w:rsidRPr="00165F1D">
        <w:rPr>
          <w:noProof/>
          <w:lang w:val="en-NZ" w:eastAsia="en-NZ"/>
        </w:rPr>
        <w:drawing>
          <wp:inline distT="0" distB="0" distL="0" distR="0" wp14:anchorId="5AA658A7" wp14:editId="3AA3DE6D">
            <wp:extent cx="5358560" cy="3421380"/>
            <wp:effectExtent l="0" t="0" r="0" b="762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69199" cy="3428173"/>
                    </a:xfrm>
                    <a:prstGeom prst="rect">
                      <a:avLst/>
                    </a:prstGeom>
                  </pic:spPr>
                </pic:pic>
              </a:graphicData>
            </a:graphic>
          </wp:inline>
        </w:drawing>
      </w:r>
    </w:p>
    <w:p w14:paraId="5E1D34CD" w14:textId="77777777" w:rsidR="006F4ECD" w:rsidRDefault="006F4ECD" w:rsidP="006F4ECD">
      <w:pPr>
        <w:pStyle w:val="Caption"/>
        <w:rPr>
          <w:lang w:eastAsia="en-AU"/>
        </w:rPr>
      </w:pPr>
      <w:bookmarkStart w:id="861" w:name="_Toc516840493"/>
      <w:r>
        <w:t xml:space="preserve">Figure </w:t>
      </w:r>
      <w:r w:rsidR="004E6D0F">
        <w:t>C-2</w:t>
      </w:r>
      <w:r>
        <w:t xml:space="preserve">  </w:t>
      </w:r>
      <w:r w:rsidRPr="00497B79">
        <w:t xml:space="preserve">Wastewater Network Strategy </w:t>
      </w:r>
      <w:r w:rsidR="002D64F6">
        <w:t>d</w:t>
      </w:r>
      <w:r>
        <w:t xml:space="preserve">evelopment </w:t>
      </w:r>
      <w:r w:rsidR="002D64F6">
        <w:t>p</w:t>
      </w:r>
      <w:r>
        <w:t>rocess -Watercare</w:t>
      </w:r>
      <w:bookmarkEnd w:id="861"/>
      <w:r>
        <w:t xml:space="preserve"> </w:t>
      </w:r>
    </w:p>
    <w:p w14:paraId="217F7628" w14:textId="77777777" w:rsidR="006F4ECD" w:rsidRDefault="006F4ECD" w:rsidP="006F4ECD">
      <w:pPr>
        <w:spacing w:before="60" w:after="120" w:line="280" w:lineRule="atLeast"/>
        <w:ind w:left="567"/>
        <w:rPr>
          <w:lang w:eastAsia="en-AU"/>
        </w:rPr>
      </w:pPr>
      <w:r w:rsidRPr="00D8488E">
        <w:rPr>
          <w:lang w:eastAsia="en-AU"/>
        </w:rPr>
        <w:t>As well as developing new assets, Watercare is undertaking an</w:t>
      </w:r>
      <w:r w:rsidR="003F5DE8">
        <w:rPr>
          <w:lang w:eastAsia="en-AU"/>
        </w:rPr>
        <w:t xml:space="preserve"> I</w:t>
      </w:r>
      <w:r>
        <w:rPr>
          <w:lang w:eastAsia="en-AU"/>
        </w:rPr>
        <w:t>nflow and Infiltration</w:t>
      </w:r>
      <w:r w:rsidRPr="00D8488E">
        <w:rPr>
          <w:lang w:eastAsia="en-AU"/>
        </w:rPr>
        <w:t xml:space="preserve"> </w:t>
      </w:r>
      <w:r>
        <w:rPr>
          <w:lang w:eastAsia="en-AU"/>
        </w:rPr>
        <w:t>(</w:t>
      </w:r>
      <w:r w:rsidRPr="00D8488E">
        <w:rPr>
          <w:lang w:eastAsia="en-AU"/>
        </w:rPr>
        <w:t>I&amp;I</w:t>
      </w:r>
      <w:r>
        <w:rPr>
          <w:lang w:eastAsia="en-AU"/>
        </w:rPr>
        <w:t>)</w:t>
      </w:r>
      <w:r w:rsidRPr="00D8488E">
        <w:rPr>
          <w:lang w:eastAsia="en-AU"/>
        </w:rPr>
        <w:t xml:space="preserve"> programme that will</w:t>
      </w:r>
      <w:r>
        <w:rPr>
          <w:lang w:eastAsia="en-AU"/>
        </w:rPr>
        <w:t xml:space="preserve"> </w:t>
      </w:r>
      <w:r w:rsidRPr="00D8488E">
        <w:rPr>
          <w:lang w:eastAsia="en-AU"/>
        </w:rPr>
        <w:t>identify sources of stormwater entering wastewater networks, including those from private</w:t>
      </w:r>
      <w:r>
        <w:rPr>
          <w:lang w:eastAsia="en-AU"/>
        </w:rPr>
        <w:t xml:space="preserve"> </w:t>
      </w:r>
      <w:r w:rsidRPr="00D8488E">
        <w:rPr>
          <w:lang w:eastAsia="en-AU"/>
        </w:rPr>
        <w:t>property.</w:t>
      </w:r>
      <w:r>
        <w:rPr>
          <w:lang w:eastAsia="en-AU"/>
        </w:rPr>
        <w:t xml:space="preserve"> </w:t>
      </w:r>
    </w:p>
    <w:p w14:paraId="31E490FB" w14:textId="77777777" w:rsidR="006F4ECD" w:rsidRDefault="006F4ECD" w:rsidP="006F4ECD">
      <w:pPr>
        <w:spacing w:before="60" w:after="120" w:line="280" w:lineRule="atLeast"/>
        <w:ind w:left="567"/>
        <w:rPr>
          <w:lang w:eastAsia="en-AU"/>
        </w:rPr>
      </w:pPr>
      <w:r>
        <w:rPr>
          <w:lang w:eastAsia="en-AU"/>
        </w:rPr>
        <w:t>Common to other parts of New Zealand Watercare is also investing in community education focussing on increased understanding of the impacts of incorrect disposal of fats and the various household items that block the system. For reference</w:t>
      </w:r>
      <w:r w:rsidR="00C83BE4">
        <w:rPr>
          <w:lang w:eastAsia="en-AU"/>
        </w:rPr>
        <w:t>,</w:t>
      </w:r>
      <w:r>
        <w:rPr>
          <w:lang w:eastAsia="en-AU"/>
        </w:rPr>
        <w:t xml:space="preserve"> the following pie chart (reproduced from Watercare Network Performance Summary 2016/17) shows the main causes of DWOs in the Watercare network in the 2016/17 period. </w:t>
      </w:r>
    </w:p>
    <w:p w14:paraId="289ACCB8" w14:textId="77777777" w:rsidR="002D64F6" w:rsidRDefault="002D64F6" w:rsidP="006F4ECD">
      <w:pPr>
        <w:spacing w:before="60" w:after="120" w:line="280" w:lineRule="atLeast"/>
        <w:ind w:left="567"/>
        <w:rPr>
          <w:lang w:eastAsia="en-AU"/>
        </w:rPr>
      </w:pPr>
    </w:p>
    <w:p w14:paraId="55AC7906" w14:textId="77777777" w:rsidR="006F4ECD" w:rsidRDefault="006F4ECD" w:rsidP="006F4ECD">
      <w:pPr>
        <w:spacing w:before="60" w:after="120" w:line="280" w:lineRule="atLeast"/>
        <w:ind w:left="567"/>
        <w:jc w:val="center"/>
        <w:rPr>
          <w:lang w:eastAsia="en-AU"/>
        </w:rPr>
      </w:pPr>
      <w:r w:rsidRPr="00D8488E">
        <w:rPr>
          <w:noProof/>
          <w:lang w:val="en-NZ" w:eastAsia="en-NZ"/>
        </w:rPr>
        <w:lastRenderedPageBreak/>
        <w:drawing>
          <wp:inline distT="0" distB="0" distL="0" distR="0" wp14:anchorId="3B98DAAF" wp14:editId="720A324E">
            <wp:extent cx="4167554" cy="2461471"/>
            <wp:effectExtent l="0" t="0" r="444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77453" cy="2467318"/>
                    </a:xfrm>
                    <a:prstGeom prst="rect">
                      <a:avLst/>
                    </a:prstGeom>
                  </pic:spPr>
                </pic:pic>
              </a:graphicData>
            </a:graphic>
          </wp:inline>
        </w:drawing>
      </w:r>
    </w:p>
    <w:p w14:paraId="54ABAE46" w14:textId="77777777" w:rsidR="006F4ECD" w:rsidRPr="001B2B1E" w:rsidRDefault="006F4ECD" w:rsidP="006F4ECD">
      <w:pPr>
        <w:pStyle w:val="Caption"/>
        <w:rPr>
          <w:lang w:eastAsia="en-AU"/>
        </w:rPr>
      </w:pPr>
      <w:bookmarkStart w:id="862" w:name="_Toc516840494"/>
      <w:r>
        <w:t xml:space="preserve">Figure </w:t>
      </w:r>
      <w:r w:rsidR="004E6D0F">
        <w:t>C-3</w:t>
      </w:r>
      <w:r>
        <w:t xml:space="preserve">  Watercare </w:t>
      </w:r>
      <w:r w:rsidR="002D64F6">
        <w:t>n</w:t>
      </w:r>
      <w:r>
        <w:t xml:space="preserve">etworks 2016-17 </w:t>
      </w:r>
      <w:r w:rsidR="002D64F6">
        <w:t>d</w:t>
      </w:r>
      <w:r>
        <w:t>ata on network blockages</w:t>
      </w:r>
      <w:bookmarkEnd w:id="862"/>
    </w:p>
    <w:p w14:paraId="59499E20" w14:textId="77777777" w:rsidR="006F4ECD" w:rsidRPr="00FA00BB" w:rsidRDefault="006F4ECD" w:rsidP="006F4ECD">
      <w:pPr>
        <w:pStyle w:val="Body"/>
      </w:pPr>
    </w:p>
    <w:p w14:paraId="784424A3" w14:textId="77777777" w:rsidR="006F4ECD" w:rsidRPr="00ED66CC" w:rsidRDefault="004E6D0F" w:rsidP="00ED66CC">
      <w:pPr>
        <w:pStyle w:val="BodyText"/>
        <w:ind w:firstLine="567"/>
        <w:rPr>
          <w:rFonts w:ascii="Arial Black" w:eastAsia="Times New Roman" w:hAnsi="Arial Black" w:cs="Times New Roman"/>
          <w:color w:val="00599C"/>
          <w:sz w:val="22"/>
          <w:szCs w:val="22"/>
          <w:lang w:val="en-AU"/>
        </w:rPr>
      </w:pPr>
      <w:bookmarkStart w:id="863" w:name="_Toc517267858"/>
      <w:bookmarkStart w:id="864" w:name="_Toc517687756"/>
      <w:bookmarkStart w:id="865" w:name="_Toc517707427"/>
      <w:bookmarkStart w:id="866" w:name="_Toc517776799"/>
      <w:bookmarkStart w:id="867" w:name="_Toc517787184"/>
      <w:r w:rsidRPr="00ED66CC">
        <w:rPr>
          <w:rFonts w:ascii="Arial Black" w:eastAsia="Times New Roman" w:hAnsi="Arial Black" w:cs="Times New Roman"/>
          <w:color w:val="00599C"/>
          <w:sz w:val="22"/>
          <w:szCs w:val="22"/>
          <w:lang w:val="en-AU"/>
        </w:rPr>
        <w:t>C</w:t>
      </w:r>
      <w:r w:rsidR="006F4ECD" w:rsidRPr="00ED66CC">
        <w:rPr>
          <w:rFonts w:ascii="Arial Black" w:eastAsia="Times New Roman" w:hAnsi="Arial Black" w:cs="Times New Roman"/>
          <w:color w:val="00599C"/>
          <w:sz w:val="22"/>
          <w:szCs w:val="22"/>
          <w:lang w:val="en-AU"/>
        </w:rPr>
        <w:t>.4 Wellington Water</w:t>
      </w:r>
      <w:bookmarkEnd w:id="863"/>
      <w:bookmarkEnd w:id="864"/>
      <w:bookmarkEnd w:id="865"/>
      <w:bookmarkEnd w:id="866"/>
      <w:bookmarkEnd w:id="867"/>
    </w:p>
    <w:p w14:paraId="693E7A72" w14:textId="77777777" w:rsidR="006F4ECD" w:rsidRDefault="006F4ECD" w:rsidP="006F4ECD">
      <w:pPr>
        <w:spacing w:before="60" w:after="120" w:line="280" w:lineRule="atLeast"/>
        <w:ind w:left="567"/>
        <w:rPr>
          <w:lang w:eastAsia="en-AU"/>
        </w:rPr>
      </w:pPr>
      <w:r>
        <w:rPr>
          <w:lang w:eastAsia="en-AU"/>
        </w:rPr>
        <w:t xml:space="preserve">Wellington Water is a </w:t>
      </w:r>
      <w:r w:rsidRPr="004F7C48">
        <w:rPr>
          <w:lang w:eastAsia="en-AU"/>
        </w:rPr>
        <w:t>shared-service, council-controlled organisation, jointly owned by the Hutt, Porirua, Upper Hutt and Wellington city councils and the Greater Wellington Regional Council.</w:t>
      </w:r>
      <w:r>
        <w:rPr>
          <w:lang w:eastAsia="en-AU"/>
        </w:rPr>
        <w:t xml:space="preserve"> The wastewater network managed by Wellington Water incorporates 2391 km of pipeline and 191 pump stations directing wastewater to four WWTPs. All four WWTP’s discharge treated water to the coastal marine area.</w:t>
      </w:r>
    </w:p>
    <w:p w14:paraId="1CEC6393" w14:textId="77777777" w:rsidR="006F4ECD" w:rsidRDefault="006F4ECD" w:rsidP="006F4ECD">
      <w:pPr>
        <w:spacing w:before="60" w:after="120" w:line="280" w:lineRule="atLeast"/>
        <w:ind w:left="567"/>
        <w:rPr>
          <w:lang w:eastAsia="en-AU"/>
        </w:rPr>
      </w:pPr>
      <w:r>
        <w:rPr>
          <w:lang w:eastAsia="en-AU"/>
        </w:rPr>
        <w:t xml:space="preserve"> For this study Wellington Water provided maps of the known overflow points in their network. </w:t>
      </w:r>
    </w:p>
    <w:p w14:paraId="33B4B10E" w14:textId="77777777" w:rsidR="006F4ECD" w:rsidRDefault="006F4ECD" w:rsidP="006F4ECD">
      <w:pPr>
        <w:spacing w:before="60" w:after="120" w:line="280" w:lineRule="atLeast"/>
        <w:ind w:left="567"/>
        <w:rPr>
          <w:lang w:eastAsia="en-AU"/>
        </w:rPr>
      </w:pPr>
      <w:r>
        <w:rPr>
          <w:lang w:eastAsia="en-AU"/>
        </w:rPr>
        <w:t>The overflow points are categorised as follows:</w:t>
      </w:r>
    </w:p>
    <w:p w14:paraId="35F937D5" w14:textId="77777777" w:rsidR="006F4ECD" w:rsidRDefault="006F4ECD" w:rsidP="006F4ECD">
      <w:pPr>
        <w:numPr>
          <w:ilvl w:val="0"/>
          <w:numId w:val="47"/>
        </w:numPr>
        <w:spacing w:before="60" w:after="120" w:line="280" w:lineRule="atLeast"/>
        <w:rPr>
          <w:lang w:eastAsia="en-AU"/>
        </w:rPr>
      </w:pPr>
      <w:r>
        <w:rPr>
          <w:lang w:eastAsia="en-AU"/>
        </w:rPr>
        <w:t>Emergency Overflow Connection, only known to overflow in rare circumstances (E)</w:t>
      </w:r>
    </w:p>
    <w:p w14:paraId="34DFC6BD" w14:textId="77777777" w:rsidR="006F4ECD" w:rsidRDefault="006F4ECD" w:rsidP="006F4ECD">
      <w:pPr>
        <w:numPr>
          <w:ilvl w:val="0"/>
          <w:numId w:val="47"/>
        </w:numPr>
        <w:spacing w:before="60" w:after="120" w:line="280" w:lineRule="atLeast"/>
        <w:rPr>
          <w:lang w:eastAsia="en-AU"/>
        </w:rPr>
      </w:pPr>
      <w:r>
        <w:rPr>
          <w:lang w:eastAsia="en-AU"/>
        </w:rPr>
        <w:t>Not Consented &amp; known to occasionally overflow in wet weather (N)</w:t>
      </w:r>
    </w:p>
    <w:p w14:paraId="07D80AC5" w14:textId="77777777" w:rsidR="006F4ECD" w:rsidRDefault="006F4ECD" w:rsidP="006F4ECD">
      <w:pPr>
        <w:numPr>
          <w:ilvl w:val="0"/>
          <w:numId w:val="47"/>
        </w:numPr>
        <w:spacing w:before="60" w:after="120" w:line="280" w:lineRule="atLeast"/>
        <w:rPr>
          <w:lang w:eastAsia="en-AU"/>
        </w:rPr>
      </w:pPr>
      <w:r>
        <w:rPr>
          <w:lang w:eastAsia="en-AU"/>
        </w:rPr>
        <w:t>Consented for wet weather wastewater overflow (Y)</w:t>
      </w:r>
    </w:p>
    <w:p w14:paraId="0621CD56" w14:textId="77777777" w:rsidR="006F4ECD" w:rsidRDefault="006F4ECD" w:rsidP="006F4ECD">
      <w:pPr>
        <w:spacing w:before="60" w:after="120" w:line="280" w:lineRule="atLeast"/>
        <w:ind w:left="567"/>
        <w:rPr>
          <w:lang w:eastAsia="en-AU"/>
        </w:rPr>
      </w:pPr>
      <w:r w:rsidRPr="003C160F">
        <w:rPr>
          <w:lang w:eastAsia="en-AU"/>
        </w:rPr>
        <w:t xml:space="preserve">Community concerns about wastewater overflows and consideration of iwi values is a key driver for Wellington Waters commitment to overflow reduction. GWRC policy as noted in section </w:t>
      </w:r>
      <w:r>
        <w:rPr>
          <w:lang w:eastAsia="en-AU"/>
        </w:rPr>
        <w:fldChar w:fldCharType="begin"/>
      </w:r>
      <w:r>
        <w:rPr>
          <w:lang w:eastAsia="en-AU"/>
        </w:rPr>
        <w:instrText xml:space="preserve"> REF _Ref516558682 \r \h </w:instrText>
      </w:r>
      <w:r>
        <w:rPr>
          <w:lang w:eastAsia="en-AU"/>
        </w:rPr>
      </w:r>
      <w:r>
        <w:rPr>
          <w:lang w:eastAsia="en-AU"/>
        </w:rPr>
        <w:fldChar w:fldCharType="separate"/>
      </w:r>
      <w:r w:rsidR="002777A8">
        <w:rPr>
          <w:lang w:eastAsia="en-AU"/>
        </w:rPr>
        <w:t>3.3.1</w:t>
      </w:r>
      <w:r>
        <w:rPr>
          <w:lang w:eastAsia="en-AU"/>
        </w:rPr>
        <w:fldChar w:fldCharType="end"/>
      </w:r>
      <w:r w:rsidRPr="003C160F">
        <w:rPr>
          <w:lang w:eastAsia="en-AU"/>
        </w:rPr>
        <w:t xml:space="preserve"> signals that discharge of untreated wastewater is unacceptable and this is also a key consideration in developing strategy for network improvements. </w:t>
      </w:r>
    </w:p>
    <w:p w14:paraId="59CEFE55" w14:textId="77777777" w:rsidR="006F4ECD" w:rsidRDefault="006F4ECD" w:rsidP="006F4ECD">
      <w:pPr>
        <w:spacing w:before="60" w:after="120" w:line="280" w:lineRule="atLeast"/>
        <w:ind w:left="567"/>
        <w:rPr>
          <w:lang w:eastAsia="en-AU"/>
        </w:rPr>
      </w:pPr>
      <w:r>
        <w:rPr>
          <w:lang w:eastAsia="en-AU"/>
        </w:rPr>
        <w:t xml:space="preserve">Wellington Water has committed to a program of works to better characterise and then reduce overflows from their wastewater network. </w:t>
      </w:r>
    </w:p>
    <w:p w14:paraId="74FFF584" w14:textId="77777777" w:rsidR="006F4ECD" w:rsidRPr="003C160F" w:rsidRDefault="006F4ECD" w:rsidP="006F4ECD">
      <w:pPr>
        <w:spacing w:before="60" w:after="120" w:line="280" w:lineRule="atLeast"/>
        <w:ind w:left="567"/>
        <w:rPr>
          <w:lang w:eastAsia="en-AU"/>
        </w:rPr>
      </w:pPr>
      <w:r w:rsidRPr="003C160F">
        <w:rPr>
          <w:lang w:eastAsia="en-AU"/>
        </w:rPr>
        <w:t>This program of works includes develop</w:t>
      </w:r>
      <w:r>
        <w:rPr>
          <w:lang w:eastAsia="en-AU"/>
        </w:rPr>
        <w:t>ment</w:t>
      </w:r>
      <w:r w:rsidRPr="003C160F">
        <w:rPr>
          <w:lang w:eastAsia="en-AU"/>
        </w:rPr>
        <w:t xml:space="preserve"> of master plans over the next </w:t>
      </w:r>
      <w:r>
        <w:rPr>
          <w:lang w:eastAsia="en-AU"/>
        </w:rPr>
        <w:t>five</w:t>
      </w:r>
      <w:r w:rsidRPr="003C160F">
        <w:rPr>
          <w:lang w:eastAsia="en-AU"/>
        </w:rPr>
        <w:t xml:space="preserve"> years for both stormwater and wastewater that will capture the issues and proposed solutions at a catchment wide level. Integral to these management plans will be stormwater and wastewater hydraulic models that will be used to inform how the network</w:t>
      </w:r>
      <w:r>
        <w:rPr>
          <w:lang w:eastAsia="en-AU"/>
        </w:rPr>
        <w:t>s</w:t>
      </w:r>
      <w:r w:rsidRPr="003C160F">
        <w:rPr>
          <w:lang w:eastAsia="en-AU"/>
        </w:rPr>
        <w:t xml:space="preserve"> perform under a number of scenarios and to assess what improvements will be needed to both manage future growth and reduce overflows. </w:t>
      </w:r>
      <w:r>
        <w:rPr>
          <w:lang w:eastAsia="en-AU"/>
        </w:rPr>
        <w:t xml:space="preserve">In taking this approach </w:t>
      </w:r>
      <w:r w:rsidRPr="003C160F">
        <w:rPr>
          <w:lang w:eastAsia="en-AU"/>
        </w:rPr>
        <w:t>Wellington Water recognises that improvement in freshwater quality in their region can only be ach</w:t>
      </w:r>
      <w:r>
        <w:rPr>
          <w:lang w:eastAsia="en-AU"/>
        </w:rPr>
        <w:t>iev</w:t>
      </w:r>
      <w:r w:rsidRPr="003C160F">
        <w:rPr>
          <w:lang w:eastAsia="en-AU"/>
        </w:rPr>
        <w:t>ed if stormwater contamination is addressed in conjunction with improvement</w:t>
      </w:r>
      <w:r>
        <w:rPr>
          <w:lang w:eastAsia="en-AU"/>
        </w:rPr>
        <w:t>s</w:t>
      </w:r>
      <w:r w:rsidRPr="003C160F">
        <w:rPr>
          <w:lang w:eastAsia="en-AU"/>
        </w:rPr>
        <w:t xml:space="preserve"> in the wastewater network. As an example the Hutt River water quality is significantly influenced by upstream rural activity as well as runoff from urban areas. The contribution of network overflows to </w:t>
      </w:r>
      <w:r>
        <w:rPr>
          <w:lang w:eastAsia="en-AU"/>
        </w:rPr>
        <w:t xml:space="preserve">long term </w:t>
      </w:r>
      <w:r w:rsidRPr="003C160F">
        <w:rPr>
          <w:lang w:eastAsia="en-AU"/>
        </w:rPr>
        <w:t xml:space="preserve">receiving water quality is likely to be relatively minor in comparison. </w:t>
      </w:r>
    </w:p>
    <w:p w14:paraId="1A7AC5B6" w14:textId="77777777" w:rsidR="006F4ECD" w:rsidRPr="003C160F" w:rsidRDefault="006F4ECD" w:rsidP="006F4ECD">
      <w:pPr>
        <w:spacing w:before="60" w:after="120" w:line="280" w:lineRule="atLeast"/>
        <w:ind w:left="567"/>
        <w:rPr>
          <w:lang w:eastAsia="en-AU"/>
        </w:rPr>
      </w:pPr>
      <w:r w:rsidRPr="003C160F">
        <w:rPr>
          <w:lang w:eastAsia="en-AU"/>
        </w:rPr>
        <w:t>For Wellington</w:t>
      </w:r>
      <w:r w:rsidR="00C83BE4" w:rsidRPr="003C160F">
        <w:rPr>
          <w:lang w:eastAsia="en-AU"/>
        </w:rPr>
        <w:t>,</w:t>
      </w:r>
      <w:r w:rsidRPr="003C160F">
        <w:rPr>
          <w:lang w:eastAsia="en-AU"/>
        </w:rPr>
        <w:t xml:space="preserve"> the network is </w:t>
      </w:r>
      <w:r>
        <w:rPr>
          <w:lang w:eastAsia="en-AU"/>
        </w:rPr>
        <w:t xml:space="preserve">also </w:t>
      </w:r>
      <w:r w:rsidRPr="003C160F">
        <w:rPr>
          <w:lang w:eastAsia="en-AU"/>
        </w:rPr>
        <w:t xml:space="preserve">aged in many areas and ongoing diffuse seepage into </w:t>
      </w:r>
      <w:r>
        <w:rPr>
          <w:lang w:eastAsia="en-AU"/>
        </w:rPr>
        <w:t xml:space="preserve">stormwater </w:t>
      </w:r>
      <w:r w:rsidRPr="003C160F">
        <w:rPr>
          <w:lang w:eastAsia="en-AU"/>
        </w:rPr>
        <w:t xml:space="preserve">is likely of more concern in relation to influencing freshwater quality than occasional </w:t>
      </w:r>
      <w:r w:rsidRPr="003C160F">
        <w:rPr>
          <w:lang w:eastAsia="en-AU"/>
        </w:rPr>
        <w:lastRenderedPageBreak/>
        <w:t>wet weather overflows, which tend to be short duration and flushed through the system quickly.</w:t>
      </w:r>
      <w:r>
        <w:rPr>
          <w:lang w:eastAsia="en-AU"/>
        </w:rPr>
        <w:t xml:space="preserve">  Wellington Water have a network of 70 freshwater monitoring sites across their four city councils and have been tracking against the 2014 NPS-Freshwater “bottom line” for E coli since 2016.  Refer </w:t>
      </w:r>
      <w:r>
        <w:rPr>
          <w:highlight w:val="yellow"/>
          <w:lang w:eastAsia="en-AU"/>
        </w:rPr>
        <w:fldChar w:fldCharType="begin"/>
      </w:r>
      <w:r>
        <w:rPr>
          <w:highlight w:val="yellow"/>
          <w:lang w:eastAsia="en-AU"/>
        </w:rPr>
        <w:instrText xml:space="preserve"> REF _Ref516740224 \h </w:instrText>
      </w:r>
      <w:r>
        <w:rPr>
          <w:highlight w:val="yellow"/>
          <w:lang w:eastAsia="en-AU"/>
        </w:rPr>
      </w:r>
      <w:r>
        <w:rPr>
          <w:highlight w:val="yellow"/>
          <w:lang w:eastAsia="en-AU"/>
        </w:rPr>
        <w:fldChar w:fldCharType="separate"/>
      </w:r>
      <w:r w:rsidR="002777A8">
        <w:t xml:space="preserve">Figure </w:t>
      </w:r>
      <w:r>
        <w:rPr>
          <w:highlight w:val="yellow"/>
          <w:lang w:eastAsia="en-AU"/>
        </w:rPr>
        <w:fldChar w:fldCharType="end"/>
      </w:r>
      <w:r>
        <w:rPr>
          <w:lang w:eastAsia="en-AU"/>
        </w:rPr>
        <w:t xml:space="preserve"> </w:t>
      </w:r>
      <w:r w:rsidR="002D64F6">
        <w:rPr>
          <w:lang w:eastAsia="en-AU"/>
        </w:rPr>
        <w:t>C-4</w:t>
      </w:r>
      <w:r>
        <w:rPr>
          <w:lang w:eastAsia="en-AU"/>
        </w:rPr>
        <w:t xml:space="preserve"> below. A preliminary analysis against the 2017 NPS-Freshwater indicates that 67 or the 70 monitoring sites would be grade E based on the compliance with 95%ile limit.  </w:t>
      </w:r>
    </w:p>
    <w:p w14:paraId="72FF9B39" w14:textId="77777777" w:rsidR="00951E97" w:rsidRDefault="006F4ECD" w:rsidP="006F4ECD">
      <w:pPr>
        <w:spacing w:before="60" w:after="120" w:line="280" w:lineRule="atLeast"/>
        <w:ind w:left="567"/>
        <w:rPr>
          <w:lang w:eastAsia="en-AU"/>
        </w:rPr>
      </w:pPr>
      <w:r w:rsidRPr="003C160F">
        <w:rPr>
          <w:lang w:eastAsia="en-AU"/>
        </w:rPr>
        <w:t>Wellington Water is at the start of the master planning program noted earlier and hence at this stage does not have costs developed for overflow reduction</w:t>
      </w:r>
      <w:r>
        <w:rPr>
          <w:lang w:eastAsia="en-AU"/>
        </w:rPr>
        <w:t xml:space="preserve"> for all catchments</w:t>
      </w:r>
      <w:r w:rsidRPr="003C160F">
        <w:rPr>
          <w:lang w:eastAsia="en-AU"/>
        </w:rPr>
        <w:t xml:space="preserve">. </w:t>
      </w:r>
      <w:r>
        <w:rPr>
          <w:lang w:eastAsia="en-AU"/>
        </w:rPr>
        <w:t xml:space="preserve"> Work done in the Porirua catchment has estimated that an investment of $77</w:t>
      </w:r>
      <w:r w:rsidR="00BE1E80">
        <w:rPr>
          <w:lang w:eastAsia="en-AU"/>
        </w:rPr>
        <w:t xml:space="preserve"> </w:t>
      </w:r>
      <w:r>
        <w:rPr>
          <w:lang w:eastAsia="en-AU"/>
        </w:rPr>
        <w:t>M</w:t>
      </w:r>
      <w:r w:rsidR="00BE1E80">
        <w:rPr>
          <w:lang w:eastAsia="en-AU"/>
        </w:rPr>
        <w:t>illion</w:t>
      </w:r>
      <w:r>
        <w:rPr>
          <w:lang w:eastAsia="en-AU"/>
        </w:rPr>
        <w:t xml:space="preserve"> is required to reduce the current overflow frequency of approximately 10 per annum to 2 per annum.  This estimate also accounts for projected population growth to 110,000 in a 35 year horizon. This catchment currently serves a population of approximately 82,000 as it includes both Porirua city and  northern Wellington city suburbs. </w:t>
      </w:r>
    </w:p>
    <w:p w14:paraId="52F2DE2E" w14:textId="77777777" w:rsidR="006F4ECD" w:rsidRPr="003C160F" w:rsidRDefault="006F4ECD" w:rsidP="006F4ECD">
      <w:pPr>
        <w:spacing w:before="60" w:after="120" w:line="280" w:lineRule="atLeast"/>
        <w:ind w:left="567"/>
        <w:rPr>
          <w:lang w:eastAsia="en-AU"/>
        </w:rPr>
      </w:pPr>
      <w:r w:rsidRPr="003C160F">
        <w:rPr>
          <w:lang w:eastAsia="en-AU"/>
        </w:rPr>
        <w:t xml:space="preserve">It can be expected that the investment in network improvements to reduce overflows </w:t>
      </w:r>
      <w:r>
        <w:rPr>
          <w:lang w:eastAsia="en-AU"/>
        </w:rPr>
        <w:t xml:space="preserve">in the other catchments </w:t>
      </w:r>
      <w:r w:rsidRPr="003C160F">
        <w:rPr>
          <w:lang w:eastAsia="en-AU"/>
        </w:rPr>
        <w:t xml:space="preserve">will </w:t>
      </w:r>
      <w:r>
        <w:rPr>
          <w:lang w:eastAsia="en-AU"/>
        </w:rPr>
        <w:t xml:space="preserve">also </w:t>
      </w:r>
      <w:r w:rsidRPr="003C160F">
        <w:rPr>
          <w:lang w:eastAsia="en-AU"/>
        </w:rPr>
        <w:t xml:space="preserve">be significant.    </w:t>
      </w:r>
    </w:p>
    <w:p w14:paraId="4A4269F2" w14:textId="77777777" w:rsidR="006F4ECD" w:rsidRDefault="006F4ECD" w:rsidP="006F4ECD">
      <w:pPr>
        <w:spacing w:before="60" w:after="120" w:line="280" w:lineRule="atLeast"/>
        <w:ind w:left="567"/>
        <w:rPr>
          <w:lang w:eastAsia="en-AU"/>
        </w:rPr>
      </w:pPr>
      <w:r w:rsidRPr="003C160F">
        <w:rPr>
          <w:lang w:eastAsia="en-AU"/>
        </w:rPr>
        <w:t xml:space="preserve"> </w:t>
      </w:r>
      <w:r>
        <w:rPr>
          <w:noProof/>
          <w:lang w:val="en-NZ" w:eastAsia="en-NZ"/>
        </w:rPr>
        <w:drawing>
          <wp:inline distT="0" distB="0" distL="0" distR="0" wp14:anchorId="0C38C629" wp14:editId="7916D50E">
            <wp:extent cx="4914900" cy="2871517"/>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21444" cy="2875340"/>
                    </a:xfrm>
                    <a:prstGeom prst="rect">
                      <a:avLst/>
                    </a:prstGeom>
                    <a:noFill/>
                    <a:ln>
                      <a:noFill/>
                    </a:ln>
                  </pic:spPr>
                </pic:pic>
              </a:graphicData>
            </a:graphic>
          </wp:inline>
        </w:drawing>
      </w:r>
    </w:p>
    <w:p w14:paraId="70E73D95" w14:textId="77777777" w:rsidR="006F4ECD" w:rsidRPr="003C160F" w:rsidRDefault="006F4ECD" w:rsidP="006F4ECD">
      <w:pPr>
        <w:spacing w:before="60" w:after="120" w:line="280" w:lineRule="atLeast"/>
        <w:ind w:left="567"/>
        <w:rPr>
          <w:lang w:eastAsia="en-AU"/>
        </w:rPr>
      </w:pPr>
      <w:r>
        <w:rPr>
          <w:noProof/>
          <w:lang w:val="en-NZ" w:eastAsia="en-NZ"/>
        </w:rPr>
        <w:drawing>
          <wp:inline distT="0" distB="0" distL="0" distR="0" wp14:anchorId="7BF862D5" wp14:editId="02F48330">
            <wp:extent cx="4872037" cy="2200275"/>
            <wp:effectExtent l="0" t="0" r="508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86655" cy="2206877"/>
                    </a:xfrm>
                    <a:prstGeom prst="rect">
                      <a:avLst/>
                    </a:prstGeom>
                    <a:noFill/>
                    <a:ln>
                      <a:noFill/>
                    </a:ln>
                  </pic:spPr>
                </pic:pic>
              </a:graphicData>
            </a:graphic>
          </wp:inline>
        </w:drawing>
      </w:r>
    </w:p>
    <w:p w14:paraId="723260B5" w14:textId="77777777" w:rsidR="006F4ECD" w:rsidRDefault="006F4ECD" w:rsidP="006F4ECD">
      <w:pPr>
        <w:pStyle w:val="Caption"/>
      </w:pPr>
      <w:bookmarkStart w:id="868" w:name="_Ref516740224"/>
      <w:bookmarkStart w:id="869" w:name="_Toc516840495"/>
      <w:r>
        <w:t xml:space="preserve">Figure </w:t>
      </w:r>
      <w:bookmarkEnd w:id="868"/>
      <w:r w:rsidR="004E6D0F">
        <w:t>C-4</w:t>
      </w:r>
      <w:r>
        <w:t xml:space="preserve">  </w:t>
      </w:r>
      <w:r w:rsidRPr="00497B79">
        <w:t xml:space="preserve">Wellington Water </w:t>
      </w:r>
      <w:r w:rsidR="002D64F6">
        <w:t>q</w:t>
      </w:r>
      <w:r w:rsidRPr="00497B79">
        <w:t xml:space="preserve">uality </w:t>
      </w:r>
      <w:r w:rsidR="002D64F6">
        <w:t>m</w:t>
      </w:r>
      <w:r w:rsidRPr="00497B79">
        <w:t xml:space="preserve">onitoring </w:t>
      </w:r>
      <w:r w:rsidR="002D64F6">
        <w:t>s</w:t>
      </w:r>
      <w:r w:rsidRPr="00497B79">
        <w:t>ummary 1 July 2017 to</w:t>
      </w:r>
      <w:r>
        <w:t xml:space="preserve"> 31 March 2018</w:t>
      </w:r>
      <w:bookmarkEnd w:id="869"/>
    </w:p>
    <w:p w14:paraId="11B4E908" w14:textId="77777777" w:rsidR="006F4ECD" w:rsidRDefault="006F4ECD" w:rsidP="006F4ECD">
      <w:pPr>
        <w:pStyle w:val="Body"/>
      </w:pPr>
    </w:p>
    <w:p w14:paraId="645C9353" w14:textId="77777777" w:rsidR="00A924E4" w:rsidRDefault="00A924E4" w:rsidP="006F4ECD">
      <w:pPr>
        <w:pStyle w:val="Body"/>
      </w:pPr>
    </w:p>
    <w:p w14:paraId="4E8CB290" w14:textId="77777777" w:rsidR="00A924E4" w:rsidRPr="00215172" w:rsidRDefault="00A924E4" w:rsidP="006F4ECD">
      <w:pPr>
        <w:pStyle w:val="Body"/>
      </w:pPr>
    </w:p>
    <w:p w14:paraId="06AB2F3C" w14:textId="77777777" w:rsidR="006F4ECD" w:rsidRPr="00ED66CC" w:rsidRDefault="004E6D0F" w:rsidP="00ED66CC">
      <w:pPr>
        <w:pStyle w:val="BodyText"/>
        <w:ind w:firstLine="567"/>
        <w:rPr>
          <w:rFonts w:ascii="Arial Black" w:eastAsia="Times New Roman" w:hAnsi="Arial Black" w:cs="Times New Roman"/>
          <w:color w:val="00599C"/>
          <w:sz w:val="22"/>
          <w:szCs w:val="22"/>
          <w:lang w:val="en-AU"/>
        </w:rPr>
      </w:pPr>
      <w:bookmarkStart w:id="870" w:name="_Toc517267859"/>
      <w:bookmarkStart w:id="871" w:name="_Toc517687757"/>
      <w:bookmarkStart w:id="872" w:name="_Toc517707428"/>
      <w:bookmarkStart w:id="873" w:name="_Toc517776800"/>
      <w:bookmarkStart w:id="874" w:name="_Toc517787185"/>
      <w:r w:rsidRPr="00ED66CC">
        <w:rPr>
          <w:rFonts w:ascii="Arial Black" w:eastAsia="Times New Roman" w:hAnsi="Arial Black" w:cs="Times New Roman"/>
          <w:color w:val="00599C"/>
          <w:sz w:val="22"/>
          <w:szCs w:val="22"/>
          <w:lang w:val="en-AU"/>
        </w:rPr>
        <w:lastRenderedPageBreak/>
        <w:t>C</w:t>
      </w:r>
      <w:r w:rsidR="006F4ECD" w:rsidRPr="00ED66CC">
        <w:rPr>
          <w:rFonts w:ascii="Arial Black" w:eastAsia="Times New Roman" w:hAnsi="Arial Black" w:cs="Times New Roman"/>
          <w:color w:val="00599C"/>
          <w:sz w:val="22"/>
          <w:szCs w:val="22"/>
          <w:lang w:val="en-AU"/>
        </w:rPr>
        <w:t>.5 Queenstown Lakes District</w:t>
      </w:r>
      <w:bookmarkEnd w:id="870"/>
      <w:bookmarkEnd w:id="871"/>
      <w:bookmarkEnd w:id="872"/>
      <w:bookmarkEnd w:id="873"/>
      <w:bookmarkEnd w:id="874"/>
    </w:p>
    <w:p w14:paraId="703FBA01" w14:textId="77777777" w:rsidR="006F4ECD" w:rsidRDefault="006F4ECD" w:rsidP="006F4ECD">
      <w:pPr>
        <w:pStyle w:val="Body"/>
        <w:rPr>
          <w:lang w:eastAsia="en-AU"/>
        </w:rPr>
      </w:pPr>
      <w:r>
        <w:rPr>
          <w:lang w:eastAsia="en-AU"/>
        </w:rPr>
        <w:t xml:space="preserve">The wastewater networks managed by </w:t>
      </w:r>
      <w:r w:rsidRPr="008324F9">
        <w:rPr>
          <w:lang w:eastAsia="en-AU"/>
        </w:rPr>
        <w:t>Queenst</w:t>
      </w:r>
      <w:r>
        <w:rPr>
          <w:lang w:eastAsia="en-AU"/>
        </w:rPr>
        <w:t>own</w:t>
      </w:r>
      <w:r w:rsidRPr="008324F9">
        <w:rPr>
          <w:lang w:eastAsia="en-AU"/>
        </w:rPr>
        <w:t xml:space="preserve"> Lakes District Council (QLDC) </w:t>
      </w:r>
      <w:r w:rsidRPr="001520E9">
        <w:rPr>
          <w:lang w:eastAsia="en-AU"/>
        </w:rPr>
        <w:t xml:space="preserve">do not have any </w:t>
      </w:r>
      <w:r>
        <w:rPr>
          <w:lang w:eastAsia="en-AU"/>
        </w:rPr>
        <w:t xml:space="preserve">constructed WWO’s. </w:t>
      </w:r>
    </w:p>
    <w:p w14:paraId="57CFB4D1" w14:textId="77777777" w:rsidR="006F4ECD" w:rsidRDefault="006F4ECD" w:rsidP="006F4ECD">
      <w:pPr>
        <w:pStyle w:val="Body"/>
        <w:rPr>
          <w:lang w:eastAsia="en-AU"/>
        </w:rPr>
      </w:pPr>
      <w:r>
        <w:rPr>
          <w:lang w:eastAsia="en-AU"/>
        </w:rPr>
        <w:t xml:space="preserve">A key issue for QLDC is the occurrence of dry weather overflows caused by blockages from fat and building material. </w:t>
      </w:r>
    </w:p>
    <w:p w14:paraId="5658AAE3" w14:textId="77777777" w:rsidR="006F4ECD" w:rsidRDefault="006F4ECD" w:rsidP="006F4ECD">
      <w:pPr>
        <w:pStyle w:val="Body"/>
        <w:rPr>
          <w:lang w:eastAsia="en-AU"/>
        </w:rPr>
      </w:pPr>
      <w:r>
        <w:rPr>
          <w:lang w:eastAsia="en-AU"/>
        </w:rPr>
        <w:t xml:space="preserve">Being a tourist centre there are many restaurants and hotels discharging wastewater to the network and poor practise by these operators has been the cause of many overflows. </w:t>
      </w:r>
      <w:r w:rsidRPr="00F21FAB">
        <w:rPr>
          <w:lang w:eastAsia="en-AU"/>
        </w:rPr>
        <w:t xml:space="preserve">Gravel and debris from construction sites and infill housing </w:t>
      </w:r>
      <w:r>
        <w:rPr>
          <w:lang w:eastAsia="en-AU"/>
        </w:rPr>
        <w:t>is also</w:t>
      </w:r>
      <w:r w:rsidRPr="00F21FAB">
        <w:rPr>
          <w:lang w:eastAsia="en-AU"/>
        </w:rPr>
        <w:t xml:space="preserve"> a common source of foreign material in </w:t>
      </w:r>
      <w:r>
        <w:rPr>
          <w:lang w:eastAsia="en-AU"/>
        </w:rPr>
        <w:t>wastewater pipes</w:t>
      </w:r>
      <w:r w:rsidRPr="00F21FAB">
        <w:rPr>
          <w:lang w:eastAsia="en-AU"/>
        </w:rPr>
        <w:t xml:space="preserve">. </w:t>
      </w:r>
    </w:p>
    <w:p w14:paraId="22A0B510" w14:textId="77777777" w:rsidR="006F4ECD" w:rsidRDefault="006F4ECD" w:rsidP="006F4ECD">
      <w:pPr>
        <w:pStyle w:val="Body"/>
        <w:rPr>
          <w:lang w:eastAsia="en-AU"/>
        </w:rPr>
      </w:pPr>
      <w:r>
        <w:rPr>
          <w:lang w:eastAsia="en-AU"/>
        </w:rPr>
        <w:t xml:space="preserve">In 2014 QLDC embarked on a programme of preventative maintenance that includes: </w:t>
      </w:r>
    </w:p>
    <w:p w14:paraId="0A4EDE30" w14:textId="77777777" w:rsidR="006F4ECD" w:rsidRDefault="00C83BE4" w:rsidP="006F4ECD">
      <w:pPr>
        <w:pStyle w:val="Body"/>
        <w:numPr>
          <w:ilvl w:val="0"/>
          <w:numId w:val="51"/>
        </w:numPr>
        <w:rPr>
          <w:lang w:eastAsia="en-AU"/>
        </w:rPr>
      </w:pPr>
      <w:r>
        <w:rPr>
          <w:lang w:eastAsia="en-AU"/>
        </w:rPr>
        <w:t>Water blasting</w:t>
      </w:r>
      <w:r w:rsidR="006F4ECD">
        <w:rPr>
          <w:lang w:eastAsia="en-AU"/>
        </w:rPr>
        <w:t xml:space="preserve"> and then inspection of wastewater pipes with CCTV cameras. </w:t>
      </w:r>
    </w:p>
    <w:p w14:paraId="0EAE93D5" w14:textId="77777777" w:rsidR="006F4ECD" w:rsidRDefault="006F4ECD" w:rsidP="006F4ECD">
      <w:pPr>
        <w:pStyle w:val="Body"/>
        <w:numPr>
          <w:ilvl w:val="0"/>
          <w:numId w:val="51"/>
        </w:numPr>
        <w:rPr>
          <w:lang w:eastAsia="en-AU"/>
        </w:rPr>
      </w:pPr>
      <w:r>
        <w:rPr>
          <w:lang w:eastAsia="en-AU"/>
        </w:rPr>
        <w:t>Identification and targeted remedial works such as construction of grease traps.</w:t>
      </w:r>
    </w:p>
    <w:p w14:paraId="5A6A154A" w14:textId="77777777" w:rsidR="006F4ECD" w:rsidRDefault="006F4ECD" w:rsidP="006F4ECD">
      <w:pPr>
        <w:pStyle w:val="Body"/>
        <w:numPr>
          <w:ilvl w:val="0"/>
          <w:numId w:val="51"/>
        </w:numPr>
        <w:rPr>
          <w:lang w:eastAsia="en-AU"/>
        </w:rPr>
      </w:pPr>
      <w:r>
        <w:rPr>
          <w:lang w:eastAsia="en-AU"/>
        </w:rPr>
        <w:t>Community edu</w:t>
      </w:r>
      <w:r w:rsidR="00951E97">
        <w:rPr>
          <w:lang w:eastAsia="en-AU"/>
        </w:rPr>
        <w:t>c</w:t>
      </w:r>
      <w:r>
        <w:rPr>
          <w:lang w:eastAsia="en-AU"/>
        </w:rPr>
        <w:t xml:space="preserve">ation </w:t>
      </w:r>
      <w:r w:rsidRPr="00F21FAB">
        <w:rPr>
          <w:lang w:eastAsia="en-AU"/>
        </w:rPr>
        <w:t>target</w:t>
      </w:r>
      <w:r>
        <w:rPr>
          <w:lang w:eastAsia="en-AU"/>
        </w:rPr>
        <w:t>ing</w:t>
      </w:r>
      <w:r w:rsidRPr="00F21FAB">
        <w:rPr>
          <w:lang w:eastAsia="en-AU"/>
        </w:rPr>
        <w:t xml:space="preserve"> construction companies, building trades and food outlets.</w:t>
      </w:r>
    </w:p>
    <w:p w14:paraId="32BF9997" w14:textId="77777777" w:rsidR="006F4ECD" w:rsidRDefault="006F4ECD" w:rsidP="006F4ECD">
      <w:pPr>
        <w:pStyle w:val="Body"/>
        <w:numPr>
          <w:ilvl w:val="0"/>
          <w:numId w:val="51"/>
        </w:numPr>
        <w:rPr>
          <w:lang w:eastAsia="en-AU"/>
        </w:rPr>
      </w:pPr>
      <w:r w:rsidRPr="00F21FAB">
        <w:rPr>
          <w:lang w:eastAsia="en-AU"/>
        </w:rPr>
        <w:t xml:space="preserve"> </w:t>
      </w:r>
      <w:r w:rsidRPr="002859D2">
        <w:rPr>
          <w:lang w:eastAsia="en-AU"/>
        </w:rPr>
        <w:t>Council has an inspector on site when new connections are made to the wastewater system, to ensure no construction material or fittings are dropped into the pipes.</w:t>
      </w:r>
    </w:p>
    <w:p w14:paraId="7B740A4C" w14:textId="77777777" w:rsidR="006F4ECD" w:rsidRDefault="006F4ECD" w:rsidP="006F4ECD">
      <w:pPr>
        <w:pStyle w:val="Body"/>
        <w:numPr>
          <w:ilvl w:val="0"/>
          <w:numId w:val="51"/>
        </w:numPr>
        <w:rPr>
          <w:lang w:eastAsia="en-AU"/>
        </w:rPr>
      </w:pPr>
      <w:r>
        <w:rPr>
          <w:lang w:eastAsia="en-AU"/>
        </w:rPr>
        <w:t>Information is provided to householders, through the Council’s newsletter, displays and by direct mail, to help residents understand the consequences of flushing nappies and other inappropriate items down the toilet.</w:t>
      </w:r>
    </w:p>
    <w:p w14:paraId="2DBBFAA6" w14:textId="77777777" w:rsidR="006F4ECD" w:rsidRDefault="006F4ECD" w:rsidP="006F4ECD">
      <w:pPr>
        <w:pStyle w:val="Body"/>
        <w:rPr>
          <w:lang w:eastAsia="en-AU"/>
        </w:rPr>
      </w:pPr>
      <w:r>
        <w:rPr>
          <w:lang w:eastAsia="en-AU"/>
        </w:rPr>
        <w:t>QLDC has also stepped up its enforcement with a Trade Wastes Bylaw introduced in 2015.</w:t>
      </w:r>
    </w:p>
    <w:p w14:paraId="1F8B8182" w14:textId="77777777" w:rsidR="006F4ECD" w:rsidRPr="001520E9" w:rsidRDefault="006F4ECD" w:rsidP="006F4ECD">
      <w:pPr>
        <w:pStyle w:val="Body"/>
        <w:rPr>
          <w:lang w:eastAsia="en-AU"/>
        </w:rPr>
      </w:pPr>
      <w:r>
        <w:rPr>
          <w:lang w:eastAsia="en-AU"/>
        </w:rPr>
        <w:t xml:space="preserve">QLDC </w:t>
      </w:r>
      <w:r w:rsidRPr="001520E9">
        <w:rPr>
          <w:lang w:eastAsia="en-AU"/>
        </w:rPr>
        <w:t xml:space="preserve">do not have any consents that relate to overflows, however </w:t>
      </w:r>
      <w:r>
        <w:rPr>
          <w:lang w:eastAsia="en-AU"/>
        </w:rPr>
        <w:t>they</w:t>
      </w:r>
      <w:r w:rsidRPr="001520E9">
        <w:rPr>
          <w:lang w:eastAsia="en-AU"/>
        </w:rPr>
        <w:t xml:space="preserve"> have commenced a project to prepare and lodge a consent application with the Otago Regional Council later this year. As part of this process </w:t>
      </w:r>
      <w:r>
        <w:rPr>
          <w:lang w:eastAsia="en-AU"/>
        </w:rPr>
        <w:t>QLDC</w:t>
      </w:r>
      <w:r w:rsidRPr="001520E9">
        <w:rPr>
          <w:lang w:eastAsia="en-AU"/>
        </w:rPr>
        <w:t xml:space="preserve"> are undertaking an assessment of current network performance and identifying areas of improvement in terms of reducing overflows.</w:t>
      </w:r>
    </w:p>
    <w:p w14:paraId="45F40B7A" w14:textId="77777777" w:rsidR="006F4ECD" w:rsidRPr="006F4ECD" w:rsidRDefault="006F4ECD" w:rsidP="006F4ECD">
      <w:pPr>
        <w:pStyle w:val="Body"/>
      </w:pPr>
    </w:p>
    <w:p w14:paraId="3E692A73" w14:textId="77777777" w:rsidR="009648CD" w:rsidRPr="00BC4E63" w:rsidRDefault="009648CD" w:rsidP="00412D9F">
      <w:pPr>
        <w:pStyle w:val="Appendix"/>
        <w:sectPr w:rsidR="009648CD" w:rsidRPr="00BC4E63" w:rsidSect="00412D9F">
          <w:pgSz w:w="11907" w:h="16839" w:code="9"/>
          <w:pgMar w:top="1134" w:right="1134" w:bottom="1134" w:left="1701" w:header="181" w:footer="227" w:gutter="0"/>
          <w:cols w:space="283"/>
          <w:titlePg/>
          <w:docGrid w:linePitch="360"/>
        </w:sectPr>
      </w:pPr>
    </w:p>
    <w:p w14:paraId="638E6387" w14:textId="77777777" w:rsidR="00B15876" w:rsidRPr="00BC4E63" w:rsidRDefault="00B15876" w:rsidP="008C5BCE">
      <w:pPr>
        <w:pStyle w:val="Body"/>
      </w:pPr>
    </w:p>
    <w:tbl>
      <w:tblPr>
        <w:tblpPr w:leftFromText="181" w:rightFromText="181" w:horzAnchor="margin" w:tblpYSpec="bottom"/>
        <w:tblW w:w="0" w:type="auto"/>
        <w:tblLook w:val="01E0" w:firstRow="1" w:lastRow="1" w:firstColumn="1" w:lastColumn="1" w:noHBand="0" w:noVBand="0"/>
      </w:tblPr>
      <w:tblGrid>
        <w:gridCol w:w="9288"/>
      </w:tblGrid>
      <w:tr w:rsidR="009648CD" w:rsidRPr="00BC4E63" w14:paraId="758B43DA" w14:textId="77777777" w:rsidTr="00D10F54">
        <w:tc>
          <w:tcPr>
            <w:tcW w:w="10608" w:type="dxa"/>
            <w:shd w:val="clear" w:color="auto" w:fill="auto"/>
          </w:tcPr>
          <w:p w14:paraId="688D2581" w14:textId="77777777" w:rsidR="009648CD" w:rsidRPr="00BC4E63" w:rsidRDefault="009648CD" w:rsidP="00794329">
            <w:pPr>
              <w:pStyle w:val="Body"/>
              <w:spacing w:before="45" w:after="91" w:line="240" w:lineRule="auto"/>
              <w:ind w:left="0"/>
              <w:rPr>
                <w:bCs/>
              </w:rPr>
            </w:pPr>
            <w:bookmarkStart w:id="875" w:name="EndSection"/>
            <w:r w:rsidRPr="00BC4E63">
              <w:rPr>
                <w:bCs/>
              </w:rPr>
              <w:t>GHD</w:t>
            </w:r>
          </w:p>
          <w:bookmarkEnd w:id="875"/>
          <w:p w14:paraId="09E4C28C" w14:textId="77777777" w:rsidR="00003EDA" w:rsidRPr="00BC4E63" w:rsidRDefault="00003EDA" w:rsidP="00794329">
            <w:pPr>
              <w:pStyle w:val="Body"/>
              <w:spacing w:before="45" w:after="91" w:line="240" w:lineRule="auto"/>
              <w:ind w:left="0"/>
              <w:rPr>
                <w:bCs/>
              </w:rPr>
            </w:pPr>
            <w:r w:rsidRPr="00BC4E63">
              <w:rPr>
                <w:bCs/>
              </w:rPr>
              <w:fldChar w:fldCharType="begin"/>
            </w:r>
            <w:r w:rsidRPr="00BC4E63">
              <w:rPr>
                <w:bCs/>
              </w:rPr>
              <w:instrText xml:space="preserve"> DOCPROPERTY "OfficeAddressLine1"  \* MERGEFORMAT </w:instrText>
            </w:r>
            <w:r w:rsidRPr="00BC4E63">
              <w:rPr>
                <w:bCs/>
              </w:rPr>
              <w:fldChar w:fldCharType="separate"/>
            </w:r>
            <w:r w:rsidR="001922DD">
              <w:rPr>
                <w:bCs/>
              </w:rPr>
              <w:t>Level 3</w:t>
            </w:r>
            <w:r w:rsidRPr="00BC4E63">
              <w:rPr>
                <w:bCs/>
              </w:rPr>
              <w:fldChar w:fldCharType="end"/>
            </w:r>
            <w:r w:rsidRPr="00BC4E63">
              <w:rPr>
                <w:bCs/>
              </w:rPr>
              <w:br/>
            </w:r>
            <w:r w:rsidRPr="00BC4E63">
              <w:rPr>
                <w:bCs/>
              </w:rPr>
              <w:fldChar w:fldCharType="begin"/>
            </w:r>
            <w:r w:rsidRPr="00BC4E63">
              <w:rPr>
                <w:bCs/>
              </w:rPr>
              <w:instrText xml:space="preserve"> DOCPROPERTY "OfficeAddressLine2"  \* MERGEFORMAT </w:instrText>
            </w:r>
            <w:r w:rsidRPr="00BC4E63">
              <w:rPr>
                <w:bCs/>
              </w:rPr>
              <w:fldChar w:fldCharType="separate"/>
            </w:r>
            <w:r w:rsidR="001922DD">
              <w:rPr>
                <w:bCs/>
              </w:rPr>
              <w:t>138 Victoria Street</w:t>
            </w:r>
            <w:r w:rsidRPr="00BC4E63">
              <w:rPr>
                <w:bCs/>
              </w:rPr>
              <w:fldChar w:fldCharType="end"/>
            </w:r>
            <w:r w:rsidRPr="00BC4E63">
              <w:rPr>
                <w:bCs/>
              </w:rPr>
              <w:br/>
              <w:t xml:space="preserve">T: </w:t>
            </w:r>
            <w:r w:rsidRPr="00BC4E63">
              <w:rPr>
                <w:bCs/>
              </w:rPr>
              <w:fldChar w:fldCharType="begin"/>
            </w:r>
            <w:r w:rsidRPr="00BC4E63">
              <w:rPr>
                <w:bCs/>
              </w:rPr>
              <w:instrText xml:space="preserve"> DOCPROPERTY "OfficeTelephone"  \* MERGEFORMAT </w:instrText>
            </w:r>
            <w:r w:rsidRPr="00BC4E63">
              <w:rPr>
                <w:bCs/>
              </w:rPr>
              <w:fldChar w:fldCharType="separate"/>
            </w:r>
            <w:r w:rsidR="001922DD">
              <w:rPr>
                <w:bCs/>
              </w:rPr>
              <w:t>64 3 378 0900</w:t>
            </w:r>
            <w:r w:rsidRPr="00BC4E63">
              <w:rPr>
                <w:bCs/>
              </w:rPr>
              <w:fldChar w:fldCharType="end"/>
            </w:r>
            <w:r w:rsidRPr="00BC4E63">
              <w:rPr>
                <w:bCs/>
              </w:rPr>
              <w:t xml:space="preserve">   F: </w:t>
            </w:r>
            <w:r w:rsidRPr="00BC4E63">
              <w:rPr>
                <w:bCs/>
              </w:rPr>
              <w:fldChar w:fldCharType="begin"/>
            </w:r>
            <w:r w:rsidRPr="00BC4E63">
              <w:rPr>
                <w:bCs/>
              </w:rPr>
              <w:instrText xml:space="preserve"> DOCPROPERTY "OfficeFax"  \* MERGEFORMAT </w:instrText>
            </w:r>
            <w:r w:rsidRPr="00BC4E63">
              <w:rPr>
                <w:bCs/>
              </w:rPr>
              <w:fldChar w:fldCharType="end"/>
            </w:r>
            <w:r w:rsidRPr="00BC4E63">
              <w:rPr>
                <w:bCs/>
              </w:rPr>
              <w:t xml:space="preserve">   E: </w:t>
            </w:r>
            <w:r w:rsidRPr="00BC4E63">
              <w:rPr>
                <w:bCs/>
              </w:rPr>
              <w:fldChar w:fldCharType="begin"/>
            </w:r>
            <w:r w:rsidRPr="00BC4E63">
              <w:rPr>
                <w:bCs/>
              </w:rPr>
              <w:instrText xml:space="preserve"> DOCPROPERTY "OfficeEmail"  \* MERGEFORMAT </w:instrText>
            </w:r>
            <w:r w:rsidRPr="00BC4E63">
              <w:rPr>
                <w:bCs/>
              </w:rPr>
              <w:fldChar w:fldCharType="separate"/>
            </w:r>
            <w:r w:rsidR="001922DD">
              <w:rPr>
                <w:bCs/>
              </w:rPr>
              <w:t>chcmail@ghd.com</w:t>
            </w:r>
            <w:r w:rsidRPr="00BC4E63">
              <w:rPr>
                <w:bCs/>
              </w:rPr>
              <w:fldChar w:fldCharType="end"/>
            </w:r>
          </w:p>
          <w:p w14:paraId="280831ED" w14:textId="77777777" w:rsidR="00003EDA" w:rsidRPr="00BC4E63" w:rsidRDefault="00003EDA" w:rsidP="00794329">
            <w:pPr>
              <w:pStyle w:val="Body"/>
              <w:spacing w:before="45" w:after="91" w:line="240" w:lineRule="auto"/>
              <w:ind w:left="0"/>
              <w:rPr>
                <w:bCs/>
              </w:rPr>
            </w:pPr>
          </w:p>
          <w:p w14:paraId="5D702C5C" w14:textId="77777777" w:rsidR="009648CD" w:rsidRPr="00BC4E63" w:rsidRDefault="00003EDA" w:rsidP="00794329">
            <w:pPr>
              <w:pStyle w:val="Body"/>
              <w:spacing w:before="45" w:after="91" w:line="240" w:lineRule="auto"/>
              <w:ind w:left="0"/>
              <w:rPr>
                <w:bCs/>
              </w:rPr>
            </w:pPr>
            <w:r w:rsidRPr="00BC4E63">
              <w:rPr>
                <w:bCs/>
              </w:rPr>
              <w:t xml:space="preserve">© GHD </w:t>
            </w:r>
            <w:r w:rsidRPr="00BC4E63">
              <w:rPr>
                <w:bCs/>
              </w:rPr>
              <w:fldChar w:fldCharType="begin"/>
            </w:r>
            <w:r w:rsidRPr="00BC4E63">
              <w:rPr>
                <w:bCs/>
              </w:rPr>
              <w:instrText xml:space="preserve"> CREATEDATE \@ "yyyy" \* MERGEFORMAT </w:instrText>
            </w:r>
            <w:r w:rsidRPr="00BC4E63">
              <w:rPr>
                <w:bCs/>
              </w:rPr>
              <w:fldChar w:fldCharType="separate"/>
            </w:r>
            <w:r w:rsidR="001922DD">
              <w:rPr>
                <w:bCs/>
                <w:noProof/>
              </w:rPr>
              <w:t>2018</w:t>
            </w:r>
            <w:r w:rsidRPr="00BC4E63">
              <w:rPr>
                <w:bCs/>
              </w:rPr>
              <w:fldChar w:fldCharType="end"/>
            </w:r>
          </w:p>
          <w:p w14:paraId="3362A867" w14:textId="77777777" w:rsidR="009648CD" w:rsidRPr="00BC4E63" w:rsidRDefault="00663FF0" w:rsidP="00794329">
            <w:pPr>
              <w:pStyle w:val="Body"/>
              <w:spacing w:before="0" w:after="0" w:line="240" w:lineRule="auto"/>
              <w:ind w:left="0"/>
              <w:rPr>
                <w:bCs/>
              </w:rPr>
            </w:pPr>
            <w:r w:rsidRPr="00BC4E63">
              <w:rPr>
                <w:bCs/>
              </w:rPr>
              <w:t>This document is and shall remain the property of GHD. The document may only be used for the purpose for which it was commissioned and in accordance with the Terms of Engagement for the commission. Unauthorised use of this document in any form whatsoever is prohibited.</w:t>
            </w:r>
          </w:p>
          <w:p w14:paraId="6AE34F3B" w14:textId="77777777" w:rsidR="009648CD" w:rsidRPr="00BC4E63" w:rsidRDefault="00A24730" w:rsidP="00794329">
            <w:pPr>
              <w:pStyle w:val="Body"/>
              <w:spacing w:before="45" w:after="91" w:line="240" w:lineRule="auto"/>
              <w:ind w:left="0"/>
              <w:rPr>
                <w:bCs/>
              </w:rPr>
            </w:pPr>
            <w:r w:rsidRPr="00BC4E63">
              <w:rPr>
                <w:bCs/>
              </w:rPr>
              <w:fldChar w:fldCharType="begin"/>
            </w:r>
            <w:r w:rsidRPr="00BC4E63">
              <w:rPr>
                <w:bCs/>
              </w:rPr>
              <w:instrText xml:space="preserve"> FILENAME  \p  \* MERGEFORMAT </w:instrText>
            </w:r>
            <w:r w:rsidRPr="00BC4E63">
              <w:rPr>
                <w:bCs/>
              </w:rPr>
              <w:fldChar w:fldCharType="separate"/>
            </w:r>
            <w:r w:rsidR="001922DD">
              <w:rPr>
                <w:bCs/>
                <w:noProof/>
              </w:rPr>
              <w:t>https://projects.ghd.com/oc/NewZealand/wastewaterinfrastruc/Delivery/Documents/DIA Three Waters Review -Wastewater Final Report - for issue.docx</w:t>
            </w:r>
            <w:r w:rsidRPr="00BC4E63">
              <w:rPr>
                <w:bCs/>
              </w:rPr>
              <w:fldChar w:fldCharType="end"/>
            </w:r>
          </w:p>
          <w:p w14:paraId="2D638624" w14:textId="77777777" w:rsidR="002516CF" w:rsidRPr="00BC4E63" w:rsidRDefault="002516CF" w:rsidP="002516CF">
            <w:pPr>
              <w:pStyle w:val="Body"/>
              <w:spacing w:before="45" w:after="91" w:line="240" w:lineRule="auto"/>
              <w:ind w:left="0"/>
              <w:rPr>
                <w:bCs/>
              </w:rPr>
            </w:pPr>
            <w:r w:rsidRPr="00BC4E63">
              <w:rPr>
                <w:bCs/>
              </w:rPr>
              <w:t>Document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3"/>
              <w:gridCol w:w="1124"/>
              <w:gridCol w:w="1403"/>
              <w:gridCol w:w="1419"/>
              <w:gridCol w:w="1458"/>
              <w:gridCol w:w="1530"/>
              <w:gridCol w:w="929"/>
            </w:tblGrid>
            <w:tr w:rsidR="002516CF" w:rsidRPr="00BC4E63" w14:paraId="28C62AE4" w14:textId="77777777" w:rsidTr="00780E67">
              <w:tc>
                <w:tcPr>
                  <w:tcW w:w="983" w:type="dxa"/>
                  <w:vMerge w:val="restart"/>
                </w:tcPr>
                <w:p w14:paraId="5E1DE8B8" w14:textId="77777777" w:rsidR="002516CF" w:rsidRPr="00BC4E63" w:rsidRDefault="002516CF" w:rsidP="008B514E">
                  <w:pPr>
                    <w:framePr w:hSpace="181" w:wrap="around" w:hAnchor="margin" w:yAlign="bottom"/>
                    <w:spacing w:after="30"/>
                  </w:pPr>
                  <w:r w:rsidRPr="00BC4E63">
                    <w:t>Rev</w:t>
                  </w:r>
                  <w:r>
                    <w:t>ision</w:t>
                  </w:r>
                </w:p>
              </w:tc>
              <w:tc>
                <w:tcPr>
                  <w:tcW w:w="1124" w:type="dxa"/>
                  <w:vMerge w:val="restart"/>
                </w:tcPr>
                <w:p w14:paraId="3C75CC49" w14:textId="77777777" w:rsidR="002516CF" w:rsidRPr="00BC4E63" w:rsidRDefault="002516CF" w:rsidP="008B514E">
                  <w:pPr>
                    <w:framePr w:hSpace="181" w:wrap="around" w:hAnchor="margin" w:yAlign="bottom"/>
                    <w:spacing w:before="15" w:after="15"/>
                  </w:pPr>
                  <w:r w:rsidRPr="00BC4E63">
                    <w:t>Author</w:t>
                  </w:r>
                  <w:r w:rsidR="00304964">
                    <w:t>s</w:t>
                  </w:r>
                </w:p>
              </w:tc>
              <w:tc>
                <w:tcPr>
                  <w:tcW w:w="2822" w:type="dxa"/>
                  <w:gridSpan w:val="2"/>
                </w:tcPr>
                <w:p w14:paraId="0E2AE683" w14:textId="77777777" w:rsidR="002516CF" w:rsidRPr="00BC4E63" w:rsidRDefault="002516CF" w:rsidP="008B514E">
                  <w:pPr>
                    <w:framePr w:hSpace="181" w:wrap="around" w:hAnchor="margin" w:yAlign="bottom"/>
                    <w:spacing w:before="15" w:after="15"/>
                  </w:pPr>
                  <w:r w:rsidRPr="00BC4E63">
                    <w:t>Reviewer</w:t>
                  </w:r>
                </w:p>
              </w:tc>
              <w:tc>
                <w:tcPr>
                  <w:tcW w:w="3917" w:type="dxa"/>
                  <w:gridSpan w:val="3"/>
                </w:tcPr>
                <w:p w14:paraId="1ED9E8D6" w14:textId="77777777" w:rsidR="002516CF" w:rsidRPr="00BC4E63" w:rsidRDefault="002516CF" w:rsidP="008B514E">
                  <w:pPr>
                    <w:framePr w:hSpace="181" w:wrap="around" w:hAnchor="margin" w:yAlign="bottom"/>
                    <w:spacing w:before="15" w:after="15"/>
                  </w:pPr>
                  <w:r w:rsidRPr="00BC4E63">
                    <w:t>Approved for Issue</w:t>
                  </w:r>
                </w:p>
              </w:tc>
            </w:tr>
            <w:tr w:rsidR="00780E67" w:rsidRPr="00BC4E63" w14:paraId="41381CDC" w14:textId="77777777" w:rsidTr="00780E67">
              <w:tc>
                <w:tcPr>
                  <w:tcW w:w="983" w:type="dxa"/>
                  <w:vMerge/>
                </w:tcPr>
                <w:p w14:paraId="55683BCD" w14:textId="77777777" w:rsidR="002516CF" w:rsidRPr="00BC4E63" w:rsidRDefault="002516CF" w:rsidP="008B514E">
                  <w:pPr>
                    <w:framePr w:hSpace="181" w:wrap="around" w:hAnchor="margin" w:yAlign="bottom"/>
                    <w:spacing w:after="30"/>
                  </w:pPr>
                </w:p>
              </w:tc>
              <w:tc>
                <w:tcPr>
                  <w:tcW w:w="1124" w:type="dxa"/>
                  <w:vMerge/>
                </w:tcPr>
                <w:p w14:paraId="1ACB128C" w14:textId="77777777" w:rsidR="002516CF" w:rsidRPr="00BC4E63" w:rsidRDefault="002516CF" w:rsidP="008B514E">
                  <w:pPr>
                    <w:framePr w:hSpace="181" w:wrap="around" w:hAnchor="margin" w:yAlign="bottom"/>
                    <w:spacing w:after="30"/>
                  </w:pPr>
                </w:p>
              </w:tc>
              <w:tc>
                <w:tcPr>
                  <w:tcW w:w="1403" w:type="dxa"/>
                </w:tcPr>
                <w:p w14:paraId="7B934DFC" w14:textId="77777777" w:rsidR="002516CF" w:rsidRPr="00BC4E63" w:rsidRDefault="002516CF" w:rsidP="008B514E">
                  <w:pPr>
                    <w:framePr w:hSpace="181" w:wrap="around" w:hAnchor="margin" w:yAlign="bottom"/>
                    <w:spacing w:after="30"/>
                  </w:pPr>
                  <w:r w:rsidRPr="00BC4E63">
                    <w:t>Name</w:t>
                  </w:r>
                </w:p>
              </w:tc>
              <w:tc>
                <w:tcPr>
                  <w:tcW w:w="1419" w:type="dxa"/>
                </w:tcPr>
                <w:p w14:paraId="5D23C78A" w14:textId="77777777" w:rsidR="002516CF" w:rsidRPr="00BC4E63" w:rsidRDefault="002516CF" w:rsidP="008B514E">
                  <w:pPr>
                    <w:framePr w:hSpace="181" w:wrap="around" w:hAnchor="margin" w:yAlign="bottom"/>
                    <w:spacing w:after="30"/>
                  </w:pPr>
                  <w:r w:rsidRPr="00BC4E63">
                    <w:t>Signature</w:t>
                  </w:r>
                </w:p>
              </w:tc>
              <w:tc>
                <w:tcPr>
                  <w:tcW w:w="1458" w:type="dxa"/>
                </w:tcPr>
                <w:p w14:paraId="40AAD0E0" w14:textId="77777777" w:rsidR="002516CF" w:rsidRPr="00BC4E63" w:rsidRDefault="002516CF" w:rsidP="008B514E">
                  <w:pPr>
                    <w:framePr w:hSpace="181" w:wrap="around" w:hAnchor="margin" w:yAlign="bottom"/>
                    <w:spacing w:after="30"/>
                  </w:pPr>
                  <w:r w:rsidRPr="00BC4E63">
                    <w:t>Name</w:t>
                  </w:r>
                </w:p>
              </w:tc>
              <w:tc>
                <w:tcPr>
                  <w:tcW w:w="1530" w:type="dxa"/>
                </w:tcPr>
                <w:p w14:paraId="741BEFBF" w14:textId="77777777" w:rsidR="002516CF" w:rsidRPr="00BC4E63" w:rsidRDefault="002516CF" w:rsidP="008B514E">
                  <w:pPr>
                    <w:framePr w:hSpace="181" w:wrap="around" w:hAnchor="margin" w:yAlign="bottom"/>
                    <w:spacing w:after="30"/>
                  </w:pPr>
                  <w:r w:rsidRPr="00BC4E63">
                    <w:t>Signature</w:t>
                  </w:r>
                </w:p>
              </w:tc>
              <w:tc>
                <w:tcPr>
                  <w:tcW w:w="929" w:type="dxa"/>
                </w:tcPr>
                <w:p w14:paraId="6EC97270" w14:textId="77777777" w:rsidR="002516CF" w:rsidRPr="00BC4E63" w:rsidRDefault="002516CF" w:rsidP="008B514E">
                  <w:pPr>
                    <w:framePr w:hSpace="181" w:wrap="around" w:hAnchor="margin" w:yAlign="bottom"/>
                    <w:spacing w:after="30"/>
                  </w:pPr>
                  <w:r w:rsidRPr="00BC4E63">
                    <w:t>Date</w:t>
                  </w:r>
                </w:p>
              </w:tc>
            </w:tr>
            <w:tr w:rsidR="00780E67" w:rsidRPr="00BC4E63" w14:paraId="47422B19" w14:textId="77777777" w:rsidTr="00780E67">
              <w:trPr>
                <w:trHeight w:val="397"/>
              </w:trPr>
              <w:tc>
                <w:tcPr>
                  <w:tcW w:w="983" w:type="dxa"/>
                </w:tcPr>
                <w:p w14:paraId="20B80C99" w14:textId="77777777" w:rsidR="002516CF" w:rsidRPr="00BC4E63" w:rsidRDefault="00780E67" w:rsidP="008B514E">
                  <w:pPr>
                    <w:pStyle w:val="RevisionTable"/>
                    <w:framePr w:wrap="around"/>
                  </w:pPr>
                  <w:r>
                    <w:t>Final</w:t>
                  </w:r>
                </w:p>
              </w:tc>
              <w:tc>
                <w:tcPr>
                  <w:tcW w:w="1124" w:type="dxa"/>
                </w:tcPr>
                <w:p w14:paraId="4FC819E8" w14:textId="77777777" w:rsidR="00780E67" w:rsidRDefault="00780E67" w:rsidP="008B514E">
                  <w:pPr>
                    <w:pStyle w:val="RevisionTable"/>
                    <w:framePr w:wrap="around"/>
                  </w:pPr>
                  <w:r>
                    <w:t>Hugh Ratsey</w:t>
                  </w:r>
                </w:p>
                <w:p w14:paraId="4A96A855" w14:textId="77777777" w:rsidR="00FD2C3F" w:rsidRDefault="00FD2C3F" w:rsidP="008B514E">
                  <w:pPr>
                    <w:pStyle w:val="RevisionTable"/>
                    <w:framePr w:wrap="around"/>
                  </w:pPr>
                  <w:r>
                    <w:t>Tim Harty</w:t>
                  </w:r>
                </w:p>
                <w:p w14:paraId="10C4908F" w14:textId="77777777" w:rsidR="002516CF" w:rsidRPr="00BC4E63" w:rsidRDefault="00FD2C3F" w:rsidP="008B514E">
                  <w:pPr>
                    <w:pStyle w:val="RevisionTable"/>
                    <w:framePr w:wrap="around"/>
                  </w:pPr>
                  <w:r>
                    <w:t>Jeff Tuck</w:t>
                  </w:r>
                </w:p>
              </w:tc>
              <w:tc>
                <w:tcPr>
                  <w:tcW w:w="1403" w:type="dxa"/>
                </w:tcPr>
                <w:p w14:paraId="5FEA82F5" w14:textId="77777777" w:rsidR="002516CF" w:rsidRPr="00BC4E63" w:rsidRDefault="00304964" w:rsidP="008B514E">
                  <w:pPr>
                    <w:pStyle w:val="RevisionTable"/>
                    <w:framePr w:wrap="around"/>
                  </w:pPr>
                  <w:r>
                    <w:t>Pip Ochre</w:t>
                  </w:r>
                </w:p>
              </w:tc>
              <w:tc>
                <w:tcPr>
                  <w:tcW w:w="1419" w:type="dxa"/>
                </w:tcPr>
                <w:p w14:paraId="42AED602" w14:textId="77777777" w:rsidR="002516CF" w:rsidRPr="00BC4E63" w:rsidRDefault="002516CF" w:rsidP="008B514E">
                  <w:pPr>
                    <w:pStyle w:val="RevisionTable"/>
                    <w:framePr w:wrap="around"/>
                  </w:pPr>
                </w:p>
              </w:tc>
              <w:tc>
                <w:tcPr>
                  <w:tcW w:w="1458" w:type="dxa"/>
                </w:tcPr>
                <w:p w14:paraId="4854DEDF" w14:textId="77777777" w:rsidR="002516CF" w:rsidRPr="00BC4E63" w:rsidRDefault="00FD2C3F" w:rsidP="008B514E">
                  <w:pPr>
                    <w:pStyle w:val="RevisionTable"/>
                    <w:framePr w:wrap="around"/>
                  </w:pPr>
                  <w:r>
                    <w:t>Sioban Hartwell</w:t>
                  </w:r>
                </w:p>
              </w:tc>
              <w:tc>
                <w:tcPr>
                  <w:tcW w:w="1530" w:type="dxa"/>
                </w:tcPr>
                <w:p w14:paraId="7AF6EA2C" w14:textId="77777777" w:rsidR="002516CF" w:rsidRPr="00BC4E63" w:rsidRDefault="002516CF" w:rsidP="008B514E">
                  <w:pPr>
                    <w:pStyle w:val="RevisionTable"/>
                    <w:framePr w:wrap="around"/>
                  </w:pPr>
                </w:p>
              </w:tc>
              <w:tc>
                <w:tcPr>
                  <w:tcW w:w="929" w:type="dxa"/>
                </w:tcPr>
                <w:p w14:paraId="6D82A007" w14:textId="77777777" w:rsidR="002516CF" w:rsidRPr="00BC4E63" w:rsidRDefault="002516CF" w:rsidP="008B514E">
                  <w:pPr>
                    <w:pStyle w:val="RevisionTable"/>
                    <w:framePr w:wrap="around"/>
                  </w:pPr>
                </w:p>
              </w:tc>
            </w:tr>
            <w:tr w:rsidR="00780E67" w:rsidRPr="00BC4E63" w14:paraId="76E4FDEA" w14:textId="77777777" w:rsidTr="00780E67">
              <w:trPr>
                <w:trHeight w:val="397"/>
              </w:trPr>
              <w:tc>
                <w:tcPr>
                  <w:tcW w:w="983" w:type="dxa"/>
                </w:tcPr>
                <w:p w14:paraId="507C2FFA" w14:textId="77777777" w:rsidR="002516CF" w:rsidRPr="00BC4E63" w:rsidRDefault="002516CF" w:rsidP="008B514E">
                  <w:pPr>
                    <w:pStyle w:val="RevisionTable"/>
                    <w:framePr w:wrap="around"/>
                  </w:pPr>
                </w:p>
              </w:tc>
              <w:tc>
                <w:tcPr>
                  <w:tcW w:w="1124" w:type="dxa"/>
                </w:tcPr>
                <w:p w14:paraId="4749781D" w14:textId="77777777" w:rsidR="002516CF" w:rsidRPr="00BC4E63" w:rsidRDefault="00FD2C3F" w:rsidP="008B514E">
                  <w:pPr>
                    <w:pStyle w:val="RevisionTable"/>
                    <w:framePr w:wrap="around"/>
                  </w:pPr>
                  <w:r>
                    <w:t>Kieran Miller</w:t>
                  </w:r>
                </w:p>
              </w:tc>
              <w:tc>
                <w:tcPr>
                  <w:tcW w:w="1403" w:type="dxa"/>
                </w:tcPr>
                <w:p w14:paraId="6891D8C2" w14:textId="77777777" w:rsidR="002516CF" w:rsidRPr="00BC4E63" w:rsidRDefault="00304964" w:rsidP="008B514E">
                  <w:pPr>
                    <w:pStyle w:val="RevisionTable"/>
                    <w:framePr w:wrap="around"/>
                  </w:pPr>
                  <w:r>
                    <w:t>Ian Boothroyd</w:t>
                  </w:r>
                </w:p>
              </w:tc>
              <w:tc>
                <w:tcPr>
                  <w:tcW w:w="1419" w:type="dxa"/>
                </w:tcPr>
                <w:p w14:paraId="3E357DB7" w14:textId="77777777" w:rsidR="002516CF" w:rsidRPr="00BC4E63" w:rsidRDefault="002516CF" w:rsidP="008B514E">
                  <w:pPr>
                    <w:pStyle w:val="RevisionTable"/>
                    <w:framePr w:wrap="around"/>
                  </w:pPr>
                </w:p>
              </w:tc>
              <w:tc>
                <w:tcPr>
                  <w:tcW w:w="1458" w:type="dxa"/>
                </w:tcPr>
                <w:p w14:paraId="2524BD42" w14:textId="77777777" w:rsidR="002516CF" w:rsidRPr="00BC4E63" w:rsidRDefault="00FD2C3F" w:rsidP="008B514E">
                  <w:pPr>
                    <w:pStyle w:val="RevisionTable"/>
                    <w:framePr w:wrap="around"/>
                  </w:pPr>
                  <w:r>
                    <w:t>Ian Boothroyd</w:t>
                  </w:r>
                </w:p>
              </w:tc>
              <w:tc>
                <w:tcPr>
                  <w:tcW w:w="1530" w:type="dxa"/>
                </w:tcPr>
                <w:p w14:paraId="0D7D5669" w14:textId="77777777" w:rsidR="002516CF" w:rsidRPr="00BC4E63" w:rsidRDefault="002516CF" w:rsidP="008B514E">
                  <w:pPr>
                    <w:pStyle w:val="RevisionTable"/>
                    <w:framePr w:wrap="around"/>
                  </w:pPr>
                </w:p>
              </w:tc>
              <w:tc>
                <w:tcPr>
                  <w:tcW w:w="929" w:type="dxa"/>
                </w:tcPr>
                <w:p w14:paraId="1C68ADEC" w14:textId="77777777" w:rsidR="002516CF" w:rsidRPr="00BC4E63" w:rsidRDefault="002516CF" w:rsidP="008B514E">
                  <w:pPr>
                    <w:pStyle w:val="RevisionTable"/>
                    <w:framePr w:wrap="around"/>
                  </w:pPr>
                </w:p>
              </w:tc>
            </w:tr>
          </w:tbl>
          <w:p w14:paraId="49EDE947" w14:textId="77777777" w:rsidR="002516CF" w:rsidRPr="00BC4E63" w:rsidRDefault="002516CF" w:rsidP="002516CF">
            <w:pPr>
              <w:spacing w:after="30"/>
              <w:rPr>
                <w:bCs/>
              </w:rPr>
            </w:pPr>
          </w:p>
          <w:p w14:paraId="471B1897" w14:textId="77777777" w:rsidR="009648CD" w:rsidRPr="00BC4E63" w:rsidRDefault="009648CD" w:rsidP="002079FD">
            <w:pPr>
              <w:spacing w:after="30"/>
              <w:rPr>
                <w:bCs/>
              </w:rPr>
            </w:pPr>
          </w:p>
        </w:tc>
      </w:tr>
    </w:tbl>
    <w:p w14:paraId="7AB6EAB8" w14:textId="77777777" w:rsidR="0059431E" w:rsidRPr="00BC4E63" w:rsidRDefault="0059431E" w:rsidP="008C5BCE">
      <w:pPr>
        <w:pStyle w:val="Body"/>
      </w:pPr>
    </w:p>
    <w:p w14:paraId="56577DAB" w14:textId="77777777" w:rsidR="00F04D44" w:rsidRPr="00BC4E63" w:rsidRDefault="0059431E" w:rsidP="008C5BCE">
      <w:pPr>
        <w:pStyle w:val="Body"/>
      </w:pPr>
      <w:r w:rsidRPr="00BC4E63">
        <w:br w:type="page"/>
      </w:r>
    </w:p>
    <w:p w14:paraId="757CE774" w14:textId="77777777" w:rsidR="00F04D44" w:rsidRPr="00BC4E63" w:rsidRDefault="00DE1E18" w:rsidP="008C5BCE">
      <w:pPr>
        <w:pStyle w:val="Body"/>
        <w:rPr>
          <w:color w:val="999999"/>
        </w:rPr>
      </w:pPr>
      <w:r w:rsidRPr="00BC4E63">
        <w:rPr>
          <w:noProof/>
          <w:color w:val="999999"/>
          <w:lang w:val="en-NZ" w:eastAsia="en-NZ"/>
        </w:rPr>
        <w:lastRenderedPageBreak/>
        <w:drawing>
          <wp:anchor distT="0" distB="0" distL="114300" distR="114300" simplePos="0" relativeHeight="251658242" behindDoc="0" locked="1" layoutInCell="1" allowOverlap="1" wp14:anchorId="79597B03" wp14:editId="78D1133B">
            <wp:simplePos x="0" y="0"/>
            <wp:positionH relativeFrom="page">
              <wp:align>center</wp:align>
            </wp:positionH>
            <wp:positionV relativeFrom="margin">
              <wp:align>bottom</wp:align>
            </wp:positionV>
            <wp:extent cx="851535" cy="819785"/>
            <wp:effectExtent l="0" t="0" r="5715" b="0"/>
            <wp:wrapNone/>
            <wp:docPr id="263" name="Picture 263" descr="Logo_Option_3_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Logo_Option_3_tran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153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4E63">
        <w:rPr>
          <w:noProof/>
          <w:color w:val="999999"/>
          <w:lang w:val="en-NZ" w:eastAsia="en-NZ"/>
        </w:rPr>
        <mc:AlternateContent>
          <mc:Choice Requires="wps">
            <w:drawing>
              <wp:anchor distT="0" distB="0" distL="114300" distR="114300" simplePos="0" relativeHeight="251658240" behindDoc="0" locked="1" layoutInCell="1" allowOverlap="1" wp14:anchorId="07DBB9FE" wp14:editId="137B0CFC">
                <wp:simplePos x="0" y="0"/>
                <wp:positionH relativeFrom="page">
                  <wp:align>center</wp:align>
                </wp:positionH>
                <wp:positionV relativeFrom="page">
                  <wp:align>center</wp:align>
                </wp:positionV>
                <wp:extent cx="2416175" cy="571500"/>
                <wp:effectExtent l="0" t="0" r="0" b="0"/>
                <wp:wrapNone/>
                <wp:docPr id="24"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175" cy="571500"/>
                        </a:xfrm>
                        <a:prstGeom prst="rect">
                          <a:avLst/>
                        </a:prstGeom>
                        <a:noFill/>
                        <a:ln>
                          <a:noFill/>
                        </a:ln>
                        <a:extLst/>
                      </wps:spPr>
                      <wps:txbx>
                        <w:txbxContent>
                          <w:p w14:paraId="1192A693" w14:textId="77777777" w:rsidR="00F33FB6" w:rsidRPr="00F04D44" w:rsidRDefault="008B514E" w:rsidP="00F04D44">
                            <w:pPr>
                              <w:spacing w:after="24"/>
                              <w:rPr>
                                <w:sz w:val="56"/>
                                <w:szCs w:val="56"/>
                              </w:rPr>
                            </w:pPr>
                            <w:hyperlink r:id="rId53" w:history="1">
                              <w:r w:rsidR="00F33FB6" w:rsidRPr="00F04D44">
                                <w:rPr>
                                  <w:rStyle w:val="Hyperlink"/>
                                  <w:color w:val="auto"/>
                                  <w:sz w:val="56"/>
                                  <w:szCs w:val="56"/>
                                  <w:u w:val="none"/>
                                </w:rPr>
                                <w:t>www.ghd.com</w:t>
                              </w:r>
                            </w:hyperlink>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07DBB9FE" id="_x0000_t202" coordsize="21600,21600" o:spt="202" path="m,l,21600r21600,l21600,xe">
                <v:stroke joinstyle="miter"/>
                <v:path gradientshapeok="t" o:connecttype="rect"/>
              </v:shapetype>
              <v:shape id="Text Box 171" o:spid="_x0000_s1027" type="#_x0000_t202" style="position:absolute;left:0;text-align:left;margin-left:0;margin-top:0;width:190.25pt;height:45pt;z-index:251658240;visibility:visible;mso-wrap-style:non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" filled="f" stroked="f">
                <v:textbox>
                  <w:txbxContent>
                    <w:p w:rsidR="00F33FB6" w:rsidRPr="00F04D44" w:rsidRDefault="002A79FF" w:rsidP="00F04D44">
                      <w:pPr>
                        <w:spacing w:after="24"/>
                        <w:rPr>
                          <w:sz w:val="56"/>
                          <w:szCs w:val="56"/>
                        </w:rPr>
                      </w:pPr>
                      <w:hyperlink r:id="rId54" w:history="1">
                        <w:r w:rsidR="00F33FB6" w:rsidRPr="00F04D44">
                          <w:rPr>
                            <w:rStyle w:val="Hyperlink"/>
                            <w:color w:val="auto"/>
                            <w:sz w:val="56"/>
                            <w:szCs w:val="56"/>
                            <w:u w:val="none"/>
                          </w:rPr>
                          <w:t>www.ghd.com</w:t>
                        </w:r>
                      </w:hyperlink>
                    </w:p>
                  </w:txbxContent>
                </v:textbox>
                <w10:wrap anchorx="page" anchory="page"/>
                <w10:anchorlock/>
              </v:shape>
            </w:pict>
          </mc:Fallback>
        </mc:AlternateContent>
      </w:r>
    </w:p>
    <w:sectPr w:rsidR="00F04D44" w:rsidRPr="00BC4E63" w:rsidSect="002577D5">
      <w:type w:val="oddPage"/>
      <w:pgSz w:w="11907" w:h="16839" w:code="9"/>
      <w:pgMar w:top="1134" w:right="1134" w:bottom="1134" w:left="1701" w:header="181" w:footer="227" w:gutter="0"/>
      <w:cols w:space="283"/>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4F23BA" w14:textId="77777777" w:rsidR="002A79FF" w:rsidRDefault="002A79FF">
      <w:r>
        <w:separator/>
      </w:r>
    </w:p>
  </w:endnote>
  <w:endnote w:type="continuationSeparator" w:id="0">
    <w:p w14:paraId="5D1A4600" w14:textId="77777777" w:rsidR="002A79FF" w:rsidRDefault="002A79FF">
      <w:r>
        <w:continuationSeparator/>
      </w:r>
    </w:p>
  </w:endnote>
  <w:endnote w:type="continuationNotice" w:id="1">
    <w:p w14:paraId="175522E3" w14:textId="77777777" w:rsidR="002A79FF" w:rsidRDefault="002A79F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MT Black">
    <w:charset w:val="00"/>
    <w:family w:val="auto"/>
    <w:pitch w:val="variable"/>
    <w:sig w:usb0="00000007" w:usb1="00000000" w:usb2="00000000" w:usb3="00000000" w:csb0="00000013"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EB3B6" w14:textId="77777777" w:rsidR="002777A8" w:rsidRDefault="002777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D8135" w14:textId="77777777" w:rsidR="002777A8" w:rsidRDefault="002777A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684D3" w14:textId="77777777" w:rsidR="00F33FB6" w:rsidRDefault="00F33FB6">
    <w:pPr>
      <w:pStyle w:val="Footer"/>
    </w:pPr>
    <w:r>
      <w:rPr>
        <w:noProof/>
        <w:lang w:val="en-NZ" w:eastAsia="en-NZ"/>
      </w:rPr>
      <w:drawing>
        <wp:anchor distT="0" distB="0" distL="114300" distR="114300" simplePos="0" relativeHeight="251658244" behindDoc="1" locked="0" layoutInCell="1" allowOverlap="1" wp14:anchorId="1DE41687" wp14:editId="5240F908">
          <wp:simplePos x="0" y="0"/>
          <wp:positionH relativeFrom="page">
            <wp:posOffset>873125</wp:posOffset>
          </wp:positionH>
          <wp:positionV relativeFrom="bottomMargin">
            <wp:posOffset>332740</wp:posOffset>
          </wp:positionV>
          <wp:extent cx="6120000" cy="29160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or.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291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72C33" w14:textId="77777777" w:rsidR="00F33FB6" w:rsidRPr="0015064F" w:rsidRDefault="00F33FB6" w:rsidP="00223F35">
    <w:pPr>
      <w:pStyle w:val="Footer"/>
      <w:tabs>
        <w:tab w:val="right" w:pos="14500"/>
      </w:tabs>
      <w:ind w:left="0"/>
    </w:pPr>
    <w:r>
      <w:rPr>
        <w:rStyle w:val="PageNumber"/>
      </w:rPr>
      <w:fldChar w:fldCharType="begin"/>
    </w:r>
    <w:r>
      <w:rPr>
        <w:rStyle w:val="PageNumber"/>
      </w:rPr>
      <w:instrText xml:space="preserve"> PAGE </w:instrText>
    </w:r>
    <w:r>
      <w:rPr>
        <w:rStyle w:val="PageNumber"/>
      </w:rPr>
      <w:fldChar w:fldCharType="separate"/>
    </w:r>
    <w:r w:rsidR="008B514E">
      <w:rPr>
        <w:rStyle w:val="PageNumber"/>
        <w:noProof/>
      </w:rPr>
      <w:t>ii</w:t>
    </w:r>
    <w:r>
      <w:rPr>
        <w:rStyle w:val="PageNumber"/>
      </w:rPr>
      <w:fldChar w:fldCharType="end"/>
    </w:r>
    <w:r>
      <w:rPr>
        <w:rStyle w:val="PageNumber"/>
      </w:rPr>
      <w:t xml:space="preserve"> | </w:t>
    </w:r>
    <w:r w:rsidRPr="00FA1258">
      <w:rPr>
        <w:b/>
      </w:rPr>
      <w:t>GHD</w:t>
    </w:r>
    <w:r w:rsidRPr="003F0147">
      <w:t xml:space="preserve"> | </w:t>
    </w:r>
    <w:r>
      <w:t>Report</w:t>
    </w:r>
    <w:r w:rsidRPr="003F0147">
      <w:t xml:space="preserve"> for </w:t>
    </w:r>
    <w:r w:rsidR="008B514E">
      <w:fldChar w:fldCharType="begin"/>
    </w:r>
    <w:r w:rsidR="008B514E">
      <w:instrText xml:space="preserve"> DOCPROPERTY  Client  \* MERGEFORMAT </w:instrText>
    </w:r>
    <w:r w:rsidR="008B514E">
      <w:fldChar w:fldCharType="separate"/>
    </w:r>
    <w:r w:rsidR="002777A8">
      <w:t>Department of Internal Affairs</w:t>
    </w:r>
    <w:r w:rsidR="008B514E">
      <w:fldChar w:fldCharType="end"/>
    </w:r>
    <w:r>
      <w:t xml:space="preserve"> - </w:t>
    </w:r>
    <w:r>
      <w:rPr>
        <w:bCs/>
        <w:lang w:val="en-US"/>
      </w:rPr>
      <w:fldChar w:fldCharType="begin"/>
    </w:r>
    <w:r>
      <w:rPr>
        <w:bCs/>
        <w:lang w:val="en-US"/>
      </w:rPr>
      <w:instrText xml:space="preserve"> DOCPROPERTY  Project  \* MERGEFORMAT </w:instrText>
    </w:r>
    <w:r>
      <w:rPr>
        <w:bCs/>
        <w:lang w:val="en-US"/>
      </w:rPr>
      <w:fldChar w:fldCharType="separate"/>
    </w:r>
    <w:r w:rsidR="002777A8">
      <w:rPr>
        <w:bCs/>
        <w:lang w:val="en-US"/>
      </w:rPr>
      <w:t>Three</w:t>
    </w:r>
    <w:r w:rsidR="002777A8" w:rsidRPr="002777A8">
      <w:t xml:space="preserve"> Waters Review</w:t>
    </w:r>
    <w:r>
      <w:fldChar w:fldCharType="end"/>
    </w:r>
    <w:r>
      <w:t xml:space="preserve">, </w:t>
    </w:r>
    <w:r w:rsidR="008B514E">
      <w:fldChar w:fldCharType="begin"/>
    </w:r>
    <w:r w:rsidR="008B514E">
      <w:instrText xml:space="preserve"> DOCPROPERTY  "JobNumber"  \* MERGEFORMAT </w:instrText>
    </w:r>
    <w:r w:rsidR="008B514E">
      <w:fldChar w:fldCharType="separate"/>
    </w:r>
    <w:r w:rsidR="002777A8">
      <w:t>51/37923/</w:t>
    </w:r>
    <w:r w:rsidR="008B514E">
      <w:fldChar w:fldCharType="end"/>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86FAC" w14:textId="77777777" w:rsidR="00F33FB6" w:rsidRPr="0015064F" w:rsidRDefault="00F33FB6" w:rsidP="00D34492">
    <w:pPr>
      <w:pStyle w:val="Footer"/>
      <w:tabs>
        <w:tab w:val="right" w:pos="14500"/>
      </w:tabs>
      <w:jc w:val="right"/>
    </w:pPr>
    <w:r w:rsidRPr="00FA1258">
      <w:rPr>
        <w:b/>
      </w:rPr>
      <w:t>GHD</w:t>
    </w:r>
    <w:r w:rsidRPr="003F0147">
      <w:t xml:space="preserve"> | </w:t>
    </w:r>
    <w:r>
      <w:t>Report</w:t>
    </w:r>
    <w:r w:rsidRPr="003F0147">
      <w:t xml:space="preserve"> for </w:t>
    </w:r>
    <w:r w:rsidR="008B514E">
      <w:fldChar w:fldCharType="begin"/>
    </w:r>
    <w:r w:rsidR="008B514E">
      <w:instrText xml:space="preserve"> DOCPROPERTY  Client  \* M</w:instrText>
    </w:r>
    <w:r w:rsidR="008B514E">
      <w:instrText xml:space="preserve">ERGEFORMAT </w:instrText>
    </w:r>
    <w:r w:rsidR="008B514E">
      <w:fldChar w:fldCharType="separate"/>
    </w:r>
    <w:r w:rsidR="002777A8">
      <w:t>Department of Internal Affairs</w:t>
    </w:r>
    <w:r w:rsidR="008B514E">
      <w:fldChar w:fldCharType="end"/>
    </w:r>
    <w:r>
      <w:t xml:space="preserve"> - </w:t>
    </w:r>
    <w:r>
      <w:rPr>
        <w:bCs/>
        <w:lang w:val="en-US"/>
      </w:rPr>
      <w:fldChar w:fldCharType="begin"/>
    </w:r>
    <w:r>
      <w:rPr>
        <w:bCs/>
        <w:lang w:val="en-US"/>
      </w:rPr>
      <w:instrText xml:space="preserve"> DOCPROPERTY  Project  \* MERGEFORMAT </w:instrText>
    </w:r>
    <w:r>
      <w:rPr>
        <w:bCs/>
        <w:lang w:val="en-US"/>
      </w:rPr>
      <w:fldChar w:fldCharType="separate"/>
    </w:r>
    <w:r w:rsidR="002777A8">
      <w:rPr>
        <w:bCs/>
        <w:lang w:val="en-US"/>
      </w:rPr>
      <w:t>Three</w:t>
    </w:r>
    <w:r w:rsidR="002777A8" w:rsidRPr="002777A8">
      <w:t xml:space="preserve"> Waters Review</w:t>
    </w:r>
    <w:r>
      <w:fldChar w:fldCharType="end"/>
    </w:r>
    <w:r>
      <w:t xml:space="preserve">, </w:t>
    </w:r>
    <w:r>
      <w:rPr>
        <w:bCs/>
        <w:lang w:val="en-US"/>
      </w:rPr>
      <w:fldChar w:fldCharType="begin"/>
    </w:r>
    <w:r>
      <w:rPr>
        <w:bCs/>
        <w:lang w:val="en-US"/>
      </w:rPr>
      <w:instrText xml:space="preserve"> DOCPROPERTY  "JobNumber"  \* MERGEFORMAT </w:instrText>
    </w:r>
    <w:r>
      <w:rPr>
        <w:bCs/>
        <w:lang w:val="en-US"/>
      </w:rPr>
      <w:fldChar w:fldCharType="separate"/>
    </w:r>
    <w:r w:rsidR="002777A8">
      <w:rPr>
        <w:bCs/>
        <w:lang w:val="en-US"/>
      </w:rPr>
      <w:t>51</w:t>
    </w:r>
    <w:r w:rsidR="002777A8" w:rsidRPr="002777A8">
      <w:t>/37923/</w:t>
    </w:r>
    <w:r>
      <w:fldChar w:fldCharType="end"/>
    </w:r>
    <w:r>
      <w:t xml:space="preserve"> | </w:t>
    </w:r>
    <w:r>
      <w:rPr>
        <w:rStyle w:val="PageNumber"/>
      </w:rPr>
      <w:fldChar w:fldCharType="begin"/>
    </w:r>
    <w:r>
      <w:rPr>
        <w:rStyle w:val="PageNumber"/>
      </w:rPr>
      <w:instrText xml:space="preserve"> PAGE </w:instrText>
    </w:r>
    <w:r>
      <w:rPr>
        <w:rStyle w:val="PageNumber"/>
      </w:rPr>
      <w:fldChar w:fldCharType="separate"/>
    </w:r>
    <w:r w:rsidR="008B514E">
      <w:rPr>
        <w:rStyle w:val="PageNumber"/>
        <w:noProof/>
      </w:rPr>
      <w:t>i</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71AD8" w14:textId="77777777" w:rsidR="00F33FB6" w:rsidRPr="00E577CB" w:rsidRDefault="00F33FB6" w:rsidP="00E577C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67173D" w14:textId="77777777" w:rsidR="00F33FB6" w:rsidRPr="009B66BC" w:rsidRDefault="00F33FB6" w:rsidP="00EB57E5">
    <w:pPr>
      <w:pStyle w:val="Footer"/>
      <w:tabs>
        <w:tab w:val="right" w:pos="14500"/>
      </w:tabs>
      <w:jc w:val="right"/>
    </w:pPr>
    <w:r w:rsidRPr="00FA1258">
      <w:rPr>
        <w:b/>
      </w:rPr>
      <w:t>GHD</w:t>
    </w:r>
    <w:r w:rsidRPr="003F0147">
      <w:t xml:space="preserve"> | </w:t>
    </w:r>
    <w:r>
      <w:t>Report</w:t>
    </w:r>
    <w:r w:rsidRPr="003F0147">
      <w:t xml:space="preserve"> for </w:t>
    </w:r>
    <w:r w:rsidR="008B514E">
      <w:fldChar w:fldCharType="begin"/>
    </w:r>
    <w:r w:rsidR="008B514E">
      <w:instrText xml:space="preserve"> DOCPROPERTY  Client  \* MERGEFORMAT </w:instrText>
    </w:r>
    <w:r w:rsidR="008B514E">
      <w:fldChar w:fldCharType="separate"/>
    </w:r>
    <w:r w:rsidR="002777A8">
      <w:t>Department of Internal Affairs</w:t>
    </w:r>
    <w:r w:rsidR="008B514E">
      <w:fldChar w:fldCharType="end"/>
    </w:r>
    <w:r>
      <w:t xml:space="preserve"> - </w:t>
    </w:r>
    <w:r>
      <w:rPr>
        <w:bCs/>
        <w:lang w:val="en-US"/>
      </w:rPr>
      <w:fldChar w:fldCharType="begin"/>
    </w:r>
    <w:r>
      <w:rPr>
        <w:bCs/>
        <w:lang w:val="en-US"/>
      </w:rPr>
      <w:instrText xml:space="preserve"> DOCPROPERTY  Project  \* MERGEFORMAT </w:instrText>
    </w:r>
    <w:r>
      <w:rPr>
        <w:bCs/>
        <w:lang w:val="en-US"/>
      </w:rPr>
      <w:fldChar w:fldCharType="separate"/>
    </w:r>
    <w:r w:rsidR="002777A8">
      <w:rPr>
        <w:bCs/>
        <w:lang w:val="en-US"/>
      </w:rPr>
      <w:t>Three</w:t>
    </w:r>
    <w:r w:rsidR="002777A8" w:rsidRPr="002777A8">
      <w:t xml:space="preserve"> Waters Review</w:t>
    </w:r>
    <w:r>
      <w:fldChar w:fldCharType="end"/>
    </w:r>
    <w:r>
      <w:t xml:space="preserve">, </w:t>
    </w:r>
    <w:r w:rsidR="008B514E">
      <w:fldChar w:fldCharType="begin"/>
    </w:r>
    <w:r w:rsidR="008B514E">
      <w:instrText xml:space="preserve"> DOCPROPERTY  "JobNumber"  \* MERGEFORMAT </w:instrText>
    </w:r>
    <w:r w:rsidR="008B514E">
      <w:fldChar w:fldCharType="separate"/>
    </w:r>
    <w:r w:rsidR="002777A8">
      <w:t>51/37923/</w:t>
    </w:r>
    <w:r w:rsidR="008B514E">
      <w:fldChar w:fldCharType="end"/>
    </w:r>
    <w:r w:rsidRPr="003F0147">
      <w:t xml:space="preserve"> | </w:t>
    </w:r>
    <w:r>
      <w:rPr>
        <w:rStyle w:val="PageNumber"/>
      </w:rPr>
      <w:fldChar w:fldCharType="begin"/>
    </w:r>
    <w:r>
      <w:rPr>
        <w:rStyle w:val="PageNumber"/>
      </w:rPr>
      <w:instrText xml:space="preserve"> PAGE </w:instrText>
    </w:r>
    <w:r>
      <w:rPr>
        <w:rStyle w:val="PageNumber"/>
      </w:rPr>
      <w:fldChar w:fldCharType="separate"/>
    </w:r>
    <w:r w:rsidR="008B514E">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0D0DAC" w14:textId="77777777" w:rsidR="002A79FF" w:rsidRDefault="002A79FF">
      <w:r>
        <w:separator/>
      </w:r>
    </w:p>
  </w:footnote>
  <w:footnote w:type="continuationSeparator" w:id="0">
    <w:p w14:paraId="09D26923" w14:textId="77777777" w:rsidR="002A79FF" w:rsidRDefault="002A79FF">
      <w:r>
        <w:continuationSeparator/>
      </w:r>
    </w:p>
  </w:footnote>
  <w:footnote w:type="continuationNotice" w:id="1">
    <w:p w14:paraId="1860ED02" w14:textId="77777777" w:rsidR="002A79FF" w:rsidRDefault="002A79FF">
      <w:pPr>
        <w:spacing w:after="0"/>
      </w:pPr>
    </w:p>
  </w:footnote>
  <w:footnote w:id="2">
    <w:p w14:paraId="59712364" w14:textId="77777777" w:rsidR="00F33FB6" w:rsidRPr="00261B3A" w:rsidRDefault="00F33FB6" w:rsidP="00D90FD2">
      <w:pPr>
        <w:pStyle w:val="FootnoteText"/>
        <w:rPr>
          <w:sz w:val="18"/>
          <w:szCs w:val="18"/>
          <w:lang w:val="en-NZ"/>
        </w:rPr>
      </w:pPr>
      <w:r w:rsidRPr="00261B3A">
        <w:rPr>
          <w:rStyle w:val="FootnoteReference"/>
          <w:sz w:val="18"/>
          <w:szCs w:val="18"/>
        </w:rPr>
        <w:footnoteRef/>
      </w:r>
      <w:r w:rsidRPr="00A352AD">
        <w:rPr>
          <w:sz w:val="16"/>
          <w:szCs w:val="16"/>
        </w:rPr>
        <w:t xml:space="preserve"> </w:t>
      </w:r>
      <w:r w:rsidRPr="00A352AD">
        <w:rPr>
          <w:sz w:val="16"/>
          <w:szCs w:val="16"/>
          <w:lang w:val="en-NZ"/>
        </w:rPr>
        <w:t xml:space="preserve">Amortisation rates and terms are taken for consistency with BECA 2018, </w:t>
      </w:r>
      <w:r w:rsidRPr="00A352AD">
        <w:rPr>
          <w:i/>
          <w:sz w:val="16"/>
          <w:szCs w:val="16"/>
          <w:lang w:val="en-NZ"/>
        </w:rPr>
        <w:t>Cost Estimates for Upgrading Water Treatment Plants to Meet Potential Changes to the New Zealand Drinking Water Standards</w:t>
      </w:r>
      <w:r w:rsidRPr="00A352AD">
        <w:rPr>
          <w:sz w:val="16"/>
          <w:szCs w:val="16"/>
          <w:lang w:val="en-NZ"/>
        </w:rPr>
        <w:t>.</w:t>
      </w:r>
    </w:p>
  </w:footnote>
  <w:footnote w:id="3">
    <w:p w14:paraId="64679FF9" w14:textId="77777777" w:rsidR="00F33FB6" w:rsidRPr="00A352AD" w:rsidRDefault="00F33FB6" w:rsidP="004339B3">
      <w:pPr>
        <w:pStyle w:val="FootnoteText"/>
        <w:rPr>
          <w:lang w:val="en-NZ"/>
        </w:rPr>
      </w:pPr>
      <w:r>
        <w:rPr>
          <w:rStyle w:val="FootnoteReference"/>
        </w:rPr>
        <w:footnoteRef/>
      </w:r>
      <w:r w:rsidRPr="00A352AD">
        <w:rPr>
          <w:sz w:val="16"/>
          <w:szCs w:val="16"/>
        </w:rPr>
        <w:t xml:space="preserve"> https://www.waternz.org.nz/NationalPerformanceReview</w:t>
      </w:r>
    </w:p>
  </w:footnote>
  <w:footnote w:id="4">
    <w:p w14:paraId="7670FBD4" w14:textId="77777777" w:rsidR="00F33FB6" w:rsidRPr="008324F9" w:rsidRDefault="00F33FB6">
      <w:pPr>
        <w:pStyle w:val="FootnoteText"/>
        <w:rPr>
          <w:lang w:val="en-NZ"/>
        </w:rPr>
      </w:pPr>
      <w:r>
        <w:rPr>
          <w:rStyle w:val="FootnoteReference"/>
        </w:rPr>
        <w:footnoteRef/>
      </w:r>
      <w:r>
        <w:t xml:space="preserve"> </w:t>
      </w:r>
      <w:r w:rsidRPr="00A352AD">
        <w:rPr>
          <w:sz w:val="16"/>
          <w:szCs w:val="16"/>
        </w:rPr>
        <w:t>https://www.lawa.org.nz/</w:t>
      </w:r>
    </w:p>
  </w:footnote>
  <w:footnote w:id="5">
    <w:p w14:paraId="6779F531" w14:textId="77777777" w:rsidR="00F33FB6" w:rsidRPr="00A352AD" w:rsidRDefault="00F33FB6">
      <w:pPr>
        <w:pStyle w:val="FootnoteText"/>
        <w:rPr>
          <w:lang w:val="en-NZ"/>
        </w:rPr>
      </w:pPr>
      <w:r>
        <w:rPr>
          <w:rStyle w:val="FootnoteReference"/>
        </w:rPr>
        <w:footnoteRef/>
      </w:r>
      <w:r>
        <w:t xml:space="preserve"> </w:t>
      </w:r>
      <w:r w:rsidRPr="00A352AD">
        <w:rPr>
          <w:sz w:val="16"/>
          <w:szCs w:val="16"/>
        </w:rPr>
        <w:t>Note that the LAWA website only provides data for total oxidised nitrogen (which includes the sum of nitrogen nitrite and nitrogen nitrate concentrations). The NPS Freshwater refers to nitrogen nitrate (nitrate) for ecosystem health of rivers. Total oxidised nitrogen roughly equates to nitrogen nitrate as the nitrogen nitrite component of total oxidised nitrogen is often small.</w:t>
      </w:r>
      <w:r w:rsidRPr="00A352AD" w:rsidDel="002954B2">
        <w:rPr>
          <w:sz w:val="16"/>
          <w:szCs w:val="16"/>
        </w:rPr>
        <w:t xml:space="preserve"> </w:t>
      </w:r>
      <w:r w:rsidRPr="00A352AD">
        <w:rPr>
          <w:sz w:val="16"/>
          <w:szCs w:val="16"/>
        </w:rPr>
        <w:t>For consistency this report refers only to nitrate.</w:t>
      </w:r>
    </w:p>
  </w:footnote>
  <w:footnote w:id="6">
    <w:p w14:paraId="4CC03855" w14:textId="77777777" w:rsidR="00F33FB6" w:rsidRPr="00302C47" w:rsidRDefault="00F33FB6" w:rsidP="0074061A">
      <w:pPr>
        <w:pStyle w:val="FootnoteText"/>
        <w:rPr>
          <w:sz w:val="16"/>
          <w:szCs w:val="16"/>
          <w:lang w:val="en-NZ"/>
        </w:rPr>
      </w:pPr>
      <w:r w:rsidRPr="00302C47">
        <w:rPr>
          <w:rStyle w:val="FootnoteReference"/>
          <w:sz w:val="16"/>
          <w:szCs w:val="16"/>
        </w:rPr>
        <w:footnoteRef/>
      </w:r>
      <w:r w:rsidRPr="00302C47">
        <w:rPr>
          <w:sz w:val="16"/>
          <w:szCs w:val="16"/>
        </w:rPr>
        <w:t xml:space="preserve"> </w:t>
      </w:r>
      <w:r w:rsidRPr="00302C47">
        <w:rPr>
          <w:sz w:val="16"/>
          <w:szCs w:val="16"/>
          <w:lang w:val="en-NZ"/>
        </w:rPr>
        <w:t>EM725v2- Queensland Department of Environment and Heritage Protection “ Assessing applications for sewage treatment works – assessment guideline</w:t>
      </w:r>
    </w:p>
  </w:footnote>
  <w:footnote w:id="7">
    <w:p w14:paraId="053E056D" w14:textId="77777777" w:rsidR="00F33FB6" w:rsidRPr="00261B3A" w:rsidRDefault="00F33FB6" w:rsidP="00D90FD2">
      <w:pPr>
        <w:pStyle w:val="FootnoteText"/>
        <w:rPr>
          <w:sz w:val="18"/>
          <w:szCs w:val="18"/>
          <w:lang w:val="en-NZ"/>
        </w:rPr>
      </w:pPr>
      <w:r w:rsidRPr="00261B3A">
        <w:rPr>
          <w:rStyle w:val="FootnoteReference"/>
          <w:sz w:val="18"/>
          <w:szCs w:val="18"/>
        </w:rPr>
        <w:footnoteRef/>
      </w:r>
      <w:r w:rsidRPr="00261B3A">
        <w:rPr>
          <w:sz w:val="18"/>
          <w:szCs w:val="18"/>
        </w:rPr>
        <w:t xml:space="preserve"> </w:t>
      </w:r>
      <w:r w:rsidRPr="00A352AD">
        <w:rPr>
          <w:sz w:val="16"/>
          <w:szCs w:val="16"/>
          <w:lang w:val="en-NZ"/>
        </w:rPr>
        <w:t xml:space="preserve">Amortisation rates and terms are taken for consistency with BECA 2018, </w:t>
      </w:r>
      <w:r w:rsidRPr="00A352AD">
        <w:rPr>
          <w:i/>
          <w:sz w:val="16"/>
          <w:szCs w:val="16"/>
          <w:lang w:val="en-NZ"/>
        </w:rPr>
        <w:t>Cost Estimates for Upgrading Water Treatment Plants to Meet Potential Changes to the New Zealand Drinking Water Standards</w:t>
      </w:r>
      <w:r w:rsidRPr="00A352AD">
        <w:rPr>
          <w:sz w:val="16"/>
          <w:szCs w:val="16"/>
          <w:lang w:val="en-NZ"/>
        </w:rPr>
        <w:t>.</w:t>
      </w:r>
    </w:p>
  </w:footnote>
  <w:footnote w:id="8">
    <w:p w14:paraId="3762D355" w14:textId="77777777" w:rsidR="00F33FB6" w:rsidRPr="00261B3A" w:rsidRDefault="00F33FB6" w:rsidP="00085548">
      <w:pPr>
        <w:pStyle w:val="FootnoteText"/>
        <w:rPr>
          <w:sz w:val="18"/>
          <w:szCs w:val="18"/>
          <w:lang w:val="en-NZ"/>
        </w:rPr>
      </w:pPr>
      <w:r w:rsidRPr="00261B3A">
        <w:rPr>
          <w:rStyle w:val="FootnoteReference"/>
          <w:sz w:val="18"/>
          <w:szCs w:val="18"/>
        </w:rPr>
        <w:footnoteRef/>
      </w:r>
      <w:r w:rsidRPr="00261B3A">
        <w:rPr>
          <w:sz w:val="18"/>
          <w:szCs w:val="18"/>
        </w:rPr>
        <w:t xml:space="preserve"> </w:t>
      </w:r>
      <w:r w:rsidRPr="008760B7">
        <w:rPr>
          <w:sz w:val="16"/>
          <w:szCs w:val="16"/>
          <w:lang w:val="en-NZ"/>
        </w:rPr>
        <w:t xml:space="preserve">Amortisation rates and terms are taken for consistency with BECA 2018, </w:t>
      </w:r>
      <w:r w:rsidRPr="008760B7">
        <w:rPr>
          <w:i/>
          <w:sz w:val="16"/>
          <w:szCs w:val="16"/>
          <w:lang w:val="en-NZ"/>
        </w:rPr>
        <w:t>Cost Estimates for Upgrading Water Treatment Plants to Meet Potential Changes to the New Zealand Drinking Water Standards</w:t>
      </w:r>
      <w:r w:rsidRPr="008760B7">
        <w:rPr>
          <w:sz w:val="16"/>
          <w:szCs w:val="16"/>
          <w:lang w:val="en-NZ"/>
        </w:rPr>
        <w:t>.</w:t>
      </w:r>
    </w:p>
  </w:footnote>
  <w:footnote w:id="9">
    <w:p w14:paraId="65522836" w14:textId="77777777" w:rsidR="00F33FB6" w:rsidRPr="00261B3A" w:rsidRDefault="00F33FB6" w:rsidP="00DD1C20">
      <w:pPr>
        <w:pStyle w:val="FootnoteText"/>
        <w:rPr>
          <w:sz w:val="18"/>
          <w:szCs w:val="18"/>
          <w:lang w:val="en-NZ"/>
        </w:rPr>
      </w:pPr>
      <w:r w:rsidRPr="00261B3A">
        <w:rPr>
          <w:rStyle w:val="FootnoteReference"/>
          <w:sz w:val="18"/>
          <w:szCs w:val="18"/>
        </w:rPr>
        <w:footnoteRef/>
      </w:r>
      <w:r w:rsidRPr="00261B3A">
        <w:rPr>
          <w:sz w:val="18"/>
          <w:szCs w:val="18"/>
        </w:rPr>
        <w:t xml:space="preserve"> </w:t>
      </w:r>
      <w:r w:rsidRPr="00261B3A">
        <w:rPr>
          <w:sz w:val="18"/>
          <w:szCs w:val="18"/>
          <w:lang w:val="en-NZ"/>
        </w:rPr>
        <w:t xml:space="preserve">Amortisation rates and terms are taken for consistency with BECA 2018, </w:t>
      </w:r>
      <w:r w:rsidRPr="00261B3A">
        <w:rPr>
          <w:i/>
          <w:sz w:val="18"/>
          <w:szCs w:val="18"/>
          <w:lang w:val="en-NZ"/>
        </w:rPr>
        <w:t>Cost Estimates for Upgrading Water Treatment Plants to Meet Potential Changes to the New Zealand Drinking Water Standards</w:t>
      </w:r>
      <w:r w:rsidRPr="00261B3A">
        <w:rPr>
          <w:sz w:val="18"/>
          <w:szCs w:val="18"/>
          <w:lang w:val="en-NZ"/>
        </w:rPr>
        <w:t>.</w:t>
      </w:r>
    </w:p>
  </w:footnote>
  <w:footnote w:id="10">
    <w:p w14:paraId="1BDD92A2" w14:textId="77777777" w:rsidR="00F33FB6" w:rsidRPr="00565111" w:rsidRDefault="00F33FB6" w:rsidP="006F4ECD">
      <w:pPr>
        <w:pStyle w:val="FootnoteText"/>
        <w:rPr>
          <w:lang w:val="en-NZ"/>
        </w:rPr>
      </w:pPr>
      <w:r>
        <w:rPr>
          <w:rStyle w:val="FootnoteReference"/>
        </w:rPr>
        <w:footnoteRef/>
      </w:r>
      <w:r>
        <w:t xml:space="preserve"> </w:t>
      </w:r>
      <w:r w:rsidRPr="00565111">
        <w:rPr>
          <w:sz w:val="16"/>
          <w:szCs w:val="16"/>
        </w:rPr>
        <w:t>http://www.dunedin.govt.nz/your-council/council-documents/policies/3-waters-strategic-direction-statement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8D446" w14:textId="081DD46E" w:rsidR="00F33FB6" w:rsidRDefault="008B514E">
    <w:pPr>
      <w:pStyle w:val="Header"/>
    </w:pPr>
    <w:r>
      <w:rPr>
        <w:noProof/>
      </w:rPr>
      <w:pict w14:anchorId="1BD9A8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939313" o:spid="_x0000_s4098" type="#_x0000_t136" style="position:absolute;margin-left:0;margin-top:0;width:548.15pt;height:91.35pt;rotation:315;z-index:-251653632;mso-position-horizontal:center;mso-position-horizontal-relative:margin;mso-position-vertical:center;mso-position-vertical-relative:margin" o:allowincell="f" fillcolor="red" stroked="f">
          <v:fill opacity=".5"/>
          <v:textpath style="font-family:&quot;Arial&quot;;font-size:1pt" string="EMBARGOED"/>
          <w10:wrap anchorx="margin" anchory="margin"/>
        </v:shape>
      </w:pict>
    </w:r>
    <w:r w:rsidR="00F33FB6">
      <w:rPr>
        <w:noProof/>
        <w:lang w:val="en-NZ" w:eastAsia="en-NZ"/>
      </w:rPr>
      <mc:AlternateContent>
        <mc:Choice Requires="wps">
          <w:drawing>
            <wp:anchor distT="0" distB="0" distL="114300" distR="114300" simplePos="0" relativeHeight="251658240" behindDoc="0" locked="1" layoutInCell="1" allowOverlap="1" wp14:anchorId="63FC2952" wp14:editId="5BCA0B79">
              <wp:simplePos x="0" y="0"/>
              <wp:positionH relativeFrom="page">
                <wp:posOffset>0</wp:posOffset>
              </wp:positionH>
              <wp:positionV relativeFrom="page">
                <wp:posOffset>0</wp:posOffset>
              </wp:positionV>
              <wp:extent cx="10692130" cy="179705"/>
              <wp:effectExtent l="0" t="0" r="4445" b="1270"/>
              <wp:wrapNone/>
              <wp:docPr id="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179705"/>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9A927D3" id="Rectangle 23" o:spid="_x0000_s1026" style="position:absolute;margin-left:0;margin-top:0;width:841.9pt;height:14.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" fillcolor="#a7a9ac" stroked="f">
              <w10:wrap anchorx="page" anchory="page"/>
              <w10:anchorlock/>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3960E" w14:textId="177456BC" w:rsidR="00F33FB6" w:rsidRDefault="008B514E">
    <w:pPr>
      <w:pStyle w:val="Header"/>
    </w:pPr>
    <w:r>
      <w:rPr>
        <w:noProof/>
      </w:rPr>
      <w:pict w14:anchorId="1D1DB3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939314" o:spid="_x0000_s4099" type="#_x0000_t136" style="position:absolute;margin-left:0;margin-top:0;width:548.15pt;height:91.35pt;rotation:315;z-index:-251651584;mso-position-horizontal:center;mso-position-horizontal-relative:margin;mso-position-vertical:center;mso-position-vertical-relative:margin" o:allowincell="f" fillcolor="red" stroked="f">
          <v:fill opacity=".5"/>
          <v:textpath style="font-family:&quot;Arial&quot;;font-size:1pt" string="EMBARGOED"/>
          <w10:wrap anchorx="margin" anchory="margin"/>
        </v:shape>
      </w:pict>
    </w:r>
    <w:r w:rsidR="00F33FB6">
      <w:rPr>
        <w:noProof/>
        <w:lang w:val="en-NZ" w:eastAsia="en-NZ"/>
      </w:rPr>
      <mc:AlternateContent>
        <mc:Choice Requires="wps">
          <w:drawing>
            <wp:anchor distT="0" distB="0" distL="114300" distR="114300" simplePos="0" relativeHeight="251658241" behindDoc="0" locked="1" layoutInCell="1" allowOverlap="1" wp14:anchorId="7127153E" wp14:editId="0366E822">
              <wp:simplePos x="0" y="0"/>
              <wp:positionH relativeFrom="page">
                <wp:posOffset>0</wp:posOffset>
              </wp:positionH>
              <wp:positionV relativeFrom="page">
                <wp:posOffset>0</wp:posOffset>
              </wp:positionV>
              <wp:extent cx="10692130" cy="179705"/>
              <wp:effectExtent l="0" t="0" r="4445" b="1270"/>
              <wp:wrapNone/>
              <wp:docPr id="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179705"/>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72FA45A" id="Rectangle 24" o:spid="_x0000_s1026" style="position:absolute;margin-left:0;margin-top:0;width:841.9pt;height:14.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" fillcolor="#a7a9ac" stroked="f">
              <w10:wrap anchorx="page" anchory="page"/>
              <w10:anchorlock/>
            </v:rect>
          </w:pict>
        </mc:Fallback>
      </mc:AlternateContent>
    </w:r>
  </w:p>
  <w:p w14:paraId="122087A2" w14:textId="77777777" w:rsidR="00F33FB6" w:rsidRDefault="00F33FB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D680C" w14:textId="7B27905A" w:rsidR="002777A8" w:rsidRDefault="008B514E">
    <w:pPr>
      <w:pStyle w:val="Header"/>
    </w:pPr>
    <w:r>
      <w:rPr>
        <w:noProof/>
      </w:rPr>
      <w:pict w14:anchorId="288B18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939312" o:spid="_x0000_s4097" type="#_x0000_t136" style="position:absolute;margin-left:0;margin-top:0;width:548.15pt;height:91.35pt;rotation:315;z-index:-251655680;mso-position-horizontal:center;mso-position-horizontal-relative:margin;mso-position-vertical:center;mso-position-vertical-relative:margin" o:allowincell="f" fillcolor="red" stroked="f">
          <v:fill opacity=".5"/>
          <v:textpath style="font-family:&quot;Arial&quot;;font-size:1pt" string="EMBARGOED"/>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344B7" w14:textId="137286A0" w:rsidR="002777A8" w:rsidRDefault="008B514E">
    <w:pPr>
      <w:pStyle w:val="Header"/>
    </w:pPr>
    <w:r>
      <w:rPr>
        <w:noProof/>
      </w:rPr>
      <w:pict w14:anchorId="590798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939316" o:spid="_x0000_s4101" type="#_x0000_t136" style="position:absolute;margin-left:0;margin-top:0;width:548.15pt;height:91.35pt;rotation:315;z-index:-251647488;mso-position-horizontal:center;mso-position-horizontal-relative:margin;mso-position-vertical:center;mso-position-vertical-relative:margin" o:allowincell="f" fillcolor="red" stroked="f">
          <v:fill opacity=".5"/>
          <v:textpath style="font-family:&quot;Arial&quot;;font-size:1pt" string="EMBARGOED"/>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024D4" w14:textId="3ACFA181" w:rsidR="00F33FB6" w:rsidRDefault="008B514E">
    <w:pPr>
      <w:pStyle w:val="Header"/>
    </w:pPr>
    <w:r>
      <w:rPr>
        <w:noProof/>
      </w:rPr>
      <w:pict w14:anchorId="5619E7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939317" o:spid="_x0000_s4102" type="#_x0000_t136" style="position:absolute;margin-left:0;margin-top:0;width:548.15pt;height:91.35pt;rotation:315;z-index:-251645440;mso-position-horizontal:center;mso-position-horizontal-relative:margin;mso-position-vertical:center;mso-position-vertical-relative:margin" o:allowincell="f" fillcolor="red" stroked="f">
          <v:fill opacity=".5"/>
          <v:textpath style="font-family:&quot;Arial&quot;;font-size:1pt" string="EMBARGOED"/>
          <w10:wrap anchorx="margin" anchory="margin"/>
        </v:shape>
      </w:pict>
    </w:r>
    <w:r w:rsidR="00F33FB6">
      <w:rPr>
        <w:noProof/>
        <w:lang w:val="en-NZ" w:eastAsia="en-NZ"/>
      </w:rPr>
      <mc:AlternateContent>
        <mc:Choice Requires="wps">
          <w:drawing>
            <wp:anchor distT="0" distB="0" distL="114300" distR="114300" simplePos="0" relativeHeight="251656704" behindDoc="0" locked="1" layoutInCell="1" allowOverlap="1" wp14:anchorId="219E8665" wp14:editId="5996860A">
              <wp:simplePos x="0" y="0"/>
              <wp:positionH relativeFrom="page">
                <wp:posOffset>635</wp:posOffset>
              </wp:positionH>
              <wp:positionV relativeFrom="page">
                <wp:posOffset>0</wp:posOffset>
              </wp:positionV>
              <wp:extent cx="10692130" cy="180000"/>
              <wp:effectExtent l="0" t="0" r="1905" b="0"/>
              <wp:wrapNone/>
              <wp:docPr id="26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180000"/>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100000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2288FC5" id="Rectangle 35" o:spid="_x0000_s1026" style="position:absolute;margin-left:.05pt;margin-top:0;width:841.9pt;height:14.15pt;z-index:25165670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" fillcolor="#a7a9ac" stroked="f">
              <w10:wrap anchorx="page" anchory="page"/>
              <w10:anchorlock/>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51D2C" w14:textId="1C3B7790" w:rsidR="00F33FB6" w:rsidRDefault="008B514E">
    <w:pPr>
      <w:pStyle w:val="Header"/>
    </w:pPr>
    <w:r>
      <w:rPr>
        <w:noProof/>
      </w:rPr>
      <w:pict w14:anchorId="157DF5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939315" o:spid="_x0000_s4100" type="#_x0000_t136" style="position:absolute;margin-left:0;margin-top:0;width:548.15pt;height:91.35pt;rotation:315;z-index:-251649536;mso-position-horizontal:center;mso-position-horizontal-relative:margin;mso-position-vertical:center;mso-position-vertical-relative:margin" o:allowincell="f" fillcolor="red" stroked="f">
          <v:fill opacity=".5"/>
          <v:textpath style="font-family:&quot;Arial&quot;;font-size:1pt" string="EMBARGOED"/>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3DED7" w14:textId="17265CB7" w:rsidR="002777A8" w:rsidRDefault="008B514E">
    <w:pPr>
      <w:pStyle w:val="Header"/>
    </w:pPr>
    <w:r>
      <w:rPr>
        <w:noProof/>
      </w:rPr>
      <w:pict w14:anchorId="7D072B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939319" o:spid="_x0000_s4104" type="#_x0000_t136" style="position:absolute;margin-left:0;margin-top:0;width:548.15pt;height:91.35pt;rotation:315;z-index:-251641344;mso-position-horizontal:center;mso-position-horizontal-relative:margin;mso-position-vertical:center;mso-position-vertical-relative:margin" o:allowincell="f" fillcolor="red" stroked="f">
          <v:fill opacity=".5"/>
          <v:textpath style="font-family:&quot;Arial&quot;;font-size:1pt" string="EMBARGOED"/>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FAFC26" w14:textId="5A57110A" w:rsidR="00F33FB6" w:rsidRDefault="008B514E">
    <w:pPr>
      <w:pStyle w:val="Header"/>
    </w:pPr>
    <w:r>
      <w:rPr>
        <w:noProof/>
      </w:rPr>
      <w:pict w14:anchorId="619634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939320" o:spid="_x0000_s4105" type="#_x0000_t136" style="position:absolute;margin-left:0;margin-top:0;width:548.15pt;height:91.35pt;rotation:315;z-index:-251639296;mso-position-horizontal:center;mso-position-horizontal-relative:margin;mso-position-vertical:center;mso-position-vertical-relative:margin" o:allowincell="f" fillcolor="red" stroked="f">
          <v:fill opacity=".5"/>
          <v:textpath style="font-family:&quot;Arial&quot;;font-size:1pt" string="EMBARGOED"/>
          <w10:wrap anchorx="margin" anchory="margin"/>
        </v:shape>
      </w:pict>
    </w:r>
    <w:r w:rsidR="00F33FB6">
      <w:rPr>
        <w:noProof/>
        <w:lang w:val="en-NZ" w:eastAsia="en-NZ"/>
      </w:rPr>
      <mc:AlternateContent>
        <mc:Choice Requires="wps">
          <w:drawing>
            <wp:anchor distT="0" distB="0" distL="114300" distR="114300" simplePos="0" relativeHeight="251658752" behindDoc="0" locked="1" layoutInCell="1" allowOverlap="1" wp14:anchorId="7EA1140E" wp14:editId="048B68E8">
              <wp:simplePos x="0" y="0"/>
              <wp:positionH relativeFrom="page">
                <wp:posOffset>0</wp:posOffset>
              </wp:positionH>
              <wp:positionV relativeFrom="page">
                <wp:posOffset>0</wp:posOffset>
              </wp:positionV>
              <wp:extent cx="10692000" cy="180000"/>
              <wp:effectExtent l="0" t="0"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000" cy="180000"/>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799F020" id="Rectangle 28" o:spid="_x0000_s1026" style="position:absolute;margin-left:0;margin-top:0;width:841.9pt;height:14.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" fillcolor="#a7a9ac" stroked="f">
              <w10:wrap anchorx="page" anchory="page"/>
              <w10:anchorlock/>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7CD95" w14:textId="2879172B" w:rsidR="00F33FB6" w:rsidRDefault="008B514E">
    <w:pPr>
      <w:pStyle w:val="Header"/>
    </w:pPr>
    <w:r>
      <w:rPr>
        <w:noProof/>
      </w:rPr>
      <w:pict w14:anchorId="5056AE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939318" o:spid="_x0000_s4103" type="#_x0000_t136" style="position:absolute;margin-left:0;margin-top:0;width:548.15pt;height:91.35pt;rotation:315;z-index:-251643392;mso-position-horizontal:center;mso-position-horizontal-relative:margin;mso-position-vertical:center;mso-position-vertical-relative:margin" o:allowincell="f" fillcolor="red" stroked="f">
          <v:fill opacity=".5"/>
          <v:textpath style="font-family:&quot;Arial&quot;;font-size:1pt" string="EMBARGOE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BB08052"/>
    <w:lvl w:ilvl="0">
      <w:start w:val="1"/>
      <w:numFmt w:val="decimal"/>
      <w:lvlText w:val="%1."/>
      <w:lvlJc w:val="left"/>
      <w:pPr>
        <w:tabs>
          <w:tab w:val="num" w:pos="1492"/>
        </w:tabs>
        <w:ind w:left="1492" w:hanging="360"/>
      </w:pPr>
    </w:lvl>
  </w:abstractNum>
  <w:abstractNum w:abstractNumId="1">
    <w:nsid w:val="FFFFFF7D"/>
    <w:multiLevelType w:val="singleLevel"/>
    <w:tmpl w:val="522483A6"/>
    <w:lvl w:ilvl="0">
      <w:start w:val="1"/>
      <w:numFmt w:val="decimal"/>
      <w:lvlText w:val="%1."/>
      <w:lvlJc w:val="left"/>
      <w:pPr>
        <w:tabs>
          <w:tab w:val="num" w:pos="1209"/>
        </w:tabs>
        <w:ind w:left="1209" w:hanging="360"/>
      </w:pPr>
    </w:lvl>
  </w:abstractNum>
  <w:abstractNum w:abstractNumId="2">
    <w:nsid w:val="FFFFFF7E"/>
    <w:multiLevelType w:val="singleLevel"/>
    <w:tmpl w:val="968CE420"/>
    <w:lvl w:ilvl="0">
      <w:start w:val="1"/>
      <w:numFmt w:val="decimal"/>
      <w:lvlText w:val="%1."/>
      <w:lvlJc w:val="left"/>
      <w:pPr>
        <w:tabs>
          <w:tab w:val="num" w:pos="926"/>
        </w:tabs>
        <w:ind w:left="926" w:hanging="360"/>
      </w:pPr>
    </w:lvl>
  </w:abstractNum>
  <w:abstractNum w:abstractNumId="3">
    <w:nsid w:val="FFFFFF7F"/>
    <w:multiLevelType w:val="singleLevel"/>
    <w:tmpl w:val="E6F27BC4"/>
    <w:lvl w:ilvl="0">
      <w:start w:val="1"/>
      <w:numFmt w:val="decimal"/>
      <w:lvlText w:val="%1."/>
      <w:lvlJc w:val="left"/>
      <w:pPr>
        <w:tabs>
          <w:tab w:val="num" w:pos="643"/>
        </w:tabs>
        <w:ind w:left="643" w:hanging="360"/>
      </w:pPr>
    </w:lvl>
  </w:abstractNum>
  <w:abstractNum w:abstractNumId="4">
    <w:nsid w:val="FFFFFF80"/>
    <w:multiLevelType w:val="singleLevel"/>
    <w:tmpl w:val="96FE2A5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FC282B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1863CB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D6ED25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6248570"/>
    <w:lvl w:ilvl="0">
      <w:start w:val="1"/>
      <w:numFmt w:val="decimal"/>
      <w:lvlText w:val="%1."/>
      <w:lvlJc w:val="left"/>
      <w:pPr>
        <w:tabs>
          <w:tab w:val="num" w:pos="360"/>
        </w:tabs>
        <w:ind w:left="360" w:hanging="360"/>
      </w:pPr>
    </w:lvl>
  </w:abstractNum>
  <w:abstractNum w:abstractNumId="9">
    <w:nsid w:val="FFFFFF89"/>
    <w:multiLevelType w:val="singleLevel"/>
    <w:tmpl w:val="07127B68"/>
    <w:lvl w:ilvl="0">
      <w:start w:val="1"/>
      <w:numFmt w:val="bullet"/>
      <w:lvlText w:val=""/>
      <w:lvlJc w:val="left"/>
      <w:pPr>
        <w:tabs>
          <w:tab w:val="num" w:pos="360"/>
        </w:tabs>
        <w:ind w:left="360" w:hanging="360"/>
      </w:pPr>
      <w:rPr>
        <w:rFonts w:ascii="Symbol" w:hAnsi="Symbol" w:hint="default"/>
      </w:rPr>
    </w:lvl>
  </w:abstractNum>
  <w:abstractNum w:abstractNumId="10">
    <w:nsid w:val="0007414E"/>
    <w:multiLevelType w:val="hybridMultilevel"/>
    <w:tmpl w:val="21702F58"/>
    <w:name w:val="GHDOutlineTemplate12"/>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1">
    <w:nsid w:val="00520199"/>
    <w:multiLevelType w:val="hybridMultilevel"/>
    <w:tmpl w:val="D0EA311A"/>
    <w:lvl w:ilvl="0" w:tplc="14090001">
      <w:start w:val="1"/>
      <w:numFmt w:val="bullet"/>
      <w:lvlText w:val=""/>
      <w:lvlJc w:val="left"/>
      <w:pPr>
        <w:ind w:left="1287" w:hanging="360"/>
      </w:pPr>
      <w:rPr>
        <w:rFonts w:ascii="Symbol" w:hAnsi="Symbol" w:hint="default"/>
      </w:rPr>
    </w:lvl>
    <w:lvl w:ilvl="1" w:tplc="14090001">
      <w:start w:val="1"/>
      <w:numFmt w:val="bullet"/>
      <w:lvlText w:val=""/>
      <w:lvlJc w:val="left"/>
      <w:pPr>
        <w:ind w:left="2007" w:hanging="360"/>
      </w:pPr>
      <w:rPr>
        <w:rFonts w:ascii="Symbol" w:hAnsi="Symbol"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2">
    <w:nsid w:val="00A26575"/>
    <w:multiLevelType w:val="hybridMultilevel"/>
    <w:tmpl w:val="1E5061B4"/>
    <w:lvl w:ilvl="0" w:tplc="14090001">
      <w:start w:val="1"/>
      <w:numFmt w:val="bullet"/>
      <w:lvlText w:val=""/>
      <w:lvlJc w:val="left"/>
      <w:pPr>
        <w:ind w:left="2367" w:hanging="360"/>
      </w:pPr>
      <w:rPr>
        <w:rFonts w:ascii="Symbol" w:hAnsi="Symbol" w:hint="default"/>
      </w:rPr>
    </w:lvl>
    <w:lvl w:ilvl="1" w:tplc="14090003" w:tentative="1">
      <w:start w:val="1"/>
      <w:numFmt w:val="bullet"/>
      <w:lvlText w:val="o"/>
      <w:lvlJc w:val="left"/>
      <w:pPr>
        <w:ind w:left="3087" w:hanging="360"/>
      </w:pPr>
      <w:rPr>
        <w:rFonts w:ascii="Courier New" w:hAnsi="Courier New" w:cs="Courier New" w:hint="default"/>
      </w:rPr>
    </w:lvl>
    <w:lvl w:ilvl="2" w:tplc="14090005" w:tentative="1">
      <w:start w:val="1"/>
      <w:numFmt w:val="bullet"/>
      <w:lvlText w:val=""/>
      <w:lvlJc w:val="left"/>
      <w:pPr>
        <w:ind w:left="3807" w:hanging="360"/>
      </w:pPr>
      <w:rPr>
        <w:rFonts w:ascii="Wingdings" w:hAnsi="Wingdings" w:hint="default"/>
      </w:rPr>
    </w:lvl>
    <w:lvl w:ilvl="3" w:tplc="14090001" w:tentative="1">
      <w:start w:val="1"/>
      <w:numFmt w:val="bullet"/>
      <w:lvlText w:val=""/>
      <w:lvlJc w:val="left"/>
      <w:pPr>
        <w:ind w:left="4527" w:hanging="360"/>
      </w:pPr>
      <w:rPr>
        <w:rFonts w:ascii="Symbol" w:hAnsi="Symbol" w:hint="default"/>
      </w:rPr>
    </w:lvl>
    <w:lvl w:ilvl="4" w:tplc="14090003" w:tentative="1">
      <w:start w:val="1"/>
      <w:numFmt w:val="bullet"/>
      <w:lvlText w:val="o"/>
      <w:lvlJc w:val="left"/>
      <w:pPr>
        <w:ind w:left="5247" w:hanging="360"/>
      </w:pPr>
      <w:rPr>
        <w:rFonts w:ascii="Courier New" w:hAnsi="Courier New" w:cs="Courier New" w:hint="default"/>
      </w:rPr>
    </w:lvl>
    <w:lvl w:ilvl="5" w:tplc="14090005" w:tentative="1">
      <w:start w:val="1"/>
      <w:numFmt w:val="bullet"/>
      <w:lvlText w:val=""/>
      <w:lvlJc w:val="left"/>
      <w:pPr>
        <w:ind w:left="5967" w:hanging="360"/>
      </w:pPr>
      <w:rPr>
        <w:rFonts w:ascii="Wingdings" w:hAnsi="Wingdings" w:hint="default"/>
      </w:rPr>
    </w:lvl>
    <w:lvl w:ilvl="6" w:tplc="14090001" w:tentative="1">
      <w:start w:val="1"/>
      <w:numFmt w:val="bullet"/>
      <w:lvlText w:val=""/>
      <w:lvlJc w:val="left"/>
      <w:pPr>
        <w:ind w:left="6687" w:hanging="360"/>
      </w:pPr>
      <w:rPr>
        <w:rFonts w:ascii="Symbol" w:hAnsi="Symbol" w:hint="default"/>
      </w:rPr>
    </w:lvl>
    <w:lvl w:ilvl="7" w:tplc="14090003" w:tentative="1">
      <w:start w:val="1"/>
      <w:numFmt w:val="bullet"/>
      <w:lvlText w:val="o"/>
      <w:lvlJc w:val="left"/>
      <w:pPr>
        <w:ind w:left="7407" w:hanging="360"/>
      </w:pPr>
      <w:rPr>
        <w:rFonts w:ascii="Courier New" w:hAnsi="Courier New" w:cs="Courier New" w:hint="default"/>
      </w:rPr>
    </w:lvl>
    <w:lvl w:ilvl="8" w:tplc="14090005" w:tentative="1">
      <w:start w:val="1"/>
      <w:numFmt w:val="bullet"/>
      <w:lvlText w:val=""/>
      <w:lvlJc w:val="left"/>
      <w:pPr>
        <w:ind w:left="8127" w:hanging="360"/>
      </w:pPr>
      <w:rPr>
        <w:rFonts w:ascii="Wingdings" w:hAnsi="Wingdings" w:hint="default"/>
      </w:rPr>
    </w:lvl>
  </w:abstractNum>
  <w:abstractNum w:abstractNumId="13">
    <w:nsid w:val="02826767"/>
    <w:multiLevelType w:val="hybridMultilevel"/>
    <w:tmpl w:val="4E9648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07C71C39"/>
    <w:multiLevelType w:val="hybridMultilevel"/>
    <w:tmpl w:val="1F5ED3FA"/>
    <w:lvl w:ilvl="0" w:tplc="D206B1D8">
      <w:start w:val="1"/>
      <w:numFmt w:val="bullet"/>
      <w:lvlText w:val="–"/>
      <w:lvlJc w:val="left"/>
      <w:pPr>
        <w:tabs>
          <w:tab w:val="num" w:pos="360"/>
        </w:tabs>
        <w:ind w:left="360" w:hanging="360"/>
      </w:pPr>
      <w:rPr>
        <w:rFonts w:ascii="Arial"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8915237"/>
    <w:multiLevelType w:val="multilevel"/>
    <w:tmpl w:val="8B9C50FA"/>
    <w:lvl w:ilvl="0">
      <w:start w:val="1"/>
      <w:numFmt w:val="decimal"/>
      <w:lvlText w:val="%1."/>
      <w:lvlJc w:val="left"/>
      <w:pPr>
        <w:tabs>
          <w:tab w:val="num" w:pos="567"/>
        </w:tabs>
        <w:ind w:left="567" w:hanging="1134"/>
      </w:pPr>
      <w:rPr>
        <w:b w:val="0"/>
      </w:rPr>
    </w:lvl>
    <w:lvl w:ilvl="1">
      <w:start w:val="1"/>
      <w:numFmt w:val="decimal"/>
      <w:lvlText w:val="%1.%2"/>
      <w:lvlJc w:val="left"/>
      <w:pPr>
        <w:tabs>
          <w:tab w:val="num" w:pos="1417"/>
        </w:tabs>
        <w:ind w:left="1417" w:hanging="850"/>
      </w:pPr>
      <w:rPr>
        <w:b w:val="0"/>
      </w:rPr>
    </w:lvl>
    <w:lvl w:ilvl="2">
      <w:start w:val="1"/>
      <w:numFmt w:val="decimal"/>
      <w:lvlText w:val="%1.%2.%3"/>
      <w:lvlJc w:val="left"/>
      <w:pPr>
        <w:tabs>
          <w:tab w:val="num" w:pos="1417"/>
        </w:tabs>
        <w:ind w:left="1417" w:hanging="850"/>
      </w:pPr>
      <w:rPr>
        <w:b/>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08990FCE"/>
    <w:multiLevelType w:val="hybridMultilevel"/>
    <w:tmpl w:val="25E62E98"/>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7">
    <w:nsid w:val="09C16586"/>
    <w:multiLevelType w:val="hybridMultilevel"/>
    <w:tmpl w:val="2B7692A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8">
    <w:nsid w:val="0BAA2742"/>
    <w:multiLevelType w:val="hybridMultilevel"/>
    <w:tmpl w:val="789ED660"/>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9">
    <w:nsid w:val="0D897BE1"/>
    <w:multiLevelType w:val="hybridMultilevel"/>
    <w:tmpl w:val="63FE86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0E422D87"/>
    <w:multiLevelType w:val="multilevel"/>
    <w:tmpl w:val="902EE0A0"/>
    <w:name w:val="GDHBulletTemplate"/>
    <w:lvl w:ilvl="0">
      <w:start w:val="1"/>
      <w:numFmt w:val="bullet"/>
      <w:lvlText w:val=""/>
      <w:lvlJc w:val="left"/>
      <w:pPr>
        <w:tabs>
          <w:tab w:val="num" w:pos="359"/>
        </w:tabs>
        <w:ind w:left="359" w:hanging="360"/>
      </w:pPr>
      <w:rPr>
        <w:rFonts w:ascii="Symbol" w:hAnsi="Symbol" w:hint="default"/>
      </w:rPr>
    </w:lvl>
    <w:lvl w:ilvl="1">
      <w:start w:val="1"/>
      <w:numFmt w:val="bullet"/>
      <w:lvlRestart w:val="0"/>
      <w:lvlText w:val=""/>
      <w:lvlJc w:val="left"/>
      <w:pPr>
        <w:tabs>
          <w:tab w:val="num" w:pos="791"/>
        </w:tabs>
        <w:ind w:left="791" w:hanging="360"/>
      </w:pPr>
      <w:rPr>
        <w:rFonts w:ascii="Symbol" w:hAnsi="Symbol" w:hint="default"/>
      </w:rPr>
    </w:lvl>
    <w:lvl w:ilvl="2">
      <w:start w:val="1"/>
      <w:numFmt w:val="decimal"/>
      <w:suff w:val="space"/>
      <w:lvlText w:val="%2"/>
      <w:lvlJc w:val="left"/>
      <w:pPr>
        <w:ind w:left="1079" w:hanging="360"/>
      </w:pPr>
      <w:rPr>
        <w:rFonts w:hint="default"/>
        <w:b w:val="0"/>
      </w:rPr>
    </w:lvl>
    <w:lvl w:ilvl="3">
      <w:start w:val="1"/>
      <w:numFmt w:val="decimal"/>
      <w:suff w:val="space"/>
      <w:lvlText w:val="%2"/>
      <w:lvlJc w:val="left"/>
      <w:pPr>
        <w:ind w:left="1511" w:hanging="504"/>
      </w:pPr>
      <w:rPr>
        <w:rFonts w:hint="default"/>
        <w:b w:val="0"/>
      </w:rPr>
    </w:lvl>
    <w:lvl w:ilvl="4">
      <w:start w:val="1"/>
      <w:numFmt w:val="decimal"/>
      <w:suff w:val="space"/>
      <w:lvlText w:val="%2"/>
      <w:lvlJc w:val="left"/>
      <w:pPr>
        <w:ind w:left="1943" w:hanging="648"/>
      </w:pPr>
      <w:rPr>
        <w:rFonts w:hint="default"/>
        <w:b w:val="0"/>
      </w:rPr>
    </w:lvl>
    <w:lvl w:ilvl="5">
      <w:start w:val="1"/>
      <w:numFmt w:val="decimal"/>
      <w:suff w:val="space"/>
      <w:lvlText w:val="%2"/>
      <w:lvlJc w:val="left"/>
      <w:pPr>
        <w:ind w:left="2375" w:hanging="792"/>
      </w:pPr>
      <w:rPr>
        <w:rFonts w:hint="default"/>
        <w:b w:val="0"/>
      </w:rPr>
    </w:lvl>
    <w:lvl w:ilvl="6">
      <w:start w:val="1"/>
      <w:numFmt w:val="none"/>
      <w:lvlText w:val=""/>
      <w:lvlJc w:val="left"/>
      <w:pPr>
        <w:tabs>
          <w:tab w:val="num" w:pos="5039"/>
        </w:tabs>
        <w:ind w:left="5039" w:hanging="360"/>
      </w:pPr>
      <w:rPr>
        <w:rFonts w:hint="default"/>
      </w:rPr>
    </w:lvl>
    <w:lvl w:ilvl="7">
      <w:start w:val="1"/>
      <w:numFmt w:val="none"/>
      <w:lvlText w:val=""/>
      <w:lvlJc w:val="left"/>
      <w:pPr>
        <w:tabs>
          <w:tab w:val="num" w:pos="5759"/>
        </w:tabs>
        <w:ind w:left="5759" w:hanging="360"/>
      </w:pPr>
      <w:rPr>
        <w:rFonts w:hint="default"/>
      </w:rPr>
    </w:lvl>
    <w:lvl w:ilvl="8">
      <w:start w:val="1"/>
      <w:numFmt w:val="none"/>
      <w:lvlText w:val=""/>
      <w:lvlJc w:val="right"/>
      <w:pPr>
        <w:tabs>
          <w:tab w:val="num" w:pos="6479"/>
        </w:tabs>
        <w:ind w:left="6479" w:hanging="180"/>
      </w:pPr>
      <w:rPr>
        <w:rFonts w:hint="default"/>
      </w:rPr>
    </w:lvl>
  </w:abstractNum>
  <w:abstractNum w:abstractNumId="21">
    <w:nsid w:val="0F76466F"/>
    <w:multiLevelType w:val="hybridMultilevel"/>
    <w:tmpl w:val="8EB651D8"/>
    <w:lvl w:ilvl="0" w:tplc="D952D584">
      <w:start w:val="1"/>
      <w:numFmt w:val="bullet"/>
      <w:lvlText w:val=""/>
      <w:lvlJc w:val="left"/>
      <w:pPr>
        <w:ind w:left="1211" w:hanging="360"/>
      </w:pPr>
      <w:rPr>
        <w:rFonts w:ascii="Symbol" w:hAnsi="Symbol" w:hint="default"/>
      </w:rPr>
    </w:lvl>
    <w:lvl w:ilvl="1" w:tplc="14090003" w:tentative="1">
      <w:start w:val="1"/>
      <w:numFmt w:val="bullet"/>
      <w:lvlText w:val="o"/>
      <w:lvlJc w:val="left"/>
      <w:pPr>
        <w:ind w:left="1931" w:hanging="360"/>
      </w:pPr>
      <w:rPr>
        <w:rFonts w:ascii="Courier New" w:hAnsi="Courier New" w:cs="Courier New" w:hint="default"/>
      </w:rPr>
    </w:lvl>
    <w:lvl w:ilvl="2" w:tplc="14090005" w:tentative="1">
      <w:start w:val="1"/>
      <w:numFmt w:val="bullet"/>
      <w:lvlText w:val=""/>
      <w:lvlJc w:val="left"/>
      <w:pPr>
        <w:ind w:left="2651" w:hanging="360"/>
      </w:pPr>
      <w:rPr>
        <w:rFonts w:ascii="Wingdings" w:hAnsi="Wingdings" w:hint="default"/>
      </w:rPr>
    </w:lvl>
    <w:lvl w:ilvl="3" w:tplc="14090001" w:tentative="1">
      <w:start w:val="1"/>
      <w:numFmt w:val="bullet"/>
      <w:lvlText w:val=""/>
      <w:lvlJc w:val="left"/>
      <w:pPr>
        <w:ind w:left="3371" w:hanging="360"/>
      </w:pPr>
      <w:rPr>
        <w:rFonts w:ascii="Symbol" w:hAnsi="Symbol" w:hint="default"/>
      </w:rPr>
    </w:lvl>
    <w:lvl w:ilvl="4" w:tplc="14090003" w:tentative="1">
      <w:start w:val="1"/>
      <w:numFmt w:val="bullet"/>
      <w:lvlText w:val="o"/>
      <w:lvlJc w:val="left"/>
      <w:pPr>
        <w:ind w:left="4091" w:hanging="360"/>
      </w:pPr>
      <w:rPr>
        <w:rFonts w:ascii="Courier New" w:hAnsi="Courier New" w:cs="Courier New" w:hint="default"/>
      </w:rPr>
    </w:lvl>
    <w:lvl w:ilvl="5" w:tplc="14090005" w:tentative="1">
      <w:start w:val="1"/>
      <w:numFmt w:val="bullet"/>
      <w:lvlText w:val=""/>
      <w:lvlJc w:val="left"/>
      <w:pPr>
        <w:ind w:left="4811" w:hanging="360"/>
      </w:pPr>
      <w:rPr>
        <w:rFonts w:ascii="Wingdings" w:hAnsi="Wingdings" w:hint="default"/>
      </w:rPr>
    </w:lvl>
    <w:lvl w:ilvl="6" w:tplc="14090001" w:tentative="1">
      <w:start w:val="1"/>
      <w:numFmt w:val="bullet"/>
      <w:lvlText w:val=""/>
      <w:lvlJc w:val="left"/>
      <w:pPr>
        <w:ind w:left="5531" w:hanging="360"/>
      </w:pPr>
      <w:rPr>
        <w:rFonts w:ascii="Symbol" w:hAnsi="Symbol" w:hint="default"/>
      </w:rPr>
    </w:lvl>
    <w:lvl w:ilvl="7" w:tplc="14090003" w:tentative="1">
      <w:start w:val="1"/>
      <w:numFmt w:val="bullet"/>
      <w:lvlText w:val="o"/>
      <w:lvlJc w:val="left"/>
      <w:pPr>
        <w:ind w:left="6251" w:hanging="360"/>
      </w:pPr>
      <w:rPr>
        <w:rFonts w:ascii="Courier New" w:hAnsi="Courier New" w:cs="Courier New" w:hint="default"/>
      </w:rPr>
    </w:lvl>
    <w:lvl w:ilvl="8" w:tplc="14090005" w:tentative="1">
      <w:start w:val="1"/>
      <w:numFmt w:val="bullet"/>
      <w:lvlText w:val=""/>
      <w:lvlJc w:val="left"/>
      <w:pPr>
        <w:ind w:left="6971" w:hanging="360"/>
      </w:pPr>
      <w:rPr>
        <w:rFonts w:ascii="Wingdings" w:hAnsi="Wingdings" w:hint="default"/>
      </w:rPr>
    </w:lvl>
  </w:abstractNum>
  <w:abstractNum w:abstractNumId="22">
    <w:nsid w:val="10F53772"/>
    <w:multiLevelType w:val="hybridMultilevel"/>
    <w:tmpl w:val="ABD6AC12"/>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23">
    <w:nsid w:val="118C4D1F"/>
    <w:multiLevelType w:val="hybridMultilevel"/>
    <w:tmpl w:val="E17E3DC0"/>
    <w:lvl w:ilvl="0" w:tplc="14090001">
      <w:start w:val="1"/>
      <w:numFmt w:val="bullet"/>
      <w:lvlText w:val=""/>
      <w:lvlJc w:val="left"/>
      <w:pPr>
        <w:ind w:left="2367" w:hanging="360"/>
      </w:pPr>
      <w:rPr>
        <w:rFonts w:ascii="Symbol" w:hAnsi="Symbol" w:hint="default"/>
      </w:rPr>
    </w:lvl>
    <w:lvl w:ilvl="1" w:tplc="14090003" w:tentative="1">
      <w:start w:val="1"/>
      <w:numFmt w:val="bullet"/>
      <w:lvlText w:val="o"/>
      <w:lvlJc w:val="left"/>
      <w:pPr>
        <w:ind w:left="3087" w:hanging="360"/>
      </w:pPr>
      <w:rPr>
        <w:rFonts w:ascii="Courier New" w:hAnsi="Courier New" w:cs="Courier New" w:hint="default"/>
      </w:rPr>
    </w:lvl>
    <w:lvl w:ilvl="2" w:tplc="14090005" w:tentative="1">
      <w:start w:val="1"/>
      <w:numFmt w:val="bullet"/>
      <w:lvlText w:val=""/>
      <w:lvlJc w:val="left"/>
      <w:pPr>
        <w:ind w:left="3807" w:hanging="360"/>
      </w:pPr>
      <w:rPr>
        <w:rFonts w:ascii="Wingdings" w:hAnsi="Wingdings" w:hint="default"/>
      </w:rPr>
    </w:lvl>
    <w:lvl w:ilvl="3" w:tplc="14090001" w:tentative="1">
      <w:start w:val="1"/>
      <w:numFmt w:val="bullet"/>
      <w:lvlText w:val=""/>
      <w:lvlJc w:val="left"/>
      <w:pPr>
        <w:ind w:left="4527" w:hanging="360"/>
      </w:pPr>
      <w:rPr>
        <w:rFonts w:ascii="Symbol" w:hAnsi="Symbol" w:hint="default"/>
      </w:rPr>
    </w:lvl>
    <w:lvl w:ilvl="4" w:tplc="14090003" w:tentative="1">
      <w:start w:val="1"/>
      <w:numFmt w:val="bullet"/>
      <w:lvlText w:val="o"/>
      <w:lvlJc w:val="left"/>
      <w:pPr>
        <w:ind w:left="5247" w:hanging="360"/>
      </w:pPr>
      <w:rPr>
        <w:rFonts w:ascii="Courier New" w:hAnsi="Courier New" w:cs="Courier New" w:hint="default"/>
      </w:rPr>
    </w:lvl>
    <w:lvl w:ilvl="5" w:tplc="14090005" w:tentative="1">
      <w:start w:val="1"/>
      <w:numFmt w:val="bullet"/>
      <w:lvlText w:val=""/>
      <w:lvlJc w:val="left"/>
      <w:pPr>
        <w:ind w:left="5967" w:hanging="360"/>
      </w:pPr>
      <w:rPr>
        <w:rFonts w:ascii="Wingdings" w:hAnsi="Wingdings" w:hint="default"/>
      </w:rPr>
    </w:lvl>
    <w:lvl w:ilvl="6" w:tplc="14090001" w:tentative="1">
      <w:start w:val="1"/>
      <w:numFmt w:val="bullet"/>
      <w:lvlText w:val=""/>
      <w:lvlJc w:val="left"/>
      <w:pPr>
        <w:ind w:left="6687" w:hanging="360"/>
      </w:pPr>
      <w:rPr>
        <w:rFonts w:ascii="Symbol" w:hAnsi="Symbol" w:hint="default"/>
      </w:rPr>
    </w:lvl>
    <w:lvl w:ilvl="7" w:tplc="14090003" w:tentative="1">
      <w:start w:val="1"/>
      <w:numFmt w:val="bullet"/>
      <w:lvlText w:val="o"/>
      <w:lvlJc w:val="left"/>
      <w:pPr>
        <w:ind w:left="7407" w:hanging="360"/>
      </w:pPr>
      <w:rPr>
        <w:rFonts w:ascii="Courier New" w:hAnsi="Courier New" w:cs="Courier New" w:hint="default"/>
      </w:rPr>
    </w:lvl>
    <w:lvl w:ilvl="8" w:tplc="14090005" w:tentative="1">
      <w:start w:val="1"/>
      <w:numFmt w:val="bullet"/>
      <w:lvlText w:val=""/>
      <w:lvlJc w:val="left"/>
      <w:pPr>
        <w:ind w:left="8127" w:hanging="360"/>
      </w:pPr>
      <w:rPr>
        <w:rFonts w:ascii="Wingdings" w:hAnsi="Wingdings" w:hint="default"/>
      </w:rPr>
    </w:lvl>
  </w:abstractNum>
  <w:abstractNum w:abstractNumId="24">
    <w:nsid w:val="12033E32"/>
    <w:multiLevelType w:val="hybridMultilevel"/>
    <w:tmpl w:val="AE78C1DE"/>
    <w:lvl w:ilvl="0" w:tplc="58F41F5E">
      <w:start w:val="1"/>
      <w:numFmt w:val="bullet"/>
      <w:lvlText w:val="–"/>
      <w:lvlJc w:val="left"/>
      <w:pPr>
        <w:tabs>
          <w:tab w:val="num" w:pos="360"/>
        </w:tabs>
        <w:ind w:left="360" w:hanging="360"/>
      </w:pPr>
      <w:rPr>
        <w:rFonts w:ascii="Arial"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57569AE"/>
    <w:multiLevelType w:val="multilevel"/>
    <w:tmpl w:val="48D225A2"/>
    <w:numStyleLink w:val="Style1"/>
  </w:abstractNum>
  <w:abstractNum w:abstractNumId="26">
    <w:nsid w:val="16765B62"/>
    <w:multiLevelType w:val="hybridMultilevel"/>
    <w:tmpl w:val="EA16EBD6"/>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nsid w:val="17C64BFF"/>
    <w:multiLevelType w:val="multilevel"/>
    <w:tmpl w:val="37064C74"/>
    <w:name w:val="GHDListTemplate1"/>
    <w:lvl w:ilvl="0">
      <w:start w:val="1"/>
      <w:numFmt w:val="decimal"/>
      <w:isLgl/>
      <w:suff w:val="nothing"/>
      <w:lvlText w:val=""/>
      <w:lvlJc w:val="left"/>
      <w:pPr>
        <w:ind w:left="0" w:firstLine="0"/>
      </w:pPr>
    </w:lvl>
    <w:lvl w:ilvl="1">
      <w:start w:val="1"/>
      <w:numFmt w:val="lowerLetter"/>
      <w:lvlText w:val="%2."/>
      <w:lvlJc w:val="left"/>
      <w:pPr>
        <w:ind w:left="288" w:hanging="288"/>
      </w:pPr>
      <w:rPr>
        <w:b w:val="0"/>
      </w:rPr>
    </w:lvl>
    <w:lvl w:ilvl="2">
      <w:start w:val="1"/>
      <w:numFmt w:val="decimal"/>
      <w:suff w:val="space"/>
      <w:lvlText w:val=""/>
      <w:lvlJc w:val="left"/>
      <w:pPr>
        <w:ind w:left="720" w:hanging="432"/>
      </w:pPr>
      <w:rPr>
        <w:b w:val="0"/>
      </w:rPr>
    </w:lvl>
    <w:lvl w:ilvl="3">
      <w:start w:val="1"/>
      <w:numFmt w:val="decimal"/>
      <w:suff w:val="space"/>
      <w:lvlText w:val=""/>
      <w:lvlJc w:val="left"/>
      <w:pPr>
        <w:ind w:left="1296" w:hanging="576"/>
      </w:pPr>
      <w:rPr>
        <w:b w:val="0"/>
      </w:rPr>
    </w:lvl>
    <w:lvl w:ilvl="4">
      <w:start w:val="1"/>
      <w:numFmt w:val="decimal"/>
      <w:suff w:val="space"/>
      <w:lvlText w:val=""/>
      <w:lvlJc w:val="left"/>
      <w:pPr>
        <w:ind w:left="1296" w:hanging="576"/>
      </w:pPr>
      <w:rPr>
        <w:b w:val="0"/>
      </w:rPr>
    </w:lvl>
    <w:lvl w:ilvl="5">
      <w:start w:val="1"/>
      <w:numFmt w:val="decimal"/>
      <w:suff w:val="space"/>
      <w:lvlText w:val=""/>
      <w:lvlJc w:val="left"/>
      <w:pPr>
        <w:ind w:left="1296" w:hanging="576"/>
      </w:pPr>
      <w:rPr>
        <w:b w:val="0"/>
      </w:r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18A235B4"/>
    <w:multiLevelType w:val="hybridMultilevel"/>
    <w:tmpl w:val="D39CA094"/>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1924211A"/>
    <w:multiLevelType w:val="multilevel"/>
    <w:tmpl w:val="C9600AEE"/>
    <w:lvl w:ilvl="0">
      <w:start w:val="1"/>
      <w:numFmt w:val="upperLetter"/>
      <w:lvlText w:val="%1."/>
      <w:lvlJc w:val="left"/>
      <w:pPr>
        <w:ind w:left="288" w:hanging="288"/>
      </w:pPr>
      <w:rPr>
        <w:rFonts w:ascii="Arial MT Black" w:hAnsi="Arial MT Black" w:cs="Arial" w:hint="default"/>
        <w:b w:val="0"/>
        <w:i w:val="0"/>
        <w:color w:val="auto"/>
        <w:sz w:val="40"/>
      </w:rPr>
    </w:lvl>
    <w:lvl w:ilvl="1">
      <w:start w:val="1"/>
      <w:numFmt w:val="decimal"/>
      <w:lvlText w:val="%1.%2."/>
      <w:lvlJc w:val="left"/>
      <w:pPr>
        <w:tabs>
          <w:tab w:val="num" w:pos="0"/>
        </w:tabs>
        <w:ind w:left="288" w:hanging="288"/>
      </w:pPr>
      <w:rPr>
        <w:rFonts w:hint="default"/>
        <w:b/>
      </w:rPr>
    </w:lvl>
    <w:lvl w:ilvl="2">
      <w:start w:val="1"/>
      <w:numFmt w:val="decimal"/>
      <w:lvlText w:val="%1.%2.%3."/>
      <w:lvlJc w:val="left"/>
      <w:pPr>
        <w:tabs>
          <w:tab w:val="num" w:pos="0"/>
        </w:tabs>
        <w:ind w:left="288" w:hanging="288"/>
      </w:pPr>
      <w:rPr>
        <w:rFonts w:hint="default"/>
        <w:b/>
        <w:i w:val="0"/>
      </w:rPr>
    </w:lvl>
    <w:lvl w:ilvl="3">
      <w:start w:val="1"/>
      <w:numFmt w:val="none"/>
      <w:lvlText w:val=""/>
      <w:lvlJc w:val="left"/>
      <w:pPr>
        <w:tabs>
          <w:tab w:val="num" w:pos="0"/>
        </w:tabs>
        <w:ind w:left="288" w:hanging="288"/>
      </w:pPr>
      <w:rPr>
        <w:rFonts w:hint="default"/>
        <w:b/>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nsid w:val="1C313F0F"/>
    <w:multiLevelType w:val="hybridMultilevel"/>
    <w:tmpl w:val="D6B42E34"/>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31">
    <w:nsid w:val="1D6F5CA5"/>
    <w:multiLevelType w:val="hybridMultilevel"/>
    <w:tmpl w:val="F06CE072"/>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32">
    <w:nsid w:val="1DDD6D9E"/>
    <w:multiLevelType w:val="hybridMultilevel"/>
    <w:tmpl w:val="0546A852"/>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33">
    <w:nsid w:val="20244152"/>
    <w:multiLevelType w:val="multilevel"/>
    <w:tmpl w:val="48D225A2"/>
    <w:numStyleLink w:val="Style1"/>
  </w:abstractNum>
  <w:abstractNum w:abstractNumId="34">
    <w:nsid w:val="21C06B4F"/>
    <w:multiLevelType w:val="hybridMultilevel"/>
    <w:tmpl w:val="28522B6C"/>
    <w:lvl w:ilvl="0" w:tplc="14090001">
      <w:start w:val="1"/>
      <w:numFmt w:val="bullet"/>
      <w:lvlText w:val=""/>
      <w:lvlJc w:val="left"/>
      <w:pPr>
        <w:ind w:left="2707" w:hanging="360"/>
      </w:pPr>
      <w:rPr>
        <w:rFonts w:ascii="Symbol" w:hAnsi="Symbol" w:hint="default"/>
      </w:rPr>
    </w:lvl>
    <w:lvl w:ilvl="1" w:tplc="14090003" w:tentative="1">
      <w:start w:val="1"/>
      <w:numFmt w:val="bullet"/>
      <w:lvlText w:val="o"/>
      <w:lvlJc w:val="left"/>
      <w:pPr>
        <w:ind w:left="3427" w:hanging="360"/>
      </w:pPr>
      <w:rPr>
        <w:rFonts w:ascii="Courier New" w:hAnsi="Courier New" w:cs="Courier New" w:hint="default"/>
      </w:rPr>
    </w:lvl>
    <w:lvl w:ilvl="2" w:tplc="14090005" w:tentative="1">
      <w:start w:val="1"/>
      <w:numFmt w:val="bullet"/>
      <w:lvlText w:val=""/>
      <w:lvlJc w:val="left"/>
      <w:pPr>
        <w:ind w:left="4147" w:hanging="360"/>
      </w:pPr>
      <w:rPr>
        <w:rFonts w:ascii="Wingdings" w:hAnsi="Wingdings" w:hint="default"/>
      </w:rPr>
    </w:lvl>
    <w:lvl w:ilvl="3" w:tplc="14090001" w:tentative="1">
      <w:start w:val="1"/>
      <w:numFmt w:val="bullet"/>
      <w:lvlText w:val=""/>
      <w:lvlJc w:val="left"/>
      <w:pPr>
        <w:ind w:left="4867" w:hanging="360"/>
      </w:pPr>
      <w:rPr>
        <w:rFonts w:ascii="Symbol" w:hAnsi="Symbol" w:hint="default"/>
      </w:rPr>
    </w:lvl>
    <w:lvl w:ilvl="4" w:tplc="14090003" w:tentative="1">
      <w:start w:val="1"/>
      <w:numFmt w:val="bullet"/>
      <w:lvlText w:val="o"/>
      <w:lvlJc w:val="left"/>
      <w:pPr>
        <w:ind w:left="5587" w:hanging="360"/>
      </w:pPr>
      <w:rPr>
        <w:rFonts w:ascii="Courier New" w:hAnsi="Courier New" w:cs="Courier New" w:hint="default"/>
      </w:rPr>
    </w:lvl>
    <w:lvl w:ilvl="5" w:tplc="14090005" w:tentative="1">
      <w:start w:val="1"/>
      <w:numFmt w:val="bullet"/>
      <w:lvlText w:val=""/>
      <w:lvlJc w:val="left"/>
      <w:pPr>
        <w:ind w:left="6307" w:hanging="360"/>
      </w:pPr>
      <w:rPr>
        <w:rFonts w:ascii="Wingdings" w:hAnsi="Wingdings" w:hint="default"/>
      </w:rPr>
    </w:lvl>
    <w:lvl w:ilvl="6" w:tplc="14090001" w:tentative="1">
      <w:start w:val="1"/>
      <w:numFmt w:val="bullet"/>
      <w:lvlText w:val=""/>
      <w:lvlJc w:val="left"/>
      <w:pPr>
        <w:ind w:left="7027" w:hanging="360"/>
      </w:pPr>
      <w:rPr>
        <w:rFonts w:ascii="Symbol" w:hAnsi="Symbol" w:hint="default"/>
      </w:rPr>
    </w:lvl>
    <w:lvl w:ilvl="7" w:tplc="14090003" w:tentative="1">
      <w:start w:val="1"/>
      <w:numFmt w:val="bullet"/>
      <w:lvlText w:val="o"/>
      <w:lvlJc w:val="left"/>
      <w:pPr>
        <w:ind w:left="7747" w:hanging="360"/>
      </w:pPr>
      <w:rPr>
        <w:rFonts w:ascii="Courier New" w:hAnsi="Courier New" w:cs="Courier New" w:hint="default"/>
      </w:rPr>
    </w:lvl>
    <w:lvl w:ilvl="8" w:tplc="14090005" w:tentative="1">
      <w:start w:val="1"/>
      <w:numFmt w:val="bullet"/>
      <w:lvlText w:val=""/>
      <w:lvlJc w:val="left"/>
      <w:pPr>
        <w:ind w:left="8467" w:hanging="360"/>
      </w:pPr>
      <w:rPr>
        <w:rFonts w:ascii="Wingdings" w:hAnsi="Wingdings" w:hint="default"/>
      </w:rPr>
    </w:lvl>
  </w:abstractNum>
  <w:abstractNum w:abstractNumId="35">
    <w:nsid w:val="21DD5B3A"/>
    <w:multiLevelType w:val="hybridMultilevel"/>
    <w:tmpl w:val="373A31B0"/>
    <w:lvl w:ilvl="0" w:tplc="8110CFC2">
      <w:start w:val="1"/>
      <w:numFmt w:val="bullet"/>
      <w:lvlText w:val="•"/>
      <w:lvlJc w:val="left"/>
      <w:pPr>
        <w:tabs>
          <w:tab w:val="num" w:pos="720"/>
        </w:tabs>
        <w:ind w:left="720" w:hanging="360"/>
      </w:pPr>
      <w:rPr>
        <w:rFonts w:ascii="Arial" w:hAnsi="Arial" w:hint="default"/>
      </w:rPr>
    </w:lvl>
    <w:lvl w:ilvl="1" w:tplc="D480E14E">
      <w:start w:val="24"/>
      <w:numFmt w:val="bullet"/>
      <w:lvlText w:val="•"/>
      <w:lvlJc w:val="left"/>
      <w:pPr>
        <w:tabs>
          <w:tab w:val="num" w:pos="1440"/>
        </w:tabs>
        <w:ind w:left="1440" w:hanging="360"/>
      </w:pPr>
      <w:rPr>
        <w:rFonts w:ascii="Arial" w:hAnsi="Arial" w:hint="default"/>
      </w:rPr>
    </w:lvl>
    <w:lvl w:ilvl="2" w:tplc="32CE6FA8" w:tentative="1">
      <w:start w:val="1"/>
      <w:numFmt w:val="bullet"/>
      <w:lvlText w:val="•"/>
      <w:lvlJc w:val="left"/>
      <w:pPr>
        <w:tabs>
          <w:tab w:val="num" w:pos="2160"/>
        </w:tabs>
        <w:ind w:left="2160" w:hanging="360"/>
      </w:pPr>
      <w:rPr>
        <w:rFonts w:ascii="Arial" w:hAnsi="Arial" w:hint="default"/>
      </w:rPr>
    </w:lvl>
    <w:lvl w:ilvl="3" w:tplc="F1BEAC84" w:tentative="1">
      <w:start w:val="1"/>
      <w:numFmt w:val="bullet"/>
      <w:lvlText w:val="•"/>
      <w:lvlJc w:val="left"/>
      <w:pPr>
        <w:tabs>
          <w:tab w:val="num" w:pos="2880"/>
        </w:tabs>
        <w:ind w:left="2880" w:hanging="360"/>
      </w:pPr>
      <w:rPr>
        <w:rFonts w:ascii="Arial" w:hAnsi="Arial" w:hint="default"/>
      </w:rPr>
    </w:lvl>
    <w:lvl w:ilvl="4" w:tplc="BC6E5A38" w:tentative="1">
      <w:start w:val="1"/>
      <w:numFmt w:val="bullet"/>
      <w:lvlText w:val="•"/>
      <w:lvlJc w:val="left"/>
      <w:pPr>
        <w:tabs>
          <w:tab w:val="num" w:pos="3600"/>
        </w:tabs>
        <w:ind w:left="3600" w:hanging="360"/>
      </w:pPr>
      <w:rPr>
        <w:rFonts w:ascii="Arial" w:hAnsi="Arial" w:hint="default"/>
      </w:rPr>
    </w:lvl>
    <w:lvl w:ilvl="5" w:tplc="AB1255C4" w:tentative="1">
      <w:start w:val="1"/>
      <w:numFmt w:val="bullet"/>
      <w:lvlText w:val="•"/>
      <w:lvlJc w:val="left"/>
      <w:pPr>
        <w:tabs>
          <w:tab w:val="num" w:pos="4320"/>
        </w:tabs>
        <w:ind w:left="4320" w:hanging="360"/>
      </w:pPr>
      <w:rPr>
        <w:rFonts w:ascii="Arial" w:hAnsi="Arial" w:hint="default"/>
      </w:rPr>
    </w:lvl>
    <w:lvl w:ilvl="6" w:tplc="CAB288C0" w:tentative="1">
      <w:start w:val="1"/>
      <w:numFmt w:val="bullet"/>
      <w:lvlText w:val="•"/>
      <w:lvlJc w:val="left"/>
      <w:pPr>
        <w:tabs>
          <w:tab w:val="num" w:pos="5040"/>
        </w:tabs>
        <w:ind w:left="5040" w:hanging="360"/>
      </w:pPr>
      <w:rPr>
        <w:rFonts w:ascii="Arial" w:hAnsi="Arial" w:hint="default"/>
      </w:rPr>
    </w:lvl>
    <w:lvl w:ilvl="7" w:tplc="BAB2BB92" w:tentative="1">
      <w:start w:val="1"/>
      <w:numFmt w:val="bullet"/>
      <w:lvlText w:val="•"/>
      <w:lvlJc w:val="left"/>
      <w:pPr>
        <w:tabs>
          <w:tab w:val="num" w:pos="5760"/>
        </w:tabs>
        <w:ind w:left="5760" w:hanging="360"/>
      </w:pPr>
      <w:rPr>
        <w:rFonts w:ascii="Arial" w:hAnsi="Arial" w:hint="default"/>
      </w:rPr>
    </w:lvl>
    <w:lvl w:ilvl="8" w:tplc="47D07E5C" w:tentative="1">
      <w:start w:val="1"/>
      <w:numFmt w:val="bullet"/>
      <w:lvlText w:val="•"/>
      <w:lvlJc w:val="left"/>
      <w:pPr>
        <w:tabs>
          <w:tab w:val="num" w:pos="6480"/>
        </w:tabs>
        <w:ind w:left="6480" w:hanging="360"/>
      </w:pPr>
      <w:rPr>
        <w:rFonts w:ascii="Arial" w:hAnsi="Arial" w:hint="default"/>
      </w:rPr>
    </w:lvl>
  </w:abstractNum>
  <w:abstractNum w:abstractNumId="36">
    <w:nsid w:val="233C6692"/>
    <w:multiLevelType w:val="hybridMultilevel"/>
    <w:tmpl w:val="053E56AC"/>
    <w:lvl w:ilvl="0" w:tplc="1409000B">
      <w:start w:val="1"/>
      <w:numFmt w:val="bullet"/>
      <w:lvlText w:val=""/>
      <w:lvlJc w:val="left"/>
      <w:pPr>
        <w:ind w:left="1287" w:hanging="360"/>
      </w:pPr>
      <w:rPr>
        <w:rFonts w:ascii="Wingdings" w:hAnsi="Wingdings"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37">
    <w:nsid w:val="23C20511"/>
    <w:multiLevelType w:val="hybridMultilevel"/>
    <w:tmpl w:val="F668BE8A"/>
    <w:lvl w:ilvl="0" w:tplc="1409000B">
      <w:start w:val="1"/>
      <w:numFmt w:val="bullet"/>
      <w:lvlText w:val=""/>
      <w:lvlJc w:val="left"/>
      <w:pPr>
        <w:ind w:left="839" w:hanging="360"/>
      </w:pPr>
      <w:rPr>
        <w:rFonts w:ascii="Wingdings" w:hAnsi="Wingdings" w:hint="default"/>
      </w:rPr>
    </w:lvl>
    <w:lvl w:ilvl="1" w:tplc="14090003" w:tentative="1">
      <w:start w:val="1"/>
      <w:numFmt w:val="bullet"/>
      <w:lvlText w:val="o"/>
      <w:lvlJc w:val="left"/>
      <w:pPr>
        <w:ind w:left="1559" w:hanging="360"/>
      </w:pPr>
      <w:rPr>
        <w:rFonts w:ascii="Courier New" w:hAnsi="Courier New" w:cs="Courier New" w:hint="default"/>
      </w:rPr>
    </w:lvl>
    <w:lvl w:ilvl="2" w:tplc="14090005" w:tentative="1">
      <w:start w:val="1"/>
      <w:numFmt w:val="bullet"/>
      <w:lvlText w:val=""/>
      <w:lvlJc w:val="left"/>
      <w:pPr>
        <w:ind w:left="2279" w:hanging="360"/>
      </w:pPr>
      <w:rPr>
        <w:rFonts w:ascii="Wingdings" w:hAnsi="Wingdings" w:hint="default"/>
      </w:rPr>
    </w:lvl>
    <w:lvl w:ilvl="3" w:tplc="14090001" w:tentative="1">
      <w:start w:val="1"/>
      <w:numFmt w:val="bullet"/>
      <w:lvlText w:val=""/>
      <w:lvlJc w:val="left"/>
      <w:pPr>
        <w:ind w:left="2999" w:hanging="360"/>
      </w:pPr>
      <w:rPr>
        <w:rFonts w:ascii="Symbol" w:hAnsi="Symbol" w:hint="default"/>
      </w:rPr>
    </w:lvl>
    <w:lvl w:ilvl="4" w:tplc="14090003" w:tentative="1">
      <w:start w:val="1"/>
      <w:numFmt w:val="bullet"/>
      <w:lvlText w:val="o"/>
      <w:lvlJc w:val="left"/>
      <w:pPr>
        <w:ind w:left="3719" w:hanging="360"/>
      </w:pPr>
      <w:rPr>
        <w:rFonts w:ascii="Courier New" w:hAnsi="Courier New" w:cs="Courier New" w:hint="default"/>
      </w:rPr>
    </w:lvl>
    <w:lvl w:ilvl="5" w:tplc="14090005" w:tentative="1">
      <w:start w:val="1"/>
      <w:numFmt w:val="bullet"/>
      <w:lvlText w:val=""/>
      <w:lvlJc w:val="left"/>
      <w:pPr>
        <w:ind w:left="4439" w:hanging="360"/>
      </w:pPr>
      <w:rPr>
        <w:rFonts w:ascii="Wingdings" w:hAnsi="Wingdings" w:hint="default"/>
      </w:rPr>
    </w:lvl>
    <w:lvl w:ilvl="6" w:tplc="14090001" w:tentative="1">
      <w:start w:val="1"/>
      <w:numFmt w:val="bullet"/>
      <w:lvlText w:val=""/>
      <w:lvlJc w:val="left"/>
      <w:pPr>
        <w:ind w:left="5159" w:hanging="360"/>
      </w:pPr>
      <w:rPr>
        <w:rFonts w:ascii="Symbol" w:hAnsi="Symbol" w:hint="default"/>
      </w:rPr>
    </w:lvl>
    <w:lvl w:ilvl="7" w:tplc="14090003" w:tentative="1">
      <w:start w:val="1"/>
      <w:numFmt w:val="bullet"/>
      <w:lvlText w:val="o"/>
      <w:lvlJc w:val="left"/>
      <w:pPr>
        <w:ind w:left="5879" w:hanging="360"/>
      </w:pPr>
      <w:rPr>
        <w:rFonts w:ascii="Courier New" w:hAnsi="Courier New" w:cs="Courier New" w:hint="default"/>
      </w:rPr>
    </w:lvl>
    <w:lvl w:ilvl="8" w:tplc="14090005" w:tentative="1">
      <w:start w:val="1"/>
      <w:numFmt w:val="bullet"/>
      <w:lvlText w:val=""/>
      <w:lvlJc w:val="left"/>
      <w:pPr>
        <w:ind w:left="6599" w:hanging="360"/>
      </w:pPr>
      <w:rPr>
        <w:rFonts w:ascii="Wingdings" w:hAnsi="Wingdings" w:hint="default"/>
      </w:rPr>
    </w:lvl>
  </w:abstractNum>
  <w:abstractNum w:abstractNumId="38">
    <w:nsid w:val="246B5C52"/>
    <w:multiLevelType w:val="hybridMultilevel"/>
    <w:tmpl w:val="E4FC4C2E"/>
    <w:lvl w:ilvl="0" w:tplc="D952D584">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39">
    <w:nsid w:val="251B4768"/>
    <w:multiLevelType w:val="hybridMultilevel"/>
    <w:tmpl w:val="5AD03F32"/>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40">
    <w:nsid w:val="272F670C"/>
    <w:multiLevelType w:val="hybridMultilevel"/>
    <w:tmpl w:val="E83244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nsid w:val="28B158DA"/>
    <w:multiLevelType w:val="hybridMultilevel"/>
    <w:tmpl w:val="ED2EA4F2"/>
    <w:lvl w:ilvl="0" w:tplc="D952D584">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42">
    <w:nsid w:val="29FC66D9"/>
    <w:multiLevelType w:val="hybridMultilevel"/>
    <w:tmpl w:val="BB621DFA"/>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43">
    <w:nsid w:val="2C3237DE"/>
    <w:multiLevelType w:val="hybridMultilevel"/>
    <w:tmpl w:val="10363BAC"/>
    <w:lvl w:ilvl="0" w:tplc="C92299D4">
      <w:start w:val="1"/>
      <w:numFmt w:val="bullet"/>
      <w:lvlText w:val="•"/>
      <w:lvlJc w:val="left"/>
      <w:pPr>
        <w:tabs>
          <w:tab w:val="num" w:pos="720"/>
        </w:tabs>
        <w:ind w:left="720" w:hanging="360"/>
      </w:pPr>
      <w:rPr>
        <w:rFonts w:ascii="Arial" w:hAnsi="Arial" w:hint="default"/>
      </w:rPr>
    </w:lvl>
    <w:lvl w:ilvl="1" w:tplc="D9E4C0F6" w:tentative="1">
      <w:start w:val="1"/>
      <w:numFmt w:val="bullet"/>
      <w:lvlText w:val="•"/>
      <w:lvlJc w:val="left"/>
      <w:pPr>
        <w:tabs>
          <w:tab w:val="num" w:pos="1440"/>
        </w:tabs>
        <w:ind w:left="1440" w:hanging="360"/>
      </w:pPr>
      <w:rPr>
        <w:rFonts w:ascii="Arial" w:hAnsi="Arial" w:hint="default"/>
      </w:rPr>
    </w:lvl>
    <w:lvl w:ilvl="2" w:tplc="52ECC22E" w:tentative="1">
      <w:start w:val="1"/>
      <w:numFmt w:val="bullet"/>
      <w:lvlText w:val="•"/>
      <w:lvlJc w:val="left"/>
      <w:pPr>
        <w:tabs>
          <w:tab w:val="num" w:pos="2160"/>
        </w:tabs>
        <w:ind w:left="2160" w:hanging="360"/>
      </w:pPr>
      <w:rPr>
        <w:rFonts w:ascii="Arial" w:hAnsi="Arial" w:hint="default"/>
      </w:rPr>
    </w:lvl>
    <w:lvl w:ilvl="3" w:tplc="DF100910" w:tentative="1">
      <w:start w:val="1"/>
      <w:numFmt w:val="bullet"/>
      <w:lvlText w:val="•"/>
      <w:lvlJc w:val="left"/>
      <w:pPr>
        <w:tabs>
          <w:tab w:val="num" w:pos="2880"/>
        </w:tabs>
        <w:ind w:left="2880" w:hanging="360"/>
      </w:pPr>
      <w:rPr>
        <w:rFonts w:ascii="Arial" w:hAnsi="Arial" w:hint="default"/>
      </w:rPr>
    </w:lvl>
    <w:lvl w:ilvl="4" w:tplc="1022378E" w:tentative="1">
      <w:start w:val="1"/>
      <w:numFmt w:val="bullet"/>
      <w:lvlText w:val="•"/>
      <w:lvlJc w:val="left"/>
      <w:pPr>
        <w:tabs>
          <w:tab w:val="num" w:pos="3600"/>
        </w:tabs>
        <w:ind w:left="3600" w:hanging="360"/>
      </w:pPr>
      <w:rPr>
        <w:rFonts w:ascii="Arial" w:hAnsi="Arial" w:hint="default"/>
      </w:rPr>
    </w:lvl>
    <w:lvl w:ilvl="5" w:tplc="CF8E3016" w:tentative="1">
      <w:start w:val="1"/>
      <w:numFmt w:val="bullet"/>
      <w:lvlText w:val="•"/>
      <w:lvlJc w:val="left"/>
      <w:pPr>
        <w:tabs>
          <w:tab w:val="num" w:pos="4320"/>
        </w:tabs>
        <w:ind w:left="4320" w:hanging="360"/>
      </w:pPr>
      <w:rPr>
        <w:rFonts w:ascii="Arial" w:hAnsi="Arial" w:hint="default"/>
      </w:rPr>
    </w:lvl>
    <w:lvl w:ilvl="6" w:tplc="4AB21FFC" w:tentative="1">
      <w:start w:val="1"/>
      <w:numFmt w:val="bullet"/>
      <w:lvlText w:val="•"/>
      <w:lvlJc w:val="left"/>
      <w:pPr>
        <w:tabs>
          <w:tab w:val="num" w:pos="5040"/>
        </w:tabs>
        <w:ind w:left="5040" w:hanging="360"/>
      </w:pPr>
      <w:rPr>
        <w:rFonts w:ascii="Arial" w:hAnsi="Arial" w:hint="default"/>
      </w:rPr>
    </w:lvl>
    <w:lvl w:ilvl="7" w:tplc="66AEA978" w:tentative="1">
      <w:start w:val="1"/>
      <w:numFmt w:val="bullet"/>
      <w:lvlText w:val="•"/>
      <w:lvlJc w:val="left"/>
      <w:pPr>
        <w:tabs>
          <w:tab w:val="num" w:pos="5760"/>
        </w:tabs>
        <w:ind w:left="5760" w:hanging="360"/>
      </w:pPr>
      <w:rPr>
        <w:rFonts w:ascii="Arial" w:hAnsi="Arial" w:hint="default"/>
      </w:rPr>
    </w:lvl>
    <w:lvl w:ilvl="8" w:tplc="EFAA1620" w:tentative="1">
      <w:start w:val="1"/>
      <w:numFmt w:val="bullet"/>
      <w:lvlText w:val="•"/>
      <w:lvlJc w:val="left"/>
      <w:pPr>
        <w:tabs>
          <w:tab w:val="num" w:pos="6480"/>
        </w:tabs>
        <w:ind w:left="6480" w:hanging="360"/>
      </w:pPr>
      <w:rPr>
        <w:rFonts w:ascii="Arial" w:hAnsi="Arial" w:hint="default"/>
      </w:rPr>
    </w:lvl>
  </w:abstractNum>
  <w:abstractNum w:abstractNumId="44">
    <w:nsid w:val="2C7A7E23"/>
    <w:multiLevelType w:val="hybridMultilevel"/>
    <w:tmpl w:val="AD1444CA"/>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45">
    <w:nsid w:val="2CFE48AD"/>
    <w:multiLevelType w:val="hybridMultilevel"/>
    <w:tmpl w:val="D7DCC4D4"/>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46">
    <w:nsid w:val="2E4014D7"/>
    <w:multiLevelType w:val="hybridMultilevel"/>
    <w:tmpl w:val="5EC2A626"/>
    <w:lvl w:ilvl="0" w:tplc="1409000B">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7">
    <w:nsid w:val="2E9556E5"/>
    <w:multiLevelType w:val="hybridMultilevel"/>
    <w:tmpl w:val="D8D28058"/>
    <w:lvl w:ilvl="0" w:tplc="2AD48196">
      <w:start w:val="1"/>
      <w:numFmt w:val="bullet"/>
      <w:pStyle w:val="Bullet2"/>
      <w:lvlText w:val="–"/>
      <w:lvlJc w:val="left"/>
      <w:pPr>
        <w:tabs>
          <w:tab w:val="num" w:pos="1134"/>
        </w:tabs>
        <w:ind w:left="1361" w:hanging="227"/>
      </w:pPr>
      <w:rPr>
        <w:rFonts w:ascii="Arial" w:hAnsi="Arial" w:cs="Aria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2EA52861"/>
    <w:multiLevelType w:val="hybridMultilevel"/>
    <w:tmpl w:val="C7A0EF2C"/>
    <w:name w:val="GHDOutlineTemplate"/>
    <w:lvl w:ilvl="0" w:tplc="9F0CFDA8">
      <w:numFmt w:val="bullet"/>
      <w:lvlText w:val="-"/>
      <w:lvlJc w:val="left"/>
      <w:pPr>
        <w:tabs>
          <w:tab w:val="num" w:pos="720"/>
        </w:tabs>
        <w:ind w:left="720" w:hanging="360"/>
      </w:pPr>
      <w:rPr>
        <w:rFonts w:ascii="Arial" w:eastAsia="Times New Roman" w:hAnsi="Arial" w:cs="Arial" w:hint="default"/>
      </w:rPr>
    </w:lvl>
    <w:lvl w:ilvl="1" w:tplc="A658F720" w:tentative="1">
      <w:start w:val="1"/>
      <w:numFmt w:val="bullet"/>
      <w:lvlText w:val="o"/>
      <w:lvlJc w:val="left"/>
      <w:pPr>
        <w:tabs>
          <w:tab w:val="num" w:pos="1440"/>
        </w:tabs>
        <w:ind w:left="1440" w:hanging="360"/>
      </w:pPr>
      <w:rPr>
        <w:rFonts w:ascii="Courier New" w:hAnsi="Courier New" w:cs="Courier New" w:hint="default"/>
      </w:rPr>
    </w:lvl>
    <w:lvl w:ilvl="2" w:tplc="329E4680" w:tentative="1">
      <w:start w:val="1"/>
      <w:numFmt w:val="bullet"/>
      <w:lvlText w:val=""/>
      <w:lvlJc w:val="left"/>
      <w:pPr>
        <w:tabs>
          <w:tab w:val="num" w:pos="2160"/>
        </w:tabs>
        <w:ind w:left="2160" w:hanging="360"/>
      </w:pPr>
      <w:rPr>
        <w:rFonts w:ascii="Wingdings" w:hAnsi="Wingdings" w:hint="default"/>
      </w:rPr>
    </w:lvl>
    <w:lvl w:ilvl="3" w:tplc="074070A4" w:tentative="1">
      <w:start w:val="1"/>
      <w:numFmt w:val="bullet"/>
      <w:lvlText w:val=""/>
      <w:lvlJc w:val="left"/>
      <w:pPr>
        <w:tabs>
          <w:tab w:val="num" w:pos="2880"/>
        </w:tabs>
        <w:ind w:left="2880" w:hanging="360"/>
      </w:pPr>
      <w:rPr>
        <w:rFonts w:ascii="Symbol" w:hAnsi="Symbol" w:hint="default"/>
      </w:rPr>
    </w:lvl>
    <w:lvl w:ilvl="4" w:tplc="C33EBE4E" w:tentative="1">
      <w:start w:val="1"/>
      <w:numFmt w:val="bullet"/>
      <w:lvlText w:val="o"/>
      <w:lvlJc w:val="left"/>
      <w:pPr>
        <w:tabs>
          <w:tab w:val="num" w:pos="3600"/>
        </w:tabs>
        <w:ind w:left="3600" w:hanging="360"/>
      </w:pPr>
      <w:rPr>
        <w:rFonts w:ascii="Courier New" w:hAnsi="Courier New" w:cs="Courier New" w:hint="default"/>
      </w:rPr>
    </w:lvl>
    <w:lvl w:ilvl="5" w:tplc="5C2434B6" w:tentative="1">
      <w:start w:val="1"/>
      <w:numFmt w:val="bullet"/>
      <w:lvlText w:val=""/>
      <w:lvlJc w:val="left"/>
      <w:pPr>
        <w:tabs>
          <w:tab w:val="num" w:pos="4320"/>
        </w:tabs>
        <w:ind w:left="4320" w:hanging="360"/>
      </w:pPr>
      <w:rPr>
        <w:rFonts w:ascii="Wingdings" w:hAnsi="Wingdings" w:hint="default"/>
      </w:rPr>
    </w:lvl>
    <w:lvl w:ilvl="6" w:tplc="BAEEE372" w:tentative="1">
      <w:start w:val="1"/>
      <w:numFmt w:val="bullet"/>
      <w:lvlText w:val=""/>
      <w:lvlJc w:val="left"/>
      <w:pPr>
        <w:tabs>
          <w:tab w:val="num" w:pos="5040"/>
        </w:tabs>
        <w:ind w:left="5040" w:hanging="360"/>
      </w:pPr>
      <w:rPr>
        <w:rFonts w:ascii="Symbol" w:hAnsi="Symbol" w:hint="default"/>
      </w:rPr>
    </w:lvl>
    <w:lvl w:ilvl="7" w:tplc="1C08B6FA" w:tentative="1">
      <w:start w:val="1"/>
      <w:numFmt w:val="bullet"/>
      <w:lvlText w:val="o"/>
      <w:lvlJc w:val="left"/>
      <w:pPr>
        <w:tabs>
          <w:tab w:val="num" w:pos="5760"/>
        </w:tabs>
        <w:ind w:left="5760" w:hanging="360"/>
      </w:pPr>
      <w:rPr>
        <w:rFonts w:ascii="Courier New" w:hAnsi="Courier New" w:cs="Courier New" w:hint="default"/>
      </w:rPr>
    </w:lvl>
    <w:lvl w:ilvl="8" w:tplc="05F25718" w:tentative="1">
      <w:start w:val="1"/>
      <w:numFmt w:val="bullet"/>
      <w:lvlText w:val=""/>
      <w:lvlJc w:val="left"/>
      <w:pPr>
        <w:tabs>
          <w:tab w:val="num" w:pos="6480"/>
        </w:tabs>
        <w:ind w:left="6480" w:hanging="360"/>
      </w:pPr>
      <w:rPr>
        <w:rFonts w:ascii="Wingdings" w:hAnsi="Wingdings" w:hint="default"/>
      </w:rPr>
    </w:lvl>
  </w:abstractNum>
  <w:abstractNum w:abstractNumId="49">
    <w:nsid w:val="2FB31776"/>
    <w:multiLevelType w:val="hybridMultilevel"/>
    <w:tmpl w:val="7C7062BA"/>
    <w:lvl w:ilvl="0" w:tplc="D952D584">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50">
    <w:nsid w:val="2FB900FA"/>
    <w:multiLevelType w:val="hybridMultilevel"/>
    <w:tmpl w:val="32A66C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nsid w:val="30EB5786"/>
    <w:multiLevelType w:val="multilevel"/>
    <w:tmpl w:val="CD1C6090"/>
    <w:lvl w:ilvl="0">
      <w:start w:val="1"/>
      <w:numFmt w:val="decimal"/>
      <w:lvlText w:val="%1.0"/>
      <w:lvlJc w:val="left"/>
      <w:pPr>
        <w:ind w:left="927"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2727" w:hanging="720"/>
      </w:pPr>
      <w:rPr>
        <w:rFonts w:hint="default"/>
      </w:rPr>
    </w:lvl>
    <w:lvl w:ilvl="3">
      <w:start w:val="1"/>
      <w:numFmt w:val="decimal"/>
      <w:lvlText w:val="%1.%2.%3.%4"/>
      <w:lvlJc w:val="left"/>
      <w:pPr>
        <w:ind w:left="3447" w:hanging="720"/>
      </w:pPr>
      <w:rPr>
        <w:rFonts w:hint="default"/>
      </w:rPr>
    </w:lvl>
    <w:lvl w:ilvl="4">
      <w:start w:val="1"/>
      <w:numFmt w:val="decimal"/>
      <w:lvlText w:val="%1.%2.%3.%4.%5"/>
      <w:lvlJc w:val="left"/>
      <w:pPr>
        <w:ind w:left="4527" w:hanging="1080"/>
      </w:pPr>
      <w:rPr>
        <w:rFonts w:hint="default"/>
      </w:rPr>
    </w:lvl>
    <w:lvl w:ilvl="5">
      <w:start w:val="1"/>
      <w:numFmt w:val="decimal"/>
      <w:lvlText w:val="%1.%2.%3.%4.%5.%6"/>
      <w:lvlJc w:val="left"/>
      <w:pPr>
        <w:ind w:left="5247" w:hanging="1080"/>
      </w:pPr>
      <w:rPr>
        <w:rFonts w:hint="default"/>
      </w:rPr>
    </w:lvl>
    <w:lvl w:ilvl="6">
      <w:start w:val="1"/>
      <w:numFmt w:val="decimal"/>
      <w:lvlText w:val="%1.%2.%3.%4.%5.%6.%7"/>
      <w:lvlJc w:val="left"/>
      <w:pPr>
        <w:ind w:left="6327" w:hanging="1440"/>
      </w:pPr>
      <w:rPr>
        <w:rFonts w:hint="default"/>
      </w:rPr>
    </w:lvl>
    <w:lvl w:ilvl="7">
      <w:start w:val="1"/>
      <w:numFmt w:val="decimal"/>
      <w:lvlText w:val="%1.%2.%3.%4.%5.%6.%7.%8"/>
      <w:lvlJc w:val="left"/>
      <w:pPr>
        <w:ind w:left="7047" w:hanging="1440"/>
      </w:pPr>
      <w:rPr>
        <w:rFonts w:hint="default"/>
      </w:rPr>
    </w:lvl>
    <w:lvl w:ilvl="8">
      <w:start w:val="1"/>
      <w:numFmt w:val="decimal"/>
      <w:lvlText w:val="%1.%2.%3.%4.%5.%6.%7.%8.%9"/>
      <w:lvlJc w:val="left"/>
      <w:pPr>
        <w:ind w:left="8127" w:hanging="1800"/>
      </w:pPr>
      <w:rPr>
        <w:rFonts w:hint="default"/>
      </w:rPr>
    </w:lvl>
  </w:abstractNum>
  <w:abstractNum w:abstractNumId="52">
    <w:nsid w:val="313D2A1C"/>
    <w:multiLevelType w:val="hybridMultilevel"/>
    <w:tmpl w:val="73ECAB24"/>
    <w:lvl w:ilvl="0" w:tplc="1409000F">
      <w:start w:val="1"/>
      <w:numFmt w:val="decimal"/>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53">
    <w:nsid w:val="33242AC4"/>
    <w:multiLevelType w:val="hybridMultilevel"/>
    <w:tmpl w:val="BD5E500A"/>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54">
    <w:nsid w:val="3334102F"/>
    <w:multiLevelType w:val="hybridMultilevel"/>
    <w:tmpl w:val="33B62F5E"/>
    <w:lvl w:ilvl="0" w:tplc="14090001">
      <w:start w:val="1"/>
      <w:numFmt w:val="bullet"/>
      <w:lvlText w:val=""/>
      <w:lvlJc w:val="left"/>
      <w:pPr>
        <w:ind w:left="1647" w:hanging="360"/>
      </w:pPr>
      <w:rPr>
        <w:rFonts w:ascii="Symbol" w:hAnsi="Symbol" w:hint="default"/>
      </w:rPr>
    </w:lvl>
    <w:lvl w:ilvl="1" w:tplc="14090003" w:tentative="1">
      <w:start w:val="1"/>
      <w:numFmt w:val="bullet"/>
      <w:lvlText w:val="o"/>
      <w:lvlJc w:val="left"/>
      <w:pPr>
        <w:ind w:left="2367" w:hanging="360"/>
      </w:pPr>
      <w:rPr>
        <w:rFonts w:ascii="Courier New" w:hAnsi="Courier New" w:cs="Courier New" w:hint="default"/>
      </w:rPr>
    </w:lvl>
    <w:lvl w:ilvl="2" w:tplc="14090005" w:tentative="1">
      <w:start w:val="1"/>
      <w:numFmt w:val="bullet"/>
      <w:lvlText w:val=""/>
      <w:lvlJc w:val="left"/>
      <w:pPr>
        <w:ind w:left="3087" w:hanging="360"/>
      </w:pPr>
      <w:rPr>
        <w:rFonts w:ascii="Wingdings" w:hAnsi="Wingdings" w:hint="default"/>
      </w:rPr>
    </w:lvl>
    <w:lvl w:ilvl="3" w:tplc="14090001" w:tentative="1">
      <w:start w:val="1"/>
      <w:numFmt w:val="bullet"/>
      <w:lvlText w:val=""/>
      <w:lvlJc w:val="left"/>
      <w:pPr>
        <w:ind w:left="3807" w:hanging="360"/>
      </w:pPr>
      <w:rPr>
        <w:rFonts w:ascii="Symbol" w:hAnsi="Symbol" w:hint="default"/>
      </w:rPr>
    </w:lvl>
    <w:lvl w:ilvl="4" w:tplc="14090003" w:tentative="1">
      <w:start w:val="1"/>
      <w:numFmt w:val="bullet"/>
      <w:lvlText w:val="o"/>
      <w:lvlJc w:val="left"/>
      <w:pPr>
        <w:ind w:left="4527" w:hanging="360"/>
      </w:pPr>
      <w:rPr>
        <w:rFonts w:ascii="Courier New" w:hAnsi="Courier New" w:cs="Courier New" w:hint="default"/>
      </w:rPr>
    </w:lvl>
    <w:lvl w:ilvl="5" w:tplc="14090005" w:tentative="1">
      <w:start w:val="1"/>
      <w:numFmt w:val="bullet"/>
      <w:lvlText w:val=""/>
      <w:lvlJc w:val="left"/>
      <w:pPr>
        <w:ind w:left="5247" w:hanging="360"/>
      </w:pPr>
      <w:rPr>
        <w:rFonts w:ascii="Wingdings" w:hAnsi="Wingdings" w:hint="default"/>
      </w:rPr>
    </w:lvl>
    <w:lvl w:ilvl="6" w:tplc="14090001" w:tentative="1">
      <w:start w:val="1"/>
      <w:numFmt w:val="bullet"/>
      <w:lvlText w:val=""/>
      <w:lvlJc w:val="left"/>
      <w:pPr>
        <w:ind w:left="5967" w:hanging="360"/>
      </w:pPr>
      <w:rPr>
        <w:rFonts w:ascii="Symbol" w:hAnsi="Symbol" w:hint="default"/>
      </w:rPr>
    </w:lvl>
    <w:lvl w:ilvl="7" w:tplc="14090003" w:tentative="1">
      <w:start w:val="1"/>
      <w:numFmt w:val="bullet"/>
      <w:lvlText w:val="o"/>
      <w:lvlJc w:val="left"/>
      <w:pPr>
        <w:ind w:left="6687" w:hanging="360"/>
      </w:pPr>
      <w:rPr>
        <w:rFonts w:ascii="Courier New" w:hAnsi="Courier New" w:cs="Courier New" w:hint="default"/>
      </w:rPr>
    </w:lvl>
    <w:lvl w:ilvl="8" w:tplc="14090005" w:tentative="1">
      <w:start w:val="1"/>
      <w:numFmt w:val="bullet"/>
      <w:lvlText w:val=""/>
      <w:lvlJc w:val="left"/>
      <w:pPr>
        <w:ind w:left="7407" w:hanging="360"/>
      </w:pPr>
      <w:rPr>
        <w:rFonts w:ascii="Wingdings" w:hAnsi="Wingdings" w:hint="default"/>
      </w:rPr>
    </w:lvl>
  </w:abstractNum>
  <w:abstractNum w:abstractNumId="55">
    <w:nsid w:val="357050FE"/>
    <w:multiLevelType w:val="multilevel"/>
    <w:tmpl w:val="0464C458"/>
    <w:name w:val="GHDOutlineTemplate1"/>
    <w:lvl w:ilvl="0">
      <w:start w:val="1"/>
      <w:numFmt w:val="decimal"/>
      <w:pStyle w:val="Heading1"/>
      <w:lvlText w:val="%1."/>
      <w:lvlJc w:val="left"/>
      <w:pPr>
        <w:tabs>
          <w:tab w:val="num" w:pos="567"/>
        </w:tabs>
        <w:ind w:left="567" w:hanging="1134"/>
      </w:pPr>
      <w:rPr>
        <w:b w:val="0"/>
      </w:rPr>
    </w:lvl>
    <w:lvl w:ilvl="1">
      <w:start w:val="1"/>
      <w:numFmt w:val="decimal"/>
      <w:pStyle w:val="Heading2"/>
      <w:lvlText w:val="%1.%2"/>
      <w:lvlJc w:val="left"/>
      <w:pPr>
        <w:tabs>
          <w:tab w:val="num" w:pos="1417"/>
        </w:tabs>
        <w:ind w:left="1417" w:hanging="850"/>
      </w:pPr>
      <w:rPr>
        <w:b w:val="0"/>
      </w:rPr>
    </w:lvl>
    <w:lvl w:ilvl="2">
      <w:start w:val="1"/>
      <w:numFmt w:val="decimal"/>
      <w:pStyle w:val="Heading3"/>
      <w:lvlText w:val="%1.%2.%3"/>
      <w:lvlJc w:val="left"/>
      <w:pPr>
        <w:tabs>
          <w:tab w:val="num" w:pos="1417"/>
        </w:tabs>
        <w:ind w:left="1417" w:hanging="850"/>
      </w:pPr>
      <w:rPr>
        <w:b/>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nsid w:val="35BE0884"/>
    <w:multiLevelType w:val="multilevel"/>
    <w:tmpl w:val="48D225A2"/>
    <w:numStyleLink w:val="Style1"/>
  </w:abstractNum>
  <w:abstractNum w:abstractNumId="57">
    <w:nsid w:val="36C618EE"/>
    <w:multiLevelType w:val="multilevel"/>
    <w:tmpl w:val="D42068DE"/>
    <w:lvl w:ilvl="0">
      <w:start w:val="1"/>
      <w:numFmt w:val="upperLetter"/>
      <w:lvlText w:val="%1."/>
      <w:lvlJc w:val="left"/>
      <w:pPr>
        <w:ind w:left="288" w:hanging="288"/>
      </w:pPr>
      <w:rPr>
        <w:rFonts w:ascii="Arial Black" w:hAnsi="Arial Black" w:cs="Arial" w:hint="default"/>
        <w:b w:val="0"/>
        <w:i w:val="0"/>
        <w:color w:val="auto"/>
        <w:sz w:val="40"/>
      </w:rPr>
    </w:lvl>
    <w:lvl w:ilvl="1">
      <w:start w:val="1"/>
      <w:numFmt w:val="decimal"/>
      <w:lvlText w:val="%1.%2."/>
      <w:lvlJc w:val="left"/>
      <w:pPr>
        <w:tabs>
          <w:tab w:val="num" w:pos="0"/>
        </w:tabs>
        <w:ind w:left="288" w:hanging="288"/>
      </w:pPr>
      <w:rPr>
        <w:rFonts w:hint="default"/>
        <w:b/>
      </w:rPr>
    </w:lvl>
    <w:lvl w:ilvl="2">
      <w:start w:val="1"/>
      <w:numFmt w:val="decimal"/>
      <w:lvlText w:val="%1.%2.%3."/>
      <w:lvlJc w:val="left"/>
      <w:pPr>
        <w:tabs>
          <w:tab w:val="num" w:pos="0"/>
        </w:tabs>
        <w:ind w:left="288" w:hanging="288"/>
      </w:pPr>
      <w:rPr>
        <w:rFonts w:hint="default"/>
        <w:b/>
        <w:i w:val="0"/>
      </w:rPr>
    </w:lvl>
    <w:lvl w:ilvl="3">
      <w:start w:val="1"/>
      <w:numFmt w:val="none"/>
      <w:lvlText w:val=""/>
      <w:lvlJc w:val="left"/>
      <w:pPr>
        <w:tabs>
          <w:tab w:val="num" w:pos="0"/>
        </w:tabs>
        <w:ind w:left="288" w:hanging="288"/>
      </w:pPr>
      <w:rPr>
        <w:rFonts w:hint="default"/>
        <w:b/>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8">
    <w:nsid w:val="3FA01748"/>
    <w:multiLevelType w:val="hybridMultilevel"/>
    <w:tmpl w:val="9864C83A"/>
    <w:lvl w:ilvl="0" w:tplc="1409000F">
      <w:start w:val="1"/>
      <w:numFmt w:val="decimal"/>
      <w:lvlText w:val="%1."/>
      <w:lvlJc w:val="left"/>
      <w:pPr>
        <w:ind w:left="1287" w:hanging="360"/>
      </w:pPr>
      <w:rPr>
        <w:rFonts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59">
    <w:nsid w:val="41D4225C"/>
    <w:multiLevelType w:val="multilevel"/>
    <w:tmpl w:val="902EE0A0"/>
    <w:name w:val="myAppendixTemplate"/>
    <w:lvl w:ilvl="0">
      <w:start w:val="1"/>
      <w:numFmt w:val="bullet"/>
      <w:lvlText w:val=""/>
      <w:lvlJc w:val="left"/>
      <w:pPr>
        <w:tabs>
          <w:tab w:val="num" w:pos="359"/>
        </w:tabs>
        <w:ind w:left="359" w:hanging="360"/>
      </w:pPr>
      <w:rPr>
        <w:rFonts w:ascii="Symbol" w:hAnsi="Symbol" w:hint="default"/>
      </w:rPr>
    </w:lvl>
    <w:lvl w:ilvl="1">
      <w:start w:val="1"/>
      <w:numFmt w:val="bullet"/>
      <w:lvlRestart w:val="0"/>
      <w:lvlText w:val=""/>
      <w:lvlJc w:val="left"/>
      <w:pPr>
        <w:tabs>
          <w:tab w:val="num" w:pos="791"/>
        </w:tabs>
        <w:ind w:left="791" w:hanging="360"/>
      </w:pPr>
      <w:rPr>
        <w:rFonts w:ascii="Symbol" w:hAnsi="Symbol" w:hint="default"/>
      </w:rPr>
    </w:lvl>
    <w:lvl w:ilvl="2">
      <w:start w:val="1"/>
      <w:numFmt w:val="decimal"/>
      <w:suff w:val="space"/>
      <w:lvlText w:val="%2"/>
      <w:lvlJc w:val="left"/>
      <w:pPr>
        <w:ind w:left="1079" w:hanging="360"/>
      </w:pPr>
      <w:rPr>
        <w:rFonts w:hint="default"/>
        <w:b w:val="0"/>
      </w:rPr>
    </w:lvl>
    <w:lvl w:ilvl="3">
      <w:start w:val="1"/>
      <w:numFmt w:val="decimal"/>
      <w:suff w:val="space"/>
      <w:lvlText w:val="%2"/>
      <w:lvlJc w:val="left"/>
      <w:pPr>
        <w:ind w:left="1511" w:hanging="504"/>
      </w:pPr>
      <w:rPr>
        <w:rFonts w:hint="default"/>
        <w:b w:val="0"/>
      </w:rPr>
    </w:lvl>
    <w:lvl w:ilvl="4">
      <w:start w:val="1"/>
      <w:numFmt w:val="decimal"/>
      <w:suff w:val="space"/>
      <w:lvlText w:val="%2"/>
      <w:lvlJc w:val="left"/>
      <w:pPr>
        <w:ind w:left="1943" w:hanging="648"/>
      </w:pPr>
      <w:rPr>
        <w:rFonts w:hint="default"/>
        <w:b w:val="0"/>
      </w:rPr>
    </w:lvl>
    <w:lvl w:ilvl="5">
      <w:start w:val="1"/>
      <w:numFmt w:val="decimal"/>
      <w:suff w:val="space"/>
      <w:lvlText w:val="%2"/>
      <w:lvlJc w:val="left"/>
      <w:pPr>
        <w:ind w:left="2375" w:hanging="792"/>
      </w:pPr>
      <w:rPr>
        <w:rFonts w:hint="default"/>
        <w:b w:val="0"/>
      </w:rPr>
    </w:lvl>
    <w:lvl w:ilvl="6">
      <w:start w:val="1"/>
      <w:numFmt w:val="none"/>
      <w:lvlText w:val=""/>
      <w:lvlJc w:val="left"/>
      <w:pPr>
        <w:tabs>
          <w:tab w:val="num" w:pos="5039"/>
        </w:tabs>
        <w:ind w:left="5039" w:hanging="360"/>
      </w:pPr>
      <w:rPr>
        <w:rFonts w:hint="default"/>
      </w:rPr>
    </w:lvl>
    <w:lvl w:ilvl="7">
      <w:start w:val="1"/>
      <w:numFmt w:val="none"/>
      <w:lvlText w:val=""/>
      <w:lvlJc w:val="left"/>
      <w:pPr>
        <w:tabs>
          <w:tab w:val="num" w:pos="5759"/>
        </w:tabs>
        <w:ind w:left="5759" w:hanging="360"/>
      </w:pPr>
      <w:rPr>
        <w:rFonts w:hint="default"/>
      </w:rPr>
    </w:lvl>
    <w:lvl w:ilvl="8">
      <w:start w:val="1"/>
      <w:numFmt w:val="none"/>
      <w:lvlText w:val=""/>
      <w:lvlJc w:val="right"/>
      <w:pPr>
        <w:tabs>
          <w:tab w:val="num" w:pos="6479"/>
        </w:tabs>
        <w:ind w:left="6479" w:hanging="180"/>
      </w:pPr>
      <w:rPr>
        <w:rFonts w:hint="default"/>
      </w:rPr>
    </w:lvl>
  </w:abstractNum>
  <w:abstractNum w:abstractNumId="60">
    <w:nsid w:val="43A73124"/>
    <w:multiLevelType w:val="hybridMultilevel"/>
    <w:tmpl w:val="E65CF6F6"/>
    <w:lvl w:ilvl="0" w:tplc="14090001">
      <w:start w:val="1"/>
      <w:numFmt w:val="bullet"/>
      <w:lvlText w:val=""/>
      <w:lvlJc w:val="left"/>
      <w:pPr>
        <w:ind w:left="839" w:hanging="360"/>
      </w:pPr>
      <w:rPr>
        <w:rFonts w:ascii="Symbol" w:hAnsi="Symbol" w:hint="default"/>
      </w:rPr>
    </w:lvl>
    <w:lvl w:ilvl="1" w:tplc="14090003" w:tentative="1">
      <w:start w:val="1"/>
      <w:numFmt w:val="bullet"/>
      <w:lvlText w:val="o"/>
      <w:lvlJc w:val="left"/>
      <w:pPr>
        <w:ind w:left="1559" w:hanging="360"/>
      </w:pPr>
      <w:rPr>
        <w:rFonts w:ascii="Courier New" w:hAnsi="Courier New" w:cs="Courier New" w:hint="default"/>
      </w:rPr>
    </w:lvl>
    <w:lvl w:ilvl="2" w:tplc="14090005" w:tentative="1">
      <w:start w:val="1"/>
      <w:numFmt w:val="bullet"/>
      <w:lvlText w:val=""/>
      <w:lvlJc w:val="left"/>
      <w:pPr>
        <w:ind w:left="2279" w:hanging="360"/>
      </w:pPr>
      <w:rPr>
        <w:rFonts w:ascii="Wingdings" w:hAnsi="Wingdings" w:hint="default"/>
      </w:rPr>
    </w:lvl>
    <w:lvl w:ilvl="3" w:tplc="14090001" w:tentative="1">
      <w:start w:val="1"/>
      <w:numFmt w:val="bullet"/>
      <w:lvlText w:val=""/>
      <w:lvlJc w:val="left"/>
      <w:pPr>
        <w:ind w:left="2999" w:hanging="360"/>
      </w:pPr>
      <w:rPr>
        <w:rFonts w:ascii="Symbol" w:hAnsi="Symbol" w:hint="default"/>
      </w:rPr>
    </w:lvl>
    <w:lvl w:ilvl="4" w:tplc="14090003" w:tentative="1">
      <w:start w:val="1"/>
      <w:numFmt w:val="bullet"/>
      <w:lvlText w:val="o"/>
      <w:lvlJc w:val="left"/>
      <w:pPr>
        <w:ind w:left="3719" w:hanging="360"/>
      </w:pPr>
      <w:rPr>
        <w:rFonts w:ascii="Courier New" w:hAnsi="Courier New" w:cs="Courier New" w:hint="default"/>
      </w:rPr>
    </w:lvl>
    <w:lvl w:ilvl="5" w:tplc="14090005" w:tentative="1">
      <w:start w:val="1"/>
      <w:numFmt w:val="bullet"/>
      <w:lvlText w:val=""/>
      <w:lvlJc w:val="left"/>
      <w:pPr>
        <w:ind w:left="4439" w:hanging="360"/>
      </w:pPr>
      <w:rPr>
        <w:rFonts w:ascii="Wingdings" w:hAnsi="Wingdings" w:hint="default"/>
      </w:rPr>
    </w:lvl>
    <w:lvl w:ilvl="6" w:tplc="14090001" w:tentative="1">
      <w:start w:val="1"/>
      <w:numFmt w:val="bullet"/>
      <w:lvlText w:val=""/>
      <w:lvlJc w:val="left"/>
      <w:pPr>
        <w:ind w:left="5159" w:hanging="360"/>
      </w:pPr>
      <w:rPr>
        <w:rFonts w:ascii="Symbol" w:hAnsi="Symbol" w:hint="default"/>
      </w:rPr>
    </w:lvl>
    <w:lvl w:ilvl="7" w:tplc="14090003" w:tentative="1">
      <w:start w:val="1"/>
      <w:numFmt w:val="bullet"/>
      <w:lvlText w:val="o"/>
      <w:lvlJc w:val="left"/>
      <w:pPr>
        <w:ind w:left="5879" w:hanging="360"/>
      </w:pPr>
      <w:rPr>
        <w:rFonts w:ascii="Courier New" w:hAnsi="Courier New" w:cs="Courier New" w:hint="default"/>
      </w:rPr>
    </w:lvl>
    <w:lvl w:ilvl="8" w:tplc="14090005" w:tentative="1">
      <w:start w:val="1"/>
      <w:numFmt w:val="bullet"/>
      <w:lvlText w:val=""/>
      <w:lvlJc w:val="left"/>
      <w:pPr>
        <w:ind w:left="6599" w:hanging="360"/>
      </w:pPr>
      <w:rPr>
        <w:rFonts w:ascii="Wingdings" w:hAnsi="Wingdings" w:hint="default"/>
      </w:rPr>
    </w:lvl>
  </w:abstractNum>
  <w:abstractNum w:abstractNumId="61">
    <w:nsid w:val="452905A1"/>
    <w:multiLevelType w:val="hybridMultilevel"/>
    <w:tmpl w:val="B9B4BBA4"/>
    <w:lvl w:ilvl="0" w:tplc="963CFFFA">
      <w:start w:val="1"/>
      <w:numFmt w:val="bullet"/>
      <w:lvlText w:val="—"/>
      <w:lvlJc w:val="left"/>
      <w:pPr>
        <w:tabs>
          <w:tab w:val="num" w:pos="1380"/>
        </w:tabs>
        <w:ind w:left="1380" w:hanging="360"/>
      </w:pPr>
      <w:rPr>
        <w:rFonts w:ascii="Wingdings 2" w:hAnsi="Wingdings 2" w:hint="default"/>
        <w:sz w:val="16"/>
      </w:rPr>
    </w:lvl>
    <w:lvl w:ilvl="1" w:tplc="04090003" w:tentative="1">
      <w:start w:val="1"/>
      <w:numFmt w:val="bullet"/>
      <w:lvlText w:val="o"/>
      <w:lvlJc w:val="left"/>
      <w:pPr>
        <w:tabs>
          <w:tab w:val="num" w:pos="2460"/>
        </w:tabs>
        <w:ind w:left="2460" w:hanging="360"/>
      </w:pPr>
      <w:rPr>
        <w:rFonts w:ascii="Courier New" w:hAnsi="Courier New" w:hint="default"/>
      </w:rPr>
    </w:lvl>
    <w:lvl w:ilvl="2" w:tplc="04090005" w:tentative="1">
      <w:start w:val="1"/>
      <w:numFmt w:val="bullet"/>
      <w:lvlText w:val=""/>
      <w:lvlJc w:val="left"/>
      <w:pPr>
        <w:tabs>
          <w:tab w:val="num" w:pos="3180"/>
        </w:tabs>
        <w:ind w:left="3180" w:hanging="360"/>
      </w:pPr>
      <w:rPr>
        <w:rFonts w:ascii="Wingdings" w:hAnsi="Wingdings" w:hint="default"/>
      </w:rPr>
    </w:lvl>
    <w:lvl w:ilvl="3" w:tplc="04090001" w:tentative="1">
      <w:start w:val="1"/>
      <w:numFmt w:val="bullet"/>
      <w:lvlText w:val=""/>
      <w:lvlJc w:val="left"/>
      <w:pPr>
        <w:tabs>
          <w:tab w:val="num" w:pos="3900"/>
        </w:tabs>
        <w:ind w:left="3900" w:hanging="360"/>
      </w:pPr>
      <w:rPr>
        <w:rFonts w:ascii="Symbol" w:hAnsi="Symbol" w:hint="default"/>
      </w:rPr>
    </w:lvl>
    <w:lvl w:ilvl="4" w:tplc="04090003" w:tentative="1">
      <w:start w:val="1"/>
      <w:numFmt w:val="bullet"/>
      <w:lvlText w:val="o"/>
      <w:lvlJc w:val="left"/>
      <w:pPr>
        <w:tabs>
          <w:tab w:val="num" w:pos="4620"/>
        </w:tabs>
        <w:ind w:left="4620" w:hanging="360"/>
      </w:pPr>
      <w:rPr>
        <w:rFonts w:ascii="Courier New" w:hAnsi="Courier New" w:hint="default"/>
      </w:rPr>
    </w:lvl>
    <w:lvl w:ilvl="5" w:tplc="04090005" w:tentative="1">
      <w:start w:val="1"/>
      <w:numFmt w:val="bullet"/>
      <w:lvlText w:val=""/>
      <w:lvlJc w:val="left"/>
      <w:pPr>
        <w:tabs>
          <w:tab w:val="num" w:pos="5340"/>
        </w:tabs>
        <w:ind w:left="5340" w:hanging="360"/>
      </w:pPr>
      <w:rPr>
        <w:rFonts w:ascii="Wingdings" w:hAnsi="Wingdings" w:hint="default"/>
      </w:rPr>
    </w:lvl>
    <w:lvl w:ilvl="6" w:tplc="04090001" w:tentative="1">
      <w:start w:val="1"/>
      <w:numFmt w:val="bullet"/>
      <w:lvlText w:val=""/>
      <w:lvlJc w:val="left"/>
      <w:pPr>
        <w:tabs>
          <w:tab w:val="num" w:pos="6060"/>
        </w:tabs>
        <w:ind w:left="6060" w:hanging="360"/>
      </w:pPr>
      <w:rPr>
        <w:rFonts w:ascii="Symbol" w:hAnsi="Symbol" w:hint="default"/>
      </w:rPr>
    </w:lvl>
    <w:lvl w:ilvl="7" w:tplc="04090003" w:tentative="1">
      <w:start w:val="1"/>
      <w:numFmt w:val="bullet"/>
      <w:lvlText w:val="o"/>
      <w:lvlJc w:val="left"/>
      <w:pPr>
        <w:tabs>
          <w:tab w:val="num" w:pos="6780"/>
        </w:tabs>
        <w:ind w:left="6780" w:hanging="360"/>
      </w:pPr>
      <w:rPr>
        <w:rFonts w:ascii="Courier New" w:hAnsi="Courier New" w:hint="default"/>
      </w:rPr>
    </w:lvl>
    <w:lvl w:ilvl="8" w:tplc="04090005" w:tentative="1">
      <w:start w:val="1"/>
      <w:numFmt w:val="bullet"/>
      <w:lvlText w:val=""/>
      <w:lvlJc w:val="left"/>
      <w:pPr>
        <w:tabs>
          <w:tab w:val="num" w:pos="7500"/>
        </w:tabs>
        <w:ind w:left="7500" w:hanging="360"/>
      </w:pPr>
      <w:rPr>
        <w:rFonts w:ascii="Wingdings" w:hAnsi="Wingdings" w:hint="default"/>
      </w:rPr>
    </w:lvl>
  </w:abstractNum>
  <w:abstractNum w:abstractNumId="62">
    <w:nsid w:val="46B71A30"/>
    <w:multiLevelType w:val="hybridMultilevel"/>
    <w:tmpl w:val="B516AB7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3">
    <w:nsid w:val="47635357"/>
    <w:multiLevelType w:val="hybridMultilevel"/>
    <w:tmpl w:val="E77E8DCA"/>
    <w:lvl w:ilvl="0" w:tplc="257C4788">
      <w:start w:val="1"/>
      <w:numFmt w:val="bullet"/>
      <w:lvlText w:val="•"/>
      <w:lvlJc w:val="left"/>
      <w:pPr>
        <w:tabs>
          <w:tab w:val="num" w:pos="720"/>
        </w:tabs>
        <w:ind w:left="720" w:hanging="360"/>
      </w:pPr>
      <w:rPr>
        <w:rFonts w:ascii="Arial" w:hAnsi="Arial" w:hint="default"/>
      </w:rPr>
    </w:lvl>
    <w:lvl w:ilvl="1" w:tplc="B3DC8BE8" w:tentative="1">
      <w:start w:val="1"/>
      <w:numFmt w:val="bullet"/>
      <w:lvlText w:val="•"/>
      <w:lvlJc w:val="left"/>
      <w:pPr>
        <w:tabs>
          <w:tab w:val="num" w:pos="1440"/>
        </w:tabs>
        <w:ind w:left="1440" w:hanging="360"/>
      </w:pPr>
      <w:rPr>
        <w:rFonts w:ascii="Arial" w:hAnsi="Arial" w:hint="default"/>
      </w:rPr>
    </w:lvl>
    <w:lvl w:ilvl="2" w:tplc="CF3AA166" w:tentative="1">
      <w:start w:val="1"/>
      <w:numFmt w:val="bullet"/>
      <w:lvlText w:val="•"/>
      <w:lvlJc w:val="left"/>
      <w:pPr>
        <w:tabs>
          <w:tab w:val="num" w:pos="2160"/>
        </w:tabs>
        <w:ind w:left="2160" w:hanging="360"/>
      </w:pPr>
      <w:rPr>
        <w:rFonts w:ascii="Arial" w:hAnsi="Arial" w:hint="default"/>
      </w:rPr>
    </w:lvl>
    <w:lvl w:ilvl="3" w:tplc="6284CC64" w:tentative="1">
      <w:start w:val="1"/>
      <w:numFmt w:val="bullet"/>
      <w:lvlText w:val="•"/>
      <w:lvlJc w:val="left"/>
      <w:pPr>
        <w:tabs>
          <w:tab w:val="num" w:pos="2880"/>
        </w:tabs>
        <w:ind w:left="2880" w:hanging="360"/>
      </w:pPr>
      <w:rPr>
        <w:rFonts w:ascii="Arial" w:hAnsi="Arial" w:hint="default"/>
      </w:rPr>
    </w:lvl>
    <w:lvl w:ilvl="4" w:tplc="AA16B5E2" w:tentative="1">
      <w:start w:val="1"/>
      <w:numFmt w:val="bullet"/>
      <w:lvlText w:val="•"/>
      <w:lvlJc w:val="left"/>
      <w:pPr>
        <w:tabs>
          <w:tab w:val="num" w:pos="3600"/>
        </w:tabs>
        <w:ind w:left="3600" w:hanging="360"/>
      </w:pPr>
      <w:rPr>
        <w:rFonts w:ascii="Arial" w:hAnsi="Arial" w:hint="default"/>
      </w:rPr>
    </w:lvl>
    <w:lvl w:ilvl="5" w:tplc="2F6CA554" w:tentative="1">
      <w:start w:val="1"/>
      <w:numFmt w:val="bullet"/>
      <w:lvlText w:val="•"/>
      <w:lvlJc w:val="left"/>
      <w:pPr>
        <w:tabs>
          <w:tab w:val="num" w:pos="4320"/>
        </w:tabs>
        <w:ind w:left="4320" w:hanging="360"/>
      </w:pPr>
      <w:rPr>
        <w:rFonts w:ascii="Arial" w:hAnsi="Arial" w:hint="default"/>
      </w:rPr>
    </w:lvl>
    <w:lvl w:ilvl="6" w:tplc="0EB0DE70" w:tentative="1">
      <w:start w:val="1"/>
      <w:numFmt w:val="bullet"/>
      <w:lvlText w:val="•"/>
      <w:lvlJc w:val="left"/>
      <w:pPr>
        <w:tabs>
          <w:tab w:val="num" w:pos="5040"/>
        </w:tabs>
        <w:ind w:left="5040" w:hanging="360"/>
      </w:pPr>
      <w:rPr>
        <w:rFonts w:ascii="Arial" w:hAnsi="Arial" w:hint="default"/>
      </w:rPr>
    </w:lvl>
    <w:lvl w:ilvl="7" w:tplc="30D8399E" w:tentative="1">
      <w:start w:val="1"/>
      <w:numFmt w:val="bullet"/>
      <w:lvlText w:val="•"/>
      <w:lvlJc w:val="left"/>
      <w:pPr>
        <w:tabs>
          <w:tab w:val="num" w:pos="5760"/>
        </w:tabs>
        <w:ind w:left="5760" w:hanging="360"/>
      </w:pPr>
      <w:rPr>
        <w:rFonts w:ascii="Arial" w:hAnsi="Arial" w:hint="default"/>
      </w:rPr>
    </w:lvl>
    <w:lvl w:ilvl="8" w:tplc="ABD0C740" w:tentative="1">
      <w:start w:val="1"/>
      <w:numFmt w:val="bullet"/>
      <w:lvlText w:val="•"/>
      <w:lvlJc w:val="left"/>
      <w:pPr>
        <w:tabs>
          <w:tab w:val="num" w:pos="6480"/>
        </w:tabs>
        <w:ind w:left="6480" w:hanging="360"/>
      </w:pPr>
      <w:rPr>
        <w:rFonts w:ascii="Arial" w:hAnsi="Arial" w:hint="default"/>
      </w:rPr>
    </w:lvl>
  </w:abstractNum>
  <w:abstractNum w:abstractNumId="64">
    <w:nsid w:val="4805308F"/>
    <w:multiLevelType w:val="hybridMultilevel"/>
    <w:tmpl w:val="1828329E"/>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65">
    <w:nsid w:val="494A71F3"/>
    <w:multiLevelType w:val="hybridMultilevel"/>
    <w:tmpl w:val="8CE01006"/>
    <w:lvl w:ilvl="0" w:tplc="14090001">
      <w:start w:val="1"/>
      <w:numFmt w:val="bullet"/>
      <w:lvlText w:val=""/>
      <w:lvlJc w:val="left"/>
      <w:pPr>
        <w:ind w:left="1287" w:hanging="360"/>
      </w:pPr>
      <w:rPr>
        <w:rFonts w:ascii="Symbol" w:hAnsi="Symbol" w:hint="default"/>
      </w:rPr>
    </w:lvl>
    <w:lvl w:ilvl="1" w:tplc="01FC583C">
      <w:start w:val="7"/>
      <w:numFmt w:val="bullet"/>
      <w:lvlText w:val="•"/>
      <w:lvlJc w:val="left"/>
      <w:pPr>
        <w:ind w:left="2574" w:hanging="927"/>
      </w:pPr>
      <w:rPr>
        <w:rFonts w:ascii="Arial" w:eastAsia="Times New Roman" w:hAnsi="Arial" w:cs="Times New Roman"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66">
    <w:nsid w:val="49E10FE0"/>
    <w:multiLevelType w:val="hybridMultilevel"/>
    <w:tmpl w:val="891C5B6C"/>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67">
    <w:nsid w:val="4AA158C8"/>
    <w:multiLevelType w:val="hybridMultilevel"/>
    <w:tmpl w:val="651449C4"/>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68">
    <w:nsid w:val="4B677710"/>
    <w:multiLevelType w:val="multilevel"/>
    <w:tmpl w:val="644E80AC"/>
    <w:name w:val="GDHBulletTemplate2"/>
    <w:lvl w:ilvl="0">
      <w:start w:val="1"/>
      <w:numFmt w:val="bullet"/>
      <w:lvlText w:val=""/>
      <w:lvlJc w:val="left"/>
      <w:pPr>
        <w:tabs>
          <w:tab w:val="num" w:pos="359"/>
        </w:tabs>
        <w:ind w:left="359" w:hanging="360"/>
      </w:pPr>
      <w:rPr>
        <w:rFonts w:ascii="Symbol" w:hAnsi="Symbol" w:hint="default"/>
      </w:rPr>
    </w:lvl>
    <w:lvl w:ilvl="1">
      <w:start w:val="1"/>
      <w:numFmt w:val="bullet"/>
      <w:lvlRestart w:val="0"/>
      <w:lvlText w:val=""/>
      <w:lvlJc w:val="left"/>
      <w:pPr>
        <w:tabs>
          <w:tab w:val="num" w:pos="227"/>
        </w:tabs>
        <w:ind w:left="397" w:hanging="397"/>
      </w:pPr>
      <w:rPr>
        <w:rFonts w:ascii="Symbol" w:hAnsi="Symbol" w:hint="default"/>
      </w:rPr>
    </w:lvl>
    <w:lvl w:ilvl="2">
      <w:start w:val="1"/>
      <w:numFmt w:val="bullet"/>
      <w:suff w:val="space"/>
      <w:lvlText w:val=""/>
      <w:lvlJc w:val="left"/>
      <w:pPr>
        <w:ind w:left="794" w:hanging="75"/>
      </w:pPr>
      <w:rPr>
        <w:rFonts w:ascii="Symbol" w:hAnsi="Symbol" w:hint="default"/>
        <w:b w:val="0"/>
      </w:rPr>
    </w:lvl>
    <w:lvl w:ilvl="3">
      <w:start w:val="1"/>
      <w:numFmt w:val="none"/>
      <w:suff w:val="space"/>
      <w:lvlText w:val="%4%2"/>
      <w:lvlJc w:val="left"/>
      <w:pPr>
        <w:ind w:left="1511" w:hanging="504"/>
      </w:pPr>
      <w:rPr>
        <w:rFonts w:hint="default"/>
        <w:b w:val="0"/>
      </w:rPr>
    </w:lvl>
    <w:lvl w:ilvl="4">
      <w:start w:val="1"/>
      <w:numFmt w:val="decimal"/>
      <w:suff w:val="space"/>
      <w:lvlText w:val="%2"/>
      <w:lvlJc w:val="left"/>
      <w:pPr>
        <w:ind w:left="1943" w:hanging="648"/>
      </w:pPr>
      <w:rPr>
        <w:rFonts w:hint="default"/>
        <w:b w:val="0"/>
      </w:rPr>
    </w:lvl>
    <w:lvl w:ilvl="5">
      <w:start w:val="1"/>
      <w:numFmt w:val="decimal"/>
      <w:suff w:val="space"/>
      <w:lvlText w:val="%2"/>
      <w:lvlJc w:val="left"/>
      <w:pPr>
        <w:ind w:left="2375" w:hanging="792"/>
      </w:pPr>
      <w:rPr>
        <w:rFonts w:hint="default"/>
        <w:b w:val="0"/>
      </w:rPr>
    </w:lvl>
    <w:lvl w:ilvl="6">
      <w:start w:val="1"/>
      <w:numFmt w:val="none"/>
      <w:lvlText w:val=""/>
      <w:lvlJc w:val="left"/>
      <w:pPr>
        <w:tabs>
          <w:tab w:val="num" w:pos="5039"/>
        </w:tabs>
        <w:ind w:left="5039" w:hanging="360"/>
      </w:pPr>
      <w:rPr>
        <w:rFonts w:hint="default"/>
      </w:rPr>
    </w:lvl>
    <w:lvl w:ilvl="7">
      <w:start w:val="1"/>
      <w:numFmt w:val="none"/>
      <w:lvlText w:val=""/>
      <w:lvlJc w:val="left"/>
      <w:pPr>
        <w:tabs>
          <w:tab w:val="num" w:pos="5759"/>
        </w:tabs>
        <w:ind w:left="5759" w:hanging="360"/>
      </w:pPr>
      <w:rPr>
        <w:rFonts w:hint="default"/>
      </w:rPr>
    </w:lvl>
    <w:lvl w:ilvl="8">
      <w:start w:val="1"/>
      <w:numFmt w:val="none"/>
      <w:lvlText w:val=""/>
      <w:lvlJc w:val="right"/>
      <w:pPr>
        <w:tabs>
          <w:tab w:val="num" w:pos="6479"/>
        </w:tabs>
        <w:ind w:left="6479" w:hanging="180"/>
      </w:pPr>
      <w:rPr>
        <w:rFonts w:hint="default"/>
      </w:rPr>
    </w:lvl>
  </w:abstractNum>
  <w:abstractNum w:abstractNumId="69">
    <w:nsid w:val="4FA70B21"/>
    <w:multiLevelType w:val="multilevel"/>
    <w:tmpl w:val="3908358A"/>
    <w:lvl w:ilvl="0">
      <w:start w:val="1"/>
      <w:numFmt w:val="upperLetter"/>
      <w:lvlText w:val="%1."/>
      <w:lvlJc w:val="left"/>
      <w:pPr>
        <w:ind w:left="288" w:hanging="288"/>
      </w:pPr>
      <w:rPr>
        <w:rFonts w:ascii="Arial Black" w:hAnsi="Arial Black" w:cs="Arial" w:hint="default"/>
        <w:b w:val="0"/>
        <w:i w:val="0"/>
        <w:color w:val="auto"/>
        <w:sz w:val="40"/>
      </w:rPr>
    </w:lvl>
    <w:lvl w:ilvl="1">
      <w:start w:val="1"/>
      <w:numFmt w:val="decimal"/>
      <w:lvlText w:val="%1.%2."/>
      <w:lvlJc w:val="left"/>
      <w:pPr>
        <w:tabs>
          <w:tab w:val="num" w:pos="0"/>
        </w:tabs>
        <w:ind w:left="288" w:hanging="288"/>
      </w:pPr>
      <w:rPr>
        <w:rFonts w:hint="default"/>
        <w:b/>
      </w:rPr>
    </w:lvl>
    <w:lvl w:ilvl="2">
      <w:start w:val="1"/>
      <w:numFmt w:val="decimal"/>
      <w:lvlText w:val="%1.%2.%3."/>
      <w:lvlJc w:val="left"/>
      <w:pPr>
        <w:tabs>
          <w:tab w:val="num" w:pos="0"/>
        </w:tabs>
        <w:ind w:left="288" w:hanging="288"/>
      </w:pPr>
      <w:rPr>
        <w:rFonts w:hint="default"/>
        <w:b/>
        <w:i w:val="0"/>
      </w:rPr>
    </w:lvl>
    <w:lvl w:ilvl="3">
      <w:start w:val="1"/>
      <w:numFmt w:val="none"/>
      <w:lvlText w:val=""/>
      <w:lvlJc w:val="left"/>
      <w:pPr>
        <w:tabs>
          <w:tab w:val="num" w:pos="0"/>
        </w:tabs>
        <w:ind w:left="288" w:hanging="288"/>
      </w:pPr>
      <w:rPr>
        <w:rFonts w:hint="default"/>
        <w:b/>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0">
    <w:nsid w:val="50980DC9"/>
    <w:multiLevelType w:val="hybridMultilevel"/>
    <w:tmpl w:val="8E1C28E0"/>
    <w:lvl w:ilvl="0" w:tplc="B82863BC">
      <w:start w:val="1"/>
      <w:numFmt w:val="bullet"/>
      <w:pStyle w:val="Bullet"/>
      <w:lvlText w:val="—"/>
      <w:lvlJc w:val="left"/>
      <w:pPr>
        <w:tabs>
          <w:tab w:val="num" w:pos="1908"/>
        </w:tabs>
        <w:ind w:left="1908" w:hanging="1341"/>
      </w:pPr>
      <w:rPr>
        <w:rFonts w:ascii="Wingdings 2" w:hAnsi="Wingdings 2"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50A34BA7"/>
    <w:multiLevelType w:val="hybridMultilevel"/>
    <w:tmpl w:val="0EAAF844"/>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72">
    <w:nsid w:val="51A443D9"/>
    <w:multiLevelType w:val="multilevel"/>
    <w:tmpl w:val="D1E27A68"/>
    <w:name w:val="GDHBulletTemplate3"/>
    <w:lvl w:ilvl="0">
      <w:start w:val="1"/>
      <w:numFmt w:val="upperLetter"/>
      <w:lvlText w:val="Appendix %1"/>
      <w:lvlJc w:val="left"/>
      <w:pPr>
        <w:tabs>
          <w:tab w:val="num" w:pos="0"/>
        </w:tabs>
        <w:ind w:left="288" w:hanging="288"/>
      </w:pPr>
      <w:rPr>
        <w:rFonts w:ascii="Arial Black" w:hAnsi="Arial Black" w:hint="default"/>
        <w:b w:val="0"/>
        <w:i w:val="0"/>
        <w:color w:val="000000"/>
        <w:sz w:val="40"/>
      </w:rPr>
    </w:lvl>
    <w:lvl w:ilvl="1">
      <w:start w:val="1"/>
      <w:numFmt w:val="decimal"/>
      <w:lvlText w:val="%1.%2."/>
      <w:lvlJc w:val="left"/>
      <w:pPr>
        <w:tabs>
          <w:tab w:val="num" w:pos="0"/>
        </w:tabs>
        <w:ind w:left="288" w:hanging="288"/>
      </w:pPr>
      <w:rPr>
        <w:rFonts w:hint="default"/>
        <w:b/>
      </w:rPr>
    </w:lvl>
    <w:lvl w:ilvl="2">
      <w:start w:val="1"/>
      <w:numFmt w:val="decimal"/>
      <w:lvlText w:val="%1.%2.%3."/>
      <w:lvlJc w:val="left"/>
      <w:pPr>
        <w:tabs>
          <w:tab w:val="num" w:pos="0"/>
        </w:tabs>
        <w:ind w:left="288" w:hanging="288"/>
      </w:pPr>
      <w:rPr>
        <w:rFonts w:hint="default"/>
        <w:b/>
        <w:i w:val="0"/>
      </w:rPr>
    </w:lvl>
    <w:lvl w:ilvl="3">
      <w:start w:val="1"/>
      <w:numFmt w:val="none"/>
      <w:lvlText w:val=""/>
      <w:lvlJc w:val="left"/>
      <w:pPr>
        <w:tabs>
          <w:tab w:val="num" w:pos="0"/>
        </w:tabs>
        <w:ind w:left="288" w:hanging="288"/>
      </w:pPr>
      <w:rPr>
        <w:rFonts w:hint="default"/>
        <w:b/>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3">
    <w:nsid w:val="51F26814"/>
    <w:multiLevelType w:val="hybridMultilevel"/>
    <w:tmpl w:val="052CAC54"/>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74">
    <w:nsid w:val="52234DB5"/>
    <w:multiLevelType w:val="hybridMultilevel"/>
    <w:tmpl w:val="A1BC42A2"/>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75">
    <w:nsid w:val="54C67C6F"/>
    <w:multiLevelType w:val="hybridMultilevel"/>
    <w:tmpl w:val="EAA4416E"/>
    <w:lvl w:ilvl="0" w:tplc="D952D584">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76">
    <w:nsid w:val="55432328"/>
    <w:multiLevelType w:val="hybridMultilevel"/>
    <w:tmpl w:val="E446D424"/>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77">
    <w:nsid w:val="568A3CD4"/>
    <w:multiLevelType w:val="hybridMultilevel"/>
    <w:tmpl w:val="A7FCEF46"/>
    <w:lvl w:ilvl="0" w:tplc="14090001">
      <w:start w:val="1"/>
      <w:numFmt w:val="bullet"/>
      <w:lvlText w:val=""/>
      <w:lvlJc w:val="left"/>
      <w:pPr>
        <w:ind w:left="1287" w:hanging="360"/>
      </w:pPr>
      <w:rPr>
        <w:rFonts w:ascii="Symbol" w:hAnsi="Symbol" w:hint="default"/>
      </w:rPr>
    </w:lvl>
    <w:lvl w:ilvl="1" w:tplc="14090003">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78">
    <w:nsid w:val="57885321"/>
    <w:multiLevelType w:val="hybridMultilevel"/>
    <w:tmpl w:val="D7AC8E56"/>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79">
    <w:nsid w:val="59600156"/>
    <w:multiLevelType w:val="multilevel"/>
    <w:tmpl w:val="4E241482"/>
    <w:name w:val="GHD_AlphaList"/>
    <w:lvl w:ilvl="0">
      <w:start w:val="1"/>
      <w:numFmt w:val="decimal"/>
      <w:pStyle w:val="RestartAlphaList"/>
      <w:isLgl/>
      <w:suff w:val="nothing"/>
      <w:lvlText w:val=""/>
      <w:lvlJc w:val="left"/>
      <w:pPr>
        <w:ind w:left="0" w:firstLine="0"/>
      </w:pPr>
    </w:lvl>
    <w:lvl w:ilvl="1">
      <w:start w:val="1"/>
      <w:numFmt w:val="lowerLetter"/>
      <w:pStyle w:val="AlphaList"/>
      <w:lvlText w:val="%2."/>
      <w:lvlJc w:val="left"/>
      <w:pPr>
        <w:tabs>
          <w:tab w:val="num" w:pos="1134"/>
        </w:tabs>
        <w:ind w:left="1134" w:hanging="567"/>
      </w:pPr>
      <w:rPr>
        <w:b w:val="0"/>
      </w:rPr>
    </w:lvl>
    <w:lvl w:ilvl="2">
      <w:start w:val="1"/>
      <w:numFmt w:val="decimal"/>
      <w:pStyle w:val="NumberedLev2"/>
      <w:suff w:val="space"/>
      <w:lvlText w:val=""/>
      <w:lvlJc w:val="left"/>
      <w:pPr>
        <w:ind w:left="720" w:hanging="432"/>
      </w:pPr>
      <w:rPr>
        <w:b w:val="0"/>
      </w:rPr>
    </w:lvl>
    <w:lvl w:ilvl="3">
      <w:start w:val="1"/>
      <w:numFmt w:val="decimal"/>
      <w:pStyle w:val="NumberedLev3"/>
      <w:suff w:val="space"/>
      <w:lvlText w:val=""/>
      <w:lvlJc w:val="left"/>
      <w:pPr>
        <w:ind w:left="1296" w:hanging="576"/>
      </w:pPr>
      <w:rPr>
        <w:b w:val="0"/>
      </w:rPr>
    </w:lvl>
    <w:lvl w:ilvl="4">
      <w:start w:val="1"/>
      <w:numFmt w:val="decimal"/>
      <w:pStyle w:val="NumberedLev4"/>
      <w:suff w:val="space"/>
      <w:lvlText w:val=""/>
      <w:lvlJc w:val="left"/>
      <w:pPr>
        <w:ind w:left="1296" w:hanging="576"/>
      </w:pPr>
      <w:rPr>
        <w:b w:val="0"/>
      </w:rPr>
    </w:lvl>
    <w:lvl w:ilvl="5">
      <w:start w:val="1"/>
      <w:numFmt w:val="decimal"/>
      <w:pStyle w:val="NumberedLev5"/>
      <w:suff w:val="space"/>
      <w:lvlText w:val=""/>
      <w:lvlJc w:val="left"/>
      <w:pPr>
        <w:ind w:left="1296" w:hanging="576"/>
      </w:pPr>
      <w:rPr>
        <w:b w:val="0"/>
      </w:r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0">
    <w:nsid w:val="59D61F1F"/>
    <w:multiLevelType w:val="hybridMultilevel"/>
    <w:tmpl w:val="526A39B0"/>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81">
    <w:nsid w:val="5C696BDC"/>
    <w:multiLevelType w:val="hybridMultilevel"/>
    <w:tmpl w:val="65968E7E"/>
    <w:lvl w:ilvl="0" w:tplc="D952D584">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82">
    <w:nsid w:val="5C6B4E47"/>
    <w:multiLevelType w:val="hybridMultilevel"/>
    <w:tmpl w:val="5A165772"/>
    <w:name w:val="myAppendixTemplate2"/>
    <w:lvl w:ilvl="0" w:tplc="BD469ED0">
      <w:start w:val="1"/>
      <w:numFmt w:val="decimal"/>
      <w:lvlText w:val="%1."/>
      <w:lvlJc w:val="left"/>
      <w:pPr>
        <w:tabs>
          <w:tab w:val="num" w:pos="720"/>
        </w:tabs>
        <w:ind w:left="720" w:hanging="360"/>
      </w:pPr>
    </w:lvl>
    <w:lvl w:ilvl="1" w:tplc="31A25918" w:tentative="1">
      <w:start w:val="1"/>
      <w:numFmt w:val="lowerLetter"/>
      <w:lvlText w:val="%2."/>
      <w:lvlJc w:val="left"/>
      <w:pPr>
        <w:tabs>
          <w:tab w:val="num" w:pos="1440"/>
        </w:tabs>
        <w:ind w:left="1440" w:hanging="360"/>
      </w:pPr>
    </w:lvl>
    <w:lvl w:ilvl="2" w:tplc="7048098C" w:tentative="1">
      <w:start w:val="1"/>
      <w:numFmt w:val="lowerRoman"/>
      <w:lvlText w:val="%3."/>
      <w:lvlJc w:val="right"/>
      <w:pPr>
        <w:tabs>
          <w:tab w:val="num" w:pos="2160"/>
        </w:tabs>
        <w:ind w:left="2160" w:hanging="180"/>
      </w:pPr>
    </w:lvl>
    <w:lvl w:ilvl="3" w:tplc="8278B31C" w:tentative="1">
      <w:start w:val="1"/>
      <w:numFmt w:val="decimal"/>
      <w:lvlText w:val="%4."/>
      <w:lvlJc w:val="left"/>
      <w:pPr>
        <w:tabs>
          <w:tab w:val="num" w:pos="2880"/>
        </w:tabs>
        <w:ind w:left="2880" w:hanging="360"/>
      </w:pPr>
    </w:lvl>
    <w:lvl w:ilvl="4" w:tplc="D3FADC06" w:tentative="1">
      <w:start w:val="1"/>
      <w:numFmt w:val="lowerLetter"/>
      <w:lvlText w:val="%5."/>
      <w:lvlJc w:val="left"/>
      <w:pPr>
        <w:tabs>
          <w:tab w:val="num" w:pos="3600"/>
        </w:tabs>
        <w:ind w:left="3600" w:hanging="360"/>
      </w:pPr>
    </w:lvl>
    <w:lvl w:ilvl="5" w:tplc="95EE6A0A" w:tentative="1">
      <w:start w:val="1"/>
      <w:numFmt w:val="lowerRoman"/>
      <w:lvlText w:val="%6."/>
      <w:lvlJc w:val="right"/>
      <w:pPr>
        <w:tabs>
          <w:tab w:val="num" w:pos="4320"/>
        </w:tabs>
        <w:ind w:left="4320" w:hanging="180"/>
      </w:pPr>
    </w:lvl>
    <w:lvl w:ilvl="6" w:tplc="A090256E" w:tentative="1">
      <w:start w:val="1"/>
      <w:numFmt w:val="decimal"/>
      <w:lvlText w:val="%7."/>
      <w:lvlJc w:val="left"/>
      <w:pPr>
        <w:tabs>
          <w:tab w:val="num" w:pos="5040"/>
        </w:tabs>
        <w:ind w:left="5040" w:hanging="360"/>
      </w:pPr>
    </w:lvl>
    <w:lvl w:ilvl="7" w:tplc="5CFCBD32" w:tentative="1">
      <w:start w:val="1"/>
      <w:numFmt w:val="lowerLetter"/>
      <w:lvlText w:val="%8."/>
      <w:lvlJc w:val="left"/>
      <w:pPr>
        <w:tabs>
          <w:tab w:val="num" w:pos="5760"/>
        </w:tabs>
        <w:ind w:left="5760" w:hanging="360"/>
      </w:pPr>
    </w:lvl>
    <w:lvl w:ilvl="8" w:tplc="95F6ADFA" w:tentative="1">
      <w:start w:val="1"/>
      <w:numFmt w:val="lowerRoman"/>
      <w:lvlText w:val="%9."/>
      <w:lvlJc w:val="right"/>
      <w:pPr>
        <w:tabs>
          <w:tab w:val="num" w:pos="6480"/>
        </w:tabs>
        <w:ind w:left="6480" w:hanging="180"/>
      </w:pPr>
    </w:lvl>
  </w:abstractNum>
  <w:abstractNum w:abstractNumId="83">
    <w:nsid w:val="5D490D10"/>
    <w:multiLevelType w:val="multilevel"/>
    <w:tmpl w:val="9376A5A0"/>
    <w:name w:val="GHD_NumberList"/>
    <w:lvl w:ilvl="0">
      <w:start w:val="1"/>
      <w:numFmt w:val="decimal"/>
      <w:pStyle w:val="RestartNumbering"/>
      <w:isLgl/>
      <w:suff w:val="nothing"/>
      <w:lvlText w:val=""/>
      <w:lvlJc w:val="left"/>
      <w:pPr>
        <w:ind w:left="0" w:firstLine="0"/>
      </w:pPr>
    </w:lvl>
    <w:lvl w:ilvl="1">
      <w:start w:val="1"/>
      <w:numFmt w:val="decimal"/>
      <w:pStyle w:val="BulletNumber"/>
      <w:lvlText w:val="%2."/>
      <w:lvlJc w:val="left"/>
      <w:pPr>
        <w:tabs>
          <w:tab w:val="num" w:pos="1134"/>
        </w:tabs>
        <w:ind w:left="1134" w:hanging="567"/>
      </w:pPr>
      <w:rPr>
        <w:b w:val="0"/>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4">
    <w:nsid w:val="5E0C4B3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5">
    <w:nsid w:val="615A7CD7"/>
    <w:multiLevelType w:val="hybridMultilevel"/>
    <w:tmpl w:val="0C2AEC68"/>
    <w:lvl w:ilvl="0" w:tplc="EBDCE21C">
      <w:start w:val="1"/>
      <w:numFmt w:val="bullet"/>
      <w:lvlText w:val="–"/>
      <w:lvlJc w:val="left"/>
      <w:pPr>
        <w:tabs>
          <w:tab w:val="num" w:pos="644"/>
        </w:tabs>
        <w:ind w:left="644" w:hanging="360"/>
      </w:pPr>
      <w:rPr>
        <w:rFonts w:ascii="Arial"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61780AF8"/>
    <w:multiLevelType w:val="hybridMultilevel"/>
    <w:tmpl w:val="196CBF74"/>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87">
    <w:nsid w:val="63394C41"/>
    <w:multiLevelType w:val="multilevel"/>
    <w:tmpl w:val="E690A394"/>
    <w:name w:val="MyListTemplat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92"/>
        </w:tabs>
        <w:ind w:left="792" w:hanging="360"/>
      </w:pPr>
      <w:rPr>
        <w:rFonts w:ascii="Symbol" w:hAnsi="Symbol" w:hint="default"/>
      </w:rPr>
    </w:lvl>
    <w:lvl w:ilvl="2">
      <w:start w:val="1"/>
      <w:numFmt w:val="decimal"/>
      <w:suff w:val="space"/>
      <w:lvlText w:val="%2.%3."/>
      <w:lvlJc w:val="left"/>
      <w:pPr>
        <w:ind w:left="1080" w:hanging="360"/>
      </w:pPr>
      <w:rPr>
        <w:b w:val="0"/>
      </w:rPr>
    </w:lvl>
    <w:lvl w:ilvl="3">
      <w:start w:val="1"/>
      <w:numFmt w:val="decimal"/>
      <w:suff w:val="space"/>
      <w:lvlText w:val="%2.%3.%4."/>
      <w:lvlJc w:val="left"/>
      <w:pPr>
        <w:ind w:left="1512" w:hanging="504"/>
      </w:pPr>
      <w:rPr>
        <w:b w:val="0"/>
      </w:rPr>
    </w:lvl>
    <w:lvl w:ilvl="4">
      <w:start w:val="1"/>
      <w:numFmt w:val="decimal"/>
      <w:suff w:val="space"/>
      <w:lvlText w:val="%2.%3.%4.%5."/>
      <w:lvlJc w:val="left"/>
      <w:pPr>
        <w:ind w:left="1944" w:hanging="648"/>
      </w:pPr>
      <w:rPr>
        <w:b w:val="0"/>
      </w:rPr>
    </w:lvl>
    <w:lvl w:ilvl="5">
      <w:start w:val="1"/>
      <w:numFmt w:val="decimal"/>
      <w:suff w:val="space"/>
      <w:lvlText w:val="%2.%3.%4.%5.%6."/>
      <w:lvlJc w:val="left"/>
      <w:pPr>
        <w:ind w:left="2376" w:hanging="792"/>
      </w:pPr>
      <w:rPr>
        <w:b w:val="0"/>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8">
    <w:nsid w:val="64E442F8"/>
    <w:multiLevelType w:val="multilevel"/>
    <w:tmpl w:val="E3FCC98E"/>
    <w:name w:val="GHDOutlineTemplate2"/>
    <w:lvl w:ilvl="0">
      <w:start w:val="1"/>
      <w:numFmt w:val="bullet"/>
      <w:lvlText w:val=""/>
      <w:lvlJc w:val="left"/>
      <w:pPr>
        <w:tabs>
          <w:tab w:val="num" w:pos="359"/>
        </w:tabs>
        <w:ind w:left="359" w:hanging="360"/>
      </w:pPr>
      <w:rPr>
        <w:rFonts w:ascii="Symbol" w:hAnsi="Symbol" w:hint="default"/>
      </w:rPr>
    </w:lvl>
    <w:lvl w:ilvl="1">
      <w:start w:val="1"/>
      <w:numFmt w:val="bullet"/>
      <w:lvlRestart w:val="0"/>
      <w:lvlText w:val=""/>
      <w:lvlJc w:val="left"/>
      <w:pPr>
        <w:tabs>
          <w:tab w:val="num" w:pos="454"/>
        </w:tabs>
        <w:ind w:left="680" w:hanging="340"/>
      </w:pPr>
      <w:rPr>
        <w:rFonts w:ascii="Symbol" w:hAnsi="Symbol" w:hint="default"/>
      </w:rPr>
    </w:lvl>
    <w:lvl w:ilvl="2">
      <w:start w:val="1"/>
      <w:numFmt w:val="bullet"/>
      <w:suff w:val="space"/>
      <w:lvlText w:val=""/>
      <w:lvlJc w:val="left"/>
      <w:pPr>
        <w:ind w:left="794" w:hanging="75"/>
      </w:pPr>
      <w:rPr>
        <w:rFonts w:ascii="Symbol" w:hAnsi="Symbol" w:hint="default"/>
        <w:b w:val="0"/>
      </w:rPr>
    </w:lvl>
    <w:lvl w:ilvl="3">
      <w:start w:val="1"/>
      <w:numFmt w:val="none"/>
      <w:suff w:val="space"/>
      <w:lvlText w:val="%4%2"/>
      <w:lvlJc w:val="left"/>
      <w:pPr>
        <w:ind w:left="1511" w:hanging="504"/>
      </w:pPr>
      <w:rPr>
        <w:rFonts w:hint="default"/>
        <w:b w:val="0"/>
      </w:rPr>
    </w:lvl>
    <w:lvl w:ilvl="4">
      <w:start w:val="1"/>
      <w:numFmt w:val="decimal"/>
      <w:suff w:val="space"/>
      <w:lvlText w:val="%2"/>
      <w:lvlJc w:val="left"/>
      <w:pPr>
        <w:ind w:left="1943" w:hanging="648"/>
      </w:pPr>
      <w:rPr>
        <w:rFonts w:hint="default"/>
        <w:b w:val="0"/>
      </w:rPr>
    </w:lvl>
    <w:lvl w:ilvl="5">
      <w:start w:val="1"/>
      <w:numFmt w:val="decimal"/>
      <w:suff w:val="space"/>
      <w:lvlText w:val="%2"/>
      <w:lvlJc w:val="left"/>
      <w:pPr>
        <w:ind w:left="2375" w:hanging="792"/>
      </w:pPr>
      <w:rPr>
        <w:rFonts w:hint="default"/>
        <w:b w:val="0"/>
      </w:rPr>
    </w:lvl>
    <w:lvl w:ilvl="6">
      <w:start w:val="1"/>
      <w:numFmt w:val="none"/>
      <w:lvlText w:val=""/>
      <w:lvlJc w:val="left"/>
      <w:pPr>
        <w:tabs>
          <w:tab w:val="num" w:pos="5039"/>
        </w:tabs>
        <w:ind w:left="5039" w:hanging="360"/>
      </w:pPr>
      <w:rPr>
        <w:rFonts w:hint="default"/>
      </w:rPr>
    </w:lvl>
    <w:lvl w:ilvl="7">
      <w:start w:val="1"/>
      <w:numFmt w:val="none"/>
      <w:lvlText w:val=""/>
      <w:lvlJc w:val="left"/>
      <w:pPr>
        <w:tabs>
          <w:tab w:val="num" w:pos="5759"/>
        </w:tabs>
        <w:ind w:left="5759" w:hanging="360"/>
      </w:pPr>
      <w:rPr>
        <w:rFonts w:hint="default"/>
      </w:rPr>
    </w:lvl>
    <w:lvl w:ilvl="8">
      <w:start w:val="1"/>
      <w:numFmt w:val="none"/>
      <w:lvlText w:val=""/>
      <w:lvlJc w:val="right"/>
      <w:pPr>
        <w:tabs>
          <w:tab w:val="num" w:pos="6479"/>
        </w:tabs>
        <w:ind w:left="6479" w:hanging="180"/>
      </w:pPr>
      <w:rPr>
        <w:rFonts w:hint="default"/>
      </w:rPr>
    </w:lvl>
  </w:abstractNum>
  <w:abstractNum w:abstractNumId="89">
    <w:nsid w:val="65400459"/>
    <w:multiLevelType w:val="hybridMultilevel"/>
    <w:tmpl w:val="F99EB96C"/>
    <w:lvl w:ilvl="0" w:tplc="D952D584">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90">
    <w:nsid w:val="673D4FA1"/>
    <w:multiLevelType w:val="hybridMultilevel"/>
    <w:tmpl w:val="47061AB6"/>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91">
    <w:nsid w:val="67C533E1"/>
    <w:multiLevelType w:val="multilevel"/>
    <w:tmpl w:val="251866AE"/>
    <w:lvl w:ilvl="0">
      <w:start w:val="1"/>
      <w:numFmt w:val="bullet"/>
      <w:lvlText w:val="–"/>
      <w:lvlJc w:val="left"/>
      <w:pPr>
        <w:tabs>
          <w:tab w:val="num" w:pos="321"/>
        </w:tabs>
        <w:ind w:left="321" w:hanging="94"/>
      </w:pPr>
      <w:rPr>
        <w:rFonts w:ascii="Arial"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2">
    <w:nsid w:val="67D11C3A"/>
    <w:multiLevelType w:val="hybridMultilevel"/>
    <w:tmpl w:val="3E8E512C"/>
    <w:lvl w:ilvl="0" w:tplc="1409000B">
      <w:start w:val="1"/>
      <w:numFmt w:val="bullet"/>
      <w:lvlText w:val=""/>
      <w:lvlJc w:val="left"/>
      <w:pPr>
        <w:ind w:left="1287" w:hanging="360"/>
      </w:pPr>
      <w:rPr>
        <w:rFonts w:ascii="Wingdings" w:hAnsi="Wingdings"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93">
    <w:nsid w:val="69134DEB"/>
    <w:multiLevelType w:val="hybridMultilevel"/>
    <w:tmpl w:val="C310C8E2"/>
    <w:lvl w:ilvl="0" w:tplc="14090011">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94">
    <w:nsid w:val="691B7259"/>
    <w:multiLevelType w:val="hybridMultilevel"/>
    <w:tmpl w:val="0A8A8F8C"/>
    <w:lvl w:ilvl="0" w:tplc="D952D584">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95">
    <w:nsid w:val="71A52632"/>
    <w:multiLevelType w:val="hybridMultilevel"/>
    <w:tmpl w:val="AF863466"/>
    <w:lvl w:ilvl="0" w:tplc="DDE2B490">
      <w:start w:val="1"/>
      <w:numFmt w:val="decimal"/>
      <w:lvlText w:val="Approach %1."/>
      <w:lvlJc w:val="left"/>
      <w:pPr>
        <w:ind w:left="1287" w:hanging="360"/>
      </w:pPr>
      <w:rPr>
        <w:rFonts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96">
    <w:nsid w:val="736E13A5"/>
    <w:multiLevelType w:val="hybridMultilevel"/>
    <w:tmpl w:val="989AE8B6"/>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97">
    <w:nsid w:val="73B11A31"/>
    <w:multiLevelType w:val="multilevel"/>
    <w:tmpl w:val="48D225A2"/>
    <w:styleLink w:val="Style1"/>
    <w:lvl w:ilvl="0">
      <w:start w:val="1"/>
      <w:numFmt w:val="upperLetter"/>
      <w:pStyle w:val="Appendix"/>
      <w:suff w:val="space"/>
      <w:lvlText w:val="Appendix %1"/>
      <w:lvlJc w:val="left"/>
      <w:pPr>
        <w:ind w:left="288" w:hanging="288"/>
      </w:pPr>
      <w:rPr>
        <w:rFonts w:ascii="Arial Black" w:hAnsi="Arial Black" w:cs="Arial" w:hint="default"/>
        <w:b w:val="0"/>
        <w:i w:val="0"/>
        <w:color w:val="auto"/>
        <w:sz w:val="40"/>
      </w:rPr>
    </w:lvl>
    <w:lvl w:ilvl="1">
      <w:start w:val="1"/>
      <w:numFmt w:val="decimal"/>
      <w:lvlText w:val="%1.%2."/>
      <w:lvlJc w:val="left"/>
      <w:pPr>
        <w:tabs>
          <w:tab w:val="num" w:pos="0"/>
        </w:tabs>
        <w:ind w:left="288" w:hanging="288"/>
      </w:pPr>
      <w:rPr>
        <w:rFonts w:hint="default"/>
        <w:b/>
      </w:rPr>
    </w:lvl>
    <w:lvl w:ilvl="2">
      <w:start w:val="1"/>
      <w:numFmt w:val="decimal"/>
      <w:lvlText w:val="%1.%2.%3."/>
      <w:lvlJc w:val="left"/>
      <w:pPr>
        <w:tabs>
          <w:tab w:val="num" w:pos="0"/>
        </w:tabs>
        <w:ind w:left="288" w:hanging="288"/>
      </w:pPr>
      <w:rPr>
        <w:rFonts w:hint="default"/>
        <w:b/>
        <w:i w:val="0"/>
      </w:rPr>
    </w:lvl>
    <w:lvl w:ilvl="3">
      <w:start w:val="1"/>
      <w:numFmt w:val="none"/>
      <w:lvlText w:val=""/>
      <w:lvlJc w:val="left"/>
      <w:pPr>
        <w:tabs>
          <w:tab w:val="num" w:pos="0"/>
        </w:tabs>
        <w:ind w:left="288" w:hanging="288"/>
      </w:pPr>
      <w:rPr>
        <w:rFonts w:hint="default"/>
        <w:b/>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8">
    <w:nsid w:val="73CD5DE0"/>
    <w:multiLevelType w:val="hybridMultilevel"/>
    <w:tmpl w:val="692C5F4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99">
    <w:nsid w:val="74D303C4"/>
    <w:multiLevelType w:val="hybridMultilevel"/>
    <w:tmpl w:val="376EE0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0">
    <w:nsid w:val="75312B47"/>
    <w:multiLevelType w:val="hybridMultilevel"/>
    <w:tmpl w:val="0C047AD2"/>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01">
    <w:nsid w:val="76631640"/>
    <w:multiLevelType w:val="hybridMultilevel"/>
    <w:tmpl w:val="9734296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02">
    <w:nsid w:val="77BC4AF6"/>
    <w:multiLevelType w:val="hybridMultilevel"/>
    <w:tmpl w:val="04CC6570"/>
    <w:lvl w:ilvl="0" w:tplc="14090001">
      <w:start w:val="1"/>
      <w:numFmt w:val="bullet"/>
      <w:lvlText w:val=""/>
      <w:lvlJc w:val="left"/>
      <w:pPr>
        <w:ind w:left="1211" w:hanging="360"/>
      </w:pPr>
      <w:rPr>
        <w:rFonts w:ascii="Symbol" w:hAnsi="Symbol" w:hint="default"/>
      </w:rPr>
    </w:lvl>
    <w:lvl w:ilvl="1" w:tplc="14090003" w:tentative="1">
      <w:start w:val="1"/>
      <w:numFmt w:val="bullet"/>
      <w:lvlText w:val="o"/>
      <w:lvlJc w:val="left"/>
      <w:pPr>
        <w:ind w:left="1931" w:hanging="360"/>
      </w:pPr>
      <w:rPr>
        <w:rFonts w:ascii="Courier New" w:hAnsi="Courier New" w:cs="Courier New" w:hint="default"/>
      </w:rPr>
    </w:lvl>
    <w:lvl w:ilvl="2" w:tplc="14090005" w:tentative="1">
      <w:start w:val="1"/>
      <w:numFmt w:val="bullet"/>
      <w:lvlText w:val=""/>
      <w:lvlJc w:val="left"/>
      <w:pPr>
        <w:ind w:left="2651" w:hanging="360"/>
      </w:pPr>
      <w:rPr>
        <w:rFonts w:ascii="Wingdings" w:hAnsi="Wingdings" w:hint="default"/>
      </w:rPr>
    </w:lvl>
    <w:lvl w:ilvl="3" w:tplc="14090001" w:tentative="1">
      <w:start w:val="1"/>
      <w:numFmt w:val="bullet"/>
      <w:lvlText w:val=""/>
      <w:lvlJc w:val="left"/>
      <w:pPr>
        <w:ind w:left="3371" w:hanging="360"/>
      </w:pPr>
      <w:rPr>
        <w:rFonts w:ascii="Symbol" w:hAnsi="Symbol" w:hint="default"/>
      </w:rPr>
    </w:lvl>
    <w:lvl w:ilvl="4" w:tplc="14090003" w:tentative="1">
      <w:start w:val="1"/>
      <w:numFmt w:val="bullet"/>
      <w:lvlText w:val="o"/>
      <w:lvlJc w:val="left"/>
      <w:pPr>
        <w:ind w:left="4091" w:hanging="360"/>
      </w:pPr>
      <w:rPr>
        <w:rFonts w:ascii="Courier New" w:hAnsi="Courier New" w:cs="Courier New" w:hint="default"/>
      </w:rPr>
    </w:lvl>
    <w:lvl w:ilvl="5" w:tplc="14090005" w:tentative="1">
      <w:start w:val="1"/>
      <w:numFmt w:val="bullet"/>
      <w:lvlText w:val=""/>
      <w:lvlJc w:val="left"/>
      <w:pPr>
        <w:ind w:left="4811" w:hanging="360"/>
      </w:pPr>
      <w:rPr>
        <w:rFonts w:ascii="Wingdings" w:hAnsi="Wingdings" w:hint="default"/>
      </w:rPr>
    </w:lvl>
    <w:lvl w:ilvl="6" w:tplc="14090001" w:tentative="1">
      <w:start w:val="1"/>
      <w:numFmt w:val="bullet"/>
      <w:lvlText w:val=""/>
      <w:lvlJc w:val="left"/>
      <w:pPr>
        <w:ind w:left="5531" w:hanging="360"/>
      </w:pPr>
      <w:rPr>
        <w:rFonts w:ascii="Symbol" w:hAnsi="Symbol" w:hint="default"/>
      </w:rPr>
    </w:lvl>
    <w:lvl w:ilvl="7" w:tplc="14090003" w:tentative="1">
      <w:start w:val="1"/>
      <w:numFmt w:val="bullet"/>
      <w:lvlText w:val="o"/>
      <w:lvlJc w:val="left"/>
      <w:pPr>
        <w:ind w:left="6251" w:hanging="360"/>
      </w:pPr>
      <w:rPr>
        <w:rFonts w:ascii="Courier New" w:hAnsi="Courier New" w:cs="Courier New" w:hint="default"/>
      </w:rPr>
    </w:lvl>
    <w:lvl w:ilvl="8" w:tplc="14090005" w:tentative="1">
      <w:start w:val="1"/>
      <w:numFmt w:val="bullet"/>
      <w:lvlText w:val=""/>
      <w:lvlJc w:val="left"/>
      <w:pPr>
        <w:ind w:left="6971" w:hanging="360"/>
      </w:pPr>
      <w:rPr>
        <w:rFonts w:ascii="Wingdings" w:hAnsi="Wingdings" w:hint="default"/>
      </w:rPr>
    </w:lvl>
  </w:abstractNum>
  <w:abstractNum w:abstractNumId="103">
    <w:nsid w:val="783D19F3"/>
    <w:multiLevelType w:val="hybridMultilevel"/>
    <w:tmpl w:val="73D083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4">
    <w:nsid w:val="79A6321D"/>
    <w:multiLevelType w:val="hybridMultilevel"/>
    <w:tmpl w:val="7C3692D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5">
    <w:nsid w:val="7D167781"/>
    <w:multiLevelType w:val="hybridMultilevel"/>
    <w:tmpl w:val="D40C716E"/>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06">
    <w:nsid w:val="7F6E72B8"/>
    <w:multiLevelType w:val="hybridMultilevel"/>
    <w:tmpl w:val="AC6C60BC"/>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07">
    <w:nsid w:val="7FFA00AE"/>
    <w:multiLevelType w:val="hybridMultilevel"/>
    <w:tmpl w:val="66EE3A5A"/>
    <w:lvl w:ilvl="0" w:tplc="14090001">
      <w:start w:val="1"/>
      <w:numFmt w:val="bullet"/>
      <w:lvlText w:val=""/>
      <w:lvlJc w:val="left"/>
      <w:pPr>
        <w:ind w:left="1287" w:hanging="360"/>
      </w:pPr>
      <w:rPr>
        <w:rFonts w:ascii="Symbol" w:hAnsi="Symbol" w:hint="default"/>
      </w:rPr>
    </w:lvl>
    <w:lvl w:ilvl="1" w:tplc="14090003">
      <w:start w:val="1"/>
      <w:numFmt w:val="bullet"/>
      <w:lvlText w:val="o"/>
      <w:lvlJc w:val="left"/>
      <w:pPr>
        <w:ind w:left="2007" w:hanging="360"/>
      </w:pPr>
      <w:rPr>
        <w:rFonts w:ascii="Courier New" w:hAnsi="Courier New" w:cs="Courier New" w:hint="default"/>
      </w:rPr>
    </w:lvl>
    <w:lvl w:ilvl="2" w:tplc="14090005">
      <w:start w:val="1"/>
      <w:numFmt w:val="bullet"/>
      <w:lvlText w:val=""/>
      <w:lvlJc w:val="left"/>
      <w:pPr>
        <w:ind w:left="2727" w:hanging="360"/>
      </w:pPr>
      <w:rPr>
        <w:rFonts w:ascii="Wingdings" w:hAnsi="Wingdings" w:hint="default"/>
      </w:rPr>
    </w:lvl>
    <w:lvl w:ilvl="3" w:tplc="14090001">
      <w:start w:val="1"/>
      <w:numFmt w:val="bullet"/>
      <w:lvlText w:val=""/>
      <w:lvlJc w:val="left"/>
      <w:pPr>
        <w:ind w:left="3447" w:hanging="360"/>
      </w:pPr>
      <w:rPr>
        <w:rFonts w:ascii="Symbol" w:hAnsi="Symbol" w:hint="default"/>
      </w:rPr>
    </w:lvl>
    <w:lvl w:ilvl="4" w:tplc="14090003">
      <w:start w:val="1"/>
      <w:numFmt w:val="bullet"/>
      <w:lvlText w:val="o"/>
      <w:lvlJc w:val="left"/>
      <w:pPr>
        <w:ind w:left="4167" w:hanging="360"/>
      </w:pPr>
      <w:rPr>
        <w:rFonts w:ascii="Courier New" w:hAnsi="Courier New" w:cs="Courier New" w:hint="default"/>
      </w:rPr>
    </w:lvl>
    <w:lvl w:ilvl="5" w:tplc="14090005">
      <w:start w:val="1"/>
      <w:numFmt w:val="bullet"/>
      <w:lvlText w:val=""/>
      <w:lvlJc w:val="left"/>
      <w:pPr>
        <w:ind w:left="4887" w:hanging="360"/>
      </w:pPr>
      <w:rPr>
        <w:rFonts w:ascii="Wingdings" w:hAnsi="Wingdings" w:hint="default"/>
      </w:rPr>
    </w:lvl>
    <w:lvl w:ilvl="6" w:tplc="14090001">
      <w:start w:val="1"/>
      <w:numFmt w:val="bullet"/>
      <w:lvlText w:val=""/>
      <w:lvlJc w:val="left"/>
      <w:pPr>
        <w:ind w:left="5607" w:hanging="360"/>
      </w:pPr>
      <w:rPr>
        <w:rFonts w:ascii="Symbol" w:hAnsi="Symbol" w:hint="default"/>
      </w:rPr>
    </w:lvl>
    <w:lvl w:ilvl="7" w:tplc="14090003">
      <w:start w:val="1"/>
      <w:numFmt w:val="bullet"/>
      <w:lvlText w:val="o"/>
      <w:lvlJc w:val="left"/>
      <w:pPr>
        <w:ind w:left="6327" w:hanging="360"/>
      </w:pPr>
      <w:rPr>
        <w:rFonts w:ascii="Courier New" w:hAnsi="Courier New" w:cs="Courier New" w:hint="default"/>
      </w:rPr>
    </w:lvl>
    <w:lvl w:ilvl="8" w:tplc="14090005">
      <w:start w:val="1"/>
      <w:numFmt w:val="bullet"/>
      <w:lvlText w:val=""/>
      <w:lvlJc w:val="left"/>
      <w:pPr>
        <w:ind w:left="7047" w:hanging="360"/>
      </w:pPr>
      <w:rPr>
        <w:rFonts w:ascii="Wingdings" w:hAnsi="Wingdings" w:hint="default"/>
      </w:rPr>
    </w:lvl>
  </w:abstractNum>
  <w:num w:numId="1">
    <w:abstractNumId w:val="57"/>
  </w:num>
  <w:num w:numId="2">
    <w:abstractNumId w:val="55"/>
  </w:num>
  <w:num w:numId="3">
    <w:abstractNumId w:val="27"/>
  </w:num>
  <w:num w:numId="4">
    <w:abstractNumId w:val="85"/>
  </w:num>
  <w:num w:numId="5">
    <w:abstractNumId w:val="47"/>
  </w:num>
  <w:num w:numId="6">
    <w:abstractNumId w:val="84"/>
  </w:num>
  <w:num w:numId="7">
    <w:abstractNumId w:val="24"/>
  </w:num>
  <w:num w:numId="8">
    <w:abstractNumId w:val="14"/>
  </w:num>
  <w:num w:numId="9">
    <w:abstractNumId w:val="7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91"/>
  </w:num>
  <w:num w:numId="21">
    <w:abstractNumId w:val="79"/>
  </w:num>
  <w:num w:numId="22">
    <w:abstractNumId w:val="83"/>
  </w:num>
  <w:num w:numId="23">
    <w:abstractNumId w:val="57"/>
  </w:num>
  <w:num w:numId="24">
    <w:abstractNumId w:val="29"/>
  </w:num>
  <w:num w:numId="25">
    <w:abstractNumId w:val="69"/>
  </w:num>
  <w:num w:numId="26">
    <w:abstractNumId w:val="97"/>
  </w:num>
  <w:num w:numId="27">
    <w:abstractNumId w:val="25"/>
  </w:num>
  <w:num w:numId="28">
    <w:abstractNumId w:val="56"/>
  </w:num>
  <w:num w:numId="29">
    <w:abstractNumId w:val="33"/>
  </w:num>
  <w:num w:numId="30">
    <w:abstractNumId w:val="65"/>
  </w:num>
  <w:num w:numId="31">
    <w:abstractNumId w:val="12"/>
  </w:num>
  <w:num w:numId="3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1"/>
  </w:num>
  <w:num w:numId="34">
    <w:abstractNumId w:val="93"/>
  </w:num>
  <w:num w:numId="35">
    <w:abstractNumId w:val="100"/>
  </w:num>
  <w:num w:numId="36">
    <w:abstractNumId w:val="81"/>
  </w:num>
  <w:num w:numId="37">
    <w:abstractNumId w:val="41"/>
  </w:num>
  <w:num w:numId="38">
    <w:abstractNumId w:val="96"/>
  </w:num>
  <w:num w:numId="39">
    <w:abstractNumId w:val="55"/>
  </w:num>
  <w:num w:numId="40">
    <w:abstractNumId w:val="42"/>
  </w:num>
  <w:num w:numId="41">
    <w:abstractNumId w:val="52"/>
  </w:num>
  <w:num w:numId="42">
    <w:abstractNumId w:val="15"/>
  </w:num>
  <w:num w:numId="43">
    <w:abstractNumId w:val="23"/>
  </w:num>
  <w:num w:numId="44">
    <w:abstractNumId w:val="76"/>
  </w:num>
  <w:num w:numId="45">
    <w:abstractNumId w:val="18"/>
  </w:num>
  <w:num w:numId="46">
    <w:abstractNumId w:val="61"/>
  </w:num>
  <w:num w:numId="47">
    <w:abstractNumId w:val="74"/>
  </w:num>
  <w:num w:numId="48">
    <w:abstractNumId w:val="35"/>
  </w:num>
  <w:num w:numId="49">
    <w:abstractNumId w:val="63"/>
  </w:num>
  <w:num w:numId="50">
    <w:abstractNumId w:val="43"/>
  </w:num>
  <w:num w:numId="51">
    <w:abstractNumId w:val="71"/>
  </w:num>
  <w:num w:numId="52">
    <w:abstractNumId w:val="53"/>
  </w:num>
  <w:num w:numId="53">
    <w:abstractNumId w:val="107"/>
  </w:num>
  <w:num w:numId="54">
    <w:abstractNumId w:val="67"/>
  </w:num>
  <w:num w:numId="55">
    <w:abstractNumId w:val="66"/>
  </w:num>
  <w:num w:numId="56">
    <w:abstractNumId w:val="107"/>
  </w:num>
  <w:num w:numId="57">
    <w:abstractNumId w:val="19"/>
  </w:num>
  <w:num w:numId="58">
    <w:abstractNumId w:val="28"/>
  </w:num>
  <w:num w:numId="59">
    <w:abstractNumId w:val="105"/>
  </w:num>
  <w:num w:numId="6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03"/>
  </w:num>
  <w:num w:numId="62">
    <w:abstractNumId w:val="86"/>
  </w:num>
  <w:num w:numId="63">
    <w:abstractNumId w:val="64"/>
  </w:num>
  <w:num w:numId="64">
    <w:abstractNumId w:val="70"/>
  </w:num>
  <w:num w:numId="65">
    <w:abstractNumId w:val="55"/>
  </w:num>
  <w:num w:numId="66">
    <w:abstractNumId w:val="31"/>
  </w:num>
  <w:num w:numId="67">
    <w:abstractNumId w:val="73"/>
  </w:num>
  <w:num w:numId="68">
    <w:abstractNumId w:val="34"/>
  </w:num>
  <w:num w:numId="69">
    <w:abstractNumId w:val="50"/>
  </w:num>
  <w:num w:numId="70">
    <w:abstractNumId w:val="80"/>
  </w:num>
  <w:num w:numId="71">
    <w:abstractNumId w:val="90"/>
  </w:num>
  <w:num w:numId="72">
    <w:abstractNumId w:val="55"/>
  </w:num>
  <w:num w:numId="73">
    <w:abstractNumId w:val="55"/>
  </w:num>
  <w:num w:numId="74">
    <w:abstractNumId w:val="10"/>
  </w:num>
  <w:num w:numId="75">
    <w:abstractNumId w:val="17"/>
  </w:num>
  <w:num w:numId="76">
    <w:abstractNumId w:val="22"/>
  </w:num>
  <w:num w:numId="77">
    <w:abstractNumId w:val="45"/>
  </w:num>
  <w:num w:numId="78">
    <w:abstractNumId w:val="95"/>
  </w:num>
  <w:num w:numId="79">
    <w:abstractNumId w:val="78"/>
  </w:num>
  <w:num w:numId="80">
    <w:abstractNumId w:val="51"/>
  </w:num>
  <w:num w:numId="81">
    <w:abstractNumId w:val="92"/>
  </w:num>
  <w:num w:numId="82">
    <w:abstractNumId w:val="36"/>
  </w:num>
  <w:num w:numId="83">
    <w:abstractNumId w:val="38"/>
  </w:num>
  <w:num w:numId="84">
    <w:abstractNumId w:val="54"/>
  </w:num>
  <w:num w:numId="85">
    <w:abstractNumId w:val="46"/>
  </w:num>
  <w:num w:numId="86">
    <w:abstractNumId w:val="89"/>
  </w:num>
  <w:num w:numId="87">
    <w:abstractNumId w:val="21"/>
  </w:num>
  <w:num w:numId="88">
    <w:abstractNumId w:val="102"/>
  </w:num>
  <w:num w:numId="89">
    <w:abstractNumId w:val="16"/>
  </w:num>
  <w:num w:numId="90">
    <w:abstractNumId w:val="37"/>
  </w:num>
  <w:num w:numId="91">
    <w:abstractNumId w:val="75"/>
  </w:num>
  <w:num w:numId="92">
    <w:abstractNumId w:val="60"/>
  </w:num>
  <w:num w:numId="93">
    <w:abstractNumId w:val="99"/>
  </w:num>
  <w:num w:numId="94">
    <w:abstractNumId w:val="104"/>
  </w:num>
  <w:num w:numId="95">
    <w:abstractNumId w:val="58"/>
  </w:num>
  <w:num w:numId="96">
    <w:abstractNumId w:val="13"/>
  </w:num>
  <w:num w:numId="97">
    <w:abstractNumId w:val="49"/>
  </w:num>
  <w:num w:numId="98">
    <w:abstractNumId w:val="94"/>
  </w:num>
  <w:num w:numId="99">
    <w:abstractNumId w:val="44"/>
  </w:num>
  <w:num w:numId="100">
    <w:abstractNumId w:val="77"/>
  </w:num>
  <w:num w:numId="101">
    <w:abstractNumId w:val="11"/>
  </w:num>
  <w:num w:numId="102">
    <w:abstractNumId w:val="30"/>
  </w:num>
  <w:num w:numId="103">
    <w:abstractNumId w:val="26"/>
  </w:num>
  <w:num w:numId="104">
    <w:abstractNumId w:val="32"/>
  </w:num>
  <w:num w:numId="105">
    <w:abstractNumId w:val="106"/>
  </w:num>
  <w:num w:numId="106">
    <w:abstractNumId w:val="40"/>
  </w:num>
  <w:num w:numId="107">
    <w:abstractNumId w:val="70"/>
  </w:num>
  <w:num w:numId="108">
    <w:abstractNumId w:val="70"/>
  </w:num>
  <w:num w:numId="109">
    <w:abstractNumId w:val="70"/>
  </w:num>
  <w:num w:numId="110">
    <w:abstractNumId w:val="70"/>
  </w:num>
  <w:num w:numId="111">
    <w:abstractNumId w:val="62"/>
  </w:num>
  <w:num w:numId="112">
    <w:abstractNumId w:val="39"/>
  </w:num>
  <w:num w:numId="113">
    <w:abstractNumId w:val="98"/>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US" w:vendorID="64" w:dllVersion="131078" w:nlCheck="1" w:checkStyle="1"/>
  <w:activeWritingStyle w:appName="MSWord" w:lang="en-AU" w:vendorID="64" w:dllVersion="131078" w:nlCheck="1" w:checkStyle="0"/>
  <w:activeWritingStyle w:appName="MSWord" w:lang="en-NZ" w:vendorID="64" w:dllVersion="131078" w:nlCheck="1" w:checkStyle="1"/>
  <w:activeWritingStyle w:appName="MSWord" w:lang="fr-FR" w:vendorID="64" w:dllVersion="131078" w:nlCheck="1" w:checkStyle="0"/>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00"/>
  <w:displayHorizontalDrawingGridEvery w:val="2"/>
  <w:noPunctuationKerning/>
  <w:characterSpacingControl w:val="doNotCompress"/>
  <w:hdrShapeDefaults>
    <o:shapedefaults v:ext="edit" spidmax="4106" style="mso-position-horizontal-relative:page;mso-position-vertical-relative:page" fillcolor="#a7a9ac" stroke="f">
      <v:fill color="#a7a9ac"/>
      <v:stroke on="f"/>
      <o:colormru v:ext="edit" colors="#00599c,#8f8f8c,#0065a4,#a7a9ac"/>
    </o:shapedefaults>
    <o:shapelayout v:ext="edit">
      <o:idmap v:ext="edit" data="4"/>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786"/>
    <w:rsid w:val="000001B1"/>
    <w:rsid w:val="00000333"/>
    <w:rsid w:val="0000197F"/>
    <w:rsid w:val="0000230A"/>
    <w:rsid w:val="000029F0"/>
    <w:rsid w:val="00002BA7"/>
    <w:rsid w:val="00003EDA"/>
    <w:rsid w:val="000050EA"/>
    <w:rsid w:val="00005DD8"/>
    <w:rsid w:val="00006CD4"/>
    <w:rsid w:val="0001041C"/>
    <w:rsid w:val="00010F97"/>
    <w:rsid w:val="00011B85"/>
    <w:rsid w:val="00012078"/>
    <w:rsid w:val="0001228D"/>
    <w:rsid w:val="0001358E"/>
    <w:rsid w:val="00015A33"/>
    <w:rsid w:val="0001605D"/>
    <w:rsid w:val="00016827"/>
    <w:rsid w:val="00016C46"/>
    <w:rsid w:val="00017DEB"/>
    <w:rsid w:val="0002123B"/>
    <w:rsid w:val="0002169C"/>
    <w:rsid w:val="000217E8"/>
    <w:rsid w:val="00022DC9"/>
    <w:rsid w:val="00023789"/>
    <w:rsid w:val="00023940"/>
    <w:rsid w:val="00024477"/>
    <w:rsid w:val="00025A76"/>
    <w:rsid w:val="00026977"/>
    <w:rsid w:val="00031366"/>
    <w:rsid w:val="00032188"/>
    <w:rsid w:val="00033247"/>
    <w:rsid w:val="0003448F"/>
    <w:rsid w:val="00036C09"/>
    <w:rsid w:val="00037AD1"/>
    <w:rsid w:val="0004039D"/>
    <w:rsid w:val="00042BF7"/>
    <w:rsid w:val="00043B25"/>
    <w:rsid w:val="0004424C"/>
    <w:rsid w:val="00045036"/>
    <w:rsid w:val="00045852"/>
    <w:rsid w:val="00045AB5"/>
    <w:rsid w:val="00047748"/>
    <w:rsid w:val="000515FC"/>
    <w:rsid w:val="00051D1B"/>
    <w:rsid w:val="00052704"/>
    <w:rsid w:val="000531F2"/>
    <w:rsid w:val="00053740"/>
    <w:rsid w:val="00053C48"/>
    <w:rsid w:val="00053F5E"/>
    <w:rsid w:val="000546F7"/>
    <w:rsid w:val="000560F7"/>
    <w:rsid w:val="0006113E"/>
    <w:rsid w:val="0006154E"/>
    <w:rsid w:val="000633EC"/>
    <w:rsid w:val="0006442E"/>
    <w:rsid w:val="00064629"/>
    <w:rsid w:val="00064CA3"/>
    <w:rsid w:val="00064CB9"/>
    <w:rsid w:val="00065E74"/>
    <w:rsid w:val="000663E9"/>
    <w:rsid w:val="000666DD"/>
    <w:rsid w:val="0006747E"/>
    <w:rsid w:val="00070008"/>
    <w:rsid w:val="00070565"/>
    <w:rsid w:val="00070C70"/>
    <w:rsid w:val="000713ED"/>
    <w:rsid w:val="00071A47"/>
    <w:rsid w:val="00071BB4"/>
    <w:rsid w:val="00072A63"/>
    <w:rsid w:val="00073523"/>
    <w:rsid w:val="00074383"/>
    <w:rsid w:val="00075174"/>
    <w:rsid w:val="0007660E"/>
    <w:rsid w:val="00076F83"/>
    <w:rsid w:val="00077C90"/>
    <w:rsid w:val="00077FB3"/>
    <w:rsid w:val="000817E7"/>
    <w:rsid w:val="00081B7E"/>
    <w:rsid w:val="000830FB"/>
    <w:rsid w:val="00085548"/>
    <w:rsid w:val="00086601"/>
    <w:rsid w:val="00090302"/>
    <w:rsid w:val="00090DEA"/>
    <w:rsid w:val="00091CCD"/>
    <w:rsid w:val="0009287A"/>
    <w:rsid w:val="00092C8C"/>
    <w:rsid w:val="00092F84"/>
    <w:rsid w:val="00093093"/>
    <w:rsid w:val="00093AF2"/>
    <w:rsid w:val="0009607A"/>
    <w:rsid w:val="000A15FF"/>
    <w:rsid w:val="000A19D2"/>
    <w:rsid w:val="000A2DFD"/>
    <w:rsid w:val="000A3057"/>
    <w:rsid w:val="000A33FC"/>
    <w:rsid w:val="000A39D8"/>
    <w:rsid w:val="000A3C71"/>
    <w:rsid w:val="000A47CB"/>
    <w:rsid w:val="000A4A22"/>
    <w:rsid w:val="000A4BBA"/>
    <w:rsid w:val="000A4D05"/>
    <w:rsid w:val="000A6D5E"/>
    <w:rsid w:val="000A7350"/>
    <w:rsid w:val="000A7C0F"/>
    <w:rsid w:val="000A7EAB"/>
    <w:rsid w:val="000B0DCA"/>
    <w:rsid w:val="000B14E8"/>
    <w:rsid w:val="000B1B82"/>
    <w:rsid w:val="000B27C3"/>
    <w:rsid w:val="000B378A"/>
    <w:rsid w:val="000B4703"/>
    <w:rsid w:val="000B4C97"/>
    <w:rsid w:val="000B68AE"/>
    <w:rsid w:val="000B6953"/>
    <w:rsid w:val="000B7962"/>
    <w:rsid w:val="000B7E1D"/>
    <w:rsid w:val="000C147E"/>
    <w:rsid w:val="000C3D29"/>
    <w:rsid w:val="000C405E"/>
    <w:rsid w:val="000C6742"/>
    <w:rsid w:val="000C718A"/>
    <w:rsid w:val="000C7239"/>
    <w:rsid w:val="000C7B06"/>
    <w:rsid w:val="000D0225"/>
    <w:rsid w:val="000D0FFA"/>
    <w:rsid w:val="000D14B2"/>
    <w:rsid w:val="000D675B"/>
    <w:rsid w:val="000D7330"/>
    <w:rsid w:val="000E125C"/>
    <w:rsid w:val="000E125F"/>
    <w:rsid w:val="000E1C8F"/>
    <w:rsid w:val="000E1F48"/>
    <w:rsid w:val="000E6194"/>
    <w:rsid w:val="000E67AA"/>
    <w:rsid w:val="000E706D"/>
    <w:rsid w:val="000F06E3"/>
    <w:rsid w:val="000F3D7F"/>
    <w:rsid w:val="000F3FAB"/>
    <w:rsid w:val="000F49C5"/>
    <w:rsid w:val="001017CE"/>
    <w:rsid w:val="00102737"/>
    <w:rsid w:val="0010339C"/>
    <w:rsid w:val="00103FE8"/>
    <w:rsid w:val="00104C7C"/>
    <w:rsid w:val="00104E51"/>
    <w:rsid w:val="001052DF"/>
    <w:rsid w:val="001058D5"/>
    <w:rsid w:val="001061C8"/>
    <w:rsid w:val="001068FA"/>
    <w:rsid w:val="001074DC"/>
    <w:rsid w:val="001079D8"/>
    <w:rsid w:val="0011024C"/>
    <w:rsid w:val="00111AB8"/>
    <w:rsid w:val="00111F79"/>
    <w:rsid w:val="00113B8F"/>
    <w:rsid w:val="00113D4E"/>
    <w:rsid w:val="00113DC4"/>
    <w:rsid w:val="00116024"/>
    <w:rsid w:val="0011665B"/>
    <w:rsid w:val="00116A81"/>
    <w:rsid w:val="00120410"/>
    <w:rsid w:val="00120AF6"/>
    <w:rsid w:val="00121C28"/>
    <w:rsid w:val="0012208B"/>
    <w:rsid w:val="00122690"/>
    <w:rsid w:val="00122B10"/>
    <w:rsid w:val="00122EF3"/>
    <w:rsid w:val="0012375F"/>
    <w:rsid w:val="00124F13"/>
    <w:rsid w:val="00125240"/>
    <w:rsid w:val="001252E8"/>
    <w:rsid w:val="00126AA5"/>
    <w:rsid w:val="00130308"/>
    <w:rsid w:val="00130326"/>
    <w:rsid w:val="00130B15"/>
    <w:rsid w:val="00130F14"/>
    <w:rsid w:val="00131502"/>
    <w:rsid w:val="00132DCE"/>
    <w:rsid w:val="00132ED2"/>
    <w:rsid w:val="001341B0"/>
    <w:rsid w:val="00137DBF"/>
    <w:rsid w:val="00140508"/>
    <w:rsid w:val="0014107C"/>
    <w:rsid w:val="001413C4"/>
    <w:rsid w:val="001422F1"/>
    <w:rsid w:val="001425E2"/>
    <w:rsid w:val="00142C6D"/>
    <w:rsid w:val="001438FE"/>
    <w:rsid w:val="00146033"/>
    <w:rsid w:val="001463EB"/>
    <w:rsid w:val="0014674E"/>
    <w:rsid w:val="00147B0E"/>
    <w:rsid w:val="00147B42"/>
    <w:rsid w:val="00147F96"/>
    <w:rsid w:val="0015064F"/>
    <w:rsid w:val="001517D1"/>
    <w:rsid w:val="00151F6E"/>
    <w:rsid w:val="001520E9"/>
    <w:rsid w:val="001521A1"/>
    <w:rsid w:val="001527DC"/>
    <w:rsid w:val="00154893"/>
    <w:rsid w:val="0015573E"/>
    <w:rsid w:val="00160406"/>
    <w:rsid w:val="00160BD8"/>
    <w:rsid w:val="001614D5"/>
    <w:rsid w:val="00161BAF"/>
    <w:rsid w:val="0016267C"/>
    <w:rsid w:val="00163206"/>
    <w:rsid w:val="0016321B"/>
    <w:rsid w:val="00163DB3"/>
    <w:rsid w:val="0016403E"/>
    <w:rsid w:val="001640FC"/>
    <w:rsid w:val="001653C5"/>
    <w:rsid w:val="00165448"/>
    <w:rsid w:val="00165A5F"/>
    <w:rsid w:val="001666A0"/>
    <w:rsid w:val="00166776"/>
    <w:rsid w:val="00167502"/>
    <w:rsid w:val="00170E2F"/>
    <w:rsid w:val="00171E41"/>
    <w:rsid w:val="001722A3"/>
    <w:rsid w:val="00173126"/>
    <w:rsid w:val="00174A6C"/>
    <w:rsid w:val="00174F8C"/>
    <w:rsid w:val="001759C5"/>
    <w:rsid w:val="001801BA"/>
    <w:rsid w:val="00183C11"/>
    <w:rsid w:val="00185A64"/>
    <w:rsid w:val="00185C20"/>
    <w:rsid w:val="00186B12"/>
    <w:rsid w:val="001870A7"/>
    <w:rsid w:val="001870BC"/>
    <w:rsid w:val="00191871"/>
    <w:rsid w:val="00191FAC"/>
    <w:rsid w:val="001922DD"/>
    <w:rsid w:val="00192392"/>
    <w:rsid w:val="001926AB"/>
    <w:rsid w:val="00193B03"/>
    <w:rsid w:val="001955CC"/>
    <w:rsid w:val="00195670"/>
    <w:rsid w:val="00196469"/>
    <w:rsid w:val="00196CE3"/>
    <w:rsid w:val="0019794F"/>
    <w:rsid w:val="001A2C85"/>
    <w:rsid w:val="001A39BA"/>
    <w:rsid w:val="001A39D2"/>
    <w:rsid w:val="001A5349"/>
    <w:rsid w:val="001A6D0F"/>
    <w:rsid w:val="001A72F9"/>
    <w:rsid w:val="001B096D"/>
    <w:rsid w:val="001B0C87"/>
    <w:rsid w:val="001B13D1"/>
    <w:rsid w:val="001B1981"/>
    <w:rsid w:val="001B2552"/>
    <w:rsid w:val="001B2B1E"/>
    <w:rsid w:val="001B2F1A"/>
    <w:rsid w:val="001B3523"/>
    <w:rsid w:val="001B3BC7"/>
    <w:rsid w:val="001B3C31"/>
    <w:rsid w:val="001B3C71"/>
    <w:rsid w:val="001B3F1A"/>
    <w:rsid w:val="001B66E1"/>
    <w:rsid w:val="001B72D0"/>
    <w:rsid w:val="001B765F"/>
    <w:rsid w:val="001C135B"/>
    <w:rsid w:val="001C1361"/>
    <w:rsid w:val="001C1786"/>
    <w:rsid w:val="001C6434"/>
    <w:rsid w:val="001C6DDD"/>
    <w:rsid w:val="001C7F1E"/>
    <w:rsid w:val="001D15D4"/>
    <w:rsid w:val="001D22CA"/>
    <w:rsid w:val="001D2E2A"/>
    <w:rsid w:val="001D4F16"/>
    <w:rsid w:val="001D5E4E"/>
    <w:rsid w:val="001D79A6"/>
    <w:rsid w:val="001E0092"/>
    <w:rsid w:val="001E0534"/>
    <w:rsid w:val="001E1230"/>
    <w:rsid w:val="001E1EDA"/>
    <w:rsid w:val="001E2B27"/>
    <w:rsid w:val="001E2FF5"/>
    <w:rsid w:val="001E40AA"/>
    <w:rsid w:val="001E4601"/>
    <w:rsid w:val="001E4D46"/>
    <w:rsid w:val="001E623E"/>
    <w:rsid w:val="001E6B54"/>
    <w:rsid w:val="001F0544"/>
    <w:rsid w:val="001F14F8"/>
    <w:rsid w:val="001F1607"/>
    <w:rsid w:val="001F1BB5"/>
    <w:rsid w:val="001F1FD5"/>
    <w:rsid w:val="001F371B"/>
    <w:rsid w:val="001F67A5"/>
    <w:rsid w:val="001F6E8E"/>
    <w:rsid w:val="00201A07"/>
    <w:rsid w:val="00201E0D"/>
    <w:rsid w:val="0020331F"/>
    <w:rsid w:val="0020349F"/>
    <w:rsid w:val="00204455"/>
    <w:rsid w:val="00205361"/>
    <w:rsid w:val="00205EEB"/>
    <w:rsid w:val="0020644A"/>
    <w:rsid w:val="00206C71"/>
    <w:rsid w:val="00207882"/>
    <w:rsid w:val="002079FD"/>
    <w:rsid w:val="0021047A"/>
    <w:rsid w:val="00212073"/>
    <w:rsid w:val="00212137"/>
    <w:rsid w:val="00212E79"/>
    <w:rsid w:val="002139D1"/>
    <w:rsid w:val="00214635"/>
    <w:rsid w:val="002147A0"/>
    <w:rsid w:val="00215172"/>
    <w:rsid w:val="002157D5"/>
    <w:rsid w:val="002219D3"/>
    <w:rsid w:val="00221C66"/>
    <w:rsid w:val="0022240C"/>
    <w:rsid w:val="00223930"/>
    <w:rsid w:val="00223F35"/>
    <w:rsid w:val="0022583B"/>
    <w:rsid w:val="0022692D"/>
    <w:rsid w:val="00226939"/>
    <w:rsid w:val="002272E6"/>
    <w:rsid w:val="002273F9"/>
    <w:rsid w:val="0023039C"/>
    <w:rsid w:val="00230B1D"/>
    <w:rsid w:val="0023118B"/>
    <w:rsid w:val="00232E20"/>
    <w:rsid w:val="00233245"/>
    <w:rsid w:val="00233C4E"/>
    <w:rsid w:val="002348AE"/>
    <w:rsid w:val="00234E33"/>
    <w:rsid w:val="0023568B"/>
    <w:rsid w:val="002356E2"/>
    <w:rsid w:val="00236804"/>
    <w:rsid w:val="0023741A"/>
    <w:rsid w:val="002374ED"/>
    <w:rsid w:val="00237502"/>
    <w:rsid w:val="002377D0"/>
    <w:rsid w:val="002379D6"/>
    <w:rsid w:val="00241401"/>
    <w:rsid w:val="00242ADD"/>
    <w:rsid w:val="00245AF5"/>
    <w:rsid w:val="00245B43"/>
    <w:rsid w:val="00245B92"/>
    <w:rsid w:val="00246C38"/>
    <w:rsid w:val="00247427"/>
    <w:rsid w:val="002516CF"/>
    <w:rsid w:val="00251DEA"/>
    <w:rsid w:val="00251ECC"/>
    <w:rsid w:val="00252959"/>
    <w:rsid w:val="00252C75"/>
    <w:rsid w:val="00255347"/>
    <w:rsid w:val="00255400"/>
    <w:rsid w:val="0025769B"/>
    <w:rsid w:val="002577D5"/>
    <w:rsid w:val="00260281"/>
    <w:rsid w:val="00260C2A"/>
    <w:rsid w:val="002612A0"/>
    <w:rsid w:val="00261B3A"/>
    <w:rsid w:val="00264330"/>
    <w:rsid w:val="002647B8"/>
    <w:rsid w:val="00264D3F"/>
    <w:rsid w:val="0026596B"/>
    <w:rsid w:val="00265EF5"/>
    <w:rsid w:val="00266651"/>
    <w:rsid w:val="00266B72"/>
    <w:rsid w:val="0027048D"/>
    <w:rsid w:val="00270E84"/>
    <w:rsid w:val="00273343"/>
    <w:rsid w:val="0027376E"/>
    <w:rsid w:val="002737C0"/>
    <w:rsid w:val="00276FAF"/>
    <w:rsid w:val="00277367"/>
    <w:rsid w:val="002777A8"/>
    <w:rsid w:val="00282430"/>
    <w:rsid w:val="00283154"/>
    <w:rsid w:val="0028360C"/>
    <w:rsid w:val="0028393D"/>
    <w:rsid w:val="002851AF"/>
    <w:rsid w:val="00285249"/>
    <w:rsid w:val="00285851"/>
    <w:rsid w:val="002859D2"/>
    <w:rsid w:val="00286E79"/>
    <w:rsid w:val="00287EB5"/>
    <w:rsid w:val="00291F72"/>
    <w:rsid w:val="00293CBB"/>
    <w:rsid w:val="0029411D"/>
    <w:rsid w:val="002941A7"/>
    <w:rsid w:val="0029489C"/>
    <w:rsid w:val="00294962"/>
    <w:rsid w:val="00295077"/>
    <w:rsid w:val="002954B2"/>
    <w:rsid w:val="002965FF"/>
    <w:rsid w:val="00296668"/>
    <w:rsid w:val="00296DA9"/>
    <w:rsid w:val="002974D4"/>
    <w:rsid w:val="00297770"/>
    <w:rsid w:val="002A02ED"/>
    <w:rsid w:val="002A0D2B"/>
    <w:rsid w:val="002A1755"/>
    <w:rsid w:val="002A303B"/>
    <w:rsid w:val="002A3CE0"/>
    <w:rsid w:val="002A3D16"/>
    <w:rsid w:val="002A4025"/>
    <w:rsid w:val="002A4D74"/>
    <w:rsid w:val="002A551E"/>
    <w:rsid w:val="002A770B"/>
    <w:rsid w:val="002A7969"/>
    <w:rsid w:val="002A79FF"/>
    <w:rsid w:val="002B03AF"/>
    <w:rsid w:val="002B093E"/>
    <w:rsid w:val="002B2115"/>
    <w:rsid w:val="002B443C"/>
    <w:rsid w:val="002B57E0"/>
    <w:rsid w:val="002B67B4"/>
    <w:rsid w:val="002B694F"/>
    <w:rsid w:val="002B74AE"/>
    <w:rsid w:val="002B7CFB"/>
    <w:rsid w:val="002C0104"/>
    <w:rsid w:val="002C1114"/>
    <w:rsid w:val="002C1D38"/>
    <w:rsid w:val="002C1EF9"/>
    <w:rsid w:val="002C28B0"/>
    <w:rsid w:val="002C3FCF"/>
    <w:rsid w:val="002C4C04"/>
    <w:rsid w:val="002C4F94"/>
    <w:rsid w:val="002C603B"/>
    <w:rsid w:val="002C6217"/>
    <w:rsid w:val="002C62C2"/>
    <w:rsid w:val="002C70CE"/>
    <w:rsid w:val="002C74B3"/>
    <w:rsid w:val="002C75CD"/>
    <w:rsid w:val="002C7AA2"/>
    <w:rsid w:val="002D01D4"/>
    <w:rsid w:val="002D0CCC"/>
    <w:rsid w:val="002D1F6E"/>
    <w:rsid w:val="002D2104"/>
    <w:rsid w:val="002D3AAE"/>
    <w:rsid w:val="002D44C8"/>
    <w:rsid w:val="002D482D"/>
    <w:rsid w:val="002D4B97"/>
    <w:rsid w:val="002D53FE"/>
    <w:rsid w:val="002D5ED0"/>
    <w:rsid w:val="002D64F6"/>
    <w:rsid w:val="002E0313"/>
    <w:rsid w:val="002E1FD9"/>
    <w:rsid w:val="002E2E1E"/>
    <w:rsid w:val="002E4434"/>
    <w:rsid w:val="002E6C6A"/>
    <w:rsid w:val="002E7612"/>
    <w:rsid w:val="002E7D48"/>
    <w:rsid w:val="002F0130"/>
    <w:rsid w:val="002F1175"/>
    <w:rsid w:val="002F160E"/>
    <w:rsid w:val="002F2736"/>
    <w:rsid w:val="002F357B"/>
    <w:rsid w:val="002F3C7D"/>
    <w:rsid w:val="002F4AC7"/>
    <w:rsid w:val="002F4E39"/>
    <w:rsid w:val="002F5232"/>
    <w:rsid w:val="002F55D4"/>
    <w:rsid w:val="002F598D"/>
    <w:rsid w:val="002F59F5"/>
    <w:rsid w:val="002F5FF2"/>
    <w:rsid w:val="002F6863"/>
    <w:rsid w:val="003006E0"/>
    <w:rsid w:val="00302077"/>
    <w:rsid w:val="003023C8"/>
    <w:rsid w:val="00302C6D"/>
    <w:rsid w:val="00304964"/>
    <w:rsid w:val="00304F8A"/>
    <w:rsid w:val="00305159"/>
    <w:rsid w:val="00305472"/>
    <w:rsid w:val="00306D76"/>
    <w:rsid w:val="00310371"/>
    <w:rsid w:val="00311100"/>
    <w:rsid w:val="0031117C"/>
    <w:rsid w:val="00311ED5"/>
    <w:rsid w:val="00312412"/>
    <w:rsid w:val="00312AD3"/>
    <w:rsid w:val="00315E91"/>
    <w:rsid w:val="00316C09"/>
    <w:rsid w:val="00320FC5"/>
    <w:rsid w:val="0032186A"/>
    <w:rsid w:val="0032333E"/>
    <w:rsid w:val="00323478"/>
    <w:rsid w:val="00323E85"/>
    <w:rsid w:val="0032646F"/>
    <w:rsid w:val="0032753D"/>
    <w:rsid w:val="00331143"/>
    <w:rsid w:val="00331246"/>
    <w:rsid w:val="00332301"/>
    <w:rsid w:val="00332515"/>
    <w:rsid w:val="00333018"/>
    <w:rsid w:val="00333B5B"/>
    <w:rsid w:val="00333FB0"/>
    <w:rsid w:val="00334EC8"/>
    <w:rsid w:val="00335A40"/>
    <w:rsid w:val="00335CE0"/>
    <w:rsid w:val="00337399"/>
    <w:rsid w:val="003404C9"/>
    <w:rsid w:val="0034095F"/>
    <w:rsid w:val="00343147"/>
    <w:rsid w:val="00345E1D"/>
    <w:rsid w:val="00346DE5"/>
    <w:rsid w:val="00347A0B"/>
    <w:rsid w:val="003510E1"/>
    <w:rsid w:val="003517AC"/>
    <w:rsid w:val="00351F63"/>
    <w:rsid w:val="00352212"/>
    <w:rsid w:val="00354B23"/>
    <w:rsid w:val="00355901"/>
    <w:rsid w:val="00355B36"/>
    <w:rsid w:val="003567E2"/>
    <w:rsid w:val="003568D3"/>
    <w:rsid w:val="003569BA"/>
    <w:rsid w:val="00356D05"/>
    <w:rsid w:val="00356D34"/>
    <w:rsid w:val="00357501"/>
    <w:rsid w:val="00357626"/>
    <w:rsid w:val="00357D23"/>
    <w:rsid w:val="003606A7"/>
    <w:rsid w:val="00360792"/>
    <w:rsid w:val="0036091B"/>
    <w:rsid w:val="00360F7B"/>
    <w:rsid w:val="003611DE"/>
    <w:rsid w:val="003614B1"/>
    <w:rsid w:val="0036188D"/>
    <w:rsid w:val="00361FBF"/>
    <w:rsid w:val="00362DF2"/>
    <w:rsid w:val="00362F74"/>
    <w:rsid w:val="00363BB8"/>
    <w:rsid w:val="00364ACA"/>
    <w:rsid w:val="00364C7A"/>
    <w:rsid w:val="003655FF"/>
    <w:rsid w:val="00366924"/>
    <w:rsid w:val="00367523"/>
    <w:rsid w:val="00367601"/>
    <w:rsid w:val="0036771C"/>
    <w:rsid w:val="00367B99"/>
    <w:rsid w:val="0037108B"/>
    <w:rsid w:val="00371624"/>
    <w:rsid w:val="003727EF"/>
    <w:rsid w:val="00372D4F"/>
    <w:rsid w:val="003735CA"/>
    <w:rsid w:val="00374BB3"/>
    <w:rsid w:val="00374F91"/>
    <w:rsid w:val="00375F61"/>
    <w:rsid w:val="00376069"/>
    <w:rsid w:val="003762E0"/>
    <w:rsid w:val="0037695C"/>
    <w:rsid w:val="003774ED"/>
    <w:rsid w:val="00380087"/>
    <w:rsid w:val="0038042D"/>
    <w:rsid w:val="00380446"/>
    <w:rsid w:val="003806A1"/>
    <w:rsid w:val="00381487"/>
    <w:rsid w:val="00381577"/>
    <w:rsid w:val="00381B57"/>
    <w:rsid w:val="00385D04"/>
    <w:rsid w:val="003877A2"/>
    <w:rsid w:val="003904C1"/>
    <w:rsid w:val="00392068"/>
    <w:rsid w:val="00392773"/>
    <w:rsid w:val="00393EA7"/>
    <w:rsid w:val="0039484E"/>
    <w:rsid w:val="003948BB"/>
    <w:rsid w:val="00396397"/>
    <w:rsid w:val="003972E4"/>
    <w:rsid w:val="00397FD3"/>
    <w:rsid w:val="003A006B"/>
    <w:rsid w:val="003A0552"/>
    <w:rsid w:val="003A07EC"/>
    <w:rsid w:val="003A0B3E"/>
    <w:rsid w:val="003A1826"/>
    <w:rsid w:val="003A21E6"/>
    <w:rsid w:val="003A286D"/>
    <w:rsid w:val="003A4D64"/>
    <w:rsid w:val="003B16B9"/>
    <w:rsid w:val="003B27F5"/>
    <w:rsid w:val="003B2BC7"/>
    <w:rsid w:val="003B4C12"/>
    <w:rsid w:val="003B65AD"/>
    <w:rsid w:val="003B7523"/>
    <w:rsid w:val="003C10A2"/>
    <w:rsid w:val="003C1B50"/>
    <w:rsid w:val="003C2893"/>
    <w:rsid w:val="003C31F8"/>
    <w:rsid w:val="003C3281"/>
    <w:rsid w:val="003C38E0"/>
    <w:rsid w:val="003C4B30"/>
    <w:rsid w:val="003D1C23"/>
    <w:rsid w:val="003D369C"/>
    <w:rsid w:val="003D385D"/>
    <w:rsid w:val="003D46C9"/>
    <w:rsid w:val="003D4DD8"/>
    <w:rsid w:val="003D5E54"/>
    <w:rsid w:val="003D5F1F"/>
    <w:rsid w:val="003D7A4E"/>
    <w:rsid w:val="003D7B12"/>
    <w:rsid w:val="003E0C1F"/>
    <w:rsid w:val="003E52D8"/>
    <w:rsid w:val="003E5F0A"/>
    <w:rsid w:val="003E65B5"/>
    <w:rsid w:val="003F0147"/>
    <w:rsid w:val="003F04C3"/>
    <w:rsid w:val="003F0FAA"/>
    <w:rsid w:val="003F2853"/>
    <w:rsid w:val="003F28F0"/>
    <w:rsid w:val="003F35AC"/>
    <w:rsid w:val="003F37ED"/>
    <w:rsid w:val="003F5B28"/>
    <w:rsid w:val="003F5DE8"/>
    <w:rsid w:val="003F5EC9"/>
    <w:rsid w:val="003F6436"/>
    <w:rsid w:val="003F745C"/>
    <w:rsid w:val="00402320"/>
    <w:rsid w:val="0040322D"/>
    <w:rsid w:val="00405467"/>
    <w:rsid w:val="004057D3"/>
    <w:rsid w:val="00406233"/>
    <w:rsid w:val="00406681"/>
    <w:rsid w:val="00406906"/>
    <w:rsid w:val="004078FD"/>
    <w:rsid w:val="00407A17"/>
    <w:rsid w:val="00410C13"/>
    <w:rsid w:val="0041119E"/>
    <w:rsid w:val="004124DE"/>
    <w:rsid w:val="00412D9F"/>
    <w:rsid w:val="00413A42"/>
    <w:rsid w:val="00413C66"/>
    <w:rsid w:val="00413F3A"/>
    <w:rsid w:val="00414A25"/>
    <w:rsid w:val="00415636"/>
    <w:rsid w:val="00415F67"/>
    <w:rsid w:val="004164F7"/>
    <w:rsid w:val="00416577"/>
    <w:rsid w:val="00416D5C"/>
    <w:rsid w:val="00417914"/>
    <w:rsid w:val="004205F8"/>
    <w:rsid w:val="00421CA6"/>
    <w:rsid w:val="00422195"/>
    <w:rsid w:val="00422593"/>
    <w:rsid w:val="00422628"/>
    <w:rsid w:val="00422C89"/>
    <w:rsid w:val="00423413"/>
    <w:rsid w:val="00423A12"/>
    <w:rsid w:val="00423EA7"/>
    <w:rsid w:val="004241A8"/>
    <w:rsid w:val="00424566"/>
    <w:rsid w:val="00425B6A"/>
    <w:rsid w:val="00425F98"/>
    <w:rsid w:val="00426E5B"/>
    <w:rsid w:val="004301FA"/>
    <w:rsid w:val="00431C34"/>
    <w:rsid w:val="00432D06"/>
    <w:rsid w:val="004339B3"/>
    <w:rsid w:val="00433F1A"/>
    <w:rsid w:val="00434399"/>
    <w:rsid w:val="00434734"/>
    <w:rsid w:val="00435893"/>
    <w:rsid w:val="00436F2A"/>
    <w:rsid w:val="00437431"/>
    <w:rsid w:val="00441B5A"/>
    <w:rsid w:val="0044235E"/>
    <w:rsid w:val="004425EB"/>
    <w:rsid w:val="00442898"/>
    <w:rsid w:val="004435B1"/>
    <w:rsid w:val="00443BE7"/>
    <w:rsid w:val="004443E5"/>
    <w:rsid w:val="0044652B"/>
    <w:rsid w:val="004469D5"/>
    <w:rsid w:val="00446E10"/>
    <w:rsid w:val="00447154"/>
    <w:rsid w:val="004504AA"/>
    <w:rsid w:val="00450CC3"/>
    <w:rsid w:val="00452405"/>
    <w:rsid w:val="00453988"/>
    <w:rsid w:val="0045399B"/>
    <w:rsid w:val="0045401A"/>
    <w:rsid w:val="0045448F"/>
    <w:rsid w:val="00456701"/>
    <w:rsid w:val="004571DB"/>
    <w:rsid w:val="00457B9B"/>
    <w:rsid w:val="00457EF1"/>
    <w:rsid w:val="004612E4"/>
    <w:rsid w:val="00462FB0"/>
    <w:rsid w:val="00463884"/>
    <w:rsid w:val="00463C60"/>
    <w:rsid w:val="00463CE4"/>
    <w:rsid w:val="00463EC1"/>
    <w:rsid w:val="004669A1"/>
    <w:rsid w:val="004673DC"/>
    <w:rsid w:val="004676D1"/>
    <w:rsid w:val="00467F5E"/>
    <w:rsid w:val="0047167C"/>
    <w:rsid w:val="00472B70"/>
    <w:rsid w:val="00473C70"/>
    <w:rsid w:val="004742E2"/>
    <w:rsid w:val="00475C13"/>
    <w:rsid w:val="00476D44"/>
    <w:rsid w:val="00476F2B"/>
    <w:rsid w:val="00477C62"/>
    <w:rsid w:val="0048008F"/>
    <w:rsid w:val="0048090E"/>
    <w:rsid w:val="00480FCD"/>
    <w:rsid w:val="00481E4D"/>
    <w:rsid w:val="00482EFC"/>
    <w:rsid w:val="00483680"/>
    <w:rsid w:val="0048638F"/>
    <w:rsid w:val="00486AF7"/>
    <w:rsid w:val="004871F2"/>
    <w:rsid w:val="004875AC"/>
    <w:rsid w:val="0049029D"/>
    <w:rsid w:val="00490F13"/>
    <w:rsid w:val="00491972"/>
    <w:rsid w:val="004922B2"/>
    <w:rsid w:val="00492EAB"/>
    <w:rsid w:val="0049318E"/>
    <w:rsid w:val="00494438"/>
    <w:rsid w:val="00495E9E"/>
    <w:rsid w:val="00496FF4"/>
    <w:rsid w:val="00497B79"/>
    <w:rsid w:val="004A0136"/>
    <w:rsid w:val="004A1190"/>
    <w:rsid w:val="004A28FC"/>
    <w:rsid w:val="004A2EF7"/>
    <w:rsid w:val="004A32A6"/>
    <w:rsid w:val="004A37B1"/>
    <w:rsid w:val="004A4BC0"/>
    <w:rsid w:val="004A58C4"/>
    <w:rsid w:val="004A595C"/>
    <w:rsid w:val="004A63EF"/>
    <w:rsid w:val="004A644F"/>
    <w:rsid w:val="004A65CC"/>
    <w:rsid w:val="004B09ED"/>
    <w:rsid w:val="004B0C2B"/>
    <w:rsid w:val="004B101B"/>
    <w:rsid w:val="004B114F"/>
    <w:rsid w:val="004B1702"/>
    <w:rsid w:val="004B27A5"/>
    <w:rsid w:val="004B4E6F"/>
    <w:rsid w:val="004B52C1"/>
    <w:rsid w:val="004B6DBC"/>
    <w:rsid w:val="004C0EA8"/>
    <w:rsid w:val="004C0F75"/>
    <w:rsid w:val="004C1158"/>
    <w:rsid w:val="004C1841"/>
    <w:rsid w:val="004C26E6"/>
    <w:rsid w:val="004C2875"/>
    <w:rsid w:val="004C28CA"/>
    <w:rsid w:val="004C5DAA"/>
    <w:rsid w:val="004C645E"/>
    <w:rsid w:val="004C74A3"/>
    <w:rsid w:val="004C79FC"/>
    <w:rsid w:val="004C7B53"/>
    <w:rsid w:val="004D2280"/>
    <w:rsid w:val="004D22C8"/>
    <w:rsid w:val="004D2FF4"/>
    <w:rsid w:val="004D40A5"/>
    <w:rsid w:val="004E11D4"/>
    <w:rsid w:val="004E148D"/>
    <w:rsid w:val="004E17B6"/>
    <w:rsid w:val="004E17F2"/>
    <w:rsid w:val="004E1937"/>
    <w:rsid w:val="004E3934"/>
    <w:rsid w:val="004E3953"/>
    <w:rsid w:val="004E3C51"/>
    <w:rsid w:val="004E3FDD"/>
    <w:rsid w:val="004E6D0F"/>
    <w:rsid w:val="004E7810"/>
    <w:rsid w:val="004E7FCA"/>
    <w:rsid w:val="004F0156"/>
    <w:rsid w:val="004F173D"/>
    <w:rsid w:val="004F3D23"/>
    <w:rsid w:val="004F4184"/>
    <w:rsid w:val="004F51E5"/>
    <w:rsid w:val="004F671A"/>
    <w:rsid w:val="004F69C0"/>
    <w:rsid w:val="004F7469"/>
    <w:rsid w:val="004F7956"/>
    <w:rsid w:val="004F7C48"/>
    <w:rsid w:val="00501FDF"/>
    <w:rsid w:val="0050335B"/>
    <w:rsid w:val="005039D5"/>
    <w:rsid w:val="00503BBE"/>
    <w:rsid w:val="0050524C"/>
    <w:rsid w:val="00505291"/>
    <w:rsid w:val="00506186"/>
    <w:rsid w:val="005066BD"/>
    <w:rsid w:val="0050674D"/>
    <w:rsid w:val="00507102"/>
    <w:rsid w:val="00507674"/>
    <w:rsid w:val="0051004B"/>
    <w:rsid w:val="00511425"/>
    <w:rsid w:val="005134C4"/>
    <w:rsid w:val="005145EE"/>
    <w:rsid w:val="00516E05"/>
    <w:rsid w:val="00520354"/>
    <w:rsid w:val="005217E3"/>
    <w:rsid w:val="00521FBD"/>
    <w:rsid w:val="00522077"/>
    <w:rsid w:val="00523E9E"/>
    <w:rsid w:val="005256CC"/>
    <w:rsid w:val="00525B61"/>
    <w:rsid w:val="00525FF6"/>
    <w:rsid w:val="00526670"/>
    <w:rsid w:val="005272C3"/>
    <w:rsid w:val="005272D8"/>
    <w:rsid w:val="00531B8A"/>
    <w:rsid w:val="005326C7"/>
    <w:rsid w:val="005328A2"/>
    <w:rsid w:val="00533776"/>
    <w:rsid w:val="005345F5"/>
    <w:rsid w:val="005354CC"/>
    <w:rsid w:val="005362EE"/>
    <w:rsid w:val="00536B8D"/>
    <w:rsid w:val="00536DD4"/>
    <w:rsid w:val="00540292"/>
    <w:rsid w:val="005429AA"/>
    <w:rsid w:val="005437F7"/>
    <w:rsid w:val="005439F5"/>
    <w:rsid w:val="00544560"/>
    <w:rsid w:val="00545D03"/>
    <w:rsid w:val="005462FC"/>
    <w:rsid w:val="005469B9"/>
    <w:rsid w:val="00547FEA"/>
    <w:rsid w:val="00550A92"/>
    <w:rsid w:val="00550ADB"/>
    <w:rsid w:val="00550EA8"/>
    <w:rsid w:val="005521E4"/>
    <w:rsid w:val="0055240C"/>
    <w:rsid w:val="0055331B"/>
    <w:rsid w:val="0055384D"/>
    <w:rsid w:val="005540C7"/>
    <w:rsid w:val="00554D29"/>
    <w:rsid w:val="0055533A"/>
    <w:rsid w:val="00557561"/>
    <w:rsid w:val="00561496"/>
    <w:rsid w:val="00562452"/>
    <w:rsid w:val="00565111"/>
    <w:rsid w:val="0057006F"/>
    <w:rsid w:val="00570189"/>
    <w:rsid w:val="00570830"/>
    <w:rsid w:val="0057142B"/>
    <w:rsid w:val="00571A63"/>
    <w:rsid w:val="00572EAF"/>
    <w:rsid w:val="0057303A"/>
    <w:rsid w:val="005742E2"/>
    <w:rsid w:val="0057459C"/>
    <w:rsid w:val="005804D7"/>
    <w:rsid w:val="0058157F"/>
    <w:rsid w:val="00581922"/>
    <w:rsid w:val="005819E5"/>
    <w:rsid w:val="00581C07"/>
    <w:rsid w:val="00583332"/>
    <w:rsid w:val="00584CA6"/>
    <w:rsid w:val="00585386"/>
    <w:rsid w:val="005855D0"/>
    <w:rsid w:val="00585F52"/>
    <w:rsid w:val="005864EF"/>
    <w:rsid w:val="005867CA"/>
    <w:rsid w:val="005876DE"/>
    <w:rsid w:val="00587B35"/>
    <w:rsid w:val="00590A05"/>
    <w:rsid w:val="00590A2C"/>
    <w:rsid w:val="00593EAE"/>
    <w:rsid w:val="0059431E"/>
    <w:rsid w:val="00595C52"/>
    <w:rsid w:val="00596121"/>
    <w:rsid w:val="00596310"/>
    <w:rsid w:val="00596CC6"/>
    <w:rsid w:val="00596E0E"/>
    <w:rsid w:val="005A11E8"/>
    <w:rsid w:val="005A1451"/>
    <w:rsid w:val="005A267B"/>
    <w:rsid w:val="005A3CF0"/>
    <w:rsid w:val="005A4E0F"/>
    <w:rsid w:val="005A55AB"/>
    <w:rsid w:val="005A614E"/>
    <w:rsid w:val="005A6809"/>
    <w:rsid w:val="005A72FD"/>
    <w:rsid w:val="005A7D22"/>
    <w:rsid w:val="005B088C"/>
    <w:rsid w:val="005B3B00"/>
    <w:rsid w:val="005B500E"/>
    <w:rsid w:val="005B509A"/>
    <w:rsid w:val="005B58A9"/>
    <w:rsid w:val="005B5A8E"/>
    <w:rsid w:val="005B685B"/>
    <w:rsid w:val="005B74B8"/>
    <w:rsid w:val="005C0444"/>
    <w:rsid w:val="005C0793"/>
    <w:rsid w:val="005C43AD"/>
    <w:rsid w:val="005C5F56"/>
    <w:rsid w:val="005C600D"/>
    <w:rsid w:val="005C76FC"/>
    <w:rsid w:val="005D047D"/>
    <w:rsid w:val="005D0F5F"/>
    <w:rsid w:val="005D191B"/>
    <w:rsid w:val="005D2D7C"/>
    <w:rsid w:val="005D347B"/>
    <w:rsid w:val="005D4FDF"/>
    <w:rsid w:val="005D7284"/>
    <w:rsid w:val="005E0980"/>
    <w:rsid w:val="005E207C"/>
    <w:rsid w:val="005E2B32"/>
    <w:rsid w:val="005E3F3B"/>
    <w:rsid w:val="005E3FDB"/>
    <w:rsid w:val="005E425E"/>
    <w:rsid w:val="005E5B5E"/>
    <w:rsid w:val="005E5BDE"/>
    <w:rsid w:val="005E64C0"/>
    <w:rsid w:val="005E6C2D"/>
    <w:rsid w:val="005E6C87"/>
    <w:rsid w:val="005E7D41"/>
    <w:rsid w:val="005E7EEA"/>
    <w:rsid w:val="005F0D7A"/>
    <w:rsid w:val="005F114B"/>
    <w:rsid w:val="005F21B0"/>
    <w:rsid w:val="005F4525"/>
    <w:rsid w:val="005F5431"/>
    <w:rsid w:val="005F546E"/>
    <w:rsid w:val="005F573F"/>
    <w:rsid w:val="005F5E6B"/>
    <w:rsid w:val="005F7957"/>
    <w:rsid w:val="00600F5C"/>
    <w:rsid w:val="0060142D"/>
    <w:rsid w:val="00601809"/>
    <w:rsid w:val="006031B3"/>
    <w:rsid w:val="00603EFE"/>
    <w:rsid w:val="00605AB1"/>
    <w:rsid w:val="00605E0A"/>
    <w:rsid w:val="006062A6"/>
    <w:rsid w:val="00606812"/>
    <w:rsid w:val="00606961"/>
    <w:rsid w:val="00607499"/>
    <w:rsid w:val="0061024C"/>
    <w:rsid w:val="0061103D"/>
    <w:rsid w:val="00611988"/>
    <w:rsid w:val="00612D30"/>
    <w:rsid w:val="006134E8"/>
    <w:rsid w:val="00613654"/>
    <w:rsid w:val="00614227"/>
    <w:rsid w:val="00617428"/>
    <w:rsid w:val="00617DC3"/>
    <w:rsid w:val="00620026"/>
    <w:rsid w:val="00620218"/>
    <w:rsid w:val="00621149"/>
    <w:rsid w:val="0062135F"/>
    <w:rsid w:val="0062226A"/>
    <w:rsid w:val="0062257A"/>
    <w:rsid w:val="006238FD"/>
    <w:rsid w:val="00624EE0"/>
    <w:rsid w:val="00625DFF"/>
    <w:rsid w:val="00626C51"/>
    <w:rsid w:val="00626F16"/>
    <w:rsid w:val="00627572"/>
    <w:rsid w:val="00630AB0"/>
    <w:rsid w:val="00630D74"/>
    <w:rsid w:val="00631A11"/>
    <w:rsid w:val="00632277"/>
    <w:rsid w:val="00632C9C"/>
    <w:rsid w:val="00632DFF"/>
    <w:rsid w:val="006334C2"/>
    <w:rsid w:val="00633C71"/>
    <w:rsid w:val="00633ECC"/>
    <w:rsid w:val="00634888"/>
    <w:rsid w:val="00635E0B"/>
    <w:rsid w:val="00636311"/>
    <w:rsid w:val="00636485"/>
    <w:rsid w:val="00636D3F"/>
    <w:rsid w:val="00637B03"/>
    <w:rsid w:val="00640C02"/>
    <w:rsid w:val="00641707"/>
    <w:rsid w:val="006433E3"/>
    <w:rsid w:val="0064402F"/>
    <w:rsid w:val="0064462A"/>
    <w:rsid w:val="00644674"/>
    <w:rsid w:val="00645B1D"/>
    <w:rsid w:val="00645B8F"/>
    <w:rsid w:val="0064708E"/>
    <w:rsid w:val="00647965"/>
    <w:rsid w:val="00647D8A"/>
    <w:rsid w:val="006509B8"/>
    <w:rsid w:val="00652210"/>
    <w:rsid w:val="006532E1"/>
    <w:rsid w:val="0065337E"/>
    <w:rsid w:val="00653715"/>
    <w:rsid w:val="006545F8"/>
    <w:rsid w:val="0065545D"/>
    <w:rsid w:val="006606E3"/>
    <w:rsid w:val="00661DDB"/>
    <w:rsid w:val="00662E9E"/>
    <w:rsid w:val="00663959"/>
    <w:rsid w:val="00663B4B"/>
    <w:rsid w:val="00663FF0"/>
    <w:rsid w:val="006640B8"/>
    <w:rsid w:val="006653E0"/>
    <w:rsid w:val="006658EF"/>
    <w:rsid w:val="006677C0"/>
    <w:rsid w:val="006712DD"/>
    <w:rsid w:val="006716E4"/>
    <w:rsid w:val="006717D8"/>
    <w:rsid w:val="00671E5C"/>
    <w:rsid w:val="006735EB"/>
    <w:rsid w:val="00673F1B"/>
    <w:rsid w:val="00674816"/>
    <w:rsid w:val="00676F34"/>
    <w:rsid w:val="006775FF"/>
    <w:rsid w:val="006805E9"/>
    <w:rsid w:val="00681782"/>
    <w:rsid w:val="006827A2"/>
    <w:rsid w:val="006827D1"/>
    <w:rsid w:val="0068305F"/>
    <w:rsid w:val="00683489"/>
    <w:rsid w:val="00683623"/>
    <w:rsid w:val="00683BD4"/>
    <w:rsid w:val="00687426"/>
    <w:rsid w:val="00691684"/>
    <w:rsid w:val="00694D0B"/>
    <w:rsid w:val="00697248"/>
    <w:rsid w:val="006A0B3A"/>
    <w:rsid w:val="006A201B"/>
    <w:rsid w:val="006A2200"/>
    <w:rsid w:val="006A34FC"/>
    <w:rsid w:val="006A5A54"/>
    <w:rsid w:val="006A6120"/>
    <w:rsid w:val="006A7F3E"/>
    <w:rsid w:val="006B004B"/>
    <w:rsid w:val="006B0C56"/>
    <w:rsid w:val="006B1284"/>
    <w:rsid w:val="006B23A5"/>
    <w:rsid w:val="006B2576"/>
    <w:rsid w:val="006B303F"/>
    <w:rsid w:val="006B35CA"/>
    <w:rsid w:val="006B370F"/>
    <w:rsid w:val="006B3FE0"/>
    <w:rsid w:val="006B447E"/>
    <w:rsid w:val="006B473C"/>
    <w:rsid w:val="006B5273"/>
    <w:rsid w:val="006B55FF"/>
    <w:rsid w:val="006B6562"/>
    <w:rsid w:val="006B66B2"/>
    <w:rsid w:val="006B6B1F"/>
    <w:rsid w:val="006B6FC9"/>
    <w:rsid w:val="006B7991"/>
    <w:rsid w:val="006C21AF"/>
    <w:rsid w:val="006C2ED3"/>
    <w:rsid w:val="006C3635"/>
    <w:rsid w:val="006C3838"/>
    <w:rsid w:val="006C4E72"/>
    <w:rsid w:val="006C5E66"/>
    <w:rsid w:val="006D1106"/>
    <w:rsid w:val="006D1392"/>
    <w:rsid w:val="006D1A96"/>
    <w:rsid w:val="006D24C0"/>
    <w:rsid w:val="006D2AB3"/>
    <w:rsid w:val="006D449C"/>
    <w:rsid w:val="006D6340"/>
    <w:rsid w:val="006D6A47"/>
    <w:rsid w:val="006D7F47"/>
    <w:rsid w:val="006E0B65"/>
    <w:rsid w:val="006E108D"/>
    <w:rsid w:val="006E359D"/>
    <w:rsid w:val="006E4E92"/>
    <w:rsid w:val="006E5C1A"/>
    <w:rsid w:val="006E613E"/>
    <w:rsid w:val="006F0BD1"/>
    <w:rsid w:val="006F1861"/>
    <w:rsid w:val="006F2444"/>
    <w:rsid w:val="006F37AB"/>
    <w:rsid w:val="006F3C46"/>
    <w:rsid w:val="006F4B86"/>
    <w:rsid w:val="006F4ECD"/>
    <w:rsid w:val="006F5DE2"/>
    <w:rsid w:val="006F7A33"/>
    <w:rsid w:val="00700193"/>
    <w:rsid w:val="00700D28"/>
    <w:rsid w:val="007020C5"/>
    <w:rsid w:val="00702958"/>
    <w:rsid w:val="007039FF"/>
    <w:rsid w:val="0070422B"/>
    <w:rsid w:val="00704766"/>
    <w:rsid w:val="00704E3A"/>
    <w:rsid w:val="00710D71"/>
    <w:rsid w:val="00711868"/>
    <w:rsid w:val="007119DC"/>
    <w:rsid w:val="007155ED"/>
    <w:rsid w:val="00715AA7"/>
    <w:rsid w:val="00715C25"/>
    <w:rsid w:val="00716524"/>
    <w:rsid w:val="00717BD2"/>
    <w:rsid w:val="0072024A"/>
    <w:rsid w:val="007214E3"/>
    <w:rsid w:val="00722480"/>
    <w:rsid w:val="00722B61"/>
    <w:rsid w:val="007237A0"/>
    <w:rsid w:val="0072486E"/>
    <w:rsid w:val="00724E72"/>
    <w:rsid w:val="007250B2"/>
    <w:rsid w:val="00725EB4"/>
    <w:rsid w:val="007260C6"/>
    <w:rsid w:val="007267E6"/>
    <w:rsid w:val="00727256"/>
    <w:rsid w:val="00727E59"/>
    <w:rsid w:val="0073260F"/>
    <w:rsid w:val="00732881"/>
    <w:rsid w:val="007329C2"/>
    <w:rsid w:val="00732BE2"/>
    <w:rsid w:val="00732C95"/>
    <w:rsid w:val="0073312B"/>
    <w:rsid w:val="00733652"/>
    <w:rsid w:val="007345C5"/>
    <w:rsid w:val="00735E87"/>
    <w:rsid w:val="00736196"/>
    <w:rsid w:val="007366C7"/>
    <w:rsid w:val="00737C9E"/>
    <w:rsid w:val="0074061A"/>
    <w:rsid w:val="007432FA"/>
    <w:rsid w:val="007433D4"/>
    <w:rsid w:val="00743EBC"/>
    <w:rsid w:val="00744C1C"/>
    <w:rsid w:val="0074588B"/>
    <w:rsid w:val="00745A14"/>
    <w:rsid w:val="00746676"/>
    <w:rsid w:val="0074726A"/>
    <w:rsid w:val="007473CE"/>
    <w:rsid w:val="00747F85"/>
    <w:rsid w:val="00750004"/>
    <w:rsid w:val="0075054E"/>
    <w:rsid w:val="007505D3"/>
    <w:rsid w:val="00750A23"/>
    <w:rsid w:val="0075277D"/>
    <w:rsid w:val="0075295A"/>
    <w:rsid w:val="007529FE"/>
    <w:rsid w:val="00754113"/>
    <w:rsid w:val="007558F6"/>
    <w:rsid w:val="0075746F"/>
    <w:rsid w:val="00757B5C"/>
    <w:rsid w:val="00761845"/>
    <w:rsid w:val="00761B90"/>
    <w:rsid w:val="00761D40"/>
    <w:rsid w:val="00763958"/>
    <w:rsid w:val="00763D1E"/>
    <w:rsid w:val="00763EEF"/>
    <w:rsid w:val="00764B9D"/>
    <w:rsid w:val="00765E5E"/>
    <w:rsid w:val="007662C4"/>
    <w:rsid w:val="007668C9"/>
    <w:rsid w:val="007668DF"/>
    <w:rsid w:val="00766F98"/>
    <w:rsid w:val="00770B67"/>
    <w:rsid w:val="00771E67"/>
    <w:rsid w:val="00772F46"/>
    <w:rsid w:val="0077301D"/>
    <w:rsid w:val="00773571"/>
    <w:rsid w:val="00775C3C"/>
    <w:rsid w:val="007772CA"/>
    <w:rsid w:val="007779D7"/>
    <w:rsid w:val="00780390"/>
    <w:rsid w:val="00780E67"/>
    <w:rsid w:val="00782459"/>
    <w:rsid w:val="00782720"/>
    <w:rsid w:val="00782913"/>
    <w:rsid w:val="00783DCE"/>
    <w:rsid w:val="00784BA4"/>
    <w:rsid w:val="00784DB2"/>
    <w:rsid w:val="0078724F"/>
    <w:rsid w:val="007878AE"/>
    <w:rsid w:val="00787A79"/>
    <w:rsid w:val="00790060"/>
    <w:rsid w:val="00790778"/>
    <w:rsid w:val="00790A25"/>
    <w:rsid w:val="0079146D"/>
    <w:rsid w:val="00792377"/>
    <w:rsid w:val="007923CC"/>
    <w:rsid w:val="007928F7"/>
    <w:rsid w:val="00792A12"/>
    <w:rsid w:val="00792E2F"/>
    <w:rsid w:val="007931F2"/>
    <w:rsid w:val="00793C94"/>
    <w:rsid w:val="00793CB6"/>
    <w:rsid w:val="00794329"/>
    <w:rsid w:val="007949D2"/>
    <w:rsid w:val="00794BFA"/>
    <w:rsid w:val="007957BD"/>
    <w:rsid w:val="00795E40"/>
    <w:rsid w:val="0079650D"/>
    <w:rsid w:val="00797333"/>
    <w:rsid w:val="007A017C"/>
    <w:rsid w:val="007A0D30"/>
    <w:rsid w:val="007A0DCD"/>
    <w:rsid w:val="007A26A9"/>
    <w:rsid w:val="007A2BA5"/>
    <w:rsid w:val="007A30D0"/>
    <w:rsid w:val="007A37B6"/>
    <w:rsid w:val="007A3A60"/>
    <w:rsid w:val="007A431A"/>
    <w:rsid w:val="007A7882"/>
    <w:rsid w:val="007A7F25"/>
    <w:rsid w:val="007B0E09"/>
    <w:rsid w:val="007B14B6"/>
    <w:rsid w:val="007B1549"/>
    <w:rsid w:val="007B1A77"/>
    <w:rsid w:val="007B2427"/>
    <w:rsid w:val="007B3D80"/>
    <w:rsid w:val="007B452A"/>
    <w:rsid w:val="007B5B9B"/>
    <w:rsid w:val="007B7189"/>
    <w:rsid w:val="007C0229"/>
    <w:rsid w:val="007C141A"/>
    <w:rsid w:val="007C14C7"/>
    <w:rsid w:val="007C1ACD"/>
    <w:rsid w:val="007C1AEF"/>
    <w:rsid w:val="007C1FD0"/>
    <w:rsid w:val="007C204D"/>
    <w:rsid w:val="007C3728"/>
    <w:rsid w:val="007C3D25"/>
    <w:rsid w:val="007C4B45"/>
    <w:rsid w:val="007C5201"/>
    <w:rsid w:val="007C5717"/>
    <w:rsid w:val="007C7AB3"/>
    <w:rsid w:val="007D0865"/>
    <w:rsid w:val="007D0DD8"/>
    <w:rsid w:val="007D1129"/>
    <w:rsid w:val="007D14CE"/>
    <w:rsid w:val="007D2776"/>
    <w:rsid w:val="007D2E46"/>
    <w:rsid w:val="007D3BE9"/>
    <w:rsid w:val="007D3D0B"/>
    <w:rsid w:val="007D3D65"/>
    <w:rsid w:val="007D5382"/>
    <w:rsid w:val="007D5634"/>
    <w:rsid w:val="007D591E"/>
    <w:rsid w:val="007D5E0F"/>
    <w:rsid w:val="007D66A6"/>
    <w:rsid w:val="007D699F"/>
    <w:rsid w:val="007D6A00"/>
    <w:rsid w:val="007D7375"/>
    <w:rsid w:val="007E1045"/>
    <w:rsid w:val="007E3781"/>
    <w:rsid w:val="007E3A2B"/>
    <w:rsid w:val="007E3CC9"/>
    <w:rsid w:val="007E531D"/>
    <w:rsid w:val="007E55A0"/>
    <w:rsid w:val="007E5C3A"/>
    <w:rsid w:val="007E6B32"/>
    <w:rsid w:val="007F2AF4"/>
    <w:rsid w:val="007F2EC0"/>
    <w:rsid w:val="007F4BCB"/>
    <w:rsid w:val="007F57E6"/>
    <w:rsid w:val="007F5EBD"/>
    <w:rsid w:val="007F7B4A"/>
    <w:rsid w:val="007F7E0A"/>
    <w:rsid w:val="008004C3"/>
    <w:rsid w:val="008016DF"/>
    <w:rsid w:val="0080173E"/>
    <w:rsid w:val="00801985"/>
    <w:rsid w:val="0080604E"/>
    <w:rsid w:val="008065A5"/>
    <w:rsid w:val="00807198"/>
    <w:rsid w:val="00807B6D"/>
    <w:rsid w:val="00811B63"/>
    <w:rsid w:val="00812118"/>
    <w:rsid w:val="008145B9"/>
    <w:rsid w:val="00814A29"/>
    <w:rsid w:val="00815FED"/>
    <w:rsid w:val="00816876"/>
    <w:rsid w:val="00822609"/>
    <w:rsid w:val="008230F5"/>
    <w:rsid w:val="008248F3"/>
    <w:rsid w:val="00827016"/>
    <w:rsid w:val="00831B7D"/>
    <w:rsid w:val="008324F9"/>
    <w:rsid w:val="00833B9E"/>
    <w:rsid w:val="00834564"/>
    <w:rsid w:val="008346EF"/>
    <w:rsid w:val="00834B0C"/>
    <w:rsid w:val="0083505B"/>
    <w:rsid w:val="008354C3"/>
    <w:rsid w:val="00836E81"/>
    <w:rsid w:val="008379A1"/>
    <w:rsid w:val="00837CE3"/>
    <w:rsid w:val="008426C7"/>
    <w:rsid w:val="0084376B"/>
    <w:rsid w:val="00843B29"/>
    <w:rsid w:val="008441D5"/>
    <w:rsid w:val="008454B8"/>
    <w:rsid w:val="00845A00"/>
    <w:rsid w:val="008461C1"/>
    <w:rsid w:val="00847D3B"/>
    <w:rsid w:val="00850BDE"/>
    <w:rsid w:val="0085182E"/>
    <w:rsid w:val="00851E7D"/>
    <w:rsid w:val="00854C80"/>
    <w:rsid w:val="00855CAB"/>
    <w:rsid w:val="008572AB"/>
    <w:rsid w:val="00857907"/>
    <w:rsid w:val="00857D04"/>
    <w:rsid w:val="008609A8"/>
    <w:rsid w:val="00861778"/>
    <w:rsid w:val="0086214D"/>
    <w:rsid w:val="00862F64"/>
    <w:rsid w:val="00864A17"/>
    <w:rsid w:val="00864A2D"/>
    <w:rsid w:val="00864FEC"/>
    <w:rsid w:val="008709C2"/>
    <w:rsid w:val="00870EC1"/>
    <w:rsid w:val="00871958"/>
    <w:rsid w:val="00872C21"/>
    <w:rsid w:val="00874526"/>
    <w:rsid w:val="00874F06"/>
    <w:rsid w:val="008760B7"/>
    <w:rsid w:val="00877563"/>
    <w:rsid w:val="0087774A"/>
    <w:rsid w:val="00880B6F"/>
    <w:rsid w:val="008814A8"/>
    <w:rsid w:val="00882034"/>
    <w:rsid w:val="00883AA6"/>
    <w:rsid w:val="00883B7B"/>
    <w:rsid w:val="00883C6D"/>
    <w:rsid w:val="008866E7"/>
    <w:rsid w:val="00886B27"/>
    <w:rsid w:val="00886D52"/>
    <w:rsid w:val="0088718E"/>
    <w:rsid w:val="00890E09"/>
    <w:rsid w:val="00891377"/>
    <w:rsid w:val="00891CCC"/>
    <w:rsid w:val="008926C1"/>
    <w:rsid w:val="00894451"/>
    <w:rsid w:val="0089668F"/>
    <w:rsid w:val="008967BD"/>
    <w:rsid w:val="00896A0A"/>
    <w:rsid w:val="0089732D"/>
    <w:rsid w:val="00897A67"/>
    <w:rsid w:val="008A1CE9"/>
    <w:rsid w:val="008A22C5"/>
    <w:rsid w:val="008A23D2"/>
    <w:rsid w:val="008A3448"/>
    <w:rsid w:val="008A38C8"/>
    <w:rsid w:val="008B0F34"/>
    <w:rsid w:val="008B39BC"/>
    <w:rsid w:val="008B3D03"/>
    <w:rsid w:val="008B4160"/>
    <w:rsid w:val="008B4264"/>
    <w:rsid w:val="008B4BA6"/>
    <w:rsid w:val="008B514E"/>
    <w:rsid w:val="008B56D2"/>
    <w:rsid w:val="008B6F41"/>
    <w:rsid w:val="008B7440"/>
    <w:rsid w:val="008C0C7A"/>
    <w:rsid w:val="008C10AD"/>
    <w:rsid w:val="008C12FE"/>
    <w:rsid w:val="008C230C"/>
    <w:rsid w:val="008C2349"/>
    <w:rsid w:val="008C3BC5"/>
    <w:rsid w:val="008C452A"/>
    <w:rsid w:val="008C546C"/>
    <w:rsid w:val="008C5504"/>
    <w:rsid w:val="008C5BCE"/>
    <w:rsid w:val="008C7C2B"/>
    <w:rsid w:val="008D0091"/>
    <w:rsid w:val="008D1A1D"/>
    <w:rsid w:val="008D32BF"/>
    <w:rsid w:val="008D461A"/>
    <w:rsid w:val="008D4BB1"/>
    <w:rsid w:val="008D5AD4"/>
    <w:rsid w:val="008D664D"/>
    <w:rsid w:val="008D79FD"/>
    <w:rsid w:val="008D7CCA"/>
    <w:rsid w:val="008E08C4"/>
    <w:rsid w:val="008E11AB"/>
    <w:rsid w:val="008E126D"/>
    <w:rsid w:val="008E15D4"/>
    <w:rsid w:val="008E16AE"/>
    <w:rsid w:val="008E1C2D"/>
    <w:rsid w:val="008E3831"/>
    <w:rsid w:val="008E566B"/>
    <w:rsid w:val="008E5F54"/>
    <w:rsid w:val="008E679C"/>
    <w:rsid w:val="008E7C21"/>
    <w:rsid w:val="008F02BA"/>
    <w:rsid w:val="008F06EE"/>
    <w:rsid w:val="008F17C9"/>
    <w:rsid w:val="008F18A6"/>
    <w:rsid w:val="008F3AEC"/>
    <w:rsid w:val="008F49ED"/>
    <w:rsid w:val="008F536B"/>
    <w:rsid w:val="008F5549"/>
    <w:rsid w:val="008F5612"/>
    <w:rsid w:val="008F5A31"/>
    <w:rsid w:val="008F67B4"/>
    <w:rsid w:val="008F6995"/>
    <w:rsid w:val="008F7019"/>
    <w:rsid w:val="008F73C6"/>
    <w:rsid w:val="008F740A"/>
    <w:rsid w:val="00900052"/>
    <w:rsid w:val="00902138"/>
    <w:rsid w:val="0090214C"/>
    <w:rsid w:val="0090314D"/>
    <w:rsid w:val="009048D4"/>
    <w:rsid w:val="00905800"/>
    <w:rsid w:val="009067A5"/>
    <w:rsid w:val="00907702"/>
    <w:rsid w:val="00910129"/>
    <w:rsid w:val="00911DBE"/>
    <w:rsid w:val="00912612"/>
    <w:rsid w:val="00912732"/>
    <w:rsid w:val="009133F6"/>
    <w:rsid w:val="009140A8"/>
    <w:rsid w:val="00916CDC"/>
    <w:rsid w:val="00916E9E"/>
    <w:rsid w:val="00921A17"/>
    <w:rsid w:val="00923046"/>
    <w:rsid w:val="00923239"/>
    <w:rsid w:val="00923A29"/>
    <w:rsid w:val="009251A9"/>
    <w:rsid w:val="0092710A"/>
    <w:rsid w:val="009279A6"/>
    <w:rsid w:val="00927DD3"/>
    <w:rsid w:val="009322B3"/>
    <w:rsid w:val="00932A22"/>
    <w:rsid w:val="00933717"/>
    <w:rsid w:val="00934361"/>
    <w:rsid w:val="00934F5B"/>
    <w:rsid w:val="00935170"/>
    <w:rsid w:val="00935653"/>
    <w:rsid w:val="00936500"/>
    <w:rsid w:val="00936B95"/>
    <w:rsid w:val="00936F3F"/>
    <w:rsid w:val="009377A5"/>
    <w:rsid w:val="00940198"/>
    <w:rsid w:val="00940486"/>
    <w:rsid w:val="00942A44"/>
    <w:rsid w:val="00942CF6"/>
    <w:rsid w:val="00943A59"/>
    <w:rsid w:val="00945258"/>
    <w:rsid w:val="0094552D"/>
    <w:rsid w:val="00945870"/>
    <w:rsid w:val="00946B5E"/>
    <w:rsid w:val="00947957"/>
    <w:rsid w:val="00947DA5"/>
    <w:rsid w:val="00950DF9"/>
    <w:rsid w:val="009513D9"/>
    <w:rsid w:val="00951441"/>
    <w:rsid w:val="00951E97"/>
    <w:rsid w:val="009522CE"/>
    <w:rsid w:val="00953202"/>
    <w:rsid w:val="00953381"/>
    <w:rsid w:val="0095406B"/>
    <w:rsid w:val="009545F5"/>
    <w:rsid w:val="009554A7"/>
    <w:rsid w:val="00955E7C"/>
    <w:rsid w:val="009567B0"/>
    <w:rsid w:val="00956831"/>
    <w:rsid w:val="0096051B"/>
    <w:rsid w:val="00962372"/>
    <w:rsid w:val="00963C97"/>
    <w:rsid w:val="00963CB2"/>
    <w:rsid w:val="00964124"/>
    <w:rsid w:val="00964822"/>
    <w:rsid w:val="009648CD"/>
    <w:rsid w:val="00964AD2"/>
    <w:rsid w:val="00964BCA"/>
    <w:rsid w:val="0096501C"/>
    <w:rsid w:val="009650A4"/>
    <w:rsid w:val="00965844"/>
    <w:rsid w:val="00967A7A"/>
    <w:rsid w:val="009704E7"/>
    <w:rsid w:val="009710F1"/>
    <w:rsid w:val="00973340"/>
    <w:rsid w:val="0097343A"/>
    <w:rsid w:val="0097464D"/>
    <w:rsid w:val="00975381"/>
    <w:rsid w:val="009757E1"/>
    <w:rsid w:val="00976290"/>
    <w:rsid w:val="00976813"/>
    <w:rsid w:val="00976B0E"/>
    <w:rsid w:val="009776A1"/>
    <w:rsid w:val="009800FE"/>
    <w:rsid w:val="00980499"/>
    <w:rsid w:val="00981CC1"/>
    <w:rsid w:val="00982530"/>
    <w:rsid w:val="00983200"/>
    <w:rsid w:val="00983304"/>
    <w:rsid w:val="009859BE"/>
    <w:rsid w:val="009866C4"/>
    <w:rsid w:val="00987D89"/>
    <w:rsid w:val="00991327"/>
    <w:rsid w:val="0099160E"/>
    <w:rsid w:val="00991857"/>
    <w:rsid w:val="00991949"/>
    <w:rsid w:val="0099408E"/>
    <w:rsid w:val="00994282"/>
    <w:rsid w:val="00994A73"/>
    <w:rsid w:val="00995E9D"/>
    <w:rsid w:val="009973FC"/>
    <w:rsid w:val="009979B5"/>
    <w:rsid w:val="009A061E"/>
    <w:rsid w:val="009A0E3C"/>
    <w:rsid w:val="009A1D14"/>
    <w:rsid w:val="009A2670"/>
    <w:rsid w:val="009A364B"/>
    <w:rsid w:val="009A405A"/>
    <w:rsid w:val="009A5E79"/>
    <w:rsid w:val="009A6DA1"/>
    <w:rsid w:val="009A76C7"/>
    <w:rsid w:val="009A7C2D"/>
    <w:rsid w:val="009A7F32"/>
    <w:rsid w:val="009B088D"/>
    <w:rsid w:val="009B364E"/>
    <w:rsid w:val="009B40C1"/>
    <w:rsid w:val="009B5F95"/>
    <w:rsid w:val="009B66BC"/>
    <w:rsid w:val="009C0340"/>
    <w:rsid w:val="009C114B"/>
    <w:rsid w:val="009C1317"/>
    <w:rsid w:val="009C1DF2"/>
    <w:rsid w:val="009C20F1"/>
    <w:rsid w:val="009C4AFC"/>
    <w:rsid w:val="009C59EF"/>
    <w:rsid w:val="009C7B3C"/>
    <w:rsid w:val="009C7E2A"/>
    <w:rsid w:val="009D1271"/>
    <w:rsid w:val="009D4220"/>
    <w:rsid w:val="009D4A72"/>
    <w:rsid w:val="009D4AAA"/>
    <w:rsid w:val="009D5ABA"/>
    <w:rsid w:val="009D7B11"/>
    <w:rsid w:val="009D7BA4"/>
    <w:rsid w:val="009E0754"/>
    <w:rsid w:val="009E12FD"/>
    <w:rsid w:val="009E16DF"/>
    <w:rsid w:val="009E1C78"/>
    <w:rsid w:val="009E2920"/>
    <w:rsid w:val="009E42C8"/>
    <w:rsid w:val="009E4365"/>
    <w:rsid w:val="009E6DB1"/>
    <w:rsid w:val="009E795F"/>
    <w:rsid w:val="009F03A6"/>
    <w:rsid w:val="009F080A"/>
    <w:rsid w:val="009F13F1"/>
    <w:rsid w:val="009F1E23"/>
    <w:rsid w:val="009F299A"/>
    <w:rsid w:val="009F30F1"/>
    <w:rsid w:val="009F3754"/>
    <w:rsid w:val="009F41D4"/>
    <w:rsid w:val="009F52E6"/>
    <w:rsid w:val="009F5541"/>
    <w:rsid w:val="009F5620"/>
    <w:rsid w:val="009F588E"/>
    <w:rsid w:val="009F5F8C"/>
    <w:rsid w:val="009F6ADB"/>
    <w:rsid w:val="009F7CD8"/>
    <w:rsid w:val="00A0074B"/>
    <w:rsid w:val="00A011EA"/>
    <w:rsid w:val="00A01CC7"/>
    <w:rsid w:val="00A02252"/>
    <w:rsid w:val="00A02E23"/>
    <w:rsid w:val="00A041CC"/>
    <w:rsid w:val="00A0609D"/>
    <w:rsid w:val="00A060DD"/>
    <w:rsid w:val="00A061CE"/>
    <w:rsid w:val="00A06FAD"/>
    <w:rsid w:val="00A107EE"/>
    <w:rsid w:val="00A10EC3"/>
    <w:rsid w:val="00A11ADE"/>
    <w:rsid w:val="00A11F55"/>
    <w:rsid w:val="00A13CAA"/>
    <w:rsid w:val="00A140DF"/>
    <w:rsid w:val="00A1473F"/>
    <w:rsid w:val="00A15E49"/>
    <w:rsid w:val="00A16390"/>
    <w:rsid w:val="00A17F5F"/>
    <w:rsid w:val="00A215EE"/>
    <w:rsid w:val="00A21CF6"/>
    <w:rsid w:val="00A21F8F"/>
    <w:rsid w:val="00A22AA8"/>
    <w:rsid w:val="00A23401"/>
    <w:rsid w:val="00A23442"/>
    <w:rsid w:val="00A23626"/>
    <w:rsid w:val="00A24730"/>
    <w:rsid w:val="00A2582E"/>
    <w:rsid w:val="00A263B5"/>
    <w:rsid w:val="00A27F3D"/>
    <w:rsid w:val="00A303D3"/>
    <w:rsid w:val="00A30DAF"/>
    <w:rsid w:val="00A31182"/>
    <w:rsid w:val="00A31743"/>
    <w:rsid w:val="00A317E1"/>
    <w:rsid w:val="00A31D48"/>
    <w:rsid w:val="00A32008"/>
    <w:rsid w:val="00A327D1"/>
    <w:rsid w:val="00A34FED"/>
    <w:rsid w:val="00A35040"/>
    <w:rsid w:val="00A352AD"/>
    <w:rsid w:val="00A353D5"/>
    <w:rsid w:val="00A3552F"/>
    <w:rsid w:val="00A35B5B"/>
    <w:rsid w:val="00A36B5E"/>
    <w:rsid w:val="00A375F4"/>
    <w:rsid w:val="00A37D9D"/>
    <w:rsid w:val="00A40820"/>
    <w:rsid w:val="00A40C94"/>
    <w:rsid w:val="00A41545"/>
    <w:rsid w:val="00A44EB2"/>
    <w:rsid w:val="00A45247"/>
    <w:rsid w:val="00A4602A"/>
    <w:rsid w:val="00A46635"/>
    <w:rsid w:val="00A4681A"/>
    <w:rsid w:val="00A4721E"/>
    <w:rsid w:val="00A47A28"/>
    <w:rsid w:val="00A47BE6"/>
    <w:rsid w:val="00A50111"/>
    <w:rsid w:val="00A508ED"/>
    <w:rsid w:val="00A515CD"/>
    <w:rsid w:val="00A5160D"/>
    <w:rsid w:val="00A52816"/>
    <w:rsid w:val="00A52FE0"/>
    <w:rsid w:val="00A53972"/>
    <w:rsid w:val="00A53C64"/>
    <w:rsid w:val="00A53FA2"/>
    <w:rsid w:val="00A545FA"/>
    <w:rsid w:val="00A552E4"/>
    <w:rsid w:val="00A55809"/>
    <w:rsid w:val="00A57729"/>
    <w:rsid w:val="00A60093"/>
    <w:rsid w:val="00A609EA"/>
    <w:rsid w:val="00A60A28"/>
    <w:rsid w:val="00A63B87"/>
    <w:rsid w:val="00A6410D"/>
    <w:rsid w:val="00A64EB1"/>
    <w:rsid w:val="00A65F62"/>
    <w:rsid w:val="00A66D34"/>
    <w:rsid w:val="00A70445"/>
    <w:rsid w:val="00A7056D"/>
    <w:rsid w:val="00A706E4"/>
    <w:rsid w:val="00A71ABB"/>
    <w:rsid w:val="00A733EE"/>
    <w:rsid w:val="00A737E5"/>
    <w:rsid w:val="00A73A1C"/>
    <w:rsid w:val="00A748BC"/>
    <w:rsid w:val="00A74DE0"/>
    <w:rsid w:val="00A74F20"/>
    <w:rsid w:val="00A760E7"/>
    <w:rsid w:val="00A80AA6"/>
    <w:rsid w:val="00A83732"/>
    <w:rsid w:val="00A8421D"/>
    <w:rsid w:val="00A84DA5"/>
    <w:rsid w:val="00A84F0B"/>
    <w:rsid w:val="00A852BC"/>
    <w:rsid w:val="00A85AF1"/>
    <w:rsid w:val="00A86A0E"/>
    <w:rsid w:val="00A8734C"/>
    <w:rsid w:val="00A901C8"/>
    <w:rsid w:val="00A90E01"/>
    <w:rsid w:val="00A918AE"/>
    <w:rsid w:val="00A91F91"/>
    <w:rsid w:val="00A924E4"/>
    <w:rsid w:val="00A927BD"/>
    <w:rsid w:val="00A93FED"/>
    <w:rsid w:val="00A945B5"/>
    <w:rsid w:val="00A951A7"/>
    <w:rsid w:val="00A95CD3"/>
    <w:rsid w:val="00A95DCA"/>
    <w:rsid w:val="00A9691A"/>
    <w:rsid w:val="00AA0078"/>
    <w:rsid w:val="00AA065E"/>
    <w:rsid w:val="00AA2321"/>
    <w:rsid w:val="00AA26C3"/>
    <w:rsid w:val="00AA32C2"/>
    <w:rsid w:val="00AA69F5"/>
    <w:rsid w:val="00AB2C85"/>
    <w:rsid w:val="00AB32EA"/>
    <w:rsid w:val="00AB360E"/>
    <w:rsid w:val="00AB412A"/>
    <w:rsid w:val="00AB4CCF"/>
    <w:rsid w:val="00AB52F0"/>
    <w:rsid w:val="00AB5B07"/>
    <w:rsid w:val="00AB5C49"/>
    <w:rsid w:val="00AB6CDF"/>
    <w:rsid w:val="00AB7BC4"/>
    <w:rsid w:val="00AC182D"/>
    <w:rsid w:val="00AC24A3"/>
    <w:rsid w:val="00AC3B8A"/>
    <w:rsid w:val="00AC3E5A"/>
    <w:rsid w:val="00AC5436"/>
    <w:rsid w:val="00AC6DDE"/>
    <w:rsid w:val="00AC728E"/>
    <w:rsid w:val="00AC7BD2"/>
    <w:rsid w:val="00AD0730"/>
    <w:rsid w:val="00AD08EC"/>
    <w:rsid w:val="00AD0C46"/>
    <w:rsid w:val="00AD0D44"/>
    <w:rsid w:val="00AD2476"/>
    <w:rsid w:val="00AD3D0B"/>
    <w:rsid w:val="00AD552A"/>
    <w:rsid w:val="00AD5D2E"/>
    <w:rsid w:val="00AD6BB6"/>
    <w:rsid w:val="00AD71E8"/>
    <w:rsid w:val="00AE01FB"/>
    <w:rsid w:val="00AE10CC"/>
    <w:rsid w:val="00AE2FDC"/>
    <w:rsid w:val="00AE5299"/>
    <w:rsid w:val="00AE5678"/>
    <w:rsid w:val="00AE56D9"/>
    <w:rsid w:val="00AE573F"/>
    <w:rsid w:val="00AE5ABA"/>
    <w:rsid w:val="00AE663D"/>
    <w:rsid w:val="00AE74B0"/>
    <w:rsid w:val="00AE7C66"/>
    <w:rsid w:val="00AF0EDF"/>
    <w:rsid w:val="00AF1C13"/>
    <w:rsid w:val="00AF3E0A"/>
    <w:rsid w:val="00AF5134"/>
    <w:rsid w:val="00AF5984"/>
    <w:rsid w:val="00AF598B"/>
    <w:rsid w:val="00AF6322"/>
    <w:rsid w:val="00AF63E8"/>
    <w:rsid w:val="00AF6C6E"/>
    <w:rsid w:val="00AF6F24"/>
    <w:rsid w:val="00AF76B9"/>
    <w:rsid w:val="00B00FA0"/>
    <w:rsid w:val="00B01AD0"/>
    <w:rsid w:val="00B01FA5"/>
    <w:rsid w:val="00B02F7A"/>
    <w:rsid w:val="00B04507"/>
    <w:rsid w:val="00B051E2"/>
    <w:rsid w:val="00B05FDF"/>
    <w:rsid w:val="00B06AA9"/>
    <w:rsid w:val="00B076D2"/>
    <w:rsid w:val="00B076FD"/>
    <w:rsid w:val="00B0778D"/>
    <w:rsid w:val="00B07BA3"/>
    <w:rsid w:val="00B10418"/>
    <w:rsid w:val="00B11071"/>
    <w:rsid w:val="00B11C8F"/>
    <w:rsid w:val="00B126DD"/>
    <w:rsid w:val="00B1277C"/>
    <w:rsid w:val="00B1387D"/>
    <w:rsid w:val="00B1443B"/>
    <w:rsid w:val="00B155AD"/>
    <w:rsid w:val="00B15876"/>
    <w:rsid w:val="00B168AB"/>
    <w:rsid w:val="00B2242E"/>
    <w:rsid w:val="00B23686"/>
    <w:rsid w:val="00B24A24"/>
    <w:rsid w:val="00B25C48"/>
    <w:rsid w:val="00B26A26"/>
    <w:rsid w:val="00B26ADB"/>
    <w:rsid w:val="00B317A1"/>
    <w:rsid w:val="00B3255C"/>
    <w:rsid w:val="00B3304B"/>
    <w:rsid w:val="00B33571"/>
    <w:rsid w:val="00B354C9"/>
    <w:rsid w:val="00B354D9"/>
    <w:rsid w:val="00B3571A"/>
    <w:rsid w:val="00B35A65"/>
    <w:rsid w:val="00B36B42"/>
    <w:rsid w:val="00B40466"/>
    <w:rsid w:val="00B426DC"/>
    <w:rsid w:val="00B437E8"/>
    <w:rsid w:val="00B44E61"/>
    <w:rsid w:val="00B459AA"/>
    <w:rsid w:val="00B4618E"/>
    <w:rsid w:val="00B46682"/>
    <w:rsid w:val="00B46AFF"/>
    <w:rsid w:val="00B46DB9"/>
    <w:rsid w:val="00B47DDD"/>
    <w:rsid w:val="00B50369"/>
    <w:rsid w:val="00B51078"/>
    <w:rsid w:val="00B5299A"/>
    <w:rsid w:val="00B52A53"/>
    <w:rsid w:val="00B5416C"/>
    <w:rsid w:val="00B54C6E"/>
    <w:rsid w:val="00B554FB"/>
    <w:rsid w:val="00B55928"/>
    <w:rsid w:val="00B56F0D"/>
    <w:rsid w:val="00B576A2"/>
    <w:rsid w:val="00B5786D"/>
    <w:rsid w:val="00B57EA7"/>
    <w:rsid w:val="00B60004"/>
    <w:rsid w:val="00B60C8F"/>
    <w:rsid w:val="00B61898"/>
    <w:rsid w:val="00B628D0"/>
    <w:rsid w:val="00B636CC"/>
    <w:rsid w:val="00B6547A"/>
    <w:rsid w:val="00B67FD2"/>
    <w:rsid w:val="00B71855"/>
    <w:rsid w:val="00B73A30"/>
    <w:rsid w:val="00B7524B"/>
    <w:rsid w:val="00B75250"/>
    <w:rsid w:val="00B75414"/>
    <w:rsid w:val="00B75B46"/>
    <w:rsid w:val="00B776F8"/>
    <w:rsid w:val="00B80853"/>
    <w:rsid w:val="00B818DC"/>
    <w:rsid w:val="00B81C5D"/>
    <w:rsid w:val="00B81CDE"/>
    <w:rsid w:val="00B842EB"/>
    <w:rsid w:val="00B864D7"/>
    <w:rsid w:val="00B87A43"/>
    <w:rsid w:val="00B87AA7"/>
    <w:rsid w:val="00B9334B"/>
    <w:rsid w:val="00B9536D"/>
    <w:rsid w:val="00B96CCC"/>
    <w:rsid w:val="00B9721D"/>
    <w:rsid w:val="00B97DDD"/>
    <w:rsid w:val="00BA0CDC"/>
    <w:rsid w:val="00BA0E24"/>
    <w:rsid w:val="00BA102C"/>
    <w:rsid w:val="00BA2B06"/>
    <w:rsid w:val="00BA2B71"/>
    <w:rsid w:val="00BA3263"/>
    <w:rsid w:val="00BA33B6"/>
    <w:rsid w:val="00BA4B87"/>
    <w:rsid w:val="00BA57DA"/>
    <w:rsid w:val="00BA7202"/>
    <w:rsid w:val="00BA7EC2"/>
    <w:rsid w:val="00BB0564"/>
    <w:rsid w:val="00BB2273"/>
    <w:rsid w:val="00BB29BE"/>
    <w:rsid w:val="00BB304F"/>
    <w:rsid w:val="00BB42A2"/>
    <w:rsid w:val="00BB4DE2"/>
    <w:rsid w:val="00BB71C7"/>
    <w:rsid w:val="00BC396D"/>
    <w:rsid w:val="00BC3EEF"/>
    <w:rsid w:val="00BC40E5"/>
    <w:rsid w:val="00BC48A8"/>
    <w:rsid w:val="00BC4E63"/>
    <w:rsid w:val="00BC5074"/>
    <w:rsid w:val="00BC5183"/>
    <w:rsid w:val="00BC57B7"/>
    <w:rsid w:val="00BC5CE1"/>
    <w:rsid w:val="00BC665D"/>
    <w:rsid w:val="00BC6D6E"/>
    <w:rsid w:val="00BC6E47"/>
    <w:rsid w:val="00BD086F"/>
    <w:rsid w:val="00BD28E7"/>
    <w:rsid w:val="00BD373B"/>
    <w:rsid w:val="00BD37E4"/>
    <w:rsid w:val="00BD3A98"/>
    <w:rsid w:val="00BD3DFB"/>
    <w:rsid w:val="00BD4E3F"/>
    <w:rsid w:val="00BD54C0"/>
    <w:rsid w:val="00BD5DA9"/>
    <w:rsid w:val="00BD5F6A"/>
    <w:rsid w:val="00BD7ADC"/>
    <w:rsid w:val="00BE0938"/>
    <w:rsid w:val="00BE1189"/>
    <w:rsid w:val="00BE1E80"/>
    <w:rsid w:val="00BE2B11"/>
    <w:rsid w:val="00BE3237"/>
    <w:rsid w:val="00BE3AA2"/>
    <w:rsid w:val="00BE5739"/>
    <w:rsid w:val="00BE6372"/>
    <w:rsid w:val="00BE6A24"/>
    <w:rsid w:val="00BE766D"/>
    <w:rsid w:val="00BF03CE"/>
    <w:rsid w:val="00BF173A"/>
    <w:rsid w:val="00BF335E"/>
    <w:rsid w:val="00BF494E"/>
    <w:rsid w:val="00BF57FA"/>
    <w:rsid w:val="00BF62F8"/>
    <w:rsid w:val="00C00B06"/>
    <w:rsid w:val="00C00E24"/>
    <w:rsid w:val="00C00E95"/>
    <w:rsid w:val="00C01D6C"/>
    <w:rsid w:val="00C02321"/>
    <w:rsid w:val="00C04443"/>
    <w:rsid w:val="00C06268"/>
    <w:rsid w:val="00C11CED"/>
    <w:rsid w:val="00C13007"/>
    <w:rsid w:val="00C13EEC"/>
    <w:rsid w:val="00C14E89"/>
    <w:rsid w:val="00C15954"/>
    <w:rsid w:val="00C15E04"/>
    <w:rsid w:val="00C16525"/>
    <w:rsid w:val="00C166DD"/>
    <w:rsid w:val="00C16E9E"/>
    <w:rsid w:val="00C1751D"/>
    <w:rsid w:val="00C20437"/>
    <w:rsid w:val="00C2085B"/>
    <w:rsid w:val="00C208F5"/>
    <w:rsid w:val="00C20A83"/>
    <w:rsid w:val="00C22A4F"/>
    <w:rsid w:val="00C2726E"/>
    <w:rsid w:val="00C305DD"/>
    <w:rsid w:val="00C30AC3"/>
    <w:rsid w:val="00C30E37"/>
    <w:rsid w:val="00C32D13"/>
    <w:rsid w:val="00C3438D"/>
    <w:rsid w:val="00C34CD1"/>
    <w:rsid w:val="00C355CF"/>
    <w:rsid w:val="00C433B1"/>
    <w:rsid w:val="00C437CC"/>
    <w:rsid w:val="00C43BB3"/>
    <w:rsid w:val="00C44872"/>
    <w:rsid w:val="00C4554D"/>
    <w:rsid w:val="00C46028"/>
    <w:rsid w:val="00C46181"/>
    <w:rsid w:val="00C46BEF"/>
    <w:rsid w:val="00C47434"/>
    <w:rsid w:val="00C474EB"/>
    <w:rsid w:val="00C5012C"/>
    <w:rsid w:val="00C52594"/>
    <w:rsid w:val="00C531A8"/>
    <w:rsid w:val="00C53C3A"/>
    <w:rsid w:val="00C55325"/>
    <w:rsid w:val="00C55D52"/>
    <w:rsid w:val="00C55F50"/>
    <w:rsid w:val="00C56032"/>
    <w:rsid w:val="00C60C56"/>
    <w:rsid w:val="00C6222E"/>
    <w:rsid w:val="00C6401D"/>
    <w:rsid w:val="00C643FD"/>
    <w:rsid w:val="00C66FAC"/>
    <w:rsid w:val="00C67568"/>
    <w:rsid w:val="00C71256"/>
    <w:rsid w:val="00C71534"/>
    <w:rsid w:val="00C7181E"/>
    <w:rsid w:val="00C71EA7"/>
    <w:rsid w:val="00C71EF7"/>
    <w:rsid w:val="00C72D06"/>
    <w:rsid w:val="00C7328A"/>
    <w:rsid w:val="00C74121"/>
    <w:rsid w:val="00C74251"/>
    <w:rsid w:val="00C76ED7"/>
    <w:rsid w:val="00C778EA"/>
    <w:rsid w:val="00C77E49"/>
    <w:rsid w:val="00C81505"/>
    <w:rsid w:val="00C81792"/>
    <w:rsid w:val="00C81820"/>
    <w:rsid w:val="00C81C08"/>
    <w:rsid w:val="00C81F88"/>
    <w:rsid w:val="00C83A38"/>
    <w:rsid w:val="00C83BE4"/>
    <w:rsid w:val="00C84654"/>
    <w:rsid w:val="00C85F59"/>
    <w:rsid w:val="00C87BCE"/>
    <w:rsid w:val="00C91C00"/>
    <w:rsid w:val="00C93DD4"/>
    <w:rsid w:val="00C943AE"/>
    <w:rsid w:val="00C95A52"/>
    <w:rsid w:val="00C965C4"/>
    <w:rsid w:val="00C96682"/>
    <w:rsid w:val="00C96914"/>
    <w:rsid w:val="00C96DC1"/>
    <w:rsid w:val="00CA0D56"/>
    <w:rsid w:val="00CA110C"/>
    <w:rsid w:val="00CA12D0"/>
    <w:rsid w:val="00CA14D0"/>
    <w:rsid w:val="00CA32E5"/>
    <w:rsid w:val="00CA359E"/>
    <w:rsid w:val="00CA38D9"/>
    <w:rsid w:val="00CA42B5"/>
    <w:rsid w:val="00CA562D"/>
    <w:rsid w:val="00CA5BDC"/>
    <w:rsid w:val="00CA657A"/>
    <w:rsid w:val="00CA658A"/>
    <w:rsid w:val="00CA7A27"/>
    <w:rsid w:val="00CB2E9A"/>
    <w:rsid w:val="00CB3353"/>
    <w:rsid w:val="00CB3649"/>
    <w:rsid w:val="00CB470F"/>
    <w:rsid w:val="00CB4BF8"/>
    <w:rsid w:val="00CB5A37"/>
    <w:rsid w:val="00CB5A45"/>
    <w:rsid w:val="00CC0126"/>
    <w:rsid w:val="00CC08F3"/>
    <w:rsid w:val="00CC22ED"/>
    <w:rsid w:val="00CC2630"/>
    <w:rsid w:val="00CC2D31"/>
    <w:rsid w:val="00CC34B5"/>
    <w:rsid w:val="00CC45BF"/>
    <w:rsid w:val="00CC4C3A"/>
    <w:rsid w:val="00CC4CA8"/>
    <w:rsid w:val="00CC5395"/>
    <w:rsid w:val="00CC6691"/>
    <w:rsid w:val="00CC6C28"/>
    <w:rsid w:val="00CC75A7"/>
    <w:rsid w:val="00CC7BBD"/>
    <w:rsid w:val="00CD0195"/>
    <w:rsid w:val="00CD02E1"/>
    <w:rsid w:val="00CD0DE8"/>
    <w:rsid w:val="00CD102E"/>
    <w:rsid w:val="00CD14DF"/>
    <w:rsid w:val="00CD20F4"/>
    <w:rsid w:val="00CD320C"/>
    <w:rsid w:val="00CD5575"/>
    <w:rsid w:val="00CD580A"/>
    <w:rsid w:val="00CD691E"/>
    <w:rsid w:val="00CD6F5C"/>
    <w:rsid w:val="00CE128F"/>
    <w:rsid w:val="00CE3F7F"/>
    <w:rsid w:val="00CE45F4"/>
    <w:rsid w:val="00CE4DC3"/>
    <w:rsid w:val="00CE5A84"/>
    <w:rsid w:val="00CE5CBA"/>
    <w:rsid w:val="00CE7B2E"/>
    <w:rsid w:val="00CF07B9"/>
    <w:rsid w:val="00CF206C"/>
    <w:rsid w:val="00CF2443"/>
    <w:rsid w:val="00CF500C"/>
    <w:rsid w:val="00CF6230"/>
    <w:rsid w:val="00CF6789"/>
    <w:rsid w:val="00CF78C2"/>
    <w:rsid w:val="00D01D39"/>
    <w:rsid w:val="00D01EA8"/>
    <w:rsid w:val="00D0391D"/>
    <w:rsid w:val="00D03AFE"/>
    <w:rsid w:val="00D0435A"/>
    <w:rsid w:val="00D04849"/>
    <w:rsid w:val="00D06C26"/>
    <w:rsid w:val="00D0723C"/>
    <w:rsid w:val="00D07C2E"/>
    <w:rsid w:val="00D1005C"/>
    <w:rsid w:val="00D10F54"/>
    <w:rsid w:val="00D11C81"/>
    <w:rsid w:val="00D11CD1"/>
    <w:rsid w:val="00D12C74"/>
    <w:rsid w:val="00D137C7"/>
    <w:rsid w:val="00D13864"/>
    <w:rsid w:val="00D148F6"/>
    <w:rsid w:val="00D155D7"/>
    <w:rsid w:val="00D16DE0"/>
    <w:rsid w:val="00D16F84"/>
    <w:rsid w:val="00D17186"/>
    <w:rsid w:val="00D1727E"/>
    <w:rsid w:val="00D17288"/>
    <w:rsid w:val="00D17650"/>
    <w:rsid w:val="00D201C9"/>
    <w:rsid w:val="00D20965"/>
    <w:rsid w:val="00D20D1F"/>
    <w:rsid w:val="00D21FAC"/>
    <w:rsid w:val="00D24785"/>
    <w:rsid w:val="00D25187"/>
    <w:rsid w:val="00D26597"/>
    <w:rsid w:val="00D31E87"/>
    <w:rsid w:val="00D328D0"/>
    <w:rsid w:val="00D340FD"/>
    <w:rsid w:val="00D341D7"/>
    <w:rsid w:val="00D34492"/>
    <w:rsid w:val="00D35B83"/>
    <w:rsid w:val="00D35C53"/>
    <w:rsid w:val="00D3609F"/>
    <w:rsid w:val="00D37179"/>
    <w:rsid w:val="00D4077A"/>
    <w:rsid w:val="00D41EFE"/>
    <w:rsid w:val="00D43FC5"/>
    <w:rsid w:val="00D454A4"/>
    <w:rsid w:val="00D454B3"/>
    <w:rsid w:val="00D45837"/>
    <w:rsid w:val="00D46AF3"/>
    <w:rsid w:val="00D47052"/>
    <w:rsid w:val="00D47517"/>
    <w:rsid w:val="00D50F54"/>
    <w:rsid w:val="00D54330"/>
    <w:rsid w:val="00D54348"/>
    <w:rsid w:val="00D548E4"/>
    <w:rsid w:val="00D54B48"/>
    <w:rsid w:val="00D5544F"/>
    <w:rsid w:val="00D567AB"/>
    <w:rsid w:val="00D60F77"/>
    <w:rsid w:val="00D61503"/>
    <w:rsid w:val="00D62184"/>
    <w:rsid w:val="00D6258D"/>
    <w:rsid w:val="00D6323C"/>
    <w:rsid w:val="00D65604"/>
    <w:rsid w:val="00D66B3D"/>
    <w:rsid w:val="00D66C47"/>
    <w:rsid w:val="00D67281"/>
    <w:rsid w:val="00D71C09"/>
    <w:rsid w:val="00D71E73"/>
    <w:rsid w:val="00D71E8E"/>
    <w:rsid w:val="00D7235A"/>
    <w:rsid w:val="00D723D6"/>
    <w:rsid w:val="00D73476"/>
    <w:rsid w:val="00D740C6"/>
    <w:rsid w:val="00D747E7"/>
    <w:rsid w:val="00D75F23"/>
    <w:rsid w:val="00D7747B"/>
    <w:rsid w:val="00D77899"/>
    <w:rsid w:val="00D81794"/>
    <w:rsid w:val="00D838D8"/>
    <w:rsid w:val="00D85167"/>
    <w:rsid w:val="00D86F39"/>
    <w:rsid w:val="00D87CC7"/>
    <w:rsid w:val="00D90FD2"/>
    <w:rsid w:val="00D921B3"/>
    <w:rsid w:val="00D92EB3"/>
    <w:rsid w:val="00D94CDE"/>
    <w:rsid w:val="00D96F40"/>
    <w:rsid w:val="00D97D75"/>
    <w:rsid w:val="00D97FE2"/>
    <w:rsid w:val="00DA02E0"/>
    <w:rsid w:val="00DA0652"/>
    <w:rsid w:val="00DA0964"/>
    <w:rsid w:val="00DA42FC"/>
    <w:rsid w:val="00DA5F27"/>
    <w:rsid w:val="00DA60F2"/>
    <w:rsid w:val="00DA6A2D"/>
    <w:rsid w:val="00DB0F20"/>
    <w:rsid w:val="00DB2659"/>
    <w:rsid w:val="00DB2E63"/>
    <w:rsid w:val="00DB31E7"/>
    <w:rsid w:val="00DB4185"/>
    <w:rsid w:val="00DB43CC"/>
    <w:rsid w:val="00DB5C7B"/>
    <w:rsid w:val="00DB67EE"/>
    <w:rsid w:val="00DC038D"/>
    <w:rsid w:val="00DC1AD4"/>
    <w:rsid w:val="00DC22BB"/>
    <w:rsid w:val="00DC3C15"/>
    <w:rsid w:val="00DC481B"/>
    <w:rsid w:val="00DC53F3"/>
    <w:rsid w:val="00DC5C3A"/>
    <w:rsid w:val="00DC7421"/>
    <w:rsid w:val="00DC7964"/>
    <w:rsid w:val="00DD01FE"/>
    <w:rsid w:val="00DD0395"/>
    <w:rsid w:val="00DD0D83"/>
    <w:rsid w:val="00DD18FA"/>
    <w:rsid w:val="00DD1C20"/>
    <w:rsid w:val="00DD1DA4"/>
    <w:rsid w:val="00DD343D"/>
    <w:rsid w:val="00DD514A"/>
    <w:rsid w:val="00DD68B4"/>
    <w:rsid w:val="00DD6BAD"/>
    <w:rsid w:val="00DD6ED8"/>
    <w:rsid w:val="00DD78B0"/>
    <w:rsid w:val="00DE022B"/>
    <w:rsid w:val="00DE0909"/>
    <w:rsid w:val="00DE0AF9"/>
    <w:rsid w:val="00DE1E18"/>
    <w:rsid w:val="00DE31F8"/>
    <w:rsid w:val="00DE3B13"/>
    <w:rsid w:val="00DE415C"/>
    <w:rsid w:val="00DE4327"/>
    <w:rsid w:val="00DE480E"/>
    <w:rsid w:val="00DE5CD3"/>
    <w:rsid w:val="00DE6A3F"/>
    <w:rsid w:val="00DE7467"/>
    <w:rsid w:val="00DE7718"/>
    <w:rsid w:val="00DE7CB1"/>
    <w:rsid w:val="00DE7F6A"/>
    <w:rsid w:val="00DF0A90"/>
    <w:rsid w:val="00DF4F0E"/>
    <w:rsid w:val="00DF74D2"/>
    <w:rsid w:val="00E00010"/>
    <w:rsid w:val="00E00409"/>
    <w:rsid w:val="00E00502"/>
    <w:rsid w:val="00E01D9F"/>
    <w:rsid w:val="00E0287C"/>
    <w:rsid w:val="00E03EF3"/>
    <w:rsid w:val="00E040F0"/>
    <w:rsid w:val="00E06D5B"/>
    <w:rsid w:val="00E07783"/>
    <w:rsid w:val="00E07C56"/>
    <w:rsid w:val="00E112E4"/>
    <w:rsid w:val="00E11712"/>
    <w:rsid w:val="00E124A0"/>
    <w:rsid w:val="00E1339D"/>
    <w:rsid w:val="00E134D7"/>
    <w:rsid w:val="00E148FD"/>
    <w:rsid w:val="00E14974"/>
    <w:rsid w:val="00E14E96"/>
    <w:rsid w:val="00E16486"/>
    <w:rsid w:val="00E16792"/>
    <w:rsid w:val="00E17FA0"/>
    <w:rsid w:val="00E20399"/>
    <w:rsid w:val="00E238FF"/>
    <w:rsid w:val="00E257E8"/>
    <w:rsid w:val="00E2698F"/>
    <w:rsid w:val="00E30868"/>
    <w:rsid w:val="00E3086F"/>
    <w:rsid w:val="00E31312"/>
    <w:rsid w:val="00E328E9"/>
    <w:rsid w:val="00E32B90"/>
    <w:rsid w:val="00E32D00"/>
    <w:rsid w:val="00E33A3F"/>
    <w:rsid w:val="00E341E7"/>
    <w:rsid w:val="00E35616"/>
    <w:rsid w:val="00E36267"/>
    <w:rsid w:val="00E36B10"/>
    <w:rsid w:val="00E40443"/>
    <w:rsid w:val="00E404A7"/>
    <w:rsid w:val="00E40D69"/>
    <w:rsid w:val="00E41AEF"/>
    <w:rsid w:val="00E42D8D"/>
    <w:rsid w:val="00E43403"/>
    <w:rsid w:val="00E47365"/>
    <w:rsid w:val="00E47D20"/>
    <w:rsid w:val="00E51D72"/>
    <w:rsid w:val="00E51D9C"/>
    <w:rsid w:val="00E536B2"/>
    <w:rsid w:val="00E56253"/>
    <w:rsid w:val="00E56983"/>
    <w:rsid w:val="00E57313"/>
    <w:rsid w:val="00E577CB"/>
    <w:rsid w:val="00E57DBD"/>
    <w:rsid w:val="00E57FA2"/>
    <w:rsid w:val="00E604D2"/>
    <w:rsid w:val="00E6061D"/>
    <w:rsid w:val="00E60FF6"/>
    <w:rsid w:val="00E61B44"/>
    <w:rsid w:val="00E623DD"/>
    <w:rsid w:val="00E629D2"/>
    <w:rsid w:val="00E62C4A"/>
    <w:rsid w:val="00E639DD"/>
    <w:rsid w:val="00E6476C"/>
    <w:rsid w:val="00E65B15"/>
    <w:rsid w:val="00E66DB9"/>
    <w:rsid w:val="00E66F34"/>
    <w:rsid w:val="00E7056E"/>
    <w:rsid w:val="00E70A3D"/>
    <w:rsid w:val="00E723AC"/>
    <w:rsid w:val="00E723BA"/>
    <w:rsid w:val="00E731F2"/>
    <w:rsid w:val="00E73F16"/>
    <w:rsid w:val="00E74177"/>
    <w:rsid w:val="00E74C93"/>
    <w:rsid w:val="00E74DEC"/>
    <w:rsid w:val="00E75931"/>
    <w:rsid w:val="00E76003"/>
    <w:rsid w:val="00E770E8"/>
    <w:rsid w:val="00E77A8F"/>
    <w:rsid w:val="00E800AB"/>
    <w:rsid w:val="00E80329"/>
    <w:rsid w:val="00E811DD"/>
    <w:rsid w:val="00E821E0"/>
    <w:rsid w:val="00E8366A"/>
    <w:rsid w:val="00E8468D"/>
    <w:rsid w:val="00E852CF"/>
    <w:rsid w:val="00E863EF"/>
    <w:rsid w:val="00E86DED"/>
    <w:rsid w:val="00E8770C"/>
    <w:rsid w:val="00E91616"/>
    <w:rsid w:val="00E91B56"/>
    <w:rsid w:val="00E92E57"/>
    <w:rsid w:val="00E92F44"/>
    <w:rsid w:val="00E95ADF"/>
    <w:rsid w:val="00EA011B"/>
    <w:rsid w:val="00EA08C0"/>
    <w:rsid w:val="00EA0A0E"/>
    <w:rsid w:val="00EA1311"/>
    <w:rsid w:val="00EA1478"/>
    <w:rsid w:val="00EA38F5"/>
    <w:rsid w:val="00EA40A2"/>
    <w:rsid w:val="00EA49F0"/>
    <w:rsid w:val="00EA5767"/>
    <w:rsid w:val="00EA590F"/>
    <w:rsid w:val="00EA5A5D"/>
    <w:rsid w:val="00EA5F4D"/>
    <w:rsid w:val="00EA65AE"/>
    <w:rsid w:val="00EB23C6"/>
    <w:rsid w:val="00EB3148"/>
    <w:rsid w:val="00EB54E7"/>
    <w:rsid w:val="00EB57E5"/>
    <w:rsid w:val="00EB6E83"/>
    <w:rsid w:val="00EB7393"/>
    <w:rsid w:val="00EB7E39"/>
    <w:rsid w:val="00EC3166"/>
    <w:rsid w:val="00EC3D1D"/>
    <w:rsid w:val="00EC4B27"/>
    <w:rsid w:val="00EC4CF7"/>
    <w:rsid w:val="00EC535D"/>
    <w:rsid w:val="00EC5A0C"/>
    <w:rsid w:val="00EC6278"/>
    <w:rsid w:val="00EC68DE"/>
    <w:rsid w:val="00EC761C"/>
    <w:rsid w:val="00EC7BBA"/>
    <w:rsid w:val="00ED1871"/>
    <w:rsid w:val="00ED34B3"/>
    <w:rsid w:val="00ED3CD7"/>
    <w:rsid w:val="00ED4542"/>
    <w:rsid w:val="00ED66CC"/>
    <w:rsid w:val="00ED69B6"/>
    <w:rsid w:val="00ED6B8F"/>
    <w:rsid w:val="00ED6FC8"/>
    <w:rsid w:val="00ED775D"/>
    <w:rsid w:val="00EE027D"/>
    <w:rsid w:val="00EE4569"/>
    <w:rsid w:val="00EE4BED"/>
    <w:rsid w:val="00EE5353"/>
    <w:rsid w:val="00EE6DA8"/>
    <w:rsid w:val="00EF0256"/>
    <w:rsid w:val="00EF08F9"/>
    <w:rsid w:val="00EF0EE4"/>
    <w:rsid w:val="00EF5F5C"/>
    <w:rsid w:val="00F00333"/>
    <w:rsid w:val="00F00672"/>
    <w:rsid w:val="00F00E70"/>
    <w:rsid w:val="00F013D8"/>
    <w:rsid w:val="00F015B7"/>
    <w:rsid w:val="00F01FC3"/>
    <w:rsid w:val="00F025F0"/>
    <w:rsid w:val="00F02F42"/>
    <w:rsid w:val="00F033D0"/>
    <w:rsid w:val="00F03477"/>
    <w:rsid w:val="00F0379E"/>
    <w:rsid w:val="00F038A4"/>
    <w:rsid w:val="00F045AE"/>
    <w:rsid w:val="00F04D44"/>
    <w:rsid w:val="00F05918"/>
    <w:rsid w:val="00F0757A"/>
    <w:rsid w:val="00F07C07"/>
    <w:rsid w:val="00F10AFC"/>
    <w:rsid w:val="00F12CBD"/>
    <w:rsid w:val="00F135B8"/>
    <w:rsid w:val="00F135FC"/>
    <w:rsid w:val="00F138BD"/>
    <w:rsid w:val="00F139E5"/>
    <w:rsid w:val="00F141A2"/>
    <w:rsid w:val="00F155F5"/>
    <w:rsid w:val="00F167DB"/>
    <w:rsid w:val="00F17949"/>
    <w:rsid w:val="00F20068"/>
    <w:rsid w:val="00F2041C"/>
    <w:rsid w:val="00F20576"/>
    <w:rsid w:val="00F21EF3"/>
    <w:rsid w:val="00F21FAB"/>
    <w:rsid w:val="00F22259"/>
    <w:rsid w:val="00F24BB3"/>
    <w:rsid w:val="00F26929"/>
    <w:rsid w:val="00F27A86"/>
    <w:rsid w:val="00F27EA8"/>
    <w:rsid w:val="00F303E6"/>
    <w:rsid w:val="00F32C02"/>
    <w:rsid w:val="00F33FB6"/>
    <w:rsid w:val="00F34287"/>
    <w:rsid w:val="00F35109"/>
    <w:rsid w:val="00F36A95"/>
    <w:rsid w:val="00F37527"/>
    <w:rsid w:val="00F40265"/>
    <w:rsid w:val="00F41D57"/>
    <w:rsid w:val="00F41DF0"/>
    <w:rsid w:val="00F427B0"/>
    <w:rsid w:val="00F42E23"/>
    <w:rsid w:val="00F44E31"/>
    <w:rsid w:val="00F44E78"/>
    <w:rsid w:val="00F4567D"/>
    <w:rsid w:val="00F4602C"/>
    <w:rsid w:val="00F47BBE"/>
    <w:rsid w:val="00F501CB"/>
    <w:rsid w:val="00F51529"/>
    <w:rsid w:val="00F526D3"/>
    <w:rsid w:val="00F52FB9"/>
    <w:rsid w:val="00F53135"/>
    <w:rsid w:val="00F54A28"/>
    <w:rsid w:val="00F55007"/>
    <w:rsid w:val="00F55B4F"/>
    <w:rsid w:val="00F61612"/>
    <w:rsid w:val="00F61760"/>
    <w:rsid w:val="00F62330"/>
    <w:rsid w:val="00F62C41"/>
    <w:rsid w:val="00F661FE"/>
    <w:rsid w:val="00F676CF"/>
    <w:rsid w:val="00F67BC8"/>
    <w:rsid w:val="00F71F39"/>
    <w:rsid w:val="00F71F8D"/>
    <w:rsid w:val="00F73A81"/>
    <w:rsid w:val="00F7410F"/>
    <w:rsid w:val="00F74A10"/>
    <w:rsid w:val="00F74B43"/>
    <w:rsid w:val="00F76696"/>
    <w:rsid w:val="00F77932"/>
    <w:rsid w:val="00F8072F"/>
    <w:rsid w:val="00F80774"/>
    <w:rsid w:val="00F81A4F"/>
    <w:rsid w:val="00F81AD7"/>
    <w:rsid w:val="00F83892"/>
    <w:rsid w:val="00F844E9"/>
    <w:rsid w:val="00F84A04"/>
    <w:rsid w:val="00F852FC"/>
    <w:rsid w:val="00F85841"/>
    <w:rsid w:val="00F85E5E"/>
    <w:rsid w:val="00F86331"/>
    <w:rsid w:val="00F86CEA"/>
    <w:rsid w:val="00F86F7E"/>
    <w:rsid w:val="00F87C50"/>
    <w:rsid w:val="00F9089E"/>
    <w:rsid w:val="00F90F22"/>
    <w:rsid w:val="00F91E17"/>
    <w:rsid w:val="00F928B6"/>
    <w:rsid w:val="00F92F13"/>
    <w:rsid w:val="00F92F27"/>
    <w:rsid w:val="00F93B70"/>
    <w:rsid w:val="00F942FA"/>
    <w:rsid w:val="00F955E9"/>
    <w:rsid w:val="00F95820"/>
    <w:rsid w:val="00F95C89"/>
    <w:rsid w:val="00F95DEE"/>
    <w:rsid w:val="00F95DF0"/>
    <w:rsid w:val="00F96A03"/>
    <w:rsid w:val="00FA00BB"/>
    <w:rsid w:val="00FA028D"/>
    <w:rsid w:val="00FA0BFD"/>
    <w:rsid w:val="00FA0F91"/>
    <w:rsid w:val="00FA1115"/>
    <w:rsid w:val="00FA1258"/>
    <w:rsid w:val="00FA1C0A"/>
    <w:rsid w:val="00FA2DE7"/>
    <w:rsid w:val="00FA3B4B"/>
    <w:rsid w:val="00FA46DB"/>
    <w:rsid w:val="00FA54ED"/>
    <w:rsid w:val="00FB012A"/>
    <w:rsid w:val="00FB0B80"/>
    <w:rsid w:val="00FB2FC5"/>
    <w:rsid w:val="00FB3964"/>
    <w:rsid w:val="00FB3C96"/>
    <w:rsid w:val="00FB5927"/>
    <w:rsid w:val="00FB66EA"/>
    <w:rsid w:val="00FC05E0"/>
    <w:rsid w:val="00FC0984"/>
    <w:rsid w:val="00FC11D7"/>
    <w:rsid w:val="00FC2D3B"/>
    <w:rsid w:val="00FC5DF4"/>
    <w:rsid w:val="00FC63CE"/>
    <w:rsid w:val="00FC7044"/>
    <w:rsid w:val="00FC7280"/>
    <w:rsid w:val="00FD110C"/>
    <w:rsid w:val="00FD1DC4"/>
    <w:rsid w:val="00FD1F6D"/>
    <w:rsid w:val="00FD25B5"/>
    <w:rsid w:val="00FD29FB"/>
    <w:rsid w:val="00FD2C3F"/>
    <w:rsid w:val="00FD4DF3"/>
    <w:rsid w:val="00FD7446"/>
    <w:rsid w:val="00FD79C7"/>
    <w:rsid w:val="00FE15AF"/>
    <w:rsid w:val="00FE1826"/>
    <w:rsid w:val="00FE22B9"/>
    <w:rsid w:val="00FE3B1C"/>
    <w:rsid w:val="00FE41BC"/>
    <w:rsid w:val="00FE4F59"/>
    <w:rsid w:val="00FE5B72"/>
    <w:rsid w:val="00FE625F"/>
    <w:rsid w:val="00FE6297"/>
    <w:rsid w:val="00FE6CB7"/>
    <w:rsid w:val="00FE7E2D"/>
    <w:rsid w:val="00FF0B37"/>
    <w:rsid w:val="00FF2E89"/>
    <w:rsid w:val="00FF3CD2"/>
    <w:rsid w:val="00FF44DC"/>
    <w:rsid w:val="00FF4739"/>
    <w:rsid w:val="00FF6059"/>
    <w:rsid w:val="00FF6996"/>
    <w:rsid w:val="00FF70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06" style="mso-position-horizontal-relative:page;mso-position-vertical-relative:page" fillcolor="#a7a9ac" stroke="f">
      <v:fill color="#a7a9ac"/>
      <v:stroke on="f"/>
      <o:colormru v:ext="edit" colors="#00599c,#8f8f8c,#0065a4,#a7a9ac"/>
    </o:shapedefaults>
    <o:shapelayout v:ext="edit">
      <o:idmap v:ext="edit" data="1"/>
    </o:shapelayout>
  </w:shapeDefaults>
  <w:decimalSymbol w:val="."/>
  <w:listSeparator w:val=","/>
  <w14:docId w14:val="3D204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emiHidden/>
    <w:qFormat/>
    <w:rsid w:val="005E425E"/>
    <w:pPr>
      <w:spacing w:after="40"/>
    </w:pPr>
    <w:rPr>
      <w:rFonts w:ascii="Arial" w:hAnsi="Arial"/>
      <w:szCs w:val="24"/>
      <w:lang w:eastAsia="en-US"/>
    </w:rPr>
  </w:style>
  <w:style w:type="paragraph" w:styleId="Heading1">
    <w:name w:val="heading 1"/>
    <w:aliases w:val="H1"/>
    <w:basedOn w:val="Body"/>
    <w:next w:val="Body"/>
    <w:qFormat/>
    <w:rsid w:val="005E425E"/>
    <w:pPr>
      <w:keepNext/>
      <w:numPr>
        <w:numId w:val="2"/>
      </w:numPr>
      <w:spacing w:before="240" w:after="240" w:line="240" w:lineRule="auto"/>
      <w:outlineLvl w:val="0"/>
    </w:pPr>
    <w:rPr>
      <w:rFonts w:ascii="Arial Black" w:hAnsi="Arial Black" w:cs="Arial"/>
      <w:bCs/>
      <w:kern w:val="32"/>
      <w:sz w:val="40"/>
      <w:szCs w:val="32"/>
    </w:rPr>
  </w:style>
  <w:style w:type="paragraph" w:styleId="Heading2">
    <w:name w:val="heading 2"/>
    <w:aliases w:val="H2"/>
    <w:basedOn w:val="Body"/>
    <w:next w:val="Body"/>
    <w:qFormat/>
    <w:rsid w:val="005E425E"/>
    <w:pPr>
      <w:keepNext/>
      <w:numPr>
        <w:ilvl w:val="1"/>
        <w:numId w:val="2"/>
      </w:numPr>
      <w:spacing w:before="240"/>
      <w:outlineLvl w:val="1"/>
    </w:pPr>
    <w:rPr>
      <w:rFonts w:ascii="Arial Black" w:hAnsi="Arial Black" w:cs="Arial"/>
      <w:bCs/>
      <w:iCs/>
      <w:color w:val="0065A4"/>
      <w:sz w:val="23"/>
      <w:szCs w:val="28"/>
    </w:rPr>
  </w:style>
  <w:style w:type="paragraph" w:styleId="Heading3">
    <w:name w:val="heading 3"/>
    <w:aliases w:val="H3"/>
    <w:basedOn w:val="Body"/>
    <w:next w:val="Body"/>
    <w:qFormat/>
    <w:rsid w:val="005E425E"/>
    <w:pPr>
      <w:keepNext/>
      <w:numPr>
        <w:ilvl w:val="2"/>
        <w:numId w:val="2"/>
      </w:numPr>
      <w:spacing w:before="240"/>
      <w:outlineLvl w:val="2"/>
    </w:pPr>
    <w:rPr>
      <w:rFonts w:ascii="Arial Black" w:hAnsi="Arial Black" w:cs="Arial"/>
      <w:bCs/>
      <w:szCs w:val="26"/>
    </w:rPr>
  </w:style>
  <w:style w:type="paragraph" w:styleId="Heading4">
    <w:name w:val="heading 4"/>
    <w:basedOn w:val="Normal"/>
    <w:next w:val="Normal"/>
    <w:qFormat/>
    <w:rsid w:val="005E425E"/>
    <w:pPr>
      <w:keepNext/>
      <w:spacing w:before="240" w:after="60"/>
      <w:ind w:left="567"/>
      <w:outlineLvl w:val="3"/>
    </w:pPr>
    <w:rPr>
      <w:b/>
      <w:bCs/>
      <w:i/>
      <w:color w:val="0065A4"/>
      <w:szCs w:val="28"/>
    </w:rPr>
  </w:style>
  <w:style w:type="paragraph" w:styleId="Heading5">
    <w:name w:val="heading 5"/>
    <w:basedOn w:val="Normal"/>
    <w:next w:val="Normal"/>
    <w:semiHidden/>
    <w:qFormat/>
    <w:rsid w:val="005E425E"/>
    <w:pPr>
      <w:spacing w:before="240" w:after="60"/>
      <w:outlineLvl w:val="4"/>
    </w:pPr>
    <w:rPr>
      <w:b/>
      <w:bCs/>
      <w:i/>
      <w:iCs/>
      <w:sz w:val="26"/>
      <w:szCs w:val="26"/>
    </w:rPr>
  </w:style>
  <w:style w:type="paragraph" w:styleId="Heading6">
    <w:name w:val="heading 6"/>
    <w:basedOn w:val="Normal"/>
    <w:next w:val="Normal"/>
    <w:semiHidden/>
    <w:qFormat/>
    <w:rsid w:val="005E425E"/>
    <w:p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5E425E"/>
    <w:pPr>
      <w:spacing w:before="240" w:after="60"/>
      <w:outlineLvl w:val="6"/>
    </w:pPr>
    <w:rPr>
      <w:rFonts w:ascii="Times New Roman" w:hAnsi="Times New Roman"/>
      <w:sz w:val="24"/>
    </w:rPr>
  </w:style>
  <w:style w:type="paragraph" w:styleId="Heading8">
    <w:name w:val="heading 8"/>
    <w:basedOn w:val="Normal"/>
    <w:next w:val="Normal"/>
    <w:semiHidden/>
    <w:qFormat/>
    <w:rsid w:val="005E425E"/>
    <w:pPr>
      <w:spacing w:before="240" w:after="60"/>
      <w:outlineLvl w:val="7"/>
    </w:pPr>
    <w:rPr>
      <w:rFonts w:ascii="Times New Roman" w:hAnsi="Times New Roman"/>
      <w:i/>
      <w:iCs/>
      <w:sz w:val="24"/>
    </w:rPr>
  </w:style>
  <w:style w:type="paragraph" w:styleId="Heading9">
    <w:name w:val="heading 9"/>
    <w:basedOn w:val="Normal"/>
    <w:next w:val="Normal"/>
    <w:semiHidden/>
    <w:qFormat/>
    <w:rsid w:val="005E425E"/>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E425E"/>
    <w:rPr>
      <w:rFonts w:ascii="Tahoma" w:hAnsi="Tahoma" w:cs="Tahoma"/>
      <w:sz w:val="16"/>
      <w:szCs w:val="16"/>
    </w:rPr>
  </w:style>
  <w:style w:type="paragraph" w:styleId="Header">
    <w:name w:val="header"/>
    <w:basedOn w:val="Normal"/>
    <w:semiHidden/>
    <w:rsid w:val="005E425E"/>
    <w:pPr>
      <w:tabs>
        <w:tab w:val="center" w:pos="4153"/>
        <w:tab w:val="right" w:pos="8306"/>
      </w:tabs>
      <w:spacing w:before="240"/>
    </w:pPr>
  </w:style>
  <w:style w:type="paragraph" w:styleId="Footer">
    <w:name w:val="footer"/>
    <w:basedOn w:val="Body"/>
    <w:semiHidden/>
    <w:rsid w:val="005E425E"/>
    <w:rPr>
      <w:sz w:val="16"/>
    </w:rPr>
  </w:style>
  <w:style w:type="paragraph" w:styleId="DocumentMap">
    <w:name w:val="Document Map"/>
    <w:basedOn w:val="Normal"/>
    <w:semiHidden/>
    <w:rsid w:val="005E425E"/>
    <w:pPr>
      <w:shd w:val="clear" w:color="auto" w:fill="000080"/>
    </w:pPr>
    <w:rPr>
      <w:rFonts w:ascii="Tahoma" w:hAnsi="Tahoma" w:cs="Tahoma"/>
      <w:szCs w:val="20"/>
    </w:rPr>
  </w:style>
  <w:style w:type="paragraph" w:customStyle="1" w:styleId="RestartNumbering">
    <w:name w:val="Restart Numbering"/>
    <w:basedOn w:val="Normal"/>
    <w:next w:val="Normal"/>
    <w:semiHidden/>
    <w:rsid w:val="005E425E"/>
    <w:pPr>
      <w:numPr>
        <w:numId w:val="22"/>
      </w:numPr>
    </w:pPr>
    <w:rPr>
      <w:sz w:val="2"/>
    </w:rPr>
  </w:style>
  <w:style w:type="paragraph" w:customStyle="1" w:styleId="BulletNumber">
    <w:name w:val="Bullet Number"/>
    <w:aliases w:val="bn"/>
    <w:basedOn w:val="Body"/>
    <w:rsid w:val="005E425E"/>
    <w:pPr>
      <w:numPr>
        <w:ilvl w:val="1"/>
        <w:numId w:val="22"/>
      </w:numPr>
    </w:pPr>
  </w:style>
  <w:style w:type="paragraph" w:customStyle="1" w:styleId="NumberedLev2">
    <w:name w:val="Numbered Lev2"/>
    <w:basedOn w:val="Body"/>
    <w:semiHidden/>
    <w:rsid w:val="005E425E"/>
    <w:pPr>
      <w:numPr>
        <w:ilvl w:val="2"/>
        <w:numId w:val="21"/>
      </w:numPr>
    </w:pPr>
  </w:style>
  <w:style w:type="paragraph" w:customStyle="1" w:styleId="NumberedLev3">
    <w:name w:val="Numbered Lev3"/>
    <w:basedOn w:val="Body"/>
    <w:semiHidden/>
    <w:rsid w:val="005E425E"/>
    <w:pPr>
      <w:numPr>
        <w:ilvl w:val="3"/>
        <w:numId w:val="21"/>
      </w:numPr>
    </w:pPr>
  </w:style>
  <w:style w:type="paragraph" w:customStyle="1" w:styleId="NumberedLev4">
    <w:name w:val="Numbered Lev4"/>
    <w:basedOn w:val="Body"/>
    <w:semiHidden/>
    <w:rsid w:val="005E425E"/>
    <w:pPr>
      <w:numPr>
        <w:ilvl w:val="4"/>
        <w:numId w:val="21"/>
      </w:numPr>
    </w:pPr>
  </w:style>
  <w:style w:type="paragraph" w:customStyle="1" w:styleId="NumberedLev5">
    <w:name w:val="Numbered Lev5"/>
    <w:basedOn w:val="Body"/>
    <w:semiHidden/>
    <w:rsid w:val="005E425E"/>
    <w:pPr>
      <w:numPr>
        <w:ilvl w:val="5"/>
        <w:numId w:val="21"/>
      </w:numPr>
    </w:pPr>
  </w:style>
  <w:style w:type="paragraph" w:customStyle="1" w:styleId="Bullet">
    <w:name w:val="Bullet"/>
    <w:aliases w:val="b1"/>
    <w:basedOn w:val="Body"/>
    <w:rsid w:val="005E425E"/>
    <w:pPr>
      <w:numPr>
        <w:numId w:val="9"/>
      </w:numPr>
      <w:tabs>
        <w:tab w:val="clear" w:pos="1908"/>
        <w:tab w:val="left" w:pos="1134"/>
      </w:tabs>
      <w:ind w:left="1134" w:hanging="567"/>
    </w:pPr>
  </w:style>
  <w:style w:type="paragraph" w:customStyle="1" w:styleId="Cover-Client">
    <w:name w:val="Cover-Client"/>
    <w:next w:val="Project"/>
    <w:rsid w:val="005E425E"/>
    <w:pPr>
      <w:spacing w:after="120" w:line="280" w:lineRule="atLeast"/>
      <w:jc w:val="right"/>
    </w:pPr>
    <w:rPr>
      <w:rFonts w:ascii="Arial Black" w:hAnsi="Arial Black"/>
      <w:bCs/>
      <w:color w:val="0065A4"/>
      <w:sz w:val="40"/>
      <w:lang w:eastAsia="en-US"/>
    </w:rPr>
  </w:style>
  <w:style w:type="paragraph" w:customStyle="1" w:styleId="Project">
    <w:name w:val="Project"/>
    <w:next w:val="Subject"/>
    <w:rsid w:val="005E425E"/>
    <w:pPr>
      <w:spacing w:before="120" w:after="120" w:line="280" w:lineRule="atLeast"/>
      <w:jc w:val="right"/>
    </w:pPr>
    <w:rPr>
      <w:rFonts w:ascii="Arial" w:hAnsi="Arial" w:cs="Arial"/>
      <w:sz w:val="36"/>
      <w:lang w:eastAsia="en-US"/>
    </w:rPr>
  </w:style>
  <w:style w:type="paragraph" w:customStyle="1" w:styleId="Subject">
    <w:name w:val="Subject"/>
    <w:basedOn w:val="Project"/>
    <w:next w:val="Normal"/>
    <w:rsid w:val="005E425E"/>
    <w:pPr>
      <w:framePr w:hSpace="181" w:wrap="around" w:hAnchor="page" w:xAlign="center" w:yAlign="bottom"/>
    </w:pPr>
  </w:style>
  <w:style w:type="paragraph" w:customStyle="1" w:styleId="CoverDate">
    <w:name w:val="CoverDate"/>
    <w:basedOn w:val="Normal"/>
    <w:rsid w:val="005E425E"/>
    <w:pPr>
      <w:framePr w:hSpace="181" w:wrap="around" w:vAnchor="page" w:hAnchor="page" w:xAlign="center" w:y="9141"/>
      <w:jc w:val="right"/>
    </w:pPr>
    <w:rPr>
      <w:noProof/>
    </w:rPr>
  </w:style>
  <w:style w:type="paragraph" w:customStyle="1" w:styleId="Heading1-NoTOC">
    <w:name w:val="Heading1-NoTOC"/>
    <w:basedOn w:val="Normal"/>
    <w:next w:val="Body"/>
    <w:rsid w:val="005E425E"/>
    <w:pPr>
      <w:spacing w:before="240" w:after="240"/>
      <w:ind w:left="-567"/>
    </w:pPr>
    <w:rPr>
      <w:rFonts w:ascii="Arial Black" w:hAnsi="Arial Black"/>
      <w:sz w:val="40"/>
    </w:rPr>
  </w:style>
  <w:style w:type="paragraph" w:customStyle="1" w:styleId="IntroLetter">
    <w:name w:val="IntroLetter"/>
    <w:basedOn w:val="Normal"/>
    <w:semiHidden/>
    <w:rsid w:val="005E425E"/>
    <w:pPr>
      <w:ind w:left="2268" w:right="5103"/>
    </w:pPr>
  </w:style>
  <w:style w:type="paragraph" w:styleId="TOC1">
    <w:name w:val="toc 1"/>
    <w:basedOn w:val="Body"/>
    <w:next w:val="Body"/>
    <w:autoRedefine/>
    <w:uiPriority w:val="39"/>
    <w:rsid w:val="005E425E"/>
    <w:pPr>
      <w:tabs>
        <w:tab w:val="right" w:leader="dot" w:pos="9071"/>
      </w:tabs>
      <w:spacing w:before="120"/>
      <w:ind w:right="851" w:hanging="567"/>
    </w:pPr>
    <w:rPr>
      <w:bCs/>
      <w:szCs w:val="20"/>
    </w:rPr>
  </w:style>
  <w:style w:type="character" w:styleId="PageNumber">
    <w:name w:val="page number"/>
    <w:basedOn w:val="DefaultParagraphFont"/>
    <w:semiHidden/>
    <w:rsid w:val="005E425E"/>
  </w:style>
  <w:style w:type="table" w:styleId="TableGrid">
    <w:name w:val="Table Grid"/>
    <w:basedOn w:val="Table-Style3"/>
    <w:rsid w:val="005E425E"/>
    <w:pPr>
      <w:spacing w:before="60" w:after="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top w:val="nil"/>
          <w:left w:val="nil"/>
          <w:bottom w:val="nil"/>
          <w:right w:val="nil"/>
          <w:insideH w:val="nil"/>
          <w:insideV w:val="single" w:sz="6" w:space="0" w:color="FFFFFF"/>
        </w:tcBorders>
        <w:shd w:val="clear" w:color="auto" w:fill="0065A4"/>
      </w:tcPr>
    </w:tblStylePr>
  </w:style>
  <w:style w:type="paragraph" w:customStyle="1" w:styleId="Pull-Quote-Style1">
    <w:name w:val="Pull-Quote-Style1"/>
    <w:next w:val="Pull-Quote-Ref-Style1"/>
    <w:semiHidden/>
    <w:rsid w:val="005E425E"/>
    <w:pPr>
      <w:keepNext/>
      <w:keepLines/>
      <w:spacing w:before="240" w:after="240"/>
    </w:pPr>
    <w:rPr>
      <w:rFonts w:ascii="Arial" w:hAnsi="Arial"/>
      <w:b/>
      <w:color w:val="FFFFFF"/>
      <w:sz w:val="40"/>
      <w:szCs w:val="24"/>
      <w:lang w:val="en-US" w:eastAsia="en-US"/>
    </w:rPr>
  </w:style>
  <w:style w:type="paragraph" w:customStyle="1" w:styleId="Pull-Quote-Ref-Style1">
    <w:name w:val="Pull-Quote-Ref-Style1"/>
    <w:next w:val="Normal"/>
    <w:semiHidden/>
    <w:rsid w:val="005E425E"/>
    <w:pPr>
      <w:spacing w:after="240"/>
      <w:jc w:val="right"/>
    </w:pPr>
    <w:rPr>
      <w:rFonts w:ascii="Arial" w:hAnsi="Arial"/>
      <w:color w:val="FFFFFF"/>
      <w:szCs w:val="24"/>
      <w:lang w:val="en-US" w:eastAsia="en-US"/>
    </w:rPr>
  </w:style>
  <w:style w:type="paragraph" w:customStyle="1" w:styleId="Pull-Quote-Style2">
    <w:name w:val="Pull-Quote-Style2"/>
    <w:basedOn w:val="Pull-Quote-Style1"/>
    <w:semiHidden/>
    <w:rsid w:val="005E425E"/>
    <w:rPr>
      <w:rFonts w:ascii="Arial Bold" w:hAnsi="Arial Bold"/>
      <w:b w:val="0"/>
      <w:color w:val="00599C"/>
    </w:rPr>
  </w:style>
  <w:style w:type="paragraph" w:customStyle="1" w:styleId="Pull-Quote-Ref-Style2">
    <w:name w:val="Pull-Quote-Ref-Style2"/>
    <w:basedOn w:val="Pull-Quote-Ref-Style1"/>
    <w:semiHidden/>
    <w:rsid w:val="005E425E"/>
    <w:rPr>
      <w:color w:val="00599C"/>
    </w:rPr>
  </w:style>
  <w:style w:type="table" w:customStyle="1" w:styleId="Table-Style3">
    <w:name w:val="Table-Style3"/>
    <w:basedOn w:val="TableNormal"/>
    <w:rsid w:val="005E425E"/>
    <w:rPr>
      <w:rFonts w:ascii="Arial" w:hAnsi="Arial"/>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top w:val="nil"/>
          <w:left w:val="nil"/>
          <w:bottom w:val="nil"/>
          <w:right w:val="nil"/>
          <w:insideH w:val="nil"/>
          <w:insideV w:val="single" w:sz="6" w:space="0" w:color="FFFFFF"/>
        </w:tcBorders>
        <w:shd w:val="clear" w:color="auto" w:fill="00599C"/>
      </w:tcPr>
    </w:tblStylePr>
  </w:style>
  <w:style w:type="paragraph" w:customStyle="1" w:styleId="CaseStudy-Head">
    <w:name w:val="CaseStudy-Head"/>
    <w:next w:val="CaseStudy-Text"/>
    <w:semiHidden/>
    <w:rsid w:val="005E425E"/>
    <w:pPr>
      <w:keepNext/>
      <w:keepLines/>
      <w:spacing w:before="120" w:after="120"/>
      <w:ind w:left="289" w:hanging="289"/>
    </w:pPr>
    <w:rPr>
      <w:rFonts w:ascii="Arial" w:hAnsi="Arial"/>
      <w:b/>
      <w:color w:val="FFFFFF"/>
      <w:sz w:val="32"/>
      <w:szCs w:val="24"/>
      <w:lang w:val="en-US" w:eastAsia="en-US"/>
    </w:rPr>
  </w:style>
  <w:style w:type="paragraph" w:customStyle="1" w:styleId="CaseStudy-Text">
    <w:name w:val="CaseStudy-Text"/>
    <w:basedOn w:val="Normal"/>
    <w:semiHidden/>
    <w:rsid w:val="005E425E"/>
    <w:rPr>
      <w:color w:val="FFFFFF"/>
      <w:sz w:val="24"/>
    </w:rPr>
  </w:style>
  <w:style w:type="paragraph" w:styleId="TOC2">
    <w:name w:val="toc 2"/>
    <w:basedOn w:val="Normal"/>
    <w:next w:val="Normal"/>
    <w:autoRedefine/>
    <w:uiPriority w:val="39"/>
    <w:rsid w:val="005E425E"/>
    <w:pPr>
      <w:tabs>
        <w:tab w:val="right" w:leader="dot" w:pos="9071"/>
      </w:tabs>
      <w:spacing w:before="120" w:after="120"/>
      <w:ind w:left="1134" w:right="851" w:hanging="567"/>
    </w:pPr>
    <w:rPr>
      <w:szCs w:val="20"/>
    </w:rPr>
  </w:style>
  <w:style w:type="table" w:customStyle="1" w:styleId="Table-Style2">
    <w:name w:val="Table-Style2"/>
    <w:basedOn w:val="TableNormal"/>
    <w:rsid w:val="005E425E"/>
    <w:rPr>
      <w:rFonts w:ascii="Arial" w:hAnsi="Arial"/>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3C8E3"/>
    </w:tcPr>
    <w:tblStylePr w:type="firstRow">
      <w:pPr>
        <w:wordWrap/>
        <w:spacing w:beforeLines="0" w:before="60" w:beforeAutospacing="0" w:afterLines="0" w:after="60" w:afterAutospacing="0"/>
      </w:pPr>
      <w:rPr>
        <w:rFonts w:ascii="Arial" w:hAnsi="Arial"/>
        <w:b w:val="0"/>
        <w:color w:val="FFFFFF"/>
        <w:sz w:val="20"/>
      </w:rPr>
      <w:tblPr/>
      <w:tcPr>
        <w:tcBorders>
          <w:top w:val="nil"/>
          <w:left w:val="nil"/>
          <w:bottom w:val="nil"/>
          <w:right w:val="nil"/>
          <w:insideH w:val="nil"/>
          <w:insideV w:val="nil"/>
        </w:tcBorders>
        <w:shd w:val="clear" w:color="auto" w:fill="00599C"/>
      </w:tcPr>
    </w:tblStylePr>
    <w:tblStylePr w:type="firstCol">
      <w:rPr>
        <w:color w:val="auto"/>
      </w:rPr>
      <w:tblPr/>
      <w:tcPr>
        <w:tcBorders>
          <w:top w:val="nil"/>
          <w:left w:val="nil"/>
          <w:bottom w:val="nil"/>
          <w:right w:val="nil"/>
          <w:insideH w:val="nil"/>
          <w:insideV w:val="nil"/>
        </w:tcBorders>
      </w:tcPr>
    </w:tblStylePr>
  </w:style>
  <w:style w:type="paragraph" w:styleId="TOC3">
    <w:name w:val="toc 3"/>
    <w:basedOn w:val="Normal"/>
    <w:next w:val="Normal"/>
    <w:autoRedefine/>
    <w:semiHidden/>
    <w:rsid w:val="005E425E"/>
    <w:pPr>
      <w:spacing w:after="0"/>
      <w:ind w:left="400"/>
    </w:pPr>
    <w:rPr>
      <w:rFonts w:ascii="Times New Roman" w:hAnsi="Times New Roman"/>
      <w:i/>
      <w:iCs/>
      <w:szCs w:val="20"/>
    </w:rPr>
  </w:style>
  <w:style w:type="table" w:customStyle="1" w:styleId="Table-Project">
    <w:name w:val="Table-Project"/>
    <w:basedOn w:val="TableNormal"/>
    <w:semiHidden/>
    <w:rsid w:val="005E425E"/>
    <w:pPr>
      <w:jc w:val="center"/>
    </w:pPr>
    <w:rPr>
      <w:rFonts w:ascii="Arial" w:hAnsi="Arial"/>
      <w: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6E6E6"/>
    </w:tcPr>
    <w:tblStylePr w:type="firstRow">
      <w:pPr>
        <w:jc w:val="left"/>
      </w:pPr>
    </w:tblStylePr>
    <w:tblStylePr w:type="firstCol">
      <w:pPr>
        <w:jc w:val="left"/>
      </w:pPr>
      <w:rPr>
        <w:color w:val="FFFFFF"/>
      </w:rPr>
      <w:tblPr/>
      <w:tcPr>
        <w:shd w:val="clear" w:color="auto" w:fill="00599C"/>
      </w:tcPr>
    </w:tblStylePr>
  </w:style>
  <w:style w:type="paragraph" w:customStyle="1" w:styleId="Heading-CV-Name">
    <w:name w:val="Heading-CV-Name"/>
    <w:basedOn w:val="Normal"/>
    <w:semiHidden/>
    <w:rsid w:val="005E425E"/>
    <w:rPr>
      <w:sz w:val="28"/>
    </w:rPr>
  </w:style>
  <w:style w:type="table" w:customStyle="1" w:styleId="Table-CV">
    <w:name w:val="Table-CV"/>
    <w:basedOn w:val="TableNormal"/>
    <w:semiHidden/>
    <w:rsid w:val="005E425E"/>
    <w:rPr>
      <w:rFonts w:ascii="Arial" w:hAnsi="Arial"/>
    </w:rPr>
    <w:tblPr>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Pr>
    <w:tcPr>
      <w:shd w:val="clear" w:color="auto" w:fill="E7E7E8"/>
    </w:tcPr>
    <w:tblStylePr w:type="firstRow">
      <w:rPr>
        <w:rFonts w:ascii="Arial" w:hAnsi="Arial"/>
        <w:sz w:val="20"/>
      </w:rPr>
    </w:tblStylePr>
    <w:tblStylePr w:type="lastRow">
      <w:tblPr/>
      <w:tcPr>
        <w:tcBorders>
          <w:bottom w:val="nil"/>
        </w:tcBorders>
      </w:tcPr>
    </w:tblStylePr>
    <w:tblStylePr w:type="firstCol">
      <w:pPr>
        <w:wordWrap/>
        <w:spacing w:beforeLines="0" w:before="0" w:beforeAutospacing="0" w:afterLines="0" w:after="0" w:afterAutospacing="0" w:line="240" w:lineRule="auto"/>
        <w:ind w:leftChars="0" w:left="0" w:rightChars="0" w:right="0"/>
        <w:contextualSpacing w:val="0"/>
      </w:pPr>
      <w:rPr>
        <w:rFonts w:ascii="Arial" w:hAnsi="Arial"/>
        <w:b/>
        <w:sz w:val="20"/>
      </w:rPr>
    </w:tblStylePr>
  </w:style>
  <w:style w:type="paragraph" w:customStyle="1" w:styleId="CV-Heading-Color">
    <w:name w:val="CV-Heading-Color"/>
    <w:basedOn w:val="Normal"/>
    <w:next w:val="Body"/>
    <w:link w:val="CV-Heading-ColorChar"/>
    <w:semiHidden/>
    <w:rsid w:val="005E425E"/>
    <w:pPr>
      <w:spacing w:before="60" w:after="60"/>
    </w:pPr>
    <w:rPr>
      <w:b/>
      <w:sz w:val="24"/>
    </w:rPr>
  </w:style>
  <w:style w:type="character" w:styleId="Hyperlink">
    <w:name w:val="Hyperlink"/>
    <w:semiHidden/>
    <w:rsid w:val="005E425E"/>
    <w:rPr>
      <w:color w:val="0000FF"/>
      <w:u w:val="single"/>
    </w:rPr>
  </w:style>
  <w:style w:type="paragraph" w:styleId="TOC4">
    <w:name w:val="toc 4"/>
    <w:basedOn w:val="Normal"/>
    <w:next w:val="Normal"/>
    <w:autoRedefine/>
    <w:semiHidden/>
    <w:rsid w:val="005E425E"/>
    <w:pPr>
      <w:spacing w:after="0"/>
      <w:ind w:left="600"/>
    </w:pPr>
    <w:rPr>
      <w:rFonts w:ascii="Times New Roman" w:hAnsi="Times New Roman"/>
      <w:sz w:val="18"/>
      <w:szCs w:val="18"/>
    </w:rPr>
  </w:style>
  <w:style w:type="paragraph" w:customStyle="1" w:styleId="CV-LineSpacer">
    <w:name w:val="CV-LineSpacer"/>
    <w:basedOn w:val="Normal"/>
    <w:semiHidden/>
    <w:rsid w:val="005E425E"/>
    <w:pPr>
      <w:pBdr>
        <w:top w:val="single" w:sz="8" w:space="1" w:color="auto"/>
      </w:pBdr>
    </w:pPr>
    <w:rPr>
      <w:sz w:val="16"/>
    </w:rPr>
  </w:style>
  <w:style w:type="paragraph" w:styleId="TOC5">
    <w:name w:val="toc 5"/>
    <w:basedOn w:val="TOC1"/>
    <w:next w:val="Body"/>
    <w:autoRedefine/>
    <w:semiHidden/>
    <w:rsid w:val="005E425E"/>
    <w:pPr>
      <w:tabs>
        <w:tab w:val="left" w:pos="1134"/>
      </w:tabs>
      <w:spacing w:after="0"/>
      <w:ind w:left="800"/>
    </w:pPr>
    <w:rPr>
      <w:szCs w:val="18"/>
    </w:rPr>
  </w:style>
  <w:style w:type="paragraph" w:customStyle="1" w:styleId="Bold-ItalicHeading">
    <w:name w:val="Bold-Italic_Heading"/>
    <w:basedOn w:val="Body"/>
    <w:next w:val="Body"/>
    <w:rsid w:val="005E425E"/>
    <w:pPr>
      <w:keepNext/>
      <w:spacing w:before="200"/>
    </w:pPr>
    <w:rPr>
      <w:b/>
      <w:i/>
      <w:color w:val="0065A4"/>
    </w:rPr>
  </w:style>
  <w:style w:type="paragraph" w:customStyle="1" w:styleId="StyleCV-Heading-ColorCustomColorRGB0101164">
    <w:name w:val="Style CV-Heading-Color + Custom Color(RGB(0101164))"/>
    <w:basedOn w:val="CV-Heading-Color"/>
    <w:next w:val="Body"/>
    <w:link w:val="StyleCV-Heading-ColorCustomColorRGB0101164Char"/>
    <w:semiHidden/>
    <w:rsid w:val="005E425E"/>
    <w:rPr>
      <w:bCs/>
      <w:color w:val="0065A4"/>
    </w:rPr>
  </w:style>
  <w:style w:type="character" w:customStyle="1" w:styleId="CV-Heading-ColorChar">
    <w:name w:val="CV-Heading-Color Char"/>
    <w:link w:val="CV-Heading-Color"/>
    <w:semiHidden/>
    <w:rsid w:val="005E425E"/>
    <w:rPr>
      <w:rFonts w:ascii="Arial" w:hAnsi="Arial"/>
      <w:b/>
      <w:sz w:val="24"/>
      <w:szCs w:val="24"/>
      <w:lang w:eastAsia="en-US"/>
    </w:rPr>
  </w:style>
  <w:style w:type="character" w:customStyle="1" w:styleId="StyleCV-Heading-ColorCustomColorRGB0101164Char">
    <w:name w:val="Style CV-Heading-Color + Custom Color(RGB(0101164)) Char"/>
    <w:link w:val="StyleCV-Heading-ColorCustomColorRGB0101164"/>
    <w:semiHidden/>
    <w:rsid w:val="005E425E"/>
    <w:rPr>
      <w:rFonts w:ascii="Arial" w:hAnsi="Arial"/>
      <w:b/>
      <w:bCs/>
      <w:color w:val="0065A4"/>
      <w:sz w:val="24"/>
      <w:szCs w:val="24"/>
      <w:lang w:eastAsia="en-US"/>
    </w:rPr>
  </w:style>
  <w:style w:type="paragraph" w:customStyle="1" w:styleId="Status">
    <w:name w:val="Status"/>
    <w:basedOn w:val="Normal"/>
    <w:semiHidden/>
    <w:rsid w:val="005E425E"/>
    <w:pPr>
      <w:spacing w:before="60" w:after="120" w:line="280" w:lineRule="atLeast"/>
    </w:pPr>
    <w:rPr>
      <w:szCs w:val="20"/>
    </w:rPr>
  </w:style>
  <w:style w:type="paragraph" w:styleId="Caption">
    <w:name w:val="caption"/>
    <w:basedOn w:val="Body"/>
    <w:next w:val="Body"/>
    <w:qFormat/>
    <w:rsid w:val="005E425E"/>
    <w:pPr>
      <w:keepNext/>
      <w:keepLines/>
      <w:tabs>
        <w:tab w:val="left" w:pos="1134"/>
      </w:tabs>
      <w:ind w:left="1701" w:hanging="1134"/>
    </w:pPr>
    <w:rPr>
      <w:rFonts w:ascii="Arial Black" w:hAnsi="Arial Black"/>
      <w:bCs/>
      <w:color w:val="00599C"/>
      <w:szCs w:val="20"/>
    </w:rPr>
  </w:style>
  <w:style w:type="table" w:styleId="TableProfessional">
    <w:name w:val="Table Professional"/>
    <w:basedOn w:val="TableNormal"/>
    <w:semiHidden/>
    <w:rsid w:val="005E425E"/>
    <w:rPr>
      <w:rFonts w:ascii="Arial" w:hAnsi="Arial"/>
    </w:rPr>
    <w:tblPr/>
    <w:tcPr>
      <w:shd w:val="clear" w:color="auto" w:fill="auto"/>
    </w:tcPr>
    <w:tblStylePr w:type="firstRow">
      <w:rPr>
        <w:rFonts w:ascii="Arial" w:hAnsi="Arial"/>
        <w:b w:val="0"/>
        <w:bCs/>
        <w:color w:val="auto"/>
        <w:sz w:val="20"/>
      </w:rPr>
    </w:tblStylePr>
  </w:style>
  <w:style w:type="paragraph" w:customStyle="1" w:styleId="Body-Italic-Color">
    <w:name w:val="Body - Italic - Color"/>
    <w:basedOn w:val="Body"/>
    <w:rsid w:val="005E425E"/>
    <w:rPr>
      <w:i/>
      <w:color w:val="0065A4"/>
    </w:rPr>
  </w:style>
  <w:style w:type="paragraph" w:customStyle="1" w:styleId="Appendix">
    <w:name w:val="Appendix"/>
    <w:next w:val="Body"/>
    <w:rsid w:val="005E425E"/>
    <w:pPr>
      <w:numPr>
        <w:numId w:val="29"/>
      </w:numPr>
      <w:spacing w:before="240" w:after="240"/>
    </w:pPr>
    <w:rPr>
      <w:rFonts w:ascii="Arial" w:hAnsi="Arial" w:cs="Arial"/>
      <w:bCs/>
      <w:kern w:val="32"/>
      <w:sz w:val="36"/>
      <w:szCs w:val="32"/>
      <w:lang w:eastAsia="en-US"/>
    </w:rPr>
  </w:style>
  <w:style w:type="table" w:customStyle="1" w:styleId="Table-Style1">
    <w:name w:val="Table-Style1"/>
    <w:basedOn w:val="TableNormal"/>
    <w:rsid w:val="005E425E"/>
    <w:rPr>
      <w:rFonts w:ascii="Arial" w:hAnsi="Arial"/>
    </w:rPr>
    <w:tblPr>
      <w:tblStyleRowBandSize w:val="1"/>
      <w:tblInd w:w="567" w:type="dxa"/>
    </w:tblPr>
    <w:tblStylePr w:type="firstRow">
      <w:pPr>
        <w:wordWrap/>
        <w:spacing w:beforeLines="0" w:before="60" w:beforeAutospacing="0" w:afterLines="0" w:after="60" w:afterAutospacing="0"/>
        <w:contextualSpacing w:val="0"/>
      </w:pPr>
      <w:rPr>
        <w:color w:val="FFFFFF"/>
      </w:rPr>
      <w:tblPr/>
      <w:tcPr>
        <w:tcBorders>
          <w:top w:val="nil"/>
          <w:left w:val="nil"/>
          <w:bottom w:val="nil"/>
          <w:right w:val="nil"/>
          <w:insideH w:val="nil"/>
          <w:insideV w:val="nil"/>
        </w:tcBorders>
        <w:shd w:val="clear" w:color="auto" w:fill="00599C"/>
      </w:tcPr>
    </w:tblStylePr>
    <w:tblStylePr w:type="firstCol">
      <w:rPr>
        <w:color w:val="00599C"/>
      </w:rPr>
    </w:tblStylePr>
    <w:tblStylePr w:type="band1Horz">
      <w:tblPr/>
      <w:tcPr>
        <w:tcBorders>
          <w:top w:val="single" w:sz="4" w:space="0" w:color="auto"/>
        </w:tcBorders>
      </w:tcPr>
    </w:tblStylePr>
    <w:tblStylePr w:type="band2Horz">
      <w:tblPr/>
      <w:tcPr>
        <w:tcBorders>
          <w:top w:val="single" w:sz="4" w:space="0" w:color="auto"/>
        </w:tcBorders>
      </w:tcPr>
    </w:tblStylePr>
  </w:style>
  <w:style w:type="paragraph" w:styleId="TOC6">
    <w:name w:val="toc 6"/>
    <w:basedOn w:val="Normal"/>
    <w:next w:val="Normal"/>
    <w:autoRedefine/>
    <w:semiHidden/>
    <w:rsid w:val="005E425E"/>
    <w:pPr>
      <w:spacing w:after="0"/>
      <w:ind w:left="1000"/>
    </w:pPr>
    <w:rPr>
      <w:rFonts w:ascii="Times New Roman" w:hAnsi="Times New Roman"/>
      <w:sz w:val="18"/>
      <w:szCs w:val="18"/>
    </w:rPr>
  </w:style>
  <w:style w:type="paragraph" w:styleId="TOC7">
    <w:name w:val="toc 7"/>
    <w:basedOn w:val="Normal"/>
    <w:next w:val="Normal"/>
    <w:autoRedefine/>
    <w:semiHidden/>
    <w:rsid w:val="005E425E"/>
    <w:pPr>
      <w:spacing w:after="0"/>
      <w:ind w:left="1200"/>
    </w:pPr>
    <w:rPr>
      <w:rFonts w:ascii="Times New Roman" w:hAnsi="Times New Roman"/>
      <w:sz w:val="18"/>
      <w:szCs w:val="18"/>
    </w:rPr>
  </w:style>
  <w:style w:type="paragraph" w:styleId="TOC8">
    <w:name w:val="toc 8"/>
    <w:basedOn w:val="Normal"/>
    <w:next w:val="Normal"/>
    <w:autoRedefine/>
    <w:semiHidden/>
    <w:rsid w:val="005E425E"/>
    <w:pPr>
      <w:spacing w:after="0"/>
      <w:ind w:left="1400"/>
    </w:pPr>
    <w:rPr>
      <w:rFonts w:ascii="Times New Roman" w:hAnsi="Times New Roman"/>
      <w:sz w:val="18"/>
      <w:szCs w:val="18"/>
    </w:rPr>
  </w:style>
  <w:style w:type="paragraph" w:styleId="TOC9">
    <w:name w:val="toc 9"/>
    <w:basedOn w:val="Normal"/>
    <w:next w:val="Normal"/>
    <w:autoRedefine/>
    <w:semiHidden/>
    <w:rsid w:val="005E425E"/>
    <w:pPr>
      <w:spacing w:after="0"/>
      <w:ind w:left="1600"/>
    </w:pPr>
    <w:rPr>
      <w:rFonts w:ascii="Times New Roman" w:hAnsi="Times New Roman"/>
      <w:sz w:val="18"/>
      <w:szCs w:val="18"/>
    </w:rPr>
  </w:style>
  <w:style w:type="paragraph" w:styleId="TableofFigures">
    <w:name w:val="table of figures"/>
    <w:basedOn w:val="TOC1"/>
    <w:next w:val="Body"/>
    <w:uiPriority w:val="99"/>
    <w:rsid w:val="005E425E"/>
    <w:pPr>
      <w:tabs>
        <w:tab w:val="left" w:pos="1134"/>
      </w:tabs>
      <w:ind w:left="1134" w:hanging="1134"/>
    </w:pPr>
  </w:style>
  <w:style w:type="paragraph" w:customStyle="1" w:styleId="KeyPeople">
    <w:name w:val="Key People"/>
    <w:basedOn w:val="Heading1-NoTOC"/>
    <w:next w:val="Body"/>
    <w:semiHidden/>
    <w:rsid w:val="005E425E"/>
    <w:pPr>
      <w:spacing w:after="120"/>
    </w:pPr>
    <w:rPr>
      <w:lang w:val="en-US"/>
    </w:rPr>
  </w:style>
  <w:style w:type="paragraph" w:customStyle="1" w:styleId="Body">
    <w:name w:val="Body"/>
    <w:aliases w:val="b,B,Body1,bu,bullet,body,b Char Char Char,b Char Char Char Char Char Char,b Char Char,Body Char1 Char1,b Char Char Char Char Char Char Char Char"/>
    <w:basedOn w:val="Normal"/>
    <w:link w:val="BodyChar"/>
    <w:rsid w:val="005E425E"/>
    <w:pPr>
      <w:spacing w:before="60" w:after="120" w:line="280" w:lineRule="atLeast"/>
      <w:ind w:left="567"/>
    </w:pPr>
  </w:style>
  <w:style w:type="paragraph" w:customStyle="1" w:styleId="Bullet2">
    <w:name w:val="Bullet 2"/>
    <w:aliases w:val="b2"/>
    <w:basedOn w:val="Body"/>
    <w:rsid w:val="005E425E"/>
    <w:pPr>
      <w:numPr>
        <w:numId w:val="5"/>
      </w:numPr>
      <w:tabs>
        <w:tab w:val="clear" w:pos="1134"/>
        <w:tab w:val="left" w:pos="1417"/>
      </w:tabs>
      <w:spacing w:before="0" w:after="60"/>
      <w:ind w:left="1417" w:hanging="283"/>
    </w:pPr>
  </w:style>
  <w:style w:type="paragraph" w:customStyle="1" w:styleId="StyleHeading2h2Before19ptAfter4ptLinespacings">
    <w:name w:val="Style Heading 2h2 + Before:  19 pt After:  4 pt Line spacing:  s..."/>
    <w:basedOn w:val="Heading2"/>
    <w:next w:val="Body"/>
    <w:semiHidden/>
    <w:rsid w:val="005E425E"/>
    <w:pPr>
      <w:spacing w:before="380" w:after="80" w:line="240" w:lineRule="auto"/>
      <w:ind w:left="720" w:hanging="720"/>
    </w:pPr>
    <w:rPr>
      <w:rFonts w:cs="Times New Roman"/>
      <w:bCs w:val="0"/>
      <w:iCs w:val="0"/>
      <w:szCs w:val="20"/>
    </w:rPr>
  </w:style>
  <w:style w:type="paragraph" w:styleId="HTMLPreformatted">
    <w:name w:val="HTML Preformatted"/>
    <w:basedOn w:val="Normal"/>
    <w:semiHidden/>
    <w:rsid w:val="005E42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Cs w:val="20"/>
      <w:lang w:val="en-US"/>
    </w:rPr>
  </w:style>
  <w:style w:type="character" w:styleId="HTMLCode">
    <w:name w:val="HTML Code"/>
    <w:semiHidden/>
    <w:rsid w:val="005E425E"/>
    <w:rPr>
      <w:rFonts w:ascii="Courier New" w:eastAsia="Times New Roman" w:hAnsi="Courier New" w:cs="Courier New"/>
      <w:sz w:val="20"/>
      <w:szCs w:val="20"/>
    </w:rPr>
  </w:style>
  <w:style w:type="paragraph" w:customStyle="1" w:styleId="StyleHeading3h3Before19ptAfter4pt">
    <w:name w:val="Style Heading 3h3 + Before:  19 pt After:  4 pt"/>
    <w:basedOn w:val="Heading3"/>
    <w:next w:val="Body"/>
    <w:semiHidden/>
    <w:rsid w:val="005E425E"/>
    <w:pPr>
      <w:spacing w:before="380" w:after="80"/>
      <w:ind w:left="720" w:hanging="720"/>
    </w:pPr>
    <w:rPr>
      <w:rFonts w:cs="Times New Roman"/>
      <w:bCs w:val="0"/>
      <w:szCs w:val="20"/>
    </w:rPr>
  </w:style>
  <w:style w:type="paragraph" w:customStyle="1" w:styleId="AlphaList">
    <w:name w:val="Alpha_List"/>
    <w:basedOn w:val="BulletNumber"/>
    <w:rsid w:val="005E425E"/>
    <w:pPr>
      <w:numPr>
        <w:numId w:val="21"/>
      </w:numPr>
    </w:pPr>
  </w:style>
  <w:style w:type="paragraph" w:customStyle="1" w:styleId="BoldHeading">
    <w:name w:val="Bold_Heading"/>
    <w:basedOn w:val="Bold-ItalicHeading"/>
    <w:next w:val="Body"/>
    <w:rsid w:val="005E425E"/>
    <w:rPr>
      <w:i w:val="0"/>
    </w:rPr>
  </w:style>
  <w:style w:type="table" w:customStyle="1" w:styleId="CoverTable">
    <w:name w:val="CoverTable"/>
    <w:basedOn w:val="TableNormal"/>
    <w:rsid w:val="005E425E"/>
    <w:rPr>
      <w:rFonts w:ascii="Arial" w:hAnsi="Arial"/>
    </w:rPr>
    <w:tblPr/>
    <w:tcPr>
      <w:shd w:val="clear" w:color="auto" w:fill="auto"/>
    </w:tcPr>
  </w:style>
  <w:style w:type="paragraph" w:customStyle="1" w:styleId="RestartAlphaList">
    <w:name w:val="RestartAlphaList"/>
    <w:basedOn w:val="RestartNumbering"/>
    <w:next w:val="Body"/>
    <w:semiHidden/>
    <w:rsid w:val="005E425E"/>
    <w:pPr>
      <w:numPr>
        <w:numId w:val="21"/>
      </w:numPr>
    </w:pPr>
  </w:style>
  <w:style w:type="paragraph" w:customStyle="1" w:styleId="KeyPeopleGraphic">
    <w:name w:val="KeyPeopleGraphic"/>
    <w:basedOn w:val="Normal"/>
    <w:semiHidden/>
    <w:qFormat/>
    <w:rsid w:val="005E425E"/>
    <w:pPr>
      <w:spacing w:after="0"/>
    </w:pPr>
    <w:rPr>
      <w:b/>
      <w:noProof/>
      <w:lang w:eastAsia="en-AU"/>
    </w:rPr>
  </w:style>
  <w:style w:type="character" w:customStyle="1" w:styleId="BodyChar">
    <w:name w:val="Body Char"/>
    <w:aliases w:val="b Char,B Char,body Char,b Char1,Body1 Char,bullet Char,bu Char,b Char Char Char Char,b Char Char Char Char Char Char Char,b Char Char Char1,Body Char1 Char1 Char,b Char Char Char Char Char Char Char Char Char,b Char Char1"/>
    <w:link w:val="Body"/>
    <w:rsid w:val="005E425E"/>
    <w:rPr>
      <w:rFonts w:ascii="Arial" w:hAnsi="Arial"/>
      <w:szCs w:val="24"/>
      <w:lang w:eastAsia="en-US"/>
    </w:rPr>
  </w:style>
  <w:style w:type="paragraph" w:customStyle="1" w:styleId="Appendix-Block">
    <w:name w:val="Appendix-Block"/>
    <w:next w:val="Appendix"/>
    <w:semiHidden/>
    <w:qFormat/>
    <w:rsid w:val="005E425E"/>
    <w:rPr>
      <w:rFonts w:ascii="Arial Black" w:hAnsi="Arial Black" w:cs="Arial"/>
      <w:bCs/>
      <w:color w:val="FFFFFF"/>
      <w:kern w:val="32"/>
      <w:sz w:val="40"/>
      <w:szCs w:val="32"/>
      <w:lang w:val="en-US" w:eastAsia="en-US"/>
    </w:rPr>
  </w:style>
  <w:style w:type="paragraph" w:customStyle="1" w:styleId="RevisionTable">
    <w:name w:val="RevisionTable"/>
    <w:semiHidden/>
    <w:qFormat/>
    <w:rsid w:val="005E425E"/>
    <w:pPr>
      <w:framePr w:hSpace="181" w:wrap="around" w:hAnchor="margin" w:yAlign="bottom"/>
    </w:pPr>
    <w:rPr>
      <w:rFonts w:ascii="Arial" w:hAnsi="Arial"/>
      <w:sz w:val="18"/>
      <w:szCs w:val="24"/>
      <w:lang w:eastAsia="en-US"/>
    </w:rPr>
  </w:style>
  <w:style w:type="paragraph" w:customStyle="1" w:styleId="Volume">
    <w:name w:val="Volume"/>
    <w:basedOn w:val="Subject"/>
    <w:qFormat/>
    <w:rsid w:val="005E425E"/>
    <w:pPr>
      <w:framePr w:wrap="around"/>
    </w:pPr>
    <w:rPr>
      <w:sz w:val="28"/>
    </w:rPr>
  </w:style>
  <w:style w:type="numbering" w:customStyle="1" w:styleId="Style1">
    <w:name w:val="Style1"/>
    <w:uiPriority w:val="99"/>
    <w:rsid w:val="005E425E"/>
    <w:pPr>
      <w:numPr>
        <w:numId w:val="26"/>
      </w:numPr>
    </w:pPr>
  </w:style>
  <w:style w:type="paragraph" w:styleId="NormalWeb">
    <w:name w:val="Normal (Web)"/>
    <w:basedOn w:val="Normal"/>
    <w:uiPriority w:val="99"/>
    <w:semiHidden/>
    <w:unhideWhenUsed/>
    <w:rsid w:val="005E425E"/>
    <w:pPr>
      <w:spacing w:before="100" w:beforeAutospacing="1" w:after="100" w:afterAutospacing="1"/>
    </w:pPr>
    <w:rPr>
      <w:rFonts w:ascii="Times New Roman" w:eastAsiaTheme="minorEastAsia" w:hAnsi="Times New Roman"/>
      <w:sz w:val="24"/>
      <w:lang w:eastAsia="en-AU"/>
    </w:rPr>
  </w:style>
  <w:style w:type="paragraph" w:styleId="ListParagraph">
    <w:name w:val="List Paragraph"/>
    <w:basedOn w:val="Normal"/>
    <w:uiPriority w:val="34"/>
    <w:qFormat/>
    <w:rsid w:val="00285249"/>
    <w:pPr>
      <w:spacing w:after="0"/>
      <w:ind w:left="720"/>
    </w:pPr>
    <w:rPr>
      <w:rFonts w:ascii="Calibri" w:eastAsiaTheme="minorHAnsi" w:hAnsi="Calibri"/>
      <w:sz w:val="22"/>
      <w:szCs w:val="22"/>
      <w:lang w:val="en-NZ"/>
    </w:rPr>
  </w:style>
  <w:style w:type="character" w:styleId="CommentReference">
    <w:name w:val="annotation reference"/>
    <w:basedOn w:val="DefaultParagraphFont"/>
    <w:semiHidden/>
    <w:unhideWhenUsed/>
    <w:rsid w:val="00285249"/>
    <w:rPr>
      <w:sz w:val="16"/>
      <w:szCs w:val="16"/>
    </w:rPr>
  </w:style>
  <w:style w:type="paragraph" w:styleId="CommentText">
    <w:name w:val="annotation text"/>
    <w:basedOn w:val="Normal"/>
    <w:link w:val="CommentTextChar"/>
    <w:semiHidden/>
    <w:unhideWhenUsed/>
    <w:rsid w:val="00285249"/>
    <w:rPr>
      <w:szCs w:val="20"/>
    </w:rPr>
  </w:style>
  <w:style w:type="character" w:customStyle="1" w:styleId="CommentTextChar">
    <w:name w:val="Comment Text Char"/>
    <w:basedOn w:val="DefaultParagraphFont"/>
    <w:link w:val="CommentText"/>
    <w:semiHidden/>
    <w:rsid w:val="00285249"/>
    <w:rPr>
      <w:rFonts w:ascii="Arial" w:hAnsi="Arial"/>
      <w:lang w:eastAsia="en-US"/>
    </w:rPr>
  </w:style>
  <w:style w:type="paragraph" w:styleId="CommentSubject">
    <w:name w:val="annotation subject"/>
    <w:basedOn w:val="CommentText"/>
    <w:next w:val="CommentText"/>
    <w:link w:val="CommentSubjectChar"/>
    <w:semiHidden/>
    <w:unhideWhenUsed/>
    <w:rsid w:val="00285249"/>
    <w:rPr>
      <w:b/>
      <w:bCs/>
    </w:rPr>
  </w:style>
  <w:style w:type="character" w:customStyle="1" w:styleId="CommentSubjectChar">
    <w:name w:val="Comment Subject Char"/>
    <w:basedOn w:val="CommentTextChar"/>
    <w:link w:val="CommentSubject"/>
    <w:semiHidden/>
    <w:rsid w:val="00285249"/>
    <w:rPr>
      <w:rFonts w:ascii="Arial" w:hAnsi="Arial"/>
      <w:b/>
      <w:bCs/>
      <w:lang w:eastAsia="en-US"/>
    </w:rPr>
  </w:style>
  <w:style w:type="paragraph" w:customStyle="1" w:styleId="Bullet1">
    <w:name w:val="Bullet 1"/>
    <w:basedOn w:val="Normal"/>
    <w:qFormat/>
    <w:rsid w:val="00195670"/>
    <w:pPr>
      <w:tabs>
        <w:tab w:val="num" w:pos="37"/>
        <w:tab w:val="left" w:pos="397"/>
      </w:tabs>
      <w:spacing w:after="120"/>
      <w:ind w:left="284" w:hanging="284"/>
      <w:contextualSpacing/>
    </w:pPr>
  </w:style>
  <w:style w:type="paragraph" w:styleId="FootnoteText">
    <w:name w:val="footnote text"/>
    <w:basedOn w:val="Normal"/>
    <w:link w:val="FootnoteTextChar"/>
    <w:semiHidden/>
    <w:unhideWhenUsed/>
    <w:rsid w:val="00565111"/>
    <w:pPr>
      <w:spacing w:after="0"/>
    </w:pPr>
    <w:rPr>
      <w:szCs w:val="20"/>
    </w:rPr>
  </w:style>
  <w:style w:type="character" w:customStyle="1" w:styleId="FootnoteTextChar">
    <w:name w:val="Footnote Text Char"/>
    <w:basedOn w:val="DefaultParagraphFont"/>
    <w:link w:val="FootnoteText"/>
    <w:semiHidden/>
    <w:rsid w:val="00565111"/>
    <w:rPr>
      <w:rFonts w:ascii="Arial" w:hAnsi="Arial"/>
      <w:lang w:eastAsia="en-US"/>
    </w:rPr>
  </w:style>
  <w:style w:type="character" w:styleId="FootnoteReference">
    <w:name w:val="footnote reference"/>
    <w:basedOn w:val="DefaultParagraphFont"/>
    <w:semiHidden/>
    <w:unhideWhenUsed/>
    <w:rsid w:val="00565111"/>
    <w:rPr>
      <w:vertAlign w:val="superscript"/>
    </w:rPr>
  </w:style>
  <w:style w:type="paragraph" w:styleId="Revision">
    <w:name w:val="Revision"/>
    <w:hidden/>
    <w:uiPriority w:val="99"/>
    <w:semiHidden/>
    <w:rsid w:val="007267E6"/>
    <w:rPr>
      <w:rFonts w:ascii="Arial" w:hAnsi="Arial"/>
      <w:szCs w:val="24"/>
      <w:lang w:eastAsia="en-US"/>
    </w:rPr>
  </w:style>
  <w:style w:type="character" w:styleId="PlaceholderText">
    <w:name w:val="Placeholder Text"/>
    <w:basedOn w:val="DefaultParagraphFont"/>
    <w:uiPriority w:val="99"/>
    <w:semiHidden/>
    <w:rsid w:val="001341B0"/>
    <w:rPr>
      <w:color w:val="808080"/>
    </w:rPr>
  </w:style>
  <w:style w:type="paragraph" w:customStyle="1" w:styleId="TableParagraph">
    <w:name w:val="Table Paragraph"/>
    <w:basedOn w:val="Normal"/>
    <w:uiPriority w:val="1"/>
    <w:qFormat/>
    <w:rsid w:val="00CD5575"/>
    <w:pPr>
      <w:widowControl w:val="0"/>
      <w:autoSpaceDE w:val="0"/>
      <w:autoSpaceDN w:val="0"/>
      <w:spacing w:after="0"/>
    </w:pPr>
    <w:rPr>
      <w:rFonts w:ascii="Palatino Linotype" w:eastAsia="Palatino Linotype" w:hAnsi="Palatino Linotype" w:cs="Palatino Linotype"/>
      <w:sz w:val="22"/>
      <w:szCs w:val="22"/>
      <w:lang w:val="en-US"/>
    </w:rPr>
  </w:style>
  <w:style w:type="paragraph" w:styleId="BodyText">
    <w:name w:val="Body Text"/>
    <w:basedOn w:val="Normal"/>
    <w:link w:val="BodyTextChar"/>
    <w:uiPriority w:val="1"/>
    <w:qFormat/>
    <w:rsid w:val="00CD5575"/>
    <w:pPr>
      <w:widowControl w:val="0"/>
      <w:autoSpaceDE w:val="0"/>
      <w:autoSpaceDN w:val="0"/>
      <w:spacing w:after="0"/>
    </w:pPr>
    <w:rPr>
      <w:rFonts w:ascii="Palatino Linotype" w:eastAsia="Palatino Linotype" w:hAnsi="Palatino Linotype" w:cs="Palatino Linotype"/>
      <w:szCs w:val="20"/>
      <w:lang w:val="en-US"/>
    </w:rPr>
  </w:style>
  <w:style w:type="character" w:customStyle="1" w:styleId="BodyTextChar">
    <w:name w:val="Body Text Char"/>
    <w:basedOn w:val="DefaultParagraphFont"/>
    <w:link w:val="BodyText"/>
    <w:uiPriority w:val="1"/>
    <w:rsid w:val="00CD5575"/>
    <w:rPr>
      <w:rFonts w:ascii="Palatino Linotype" w:eastAsia="Palatino Linotype" w:hAnsi="Palatino Linotype" w:cs="Palatino Linotype"/>
      <w:lang w:val="en-US" w:eastAsia="en-US"/>
    </w:rPr>
  </w:style>
  <w:style w:type="table" w:customStyle="1" w:styleId="ListTable4-Accent51">
    <w:name w:val="List Table 4 - Accent 51"/>
    <w:basedOn w:val="TableNormal"/>
    <w:uiPriority w:val="49"/>
    <w:rsid w:val="00644674"/>
    <w:rPr>
      <w:rFonts w:asciiTheme="minorHAnsi" w:eastAsiaTheme="minorHAnsi" w:hAnsiTheme="minorHAnsi" w:cstheme="minorBidi"/>
      <w:sz w:val="22"/>
      <w:szCs w:val="22"/>
      <w:lang w:val="en-NZ" w:eastAsia="en-US"/>
    </w:rPr>
    <w:tblPr>
      <w:tblStyleRowBandSize w:val="1"/>
      <w:tblStyleColBandSize w:val="1"/>
      <w:tblBorders>
        <w:top w:val="single" w:sz="4" w:space="0" w:color="F9A4D1" w:themeColor="accent5" w:themeTint="99"/>
        <w:left w:val="single" w:sz="4" w:space="0" w:color="F9A4D1" w:themeColor="accent5" w:themeTint="99"/>
        <w:bottom w:val="single" w:sz="4" w:space="0" w:color="F9A4D1" w:themeColor="accent5" w:themeTint="99"/>
        <w:right w:val="single" w:sz="4" w:space="0" w:color="F9A4D1" w:themeColor="accent5" w:themeTint="99"/>
        <w:insideH w:val="single" w:sz="4" w:space="0" w:color="F9A4D1" w:themeColor="accent5" w:themeTint="99"/>
      </w:tblBorders>
    </w:tblPr>
    <w:tblStylePr w:type="firstRow">
      <w:rPr>
        <w:b/>
        <w:bCs/>
        <w:color w:val="FFFFFF" w:themeColor="background1"/>
      </w:rPr>
      <w:tblPr/>
      <w:tcPr>
        <w:tcBorders>
          <w:top w:val="single" w:sz="4" w:space="0" w:color="F568B3" w:themeColor="accent5"/>
          <w:left w:val="single" w:sz="4" w:space="0" w:color="F568B3" w:themeColor="accent5"/>
          <w:bottom w:val="single" w:sz="4" w:space="0" w:color="F568B3" w:themeColor="accent5"/>
          <w:right w:val="single" w:sz="4" w:space="0" w:color="F568B3" w:themeColor="accent5"/>
          <w:insideH w:val="nil"/>
        </w:tcBorders>
        <w:shd w:val="clear" w:color="auto" w:fill="F568B3" w:themeFill="accent5"/>
      </w:tcPr>
    </w:tblStylePr>
    <w:tblStylePr w:type="lastRow">
      <w:rPr>
        <w:b/>
        <w:bCs/>
      </w:rPr>
      <w:tblPr/>
      <w:tcPr>
        <w:tcBorders>
          <w:top w:val="double" w:sz="4" w:space="0" w:color="F9A4D1" w:themeColor="accent5" w:themeTint="99"/>
        </w:tcBorders>
      </w:tcPr>
    </w:tblStylePr>
    <w:tblStylePr w:type="firstCol">
      <w:rPr>
        <w:b/>
        <w:bCs/>
      </w:rPr>
    </w:tblStylePr>
    <w:tblStylePr w:type="lastCol">
      <w:rPr>
        <w:b/>
        <w:bCs/>
      </w:rPr>
    </w:tblStylePr>
    <w:tblStylePr w:type="band1Vert">
      <w:tblPr/>
      <w:tcPr>
        <w:shd w:val="clear" w:color="auto" w:fill="FDE0EF" w:themeFill="accent5" w:themeFillTint="33"/>
      </w:tcPr>
    </w:tblStylePr>
    <w:tblStylePr w:type="band1Horz">
      <w:tblPr/>
      <w:tcPr>
        <w:shd w:val="clear" w:color="auto" w:fill="FDE0EF" w:themeFill="accent5" w:themeFillTint="33"/>
      </w:tcPr>
    </w:tblStylePr>
  </w:style>
  <w:style w:type="table" w:customStyle="1" w:styleId="Table-Style31">
    <w:name w:val="Table-Style31"/>
    <w:basedOn w:val="TableNormal"/>
    <w:rsid w:val="00463EC1"/>
    <w:rPr>
      <w:rFonts w:ascii="Arial" w:hAnsi="Arial"/>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top w:val="nil"/>
          <w:left w:val="nil"/>
          <w:bottom w:val="nil"/>
          <w:right w:val="nil"/>
          <w:insideH w:val="nil"/>
          <w:insideV w:val="single" w:sz="6" w:space="0" w:color="FFFFFF"/>
        </w:tcBorders>
        <w:shd w:val="clear" w:color="auto" w:fill="00599C"/>
      </w:tcPr>
    </w:tblStylePr>
  </w:style>
  <w:style w:type="table" w:customStyle="1" w:styleId="Table-Style32">
    <w:name w:val="Table-Style32"/>
    <w:basedOn w:val="TableNormal"/>
    <w:rsid w:val="00F96A03"/>
    <w:rPr>
      <w:rFonts w:ascii="Arial" w:hAnsi="Arial"/>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top w:val="nil"/>
          <w:left w:val="nil"/>
          <w:bottom w:val="nil"/>
          <w:right w:val="nil"/>
          <w:insideH w:val="nil"/>
          <w:insideV w:val="single" w:sz="6" w:space="0" w:color="FFFFFF"/>
        </w:tcBorders>
        <w:shd w:val="clear" w:color="auto" w:fill="00599C"/>
      </w:tcPr>
    </w:tblStylePr>
  </w:style>
  <w:style w:type="table" w:customStyle="1" w:styleId="ListTable4-Accent510">
    <w:name w:val="List Table 4 - Accent 51"/>
    <w:basedOn w:val="TableNormal"/>
    <w:uiPriority w:val="49"/>
    <w:rsid w:val="00AE663D"/>
    <w:rPr>
      <w:rFonts w:asciiTheme="minorHAnsi" w:eastAsiaTheme="minorHAnsi" w:hAnsiTheme="minorHAnsi" w:cstheme="minorBidi"/>
      <w:sz w:val="22"/>
      <w:szCs w:val="22"/>
      <w:lang w:val="en-NZ" w:eastAsia="en-US"/>
    </w:rPr>
    <w:tblPr>
      <w:tblStyleRowBandSize w:val="1"/>
      <w:tblStyleColBandSize w:val="1"/>
      <w:tblBorders>
        <w:top w:val="single" w:sz="4" w:space="0" w:color="F9A4D1" w:themeColor="accent5" w:themeTint="99"/>
        <w:left w:val="single" w:sz="4" w:space="0" w:color="F9A4D1" w:themeColor="accent5" w:themeTint="99"/>
        <w:bottom w:val="single" w:sz="4" w:space="0" w:color="F9A4D1" w:themeColor="accent5" w:themeTint="99"/>
        <w:right w:val="single" w:sz="4" w:space="0" w:color="F9A4D1" w:themeColor="accent5" w:themeTint="99"/>
        <w:insideH w:val="single" w:sz="4" w:space="0" w:color="F9A4D1" w:themeColor="accent5" w:themeTint="99"/>
      </w:tblBorders>
    </w:tblPr>
    <w:tblStylePr w:type="firstRow">
      <w:rPr>
        <w:b/>
        <w:bCs/>
        <w:color w:val="FFFFFF" w:themeColor="background1"/>
      </w:rPr>
      <w:tblPr/>
      <w:tcPr>
        <w:tcBorders>
          <w:top w:val="single" w:sz="4" w:space="0" w:color="F568B3" w:themeColor="accent5"/>
          <w:left w:val="single" w:sz="4" w:space="0" w:color="F568B3" w:themeColor="accent5"/>
          <w:bottom w:val="single" w:sz="4" w:space="0" w:color="F568B3" w:themeColor="accent5"/>
          <w:right w:val="single" w:sz="4" w:space="0" w:color="F568B3" w:themeColor="accent5"/>
          <w:insideH w:val="nil"/>
        </w:tcBorders>
        <w:shd w:val="clear" w:color="auto" w:fill="F568B3" w:themeFill="accent5"/>
      </w:tcPr>
    </w:tblStylePr>
    <w:tblStylePr w:type="lastRow">
      <w:rPr>
        <w:b/>
        <w:bCs/>
      </w:rPr>
      <w:tblPr/>
      <w:tcPr>
        <w:tcBorders>
          <w:top w:val="double" w:sz="4" w:space="0" w:color="F9A4D1" w:themeColor="accent5" w:themeTint="99"/>
        </w:tcBorders>
      </w:tcPr>
    </w:tblStylePr>
    <w:tblStylePr w:type="firstCol">
      <w:rPr>
        <w:b/>
        <w:bCs/>
      </w:rPr>
    </w:tblStylePr>
    <w:tblStylePr w:type="lastCol">
      <w:rPr>
        <w:b/>
        <w:bCs/>
      </w:rPr>
    </w:tblStylePr>
    <w:tblStylePr w:type="band1Vert">
      <w:tblPr/>
      <w:tcPr>
        <w:shd w:val="clear" w:color="auto" w:fill="FDE0EF" w:themeFill="accent5" w:themeFillTint="33"/>
      </w:tcPr>
    </w:tblStylePr>
    <w:tblStylePr w:type="band1Horz">
      <w:tblPr/>
      <w:tcPr>
        <w:shd w:val="clear" w:color="auto" w:fill="FDE0EF"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emiHidden/>
    <w:qFormat/>
    <w:rsid w:val="005E425E"/>
    <w:pPr>
      <w:spacing w:after="40"/>
    </w:pPr>
    <w:rPr>
      <w:rFonts w:ascii="Arial" w:hAnsi="Arial"/>
      <w:szCs w:val="24"/>
      <w:lang w:eastAsia="en-US"/>
    </w:rPr>
  </w:style>
  <w:style w:type="paragraph" w:styleId="Heading1">
    <w:name w:val="heading 1"/>
    <w:aliases w:val="H1"/>
    <w:basedOn w:val="Body"/>
    <w:next w:val="Body"/>
    <w:qFormat/>
    <w:rsid w:val="005E425E"/>
    <w:pPr>
      <w:keepNext/>
      <w:numPr>
        <w:numId w:val="2"/>
      </w:numPr>
      <w:spacing w:before="240" w:after="240" w:line="240" w:lineRule="auto"/>
      <w:outlineLvl w:val="0"/>
    </w:pPr>
    <w:rPr>
      <w:rFonts w:ascii="Arial Black" w:hAnsi="Arial Black" w:cs="Arial"/>
      <w:bCs/>
      <w:kern w:val="32"/>
      <w:sz w:val="40"/>
      <w:szCs w:val="32"/>
    </w:rPr>
  </w:style>
  <w:style w:type="paragraph" w:styleId="Heading2">
    <w:name w:val="heading 2"/>
    <w:aliases w:val="H2"/>
    <w:basedOn w:val="Body"/>
    <w:next w:val="Body"/>
    <w:qFormat/>
    <w:rsid w:val="005E425E"/>
    <w:pPr>
      <w:keepNext/>
      <w:numPr>
        <w:ilvl w:val="1"/>
        <w:numId w:val="2"/>
      </w:numPr>
      <w:spacing w:before="240"/>
      <w:outlineLvl w:val="1"/>
    </w:pPr>
    <w:rPr>
      <w:rFonts w:ascii="Arial Black" w:hAnsi="Arial Black" w:cs="Arial"/>
      <w:bCs/>
      <w:iCs/>
      <w:color w:val="0065A4"/>
      <w:sz w:val="23"/>
      <w:szCs w:val="28"/>
    </w:rPr>
  </w:style>
  <w:style w:type="paragraph" w:styleId="Heading3">
    <w:name w:val="heading 3"/>
    <w:aliases w:val="H3"/>
    <w:basedOn w:val="Body"/>
    <w:next w:val="Body"/>
    <w:qFormat/>
    <w:rsid w:val="005E425E"/>
    <w:pPr>
      <w:keepNext/>
      <w:numPr>
        <w:ilvl w:val="2"/>
        <w:numId w:val="2"/>
      </w:numPr>
      <w:spacing w:before="240"/>
      <w:outlineLvl w:val="2"/>
    </w:pPr>
    <w:rPr>
      <w:rFonts w:ascii="Arial Black" w:hAnsi="Arial Black" w:cs="Arial"/>
      <w:bCs/>
      <w:szCs w:val="26"/>
    </w:rPr>
  </w:style>
  <w:style w:type="paragraph" w:styleId="Heading4">
    <w:name w:val="heading 4"/>
    <w:basedOn w:val="Normal"/>
    <w:next w:val="Normal"/>
    <w:qFormat/>
    <w:rsid w:val="005E425E"/>
    <w:pPr>
      <w:keepNext/>
      <w:spacing w:before="240" w:after="60"/>
      <w:ind w:left="567"/>
      <w:outlineLvl w:val="3"/>
    </w:pPr>
    <w:rPr>
      <w:b/>
      <w:bCs/>
      <w:i/>
      <w:color w:val="0065A4"/>
      <w:szCs w:val="28"/>
    </w:rPr>
  </w:style>
  <w:style w:type="paragraph" w:styleId="Heading5">
    <w:name w:val="heading 5"/>
    <w:basedOn w:val="Normal"/>
    <w:next w:val="Normal"/>
    <w:semiHidden/>
    <w:qFormat/>
    <w:rsid w:val="005E425E"/>
    <w:pPr>
      <w:spacing w:before="240" w:after="60"/>
      <w:outlineLvl w:val="4"/>
    </w:pPr>
    <w:rPr>
      <w:b/>
      <w:bCs/>
      <w:i/>
      <w:iCs/>
      <w:sz w:val="26"/>
      <w:szCs w:val="26"/>
    </w:rPr>
  </w:style>
  <w:style w:type="paragraph" w:styleId="Heading6">
    <w:name w:val="heading 6"/>
    <w:basedOn w:val="Normal"/>
    <w:next w:val="Normal"/>
    <w:semiHidden/>
    <w:qFormat/>
    <w:rsid w:val="005E425E"/>
    <w:p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5E425E"/>
    <w:pPr>
      <w:spacing w:before="240" w:after="60"/>
      <w:outlineLvl w:val="6"/>
    </w:pPr>
    <w:rPr>
      <w:rFonts w:ascii="Times New Roman" w:hAnsi="Times New Roman"/>
      <w:sz w:val="24"/>
    </w:rPr>
  </w:style>
  <w:style w:type="paragraph" w:styleId="Heading8">
    <w:name w:val="heading 8"/>
    <w:basedOn w:val="Normal"/>
    <w:next w:val="Normal"/>
    <w:semiHidden/>
    <w:qFormat/>
    <w:rsid w:val="005E425E"/>
    <w:pPr>
      <w:spacing w:before="240" w:after="60"/>
      <w:outlineLvl w:val="7"/>
    </w:pPr>
    <w:rPr>
      <w:rFonts w:ascii="Times New Roman" w:hAnsi="Times New Roman"/>
      <w:i/>
      <w:iCs/>
      <w:sz w:val="24"/>
    </w:rPr>
  </w:style>
  <w:style w:type="paragraph" w:styleId="Heading9">
    <w:name w:val="heading 9"/>
    <w:basedOn w:val="Normal"/>
    <w:next w:val="Normal"/>
    <w:semiHidden/>
    <w:qFormat/>
    <w:rsid w:val="005E425E"/>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E425E"/>
    <w:rPr>
      <w:rFonts w:ascii="Tahoma" w:hAnsi="Tahoma" w:cs="Tahoma"/>
      <w:sz w:val="16"/>
      <w:szCs w:val="16"/>
    </w:rPr>
  </w:style>
  <w:style w:type="paragraph" w:styleId="Header">
    <w:name w:val="header"/>
    <w:basedOn w:val="Normal"/>
    <w:semiHidden/>
    <w:rsid w:val="005E425E"/>
    <w:pPr>
      <w:tabs>
        <w:tab w:val="center" w:pos="4153"/>
        <w:tab w:val="right" w:pos="8306"/>
      </w:tabs>
      <w:spacing w:before="240"/>
    </w:pPr>
  </w:style>
  <w:style w:type="paragraph" w:styleId="Footer">
    <w:name w:val="footer"/>
    <w:basedOn w:val="Body"/>
    <w:semiHidden/>
    <w:rsid w:val="005E425E"/>
    <w:rPr>
      <w:sz w:val="16"/>
    </w:rPr>
  </w:style>
  <w:style w:type="paragraph" w:styleId="DocumentMap">
    <w:name w:val="Document Map"/>
    <w:basedOn w:val="Normal"/>
    <w:semiHidden/>
    <w:rsid w:val="005E425E"/>
    <w:pPr>
      <w:shd w:val="clear" w:color="auto" w:fill="000080"/>
    </w:pPr>
    <w:rPr>
      <w:rFonts w:ascii="Tahoma" w:hAnsi="Tahoma" w:cs="Tahoma"/>
      <w:szCs w:val="20"/>
    </w:rPr>
  </w:style>
  <w:style w:type="paragraph" w:customStyle="1" w:styleId="RestartNumbering">
    <w:name w:val="Restart Numbering"/>
    <w:basedOn w:val="Normal"/>
    <w:next w:val="Normal"/>
    <w:semiHidden/>
    <w:rsid w:val="005E425E"/>
    <w:pPr>
      <w:numPr>
        <w:numId w:val="22"/>
      </w:numPr>
    </w:pPr>
    <w:rPr>
      <w:sz w:val="2"/>
    </w:rPr>
  </w:style>
  <w:style w:type="paragraph" w:customStyle="1" w:styleId="BulletNumber">
    <w:name w:val="Bullet Number"/>
    <w:aliases w:val="bn"/>
    <w:basedOn w:val="Body"/>
    <w:rsid w:val="005E425E"/>
    <w:pPr>
      <w:numPr>
        <w:ilvl w:val="1"/>
        <w:numId w:val="22"/>
      </w:numPr>
    </w:pPr>
  </w:style>
  <w:style w:type="paragraph" w:customStyle="1" w:styleId="NumberedLev2">
    <w:name w:val="Numbered Lev2"/>
    <w:basedOn w:val="Body"/>
    <w:semiHidden/>
    <w:rsid w:val="005E425E"/>
    <w:pPr>
      <w:numPr>
        <w:ilvl w:val="2"/>
        <w:numId w:val="21"/>
      </w:numPr>
    </w:pPr>
  </w:style>
  <w:style w:type="paragraph" w:customStyle="1" w:styleId="NumberedLev3">
    <w:name w:val="Numbered Lev3"/>
    <w:basedOn w:val="Body"/>
    <w:semiHidden/>
    <w:rsid w:val="005E425E"/>
    <w:pPr>
      <w:numPr>
        <w:ilvl w:val="3"/>
        <w:numId w:val="21"/>
      </w:numPr>
    </w:pPr>
  </w:style>
  <w:style w:type="paragraph" w:customStyle="1" w:styleId="NumberedLev4">
    <w:name w:val="Numbered Lev4"/>
    <w:basedOn w:val="Body"/>
    <w:semiHidden/>
    <w:rsid w:val="005E425E"/>
    <w:pPr>
      <w:numPr>
        <w:ilvl w:val="4"/>
        <w:numId w:val="21"/>
      </w:numPr>
    </w:pPr>
  </w:style>
  <w:style w:type="paragraph" w:customStyle="1" w:styleId="NumberedLev5">
    <w:name w:val="Numbered Lev5"/>
    <w:basedOn w:val="Body"/>
    <w:semiHidden/>
    <w:rsid w:val="005E425E"/>
    <w:pPr>
      <w:numPr>
        <w:ilvl w:val="5"/>
        <w:numId w:val="21"/>
      </w:numPr>
    </w:pPr>
  </w:style>
  <w:style w:type="paragraph" w:customStyle="1" w:styleId="Bullet">
    <w:name w:val="Bullet"/>
    <w:aliases w:val="b1"/>
    <w:basedOn w:val="Body"/>
    <w:rsid w:val="005E425E"/>
    <w:pPr>
      <w:numPr>
        <w:numId w:val="9"/>
      </w:numPr>
      <w:tabs>
        <w:tab w:val="clear" w:pos="1908"/>
        <w:tab w:val="left" w:pos="1134"/>
      </w:tabs>
      <w:ind w:left="1134" w:hanging="567"/>
    </w:pPr>
  </w:style>
  <w:style w:type="paragraph" w:customStyle="1" w:styleId="Cover-Client">
    <w:name w:val="Cover-Client"/>
    <w:next w:val="Project"/>
    <w:rsid w:val="005E425E"/>
    <w:pPr>
      <w:spacing w:after="120" w:line="280" w:lineRule="atLeast"/>
      <w:jc w:val="right"/>
    </w:pPr>
    <w:rPr>
      <w:rFonts w:ascii="Arial Black" w:hAnsi="Arial Black"/>
      <w:bCs/>
      <w:color w:val="0065A4"/>
      <w:sz w:val="40"/>
      <w:lang w:eastAsia="en-US"/>
    </w:rPr>
  </w:style>
  <w:style w:type="paragraph" w:customStyle="1" w:styleId="Project">
    <w:name w:val="Project"/>
    <w:next w:val="Subject"/>
    <w:rsid w:val="005E425E"/>
    <w:pPr>
      <w:spacing w:before="120" w:after="120" w:line="280" w:lineRule="atLeast"/>
      <w:jc w:val="right"/>
    </w:pPr>
    <w:rPr>
      <w:rFonts w:ascii="Arial" w:hAnsi="Arial" w:cs="Arial"/>
      <w:sz w:val="36"/>
      <w:lang w:eastAsia="en-US"/>
    </w:rPr>
  </w:style>
  <w:style w:type="paragraph" w:customStyle="1" w:styleId="Subject">
    <w:name w:val="Subject"/>
    <w:basedOn w:val="Project"/>
    <w:next w:val="Normal"/>
    <w:rsid w:val="005E425E"/>
    <w:pPr>
      <w:framePr w:hSpace="181" w:wrap="around" w:hAnchor="page" w:xAlign="center" w:yAlign="bottom"/>
    </w:pPr>
  </w:style>
  <w:style w:type="paragraph" w:customStyle="1" w:styleId="CoverDate">
    <w:name w:val="CoverDate"/>
    <w:basedOn w:val="Normal"/>
    <w:rsid w:val="005E425E"/>
    <w:pPr>
      <w:framePr w:hSpace="181" w:wrap="around" w:vAnchor="page" w:hAnchor="page" w:xAlign="center" w:y="9141"/>
      <w:jc w:val="right"/>
    </w:pPr>
    <w:rPr>
      <w:noProof/>
    </w:rPr>
  </w:style>
  <w:style w:type="paragraph" w:customStyle="1" w:styleId="Heading1-NoTOC">
    <w:name w:val="Heading1-NoTOC"/>
    <w:basedOn w:val="Normal"/>
    <w:next w:val="Body"/>
    <w:rsid w:val="005E425E"/>
    <w:pPr>
      <w:spacing w:before="240" w:after="240"/>
      <w:ind w:left="-567"/>
    </w:pPr>
    <w:rPr>
      <w:rFonts w:ascii="Arial Black" w:hAnsi="Arial Black"/>
      <w:sz w:val="40"/>
    </w:rPr>
  </w:style>
  <w:style w:type="paragraph" w:customStyle="1" w:styleId="IntroLetter">
    <w:name w:val="IntroLetter"/>
    <w:basedOn w:val="Normal"/>
    <w:semiHidden/>
    <w:rsid w:val="005E425E"/>
    <w:pPr>
      <w:ind w:left="2268" w:right="5103"/>
    </w:pPr>
  </w:style>
  <w:style w:type="paragraph" w:styleId="TOC1">
    <w:name w:val="toc 1"/>
    <w:basedOn w:val="Body"/>
    <w:next w:val="Body"/>
    <w:autoRedefine/>
    <w:uiPriority w:val="39"/>
    <w:rsid w:val="005E425E"/>
    <w:pPr>
      <w:tabs>
        <w:tab w:val="right" w:leader="dot" w:pos="9071"/>
      </w:tabs>
      <w:spacing w:before="120"/>
      <w:ind w:right="851" w:hanging="567"/>
    </w:pPr>
    <w:rPr>
      <w:bCs/>
      <w:szCs w:val="20"/>
    </w:rPr>
  </w:style>
  <w:style w:type="character" w:styleId="PageNumber">
    <w:name w:val="page number"/>
    <w:basedOn w:val="DefaultParagraphFont"/>
    <w:semiHidden/>
    <w:rsid w:val="005E425E"/>
  </w:style>
  <w:style w:type="table" w:styleId="TableGrid">
    <w:name w:val="Table Grid"/>
    <w:basedOn w:val="Table-Style3"/>
    <w:rsid w:val="005E425E"/>
    <w:pPr>
      <w:spacing w:before="60" w:after="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top w:val="nil"/>
          <w:left w:val="nil"/>
          <w:bottom w:val="nil"/>
          <w:right w:val="nil"/>
          <w:insideH w:val="nil"/>
          <w:insideV w:val="single" w:sz="6" w:space="0" w:color="FFFFFF"/>
        </w:tcBorders>
        <w:shd w:val="clear" w:color="auto" w:fill="0065A4"/>
      </w:tcPr>
    </w:tblStylePr>
  </w:style>
  <w:style w:type="paragraph" w:customStyle="1" w:styleId="Pull-Quote-Style1">
    <w:name w:val="Pull-Quote-Style1"/>
    <w:next w:val="Pull-Quote-Ref-Style1"/>
    <w:semiHidden/>
    <w:rsid w:val="005E425E"/>
    <w:pPr>
      <w:keepNext/>
      <w:keepLines/>
      <w:spacing w:before="240" w:after="240"/>
    </w:pPr>
    <w:rPr>
      <w:rFonts w:ascii="Arial" w:hAnsi="Arial"/>
      <w:b/>
      <w:color w:val="FFFFFF"/>
      <w:sz w:val="40"/>
      <w:szCs w:val="24"/>
      <w:lang w:val="en-US" w:eastAsia="en-US"/>
    </w:rPr>
  </w:style>
  <w:style w:type="paragraph" w:customStyle="1" w:styleId="Pull-Quote-Ref-Style1">
    <w:name w:val="Pull-Quote-Ref-Style1"/>
    <w:next w:val="Normal"/>
    <w:semiHidden/>
    <w:rsid w:val="005E425E"/>
    <w:pPr>
      <w:spacing w:after="240"/>
      <w:jc w:val="right"/>
    </w:pPr>
    <w:rPr>
      <w:rFonts w:ascii="Arial" w:hAnsi="Arial"/>
      <w:color w:val="FFFFFF"/>
      <w:szCs w:val="24"/>
      <w:lang w:val="en-US" w:eastAsia="en-US"/>
    </w:rPr>
  </w:style>
  <w:style w:type="paragraph" w:customStyle="1" w:styleId="Pull-Quote-Style2">
    <w:name w:val="Pull-Quote-Style2"/>
    <w:basedOn w:val="Pull-Quote-Style1"/>
    <w:semiHidden/>
    <w:rsid w:val="005E425E"/>
    <w:rPr>
      <w:rFonts w:ascii="Arial Bold" w:hAnsi="Arial Bold"/>
      <w:b w:val="0"/>
      <w:color w:val="00599C"/>
    </w:rPr>
  </w:style>
  <w:style w:type="paragraph" w:customStyle="1" w:styleId="Pull-Quote-Ref-Style2">
    <w:name w:val="Pull-Quote-Ref-Style2"/>
    <w:basedOn w:val="Pull-Quote-Ref-Style1"/>
    <w:semiHidden/>
    <w:rsid w:val="005E425E"/>
    <w:rPr>
      <w:color w:val="00599C"/>
    </w:rPr>
  </w:style>
  <w:style w:type="table" w:customStyle="1" w:styleId="Table-Style3">
    <w:name w:val="Table-Style3"/>
    <w:basedOn w:val="TableNormal"/>
    <w:rsid w:val="005E425E"/>
    <w:rPr>
      <w:rFonts w:ascii="Arial" w:hAnsi="Arial"/>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top w:val="nil"/>
          <w:left w:val="nil"/>
          <w:bottom w:val="nil"/>
          <w:right w:val="nil"/>
          <w:insideH w:val="nil"/>
          <w:insideV w:val="single" w:sz="6" w:space="0" w:color="FFFFFF"/>
        </w:tcBorders>
        <w:shd w:val="clear" w:color="auto" w:fill="00599C"/>
      </w:tcPr>
    </w:tblStylePr>
  </w:style>
  <w:style w:type="paragraph" w:customStyle="1" w:styleId="CaseStudy-Head">
    <w:name w:val="CaseStudy-Head"/>
    <w:next w:val="CaseStudy-Text"/>
    <w:semiHidden/>
    <w:rsid w:val="005E425E"/>
    <w:pPr>
      <w:keepNext/>
      <w:keepLines/>
      <w:spacing w:before="120" w:after="120"/>
      <w:ind w:left="289" w:hanging="289"/>
    </w:pPr>
    <w:rPr>
      <w:rFonts w:ascii="Arial" w:hAnsi="Arial"/>
      <w:b/>
      <w:color w:val="FFFFFF"/>
      <w:sz w:val="32"/>
      <w:szCs w:val="24"/>
      <w:lang w:val="en-US" w:eastAsia="en-US"/>
    </w:rPr>
  </w:style>
  <w:style w:type="paragraph" w:customStyle="1" w:styleId="CaseStudy-Text">
    <w:name w:val="CaseStudy-Text"/>
    <w:basedOn w:val="Normal"/>
    <w:semiHidden/>
    <w:rsid w:val="005E425E"/>
    <w:rPr>
      <w:color w:val="FFFFFF"/>
      <w:sz w:val="24"/>
    </w:rPr>
  </w:style>
  <w:style w:type="paragraph" w:styleId="TOC2">
    <w:name w:val="toc 2"/>
    <w:basedOn w:val="Normal"/>
    <w:next w:val="Normal"/>
    <w:autoRedefine/>
    <w:uiPriority w:val="39"/>
    <w:rsid w:val="005E425E"/>
    <w:pPr>
      <w:tabs>
        <w:tab w:val="right" w:leader="dot" w:pos="9071"/>
      </w:tabs>
      <w:spacing w:before="120" w:after="120"/>
      <w:ind w:left="1134" w:right="851" w:hanging="567"/>
    </w:pPr>
    <w:rPr>
      <w:szCs w:val="20"/>
    </w:rPr>
  </w:style>
  <w:style w:type="table" w:customStyle="1" w:styleId="Table-Style2">
    <w:name w:val="Table-Style2"/>
    <w:basedOn w:val="TableNormal"/>
    <w:rsid w:val="005E425E"/>
    <w:rPr>
      <w:rFonts w:ascii="Arial" w:hAnsi="Arial"/>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3C8E3"/>
    </w:tcPr>
    <w:tblStylePr w:type="firstRow">
      <w:pPr>
        <w:wordWrap/>
        <w:spacing w:beforeLines="0" w:before="60" w:beforeAutospacing="0" w:afterLines="0" w:after="60" w:afterAutospacing="0"/>
      </w:pPr>
      <w:rPr>
        <w:rFonts w:ascii="Arial" w:hAnsi="Arial"/>
        <w:b w:val="0"/>
        <w:color w:val="FFFFFF"/>
        <w:sz w:val="20"/>
      </w:rPr>
      <w:tblPr/>
      <w:tcPr>
        <w:tcBorders>
          <w:top w:val="nil"/>
          <w:left w:val="nil"/>
          <w:bottom w:val="nil"/>
          <w:right w:val="nil"/>
          <w:insideH w:val="nil"/>
          <w:insideV w:val="nil"/>
        </w:tcBorders>
        <w:shd w:val="clear" w:color="auto" w:fill="00599C"/>
      </w:tcPr>
    </w:tblStylePr>
    <w:tblStylePr w:type="firstCol">
      <w:rPr>
        <w:color w:val="auto"/>
      </w:rPr>
      <w:tblPr/>
      <w:tcPr>
        <w:tcBorders>
          <w:top w:val="nil"/>
          <w:left w:val="nil"/>
          <w:bottom w:val="nil"/>
          <w:right w:val="nil"/>
          <w:insideH w:val="nil"/>
          <w:insideV w:val="nil"/>
        </w:tcBorders>
      </w:tcPr>
    </w:tblStylePr>
  </w:style>
  <w:style w:type="paragraph" w:styleId="TOC3">
    <w:name w:val="toc 3"/>
    <w:basedOn w:val="Normal"/>
    <w:next w:val="Normal"/>
    <w:autoRedefine/>
    <w:semiHidden/>
    <w:rsid w:val="005E425E"/>
    <w:pPr>
      <w:spacing w:after="0"/>
      <w:ind w:left="400"/>
    </w:pPr>
    <w:rPr>
      <w:rFonts w:ascii="Times New Roman" w:hAnsi="Times New Roman"/>
      <w:i/>
      <w:iCs/>
      <w:szCs w:val="20"/>
    </w:rPr>
  </w:style>
  <w:style w:type="table" w:customStyle="1" w:styleId="Table-Project">
    <w:name w:val="Table-Project"/>
    <w:basedOn w:val="TableNormal"/>
    <w:semiHidden/>
    <w:rsid w:val="005E425E"/>
    <w:pPr>
      <w:jc w:val="center"/>
    </w:pPr>
    <w:rPr>
      <w:rFonts w:ascii="Arial" w:hAnsi="Arial"/>
      <w: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6E6E6"/>
    </w:tcPr>
    <w:tblStylePr w:type="firstRow">
      <w:pPr>
        <w:jc w:val="left"/>
      </w:pPr>
    </w:tblStylePr>
    <w:tblStylePr w:type="firstCol">
      <w:pPr>
        <w:jc w:val="left"/>
      </w:pPr>
      <w:rPr>
        <w:color w:val="FFFFFF"/>
      </w:rPr>
      <w:tblPr/>
      <w:tcPr>
        <w:shd w:val="clear" w:color="auto" w:fill="00599C"/>
      </w:tcPr>
    </w:tblStylePr>
  </w:style>
  <w:style w:type="paragraph" w:customStyle="1" w:styleId="Heading-CV-Name">
    <w:name w:val="Heading-CV-Name"/>
    <w:basedOn w:val="Normal"/>
    <w:semiHidden/>
    <w:rsid w:val="005E425E"/>
    <w:rPr>
      <w:sz w:val="28"/>
    </w:rPr>
  </w:style>
  <w:style w:type="table" w:customStyle="1" w:styleId="Table-CV">
    <w:name w:val="Table-CV"/>
    <w:basedOn w:val="TableNormal"/>
    <w:semiHidden/>
    <w:rsid w:val="005E425E"/>
    <w:rPr>
      <w:rFonts w:ascii="Arial" w:hAnsi="Arial"/>
    </w:rPr>
    <w:tblPr>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Pr>
    <w:tcPr>
      <w:shd w:val="clear" w:color="auto" w:fill="E7E7E8"/>
    </w:tcPr>
    <w:tblStylePr w:type="firstRow">
      <w:rPr>
        <w:rFonts w:ascii="Arial" w:hAnsi="Arial"/>
        <w:sz w:val="20"/>
      </w:rPr>
    </w:tblStylePr>
    <w:tblStylePr w:type="lastRow">
      <w:tblPr/>
      <w:tcPr>
        <w:tcBorders>
          <w:bottom w:val="nil"/>
        </w:tcBorders>
      </w:tcPr>
    </w:tblStylePr>
    <w:tblStylePr w:type="firstCol">
      <w:pPr>
        <w:wordWrap/>
        <w:spacing w:beforeLines="0" w:before="0" w:beforeAutospacing="0" w:afterLines="0" w:after="0" w:afterAutospacing="0" w:line="240" w:lineRule="auto"/>
        <w:ind w:leftChars="0" w:left="0" w:rightChars="0" w:right="0"/>
        <w:contextualSpacing w:val="0"/>
      </w:pPr>
      <w:rPr>
        <w:rFonts w:ascii="Arial" w:hAnsi="Arial"/>
        <w:b/>
        <w:sz w:val="20"/>
      </w:rPr>
    </w:tblStylePr>
  </w:style>
  <w:style w:type="paragraph" w:customStyle="1" w:styleId="CV-Heading-Color">
    <w:name w:val="CV-Heading-Color"/>
    <w:basedOn w:val="Normal"/>
    <w:next w:val="Body"/>
    <w:link w:val="CV-Heading-ColorChar"/>
    <w:semiHidden/>
    <w:rsid w:val="005E425E"/>
    <w:pPr>
      <w:spacing w:before="60" w:after="60"/>
    </w:pPr>
    <w:rPr>
      <w:b/>
      <w:sz w:val="24"/>
    </w:rPr>
  </w:style>
  <w:style w:type="character" w:styleId="Hyperlink">
    <w:name w:val="Hyperlink"/>
    <w:semiHidden/>
    <w:rsid w:val="005E425E"/>
    <w:rPr>
      <w:color w:val="0000FF"/>
      <w:u w:val="single"/>
    </w:rPr>
  </w:style>
  <w:style w:type="paragraph" w:styleId="TOC4">
    <w:name w:val="toc 4"/>
    <w:basedOn w:val="Normal"/>
    <w:next w:val="Normal"/>
    <w:autoRedefine/>
    <w:semiHidden/>
    <w:rsid w:val="005E425E"/>
    <w:pPr>
      <w:spacing w:after="0"/>
      <w:ind w:left="600"/>
    </w:pPr>
    <w:rPr>
      <w:rFonts w:ascii="Times New Roman" w:hAnsi="Times New Roman"/>
      <w:sz w:val="18"/>
      <w:szCs w:val="18"/>
    </w:rPr>
  </w:style>
  <w:style w:type="paragraph" w:customStyle="1" w:styleId="CV-LineSpacer">
    <w:name w:val="CV-LineSpacer"/>
    <w:basedOn w:val="Normal"/>
    <w:semiHidden/>
    <w:rsid w:val="005E425E"/>
    <w:pPr>
      <w:pBdr>
        <w:top w:val="single" w:sz="8" w:space="1" w:color="auto"/>
      </w:pBdr>
    </w:pPr>
    <w:rPr>
      <w:sz w:val="16"/>
    </w:rPr>
  </w:style>
  <w:style w:type="paragraph" w:styleId="TOC5">
    <w:name w:val="toc 5"/>
    <w:basedOn w:val="TOC1"/>
    <w:next w:val="Body"/>
    <w:autoRedefine/>
    <w:semiHidden/>
    <w:rsid w:val="005E425E"/>
    <w:pPr>
      <w:tabs>
        <w:tab w:val="left" w:pos="1134"/>
      </w:tabs>
      <w:spacing w:after="0"/>
      <w:ind w:left="800"/>
    </w:pPr>
    <w:rPr>
      <w:szCs w:val="18"/>
    </w:rPr>
  </w:style>
  <w:style w:type="paragraph" w:customStyle="1" w:styleId="Bold-ItalicHeading">
    <w:name w:val="Bold-Italic_Heading"/>
    <w:basedOn w:val="Body"/>
    <w:next w:val="Body"/>
    <w:rsid w:val="005E425E"/>
    <w:pPr>
      <w:keepNext/>
      <w:spacing w:before="200"/>
    </w:pPr>
    <w:rPr>
      <w:b/>
      <w:i/>
      <w:color w:val="0065A4"/>
    </w:rPr>
  </w:style>
  <w:style w:type="paragraph" w:customStyle="1" w:styleId="StyleCV-Heading-ColorCustomColorRGB0101164">
    <w:name w:val="Style CV-Heading-Color + Custom Color(RGB(0101164))"/>
    <w:basedOn w:val="CV-Heading-Color"/>
    <w:next w:val="Body"/>
    <w:link w:val="StyleCV-Heading-ColorCustomColorRGB0101164Char"/>
    <w:semiHidden/>
    <w:rsid w:val="005E425E"/>
    <w:rPr>
      <w:bCs/>
      <w:color w:val="0065A4"/>
    </w:rPr>
  </w:style>
  <w:style w:type="character" w:customStyle="1" w:styleId="CV-Heading-ColorChar">
    <w:name w:val="CV-Heading-Color Char"/>
    <w:link w:val="CV-Heading-Color"/>
    <w:semiHidden/>
    <w:rsid w:val="005E425E"/>
    <w:rPr>
      <w:rFonts w:ascii="Arial" w:hAnsi="Arial"/>
      <w:b/>
      <w:sz w:val="24"/>
      <w:szCs w:val="24"/>
      <w:lang w:eastAsia="en-US"/>
    </w:rPr>
  </w:style>
  <w:style w:type="character" w:customStyle="1" w:styleId="StyleCV-Heading-ColorCustomColorRGB0101164Char">
    <w:name w:val="Style CV-Heading-Color + Custom Color(RGB(0101164)) Char"/>
    <w:link w:val="StyleCV-Heading-ColorCustomColorRGB0101164"/>
    <w:semiHidden/>
    <w:rsid w:val="005E425E"/>
    <w:rPr>
      <w:rFonts w:ascii="Arial" w:hAnsi="Arial"/>
      <w:b/>
      <w:bCs/>
      <w:color w:val="0065A4"/>
      <w:sz w:val="24"/>
      <w:szCs w:val="24"/>
      <w:lang w:eastAsia="en-US"/>
    </w:rPr>
  </w:style>
  <w:style w:type="paragraph" w:customStyle="1" w:styleId="Status">
    <w:name w:val="Status"/>
    <w:basedOn w:val="Normal"/>
    <w:semiHidden/>
    <w:rsid w:val="005E425E"/>
    <w:pPr>
      <w:spacing w:before="60" w:after="120" w:line="280" w:lineRule="atLeast"/>
    </w:pPr>
    <w:rPr>
      <w:szCs w:val="20"/>
    </w:rPr>
  </w:style>
  <w:style w:type="paragraph" w:styleId="Caption">
    <w:name w:val="caption"/>
    <w:basedOn w:val="Body"/>
    <w:next w:val="Body"/>
    <w:qFormat/>
    <w:rsid w:val="005E425E"/>
    <w:pPr>
      <w:keepNext/>
      <w:keepLines/>
      <w:tabs>
        <w:tab w:val="left" w:pos="1134"/>
      </w:tabs>
      <w:ind w:left="1701" w:hanging="1134"/>
    </w:pPr>
    <w:rPr>
      <w:rFonts w:ascii="Arial Black" w:hAnsi="Arial Black"/>
      <w:bCs/>
      <w:color w:val="00599C"/>
      <w:szCs w:val="20"/>
    </w:rPr>
  </w:style>
  <w:style w:type="table" w:styleId="TableProfessional">
    <w:name w:val="Table Professional"/>
    <w:basedOn w:val="TableNormal"/>
    <w:semiHidden/>
    <w:rsid w:val="005E425E"/>
    <w:rPr>
      <w:rFonts w:ascii="Arial" w:hAnsi="Arial"/>
    </w:rPr>
    <w:tblPr/>
    <w:tcPr>
      <w:shd w:val="clear" w:color="auto" w:fill="auto"/>
    </w:tcPr>
    <w:tblStylePr w:type="firstRow">
      <w:rPr>
        <w:rFonts w:ascii="Arial" w:hAnsi="Arial"/>
        <w:b w:val="0"/>
        <w:bCs/>
        <w:color w:val="auto"/>
        <w:sz w:val="20"/>
      </w:rPr>
    </w:tblStylePr>
  </w:style>
  <w:style w:type="paragraph" w:customStyle="1" w:styleId="Body-Italic-Color">
    <w:name w:val="Body - Italic - Color"/>
    <w:basedOn w:val="Body"/>
    <w:rsid w:val="005E425E"/>
    <w:rPr>
      <w:i/>
      <w:color w:val="0065A4"/>
    </w:rPr>
  </w:style>
  <w:style w:type="paragraph" w:customStyle="1" w:styleId="Appendix">
    <w:name w:val="Appendix"/>
    <w:next w:val="Body"/>
    <w:rsid w:val="005E425E"/>
    <w:pPr>
      <w:numPr>
        <w:numId w:val="29"/>
      </w:numPr>
      <w:spacing w:before="240" w:after="240"/>
    </w:pPr>
    <w:rPr>
      <w:rFonts w:ascii="Arial" w:hAnsi="Arial" w:cs="Arial"/>
      <w:bCs/>
      <w:kern w:val="32"/>
      <w:sz w:val="36"/>
      <w:szCs w:val="32"/>
      <w:lang w:eastAsia="en-US"/>
    </w:rPr>
  </w:style>
  <w:style w:type="table" w:customStyle="1" w:styleId="Table-Style1">
    <w:name w:val="Table-Style1"/>
    <w:basedOn w:val="TableNormal"/>
    <w:rsid w:val="005E425E"/>
    <w:rPr>
      <w:rFonts w:ascii="Arial" w:hAnsi="Arial"/>
    </w:rPr>
    <w:tblPr>
      <w:tblStyleRowBandSize w:val="1"/>
      <w:tblInd w:w="567" w:type="dxa"/>
    </w:tblPr>
    <w:tblStylePr w:type="firstRow">
      <w:pPr>
        <w:wordWrap/>
        <w:spacing w:beforeLines="0" w:before="60" w:beforeAutospacing="0" w:afterLines="0" w:after="60" w:afterAutospacing="0"/>
        <w:contextualSpacing w:val="0"/>
      </w:pPr>
      <w:rPr>
        <w:color w:val="FFFFFF"/>
      </w:rPr>
      <w:tblPr/>
      <w:tcPr>
        <w:tcBorders>
          <w:top w:val="nil"/>
          <w:left w:val="nil"/>
          <w:bottom w:val="nil"/>
          <w:right w:val="nil"/>
          <w:insideH w:val="nil"/>
          <w:insideV w:val="nil"/>
        </w:tcBorders>
        <w:shd w:val="clear" w:color="auto" w:fill="00599C"/>
      </w:tcPr>
    </w:tblStylePr>
    <w:tblStylePr w:type="firstCol">
      <w:rPr>
        <w:color w:val="00599C"/>
      </w:rPr>
    </w:tblStylePr>
    <w:tblStylePr w:type="band1Horz">
      <w:tblPr/>
      <w:tcPr>
        <w:tcBorders>
          <w:top w:val="single" w:sz="4" w:space="0" w:color="auto"/>
        </w:tcBorders>
      </w:tcPr>
    </w:tblStylePr>
    <w:tblStylePr w:type="band2Horz">
      <w:tblPr/>
      <w:tcPr>
        <w:tcBorders>
          <w:top w:val="single" w:sz="4" w:space="0" w:color="auto"/>
        </w:tcBorders>
      </w:tcPr>
    </w:tblStylePr>
  </w:style>
  <w:style w:type="paragraph" w:styleId="TOC6">
    <w:name w:val="toc 6"/>
    <w:basedOn w:val="Normal"/>
    <w:next w:val="Normal"/>
    <w:autoRedefine/>
    <w:semiHidden/>
    <w:rsid w:val="005E425E"/>
    <w:pPr>
      <w:spacing w:after="0"/>
      <w:ind w:left="1000"/>
    </w:pPr>
    <w:rPr>
      <w:rFonts w:ascii="Times New Roman" w:hAnsi="Times New Roman"/>
      <w:sz w:val="18"/>
      <w:szCs w:val="18"/>
    </w:rPr>
  </w:style>
  <w:style w:type="paragraph" w:styleId="TOC7">
    <w:name w:val="toc 7"/>
    <w:basedOn w:val="Normal"/>
    <w:next w:val="Normal"/>
    <w:autoRedefine/>
    <w:semiHidden/>
    <w:rsid w:val="005E425E"/>
    <w:pPr>
      <w:spacing w:after="0"/>
      <w:ind w:left="1200"/>
    </w:pPr>
    <w:rPr>
      <w:rFonts w:ascii="Times New Roman" w:hAnsi="Times New Roman"/>
      <w:sz w:val="18"/>
      <w:szCs w:val="18"/>
    </w:rPr>
  </w:style>
  <w:style w:type="paragraph" w:styleId="TOC8">
    <w:name w:val="toc 8"/>
    <w:basedOn w:val="Normal"/>
    <w:next w:val="Normal"/>
    <w:autoRedefine/>
    <w:semiHidden/>
    <w:rsid w:val="005E425E"/>
    <w:pPr>
      <w:spacing w:after="0"/>
      <w:ind w:left="1400"/>
    </w:pPr>
    <w:rPr>
      <w:rFonts w:ascii="Times New Roman" w:hAnsi="Times New Roman"/>
      <w:sz w:val="18"/>
      <w:szCs w:val="18"/>
    </w:rPr>
  </w:style>
  <w:style w:type="paragraph" w:styleId="TOC9">
    <w:name w:val="toc 9"/>
    <w:basedOn w:val="Normal"/>
    <w:next w:val="Normal"/>
    <w:autoRedefine/>
    <w:semiHidden/>
    <w:rsid w:val="005E425E"/>
    <w:pPr>
      <w:spacing w:after="0"/>
      <w:ind w:left="1600"/>
    </w:pPr>
    <w:rPr>
      <w:rFonts w:ascii="Times New Roman" w:hAnsi="Times New Roman"/>
      <w:sz w:val="18"/>
      <w:szCs w:val="18"/>
    </w:rPr>
  </w:style>
  <w:style w:type="paragraph" w:styleId="TableofFigures">
    <w:name w:val="table of figures"/>
    <w:basedOn w:val="TOC1"/>
    <w:next w:val="Body"/>
    <w:uiPriority w:val="99"/>
    <w:rsid w:val="005E425E"/>
    <w:pPr>
      <w:tabs>
        <w:tab w:val="left" w:pos="1134"/>
      </w:tabs>
      <w:ind w:left="1134" w:hanging="1134"/>
    </w:pPr>
  </w:style>
  <w:style w:type="paragraph" w:customStyle="1" w:styleId="KeyPeople">
    <w:name w:val="Key People"/>
    <w:basedOn w:val="Heading1-NoTOC"/>
    <w:next w:val="Body"/>
    <w:semiHidden/>
    <w:rsid w:val="005E425E"/>
    <w:pPr>
      <w:spacing w:after="120"/>
    </w:pPr>
    <w:rPr>
      <w:lang w:val="en-US"/>
    </w:rPr>
  </w:style>
  <w:style w:type="paragraph" w:customStyle="1" w:styleId="Body">
    <w:name w:val="Body"/>
    <w:aliases w:val="b,B,Body1,bu,bullet,body,b Char Char Char,b Char Char Char Char Char Char,b Char Char,Body Char1 Char1,b Char Char Char Char Char Char Char Char"/>
    <w:basedOn w:val="Normal"/>
    <w:link w:val="BodyChar"/>
    <w:rsid w:val="005E425E"/>
    <w:pPr>
      <w:spacing w:before="60" w:after="120" w:line="280" w:lineRule="atLeast"/>
      <w:ind w:left="567"/>
    </w:pPr>
  </w:style>
  <w:style w:type="paragraph" w:customStyle="1" w:styleId="Bullet2">
    <w:name w:val="Bullet 2"/>
    <w:aliases w:val="b2"/>
    <w:basedOn w:val="Body"/>
    <w:rsid w:val="005E425E"/>
    <w:pPr>
      <w:numPr>
        <w:numId w:val="5"/>
      </w:numPr>
      <w:tabs>
        <w:tab w:val="clear" w:pos="1134"/>
        <w:tab w:val="left" w:pos="1417"/>
      </w:tabs>
      <w:spacing w:before="0" w:after="60"/>
      <w:ind w:left="1417" w:hanging="283"/>
    </w:pPr>
  </w:style>
  <w:style w:type="paragraph" w:customStyle="1" w:styleId="StyleHeading2h2Before19ptAfter4ptLinespacings">
    <w:name w:val="Style Heading 2h2 + Before:  19 pt After:  4 pt Line spacing:  s..."/>
    <w:basedOn w:val="Heading2"/>
    <w:next w:val="Body"/>
    <w:semiHidden/>
    <w:rsid w:val="005E425E"/>
    <w:pPr>
      <w:spacing w:before="380" w:after="80" w:line="240" w:lineRule="auto"/>
      <w:ind w:left="720" w:hanging="720"/>
    </w:pPr>
    <w:rPr>
      <w:rFonts w:cs="Times New Roman"/>
      <w:bCs w:val="0"/>
      <w:iCs w:val="0"/>
      <w:szCs w:val="20"/>
    </w:rPr>
  </w:style>
  <w:style w:type="paragraph" w:styleId="HTMLPreformatted">
    <w:name w:val="HTML Preformatted"/>
    <w:basedOn w:val="Normal"/>
    <w:semiHidden/>
    <w:rsid w:val="005E42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Cs w:val="20"/>
      <w:lang w:val="en-US"/>
    </w:rPr>
  </w:style>
  <w:style w:type="character" w:styleId="HTMLCode">
    <w:name w:val="HTML Code"/>
    <w:semiHidden/>
    <w:rsid w:val="005E425E"/>
    <w:rPr>
      <w:rFonts w:ascii="Courier New" w:eastAsia="Times New Roman" w:hAnsi="Courier New" w:cs="Courier New"/>
      <w:sz w:val="20"/>
      <w:szCs w:val="20"/>
    </w:rPr>
  </w:style>
  <w:style w:type="paragraph" w:customStyle="1" w:styleId="StyleHeading3h3Before19ptAfter4pt">
    <w:name w:val="Style Heading 3h3 + Before:  19 pt After:  4 pt"/>
    <w:basedOn w:val="Heading3"/>
    <w:next w:val="Body"/>
    <w:semiHidden/>
    <w:rsid w:val="005E425E"/>
    <w:pPr>
      <w:spacing w:before="380" w:after="80"/>
      <w:ind w:left="720" w:hanging="720"/>
    </w:pPr>
    <w:rPr>
      <w:rFonts w:cs="Times New Roman"/>
      <w:bCs w:val="0"/>
      <w:szCs w:val="20"/>
    </w:rPr>
  </w:style>
  <w:style w:type="paragraph" w:customStyle="1" w:styleId="AlphaList">
    <w:name w:val="Alpha_List"/>
    <w:basedOn w:val="BulletNumber"/>
    <w:rsid w:val="005E425E"/>
    <w:pPr>
      <w:numPr>
        <w:numId w:val="21"/>
      </w:numPr>
    </w:pPr>
  </w:style>
  <w:style w:type="paragraph" w:customStyle="1" w:styleId="BoldHeading">
    <w:name w:val="Bold_Heading"/>
    <w:basedOn w:val="Bold-ItalicHeading"/>
    <w:next w:val="Body"/>
    <w:rsid w:val="005E425E"/>
    <w:rPr>
      <w:i w:val="0"/>
    </w:rPr>
  </w:style>
  <w:style w:type="table" w:customStyle="1" w:styleId="CoverTable">
    <w:name w:val="CoverTable"/>
    <w:basedOn w:val="TableNormal"/>
    <w:rsid w:val="005E425E"/>
    <w:rPr>
      <w:rFonts w:ascii="Arial" w:hAnsi="Arial"/>
    </w:rPr>
    <w:tblPr/>
    <w:tcPr>
      <w:shd w:val="clear" w:color="auto" w:fill="auto"/>
    </w:tcPr>
  </w:style>
  <w:style w:type="paragraph" w:customStyle="1" w:styleId="RestartAlphaList">
    <w:name w:val="RestartAlphaList"/>
    <w:basedOn w:val="RestartNumbering"/>
    <w:next w:val="Body"/>
    <w:semiHidden/>
    <w:rsid w:val="005E425E"/>
    <w:pPr>
      <w:numPr>
        <w:numId w:val="21"/>
      </w:numPr>
    </w:pPr>
  </w:style>
  <w:style w:type="paragraph" w:customStyle="1" w:styleId="KeyPeopleGraphic">
    <w:name w:val="KeyPeopleGraphic"/>
    <w:basedOn w:val="Normal"/>
    <w:semiHidden/>
    <w:qFormat/>
    <w:rsid w:val="005E425E"/>
    <w:pPr>
      <w:spacing w:after="0"/>
    </w:pPr>
    <w:rPr>
      <w:b/>
      <w:noProof/>
      <w:lang w:eastAsia="en-AU"/>
    </w:rPr>
  </w:style>
  <w:style w:type="character" w:customStyle="1" w:styleId="BodyChar">
    <w:name w:val="Body Char"/>
    <w:aliases w:val="b Char,B Char,body Char,b Char1,Body1 Char,bullet Char,bu Char,b Char Char Char Char,b Char Char Char Char Char Char Char,b Char Char Char1,Body Char1 Char1 Char,b Char Char Char Char Char Char Char Char Char,b Char Char1"/>
    <w:link w:val="Body"/>
    <w:rsid w:val="005E425E"/>
    <w:rPr>
      <w:rFonts w:ascii="Arial" w:hAnsi="Arial"/>
      <w:szCs w:val="24"/>
      <w:lang w:eastAsia="en-US"/>
    </w:rPr>
  </w:style>
  <w:style w:type="paragraph" w:customStyle="1" w:styleId="Appendix-Block">
    <w:name w:val="Appendix-Block"/>
    <w:next w:val="Appendix"/>
    <w:semiHidden/>
    <w:qFormat/>
    <w:rsid w:val="005E425E"/>
    <w:rPr>
      <w:rFonts w:ascii="Arial Black" w:hAnsi="Arial Black" w:cs="Arial"/>
      <w:bCs/>
      <w:color w:val="FFFFFF"/>
      <w:kern w:val="32"/>
      <w:sz w:val="40"/>
      <w:szCs w:val="32"/>
      <w:lang w:val="en-US" w:eastAsia="en-US"/>
    </w:rPr>
  </w:style>
  <w:style w:type="paragraph" w:customStyle="1" w:styleId="RevisionTable">
    <w:name w:val="RevisionTable"/>
    <w:semiHidden/>
    <w:qFormat/>
    <w:rsid w:val="005E425E"/>
    <w:pPr>
      <w:framePr w:hSpace="181" w:wrap="around" w:hAnchor="margin" w:yAlign="bottom"/>
    </w:pPr>
    <w:rPr>
      <w:rFonts w:ascii="Arial" w:hAnsi="Arial"/>
      <w:sz w:val="18"/>
      <w:szCs w:val="24"/>
      <w:lang w:eastAsia="en-US"/>
    </w:rPr>
  </w:style>
  <w:style w:type="paragraph" w:customStyle="1" w:styleId="Volume">
    <w:name w:val="Volume"/>
    <w:basedOn w:val="Subject"/>
    <w:qFormat/>
    <w:rsid w:val="005E425E"/>
    <w:pPr>
      <w:framePr w:wrap="around"/>
    </w:pPr>
    <w:rPr>
      <w:sz w:val="28"/>
    </w:rPr>
  </w:style>
  <w:style w:type="numbering" w:customStyle="1" w:styleId="Style1">
    <w:name w:val="Style1"/>
    <w:uiPriority w:val="99"/>
    <w:rsid w:val="005E425E"/>
    <w:pPr>
      <w:numPr>
        <w:numId w:val="26"/>
      </w:numPr>
    </w:pPr>
  </w:style>
  <w:style w:type="paragraph" w:styleId="NormalWeb">
    <w:name w:val="Normal (Web)"/>
    <w:basedOn w:val="Normal"/>
    <w:uiPriority w:val="99"/>
    <w:semiHidden/>
    <w:unhideWhenUsed/>
    <w:rsid w:val="005E425E"/>
    <w:pPr>
      <w:spacing w:before="100" w:beforeAutospacing="1" w:after="100" w:afterAutospacing="1"/>
    </w:pPr>
    <w:rPr>
      <w:rFonts w:ascii="Times New Roman" w:eastAsiaTheme="minorEastAsia" w:hAnsi="Times New Roman"/>
      <w:sz w:val="24"/>
      <w:lang w:eastAsia="en-AU"/>
    </w:rPr>
  </w:style>
  <w:style w:type="paragraph" w:styleId="ListParagraph">
    <w:name w:val="List Paragraph"/>
    <w:basedOn w:val="Normal"/>
    <w:uiPriority w:val="34"/>
    <w:qFormat/>
    <w:rsid w:val="00285249"/>
    <w:pPr>
      <w:spacing w:after="0"/>
      <w:ind w:left="720"/>
    </w:pPr>
    <w:rPr>
      <w:rFonts w:ascii="Calibri" w:eastAsiaTheme="minorHAnsi" w:hAnsi="Calibri"/>
      <w:sz w:val="22"/>
      <w:szCs w:val="22"/>
      <w:lang w:val="en-NZ"/>
    </w:rPr>
  </w:style>
  <w:style w:type="character" w:styleId="CommentReference">
    <w:name w:val="annotation reference"/>
    <w:basedOn w:val="DefaultParagraphFont"/>
    <w:semiHidden/>
    <w:unhideWhenUsed/>
    <w:rsid w:val="00285249"/>
    <w:rPr>
      <w:sz w:val="16"/>
      <w:szCs w:val="16"/>
    </w:rPr>
  </w:style>
  <w:style w:type="paragraph" w:styleId="CommentText">
    <w:name w:val="annotation text"/>
    <w:basedOn w:val="Normal"/>
    <w:link w:val="CommentTextChar"/>
    <w:semiHidden/>
    <w:unhideWhenUsed/>
    <w:rsid w:val="00285249"/>
    <w:rPr>
      <w:szCs w:val="20"/>
    </w:rPr>
  </w:style>
  <w:style w:type="character" w:customStyle="1" w:styleId="CommentTextChar">
    <w:name w:val="Comment Text Char"/>
    <w:basedOn w:val="DefaultParagraphFont"/>
    <w:link w:val="CommentText"/>
    <w:semiHidden/>
    <w:rsid w:val="00285249"/>
    <w:rPr>
      <w:rFonts w:ascii="Arial" w:hAnsi="Arial"/>
      <w:lang w:eastAsia="en-US"/>
    </w:rPr>
  </w:style>
  <w:style w:type="paragraph" w:styleId="CommentSubject">
    <w:name w:val="annotation subject"/>
    <w:basedOn w:val="CommentText"/>
    <w:next w:val="CommentText"/>
    <w:link w:val="CommentSubjectChar"/>
    <w:semiHidden/>
    <w:unhideWhenUsed/>
    <w:rsid w:val="00285249"/>
    <w:rPr>
      <w:b/>
      <w:bCs/>
    </w:rPr>
  </w:style>
  <w:style w:type="character" w:customStyle="1" w:styleId="CommentSubjectChar">
    <w:name w:val="Comment Subject Char"/>
    <w:basedOn w:val="CommentTextChar"/>
    <w:link w:val="CommentSubject"/>
    <w:semiHidden/>
    <w:rsid w:val="00285249"/>
    <w:rPr>
      <w:rFonts w:ascii="Arial" w:hAnsi="Arial"/>
      <w:b/>
      <w:bCs/>
      <w:lang w:eastAsia="en-US"/>
    </w:rPr>
  </w:style>
  <w:style w:type="paragraph" w:customStyle="1" w:styleId="Bullet1">
    <w:name w:val="Bullet 1"/>
    <w:basedOn w:val="Normal"/>
    <w:qFormat/>
    <w:rsid w:val="00195670"/>
    <w:pPr>
      <w:tabs>
        <w:tab w:val="num" w:pos="37"/>
        <w:tab w:val="left" w:pos="397"/>
      </w:tabs>
      <w:spacing w:after="120"/>
      <w:ind w:left="284" w:hanging="284"/>
      <w:contextualSpacing/>
    </w:pPr>
  </w:style>
  <w:style w:type="paragraph" w:styleId="FootnoteText">
    <w:name w:val="footnote text"/>
    <w:basedOn w:val="Normal"/>
    <w:link w:val="FootnoteTextChar"/>
    <w:semiHidden/>
    <w:unhideWhenUsed/>
    <w:rsid w:val="00565111"/>
    <w:pPr>
      <w:spacing w:after="0"/>
    </w:pPr>
    <w:rPr>
      <w:szCs w:val="20"/>
    </w:rPr>
  </w:style>
  <w:style w:type="character" w:customStyle="1" w:styleId="FootnoteTextChar">
    <w:name w:val="Footnote Text Char"/>
    <w:basedOn w:val="DefaultParagraphFont"/>
    <w:link w:val="FootnoteText"/>
    <w:semiHidden/>
    <w:rsid w:val="00565111"/>
    <w:rPr>
      <w:rFonts w:ascii="Arial" w:hAnsi="Arial"/>
      <w:lang w:eastAsia="en-US"/>
    </w:rPr>
  </w:style>
  <w:style w:type="character" w:styleId="FootnoteReference">
    <w:name w:val="footnote reference"/>
    <w:basedOn w:val="DefaultParagraphFont"/>
    <w:semiHidden/>
    <w:unhideWhenUsed/>
    <w:rsid w:val="00565111"/>
    <w:rPr>
      <w:vertAlign w:val="superscript"/>
    </w:rPr>
  </w:style>
  <w:style w:type="paragraph" w:styleId="Revision">
    <w:name w:val="Revision"/>
    <w:hidden/>
    <w:uiPriority w:val="99"/>
    <w:semiHidden/>
    <w:rsid w:val="007267E6"/>
    <w:rPr>
      <w:rFonts w:ascii="Arial" w:hAnsi="Arial"/>
      <w:szCs w:val="24"/>
      <w:lang w:eastAsia="en-US"/>
    </w:rPr>
  </w:style>
  <w:style w:type="character" w:styleId="PlaceholderText">
    <w:name w:val="Placeholder Text"/>
    <w:basedOn w:val="DefaultParagraphFont"/>
    <w:uiPriority w:val="99"/>
    <w:semiHidden/>
    <w:rsid w:val="001341B0"/>
    <w:rPr>
      <w:color w:val="808080"/>
    </w:rPr>
  </w:style>
  <w:style w:type="paragraph" w:customStyle="1" w:styleId="TableParagraph">
    <w:name w:val="Table Paragraph"/>
    <w:basedOn w:val="Normal"/>
    <w:uiPriority w:val="1"/>
    <w:qFormat/>
    <w:rsid w:val="00CD5575"/>
    <w:pPr>
      <w:widowControl w:val="0"/>
      <w:autoSpaceDE w:val="0"/>
      <w:autoSpaceDN w:val="0"/>
      <w:spacing w:after="0"/>
    </w:pPr>
    <w:rPr>
      <w:rFonts w:ascii="Palatino Linotype" w:eastAsia="Palatino Linotype" w:hAnsi="Palatino Linotype" w:cs="Palatino Linotype"/>
      <w:sz w:val="22"/>
      <w:szCs w:val="22"/>
      <w:lang w:val="en-US"/>
    </w:rPr>
  </w:style>
  <w:style w:type="paragraph" w:styleId="BodyText">
    <w:name w:val="Body Text"/>
    <w:basedOn w:val="Normal"/>
    <w:link w:val="BodyTextChar"/>
    <w:uiPriority w:val="1"/>
    <w:qFormat/>
    <w:rsid w:val="00CD5575"/>
    <w:pPr>
      <w:widowControl w:val="0"/>
      <w:autoSpaceDE w:val="0"/>
      <w:autoSpaceDN w:val="0"/>
      <w:spacing w:after="0"/>
    </w:pPr>
    <w:rPr>
      <w:rFonts w:ascii="Palatino Linotype" w:eastAsia="Palatino Linotype" w:hAnsi="Palatino Linotype" w:cs="Palatino Linotype"/>
      <w:szCs w:val="20"/>
      <w:lang w:val="en-US"/>
    </w:rPr>
  </w:style>
  <w:style w:type="character" w:customStyle="1" w:styleId="BodyTextChar">
    <w:name w:val="Body Text Char"/>
    <w:basedOn w:val="DefaultParagraphFont"/>
    <w:link w:val="BodyText"/>
    <w:uiPriority w:val="1"/>
    <w:rsid w:val="00CD5575"/>
    <w:rPr>
      <w:rFonts w:ascii="Palatino Linotype" w:eastAsia="Palatino Linotype" w:hAnsi="Palatino Linotype" w:cs="Palatino Linotype"/>
      <w:lang w:val="en-US" w:eastAsia="en-US"/>
    </w:rPr>
  </w:style>
  <w:style w:type="table" w:customStyle="1" w:styleId="ListTable4-Accent51">
    <w:name w:val="List Table 4 - Accent 51"/>
    <w:basedOn w:val="TableNormal"/>
    <w:uiPriority w:val="49"/>
    <w:rsid w:val="00644674"/>
    <w:rPr>
      <w:rFonts w:asciiTheme="minorHAnsi" w:eastAsiaTheme="minorHAnsi" w:hAnsiTheme="minorHAnsi" w:cstheme="minorBidi"/>
      <w:sz w:val="22"/>
      <w:szCs w:val="22"/>
      <w:lang w:val="en-NZ" w:eastAsia="en-US"/>
    </w:rPr>
    <w:tblPr>
      <w:tblStyleRowBandSize w:val="1"/>
      <w:tblStyleColBandSize w:val="1"/>
      <w:tblBorders>
        <w:top w:val="single" w:sz="4" w:space="0" w:color="F9A4D1" w:themeColor="accent5" w:themeTint="99"/>
        <w:left w:val="single" w:sz="4" w:space="0" w:color="F9A4D1" w:themeColor="accent5" w:themeTint="99"/>
        <w:bottom w:val="single" w:sz="4" w:space="0" w:color="F9A4D1" w:themeColor="accent5" w:themeTint="99"/>
        <w:right w:val="single" w:sz="4" w:space="0" w:color="F9A4D1" w:themeColor="accent5" w:themeTint="99"/>
        <w:insideH w:val="single" w:sz="4" w:space="0" w:color="F9A4D1" w:themeColor="accent5" w:themeTint="99"/>
      </w:tblBorders>
    </w:tblPr>
    <w:tblStylePr w:type="firstRow">
      <w:rPr>
        <w:b/>
        <w:bCs/>
        <w:color w:val="FFFFFF" w:themeColor="background1"/>
      </w:rPr>
      <w:tblPr/>
      <w:tcPr>
        <w:tcBorders>
          <w:top w:val="single" w:sz="4" w:space="0" w:color="F568B3" w:themeColor="accent5"/>
          <w:left w:val="single" w:sz="4" w:space="0" w:color="F568B3" w:themeColor="accent5"/>
          <w:bottom w:val="single" w:sz="4" w:space="0" w:color="F568B3" w:themeColor="accent5"/>
          <w:right w:val="single" w:sz="4" w:space="0" w:color="F568B3" w:themeColor="accent5"/>
          <w:insideH w:val="nil"/>
        </w:tcBorders>
        <w:shd w:val="clear" w:color="auto" w:fill="F568B3" w:themeFill="accent5"/>
      </w:tcPr>
    </w:tblStylePr>
    <w:tblStylePr w:type="lastRow">
      <w:rPr>
        <w:b/>
        <w:bCs/>
      </w:rPr>
      <w:tblPr/>
      <w:tcPr>
        <w:tcBorders>
          <w:top w:val="double" w:sz="4" w:space="0" w:color="F9A4D1" w:themeColor="accent5" w:themeTint="99"/>
        </w:tcBorders>
      </w:tcPr>
    </w:tblStylePr>
    <w:tblStylePr w:type="firstCol">
      <w:rPr>
        <w:b/>
        <w:bCs/>
      </w:rPr>
    </w:tblStylePr>
    <w:tblStylePr w:type="lastCol">
      <w:rPr>
        <w:b/>
        <w:bCs/>
      </w:rPr>
    </w:tblStylePr>
    <w:tblStylePr w:type="band1Vert">
      <w:tblPr/>
      <w:tcPr>
        <w:shd w:val="clear" w:color="auto" w:fill="FDE0EF" w:themeFill="accent5" w:themeFillTint="33"/>
      </w:tcPr>
    </w:tblStylePr>
    <w:tblStylePr w:type="band1Horz">
      <w:tblPr/>
      <w:tcPr>
        <w:shd w:val="clear" w:color="auto" w:fill="FDE0EF" w:themeFill="accent5" w:themeFillTint="33"/>
      </w:tcPr>
    </w:tblStylePr>
  </w:style>
  <w:style w:type="table" w:customStyle="1" w:styleId="Table-Style31">
    <w:name w:val="Table-Style31"/>
    <w:basedOn w:val="TableNormal"/>
    <w:rsid w:val="00463EC1"/>
    <w:rPr>
      <w:rFonts w:ascii="Arial" w:hAnsi="Arial"/>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top w:val="nil"/>
          <w:left w:val="nil"/>
          <w:bottom w:val="nil"/>
          <w:right w:val="nil"/>
          <w:insideH w:val="nil"/>
          <w:insideV w:val="single" w:sz="6" w:space="0" w:color="FFFFFF"/>
        </w:tcBorders>
        <w:shd w:val="clear" w:color="auto" w:fill="00599C"/>
      </w:tcPr>
    </w:tblStylePr>
  </w:style>
  <w:style w:type="table" w:customStyle="1" w:styleId="Table-Style32">
    <w:name w:val="Table-Style32"/>
    <w:basedOn w:val="TableNormal"/>
    <w:rsid w:val="00F96A03"/>
    <w:rPr>
      <w:rFonts w:ascii="Arial" w:hAnsi="Arial"/>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top w:val="nil"/>
          <w:left w:val="nil"/>
          <w:bottom w:val="nil"/>
          <w:right w:val="nil"/>
          <w:insideH w:val="nil"/>
          <w:insideV w:val="single" w:sz="6" w:space="0" w:color="FFFFFF"/>
        </w:tcBorders>
        <w:shd w:val="clear" w:color="auto" w:fill="00599C"/>
      </w:tcPr>
    </w:tblStylePr>
  </w:style>
  <w:style w:type="table" w:customStyle="1" w:styleId="ListTable4-Accent510">
    <w:name w:val="List Table 4 - Accent 51"/>
    <w:basedOn w:val="TableNormal"/>
    <w:uiPriority w:val="49"/>
    <w:rsid w:val="00AE663D"/>
    <w:rPr>
      <w:rFonts w:asciiTheme="minorHAnsi" w:eastAsiaTheme="minorHAnsi" w:hAnsiTheme="minorHAnsi" w:cstheme="minorBidi"/>
      <w:sz w:val="22"/>
      <w:szCs w:val="22"/>
      <w:lang w:val="en-NZ" w:eastAsia="en-US"/>
    </w:rPr>
    <w:tblPr>
      <w:tblStyleRowBandSize w:val="1"/>
      <w:tblStyleColBandSize w:val="1"/>
      <w:tblBorders>
        <w:top w:val="single" w:sz="4" w:space="0" w:color="F9A4D1" w:themeColor="accent5" w:themeTint="99"/>
        <w:left w:val="single" w:sz="4" w:space="0" w:color="F9A4D1" w:themeColor="accent5" w:themeTint="99"/>
        <w:bottom w:val="single" w:sz="4" w:space="0" w:color="F9A4D1" w:themeColor="accent5" w:themeTint="99"/>
        <w:right w:val="single" w:sz="4" w:space="0" w:color="F9A4D1" w:themeColor="accent5" w:themeTint="99"/>
        <w:insideH w:val="single" w:sz="4" w:space="0" w:color="F9A4D1" w:themeColor="accent5" w:themeTint="99"/>
      </w:tblBorders>
    </w:tblPr>
    <w:tblStylePr w:type="firstRow">
      <w:rPr>
        <w:b/>
        <w:bCs/>
        <w:color w:val="FFFFFF" w:themeColor="background1"/>
      </w:rPr>
      <w:tblPr/>
      <w:tcPr>
        <w:tcBorders>
          <w:top w:val="single" w:sz="4" w:space="0" w:color="F568B3" w:themeColor="accent5"/>
          <w:left w:val="single" w:sz="4" w:space="0" w:color="F568B3" w:themeColor="accent5"/>
          <w:bottom w:val="single" w:sz="4" w:space="0" w:color="F568B3" w:themeColor="accent5"/>
          <w:right w:val="single" w:sz="4" w:space="0" w:color="F568B3" w:themeColor="accent5"/>
          <w:insideH w:val="nil"/>
        </w:tcBorders>
        <w:shd w:val="clear" w:color="auto" w:fill="F568B3" w:themeFill="accent5"/>
      </w:tcPr>
    </w:tblStylePr>
    <w:tblStylePr w:type="lastRow">
      <w:rPr>
        <w:b/>
        <w:bCs/>
      </w:rPr>
      <w:tblPr/>
      <w:tcPr>
        <w:tcBorders>
          <w:top w:val="double" w:sz="4" w:space="0" w:color="F9A4D1" w:themeColor="accent5" w:themeTint="99"/>
        </w:tcBorders>
      </w:tcPr>
    </w:tblStylePr>
    <w:tblStylePr w:type="firstCol">
      <w:rPr>
        <w:b/>
        <w:bCs/>
      </w:rPr>
    </w:tblStylePr>
    <w:tblStylePr w:type="lastCol">
      <w:rPr>
        <w:b/>
        <w:bCs/>
      </w:rPr>
    </w:tblStylePr>
    <w:tblStylePr w:type="band1Vert">
      <w:tblPr/>
      <w:tcPr>
        <w:shd w:val="clear" w:color="auto" w:fill="FDE0EF" w:themeFill="accent5" w:themeFillTint="33"/>
      </w:tcPr>
    </w:tblStylePr>
    <w:tblStylePr w:type="band1Horz">
      <w:tblPr/>
      <w:tcPr>
        <w:shd w:val="clear" w:color="auto" w:fill="FDE0EF"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09873">
      <w:bodyDiv w:val="1"/>
      <w:marLeft w:val="0"/>
      <w:marRight w:val="0"/>
      <w:marTop w:val="0"/>
      <w:marBottom w:val="0"/>
      <w:divBdr>
        <w:top w:val="none" w:sz="0" w:space="0" w:color="auto"/>
        <w:left w:val="none" w:sz="0" w:space="0" w:color="auto"/>
        <w:bottom w:val="none" w:sz="0" w:space="0" w:color="auto"/>
        <w:right w:val="none" w:sz="0" w:space="0" w:color="auto"/>
      </w:divBdr>
    </w:div>
    <w:div w:id="60493127">
      <w:bodyDiv w:val="1"/>
      <w:marLeft w:val="0"/>
      <w:marRight w:val="0"/>
      <w:marTop w:val="0"/>
      <w:marBottom w:val="0"/>
      <w:divBdr>
        <w:top w:val="none" w:sz="0" w:space="0" w:color="auto"/>
        <w:left w:val="none" w:sz="0" w:space="0" w:color="auto"/>
        <w:bottom w:val="none" w:sz="0" w:space="0" w:color="auto"/>
        <w:right w:val="none" w:sz="0" w:space="0" w:color="auto"/>
      </w:divBdr>
    </w:div>
    <w:div w:id="79570030">
      <w:bodyDiv w:val="1"/>
      <w:marLeft w:val="0"/>
      <w:marRight w:val="0"/>
      <w:marTop w:val="0"/>
      <w:marBottom w:val="0"/>
      <w:divBdr>
        <w:top w:val="none" w:sz="0" w:space="0" w:color="auto"/>
        <w:left w:val="none" w:sz="0" w:space="0" w:color="auto"/>
        <w:bottom w:val="none" w:sz="0" w:space="0" w:color="auto"/>
        <w:right w:val="none" w:sz="0" w:space="0" w:color="auto"/>
      </w:divBdr>
    </w:div>
    <w:div w:id="85855237">
      <w:bodyDiv w:val="1"/>
      <w:marLeft w:val="0"/>
      <w:marRight w:val="0"/>
      <w:marTop w:val="0"/>
      <w:marBottom w:val="0"/>
      <w:divBdr>
        <w:top w:val="none" w:sz="0" w:space="0" w:color="auto"/>
        <w:left w:val="none" w:sz="0" w:space="0" w:color="auto"/>
        <w:bottom w:val="none" w:sz="0" w:space="0" w:color="auto"/>
        <w:right w:val="none" w:sz="0" w:space="0" w:color="auto"/>
      </w:divBdr>
      <w:divsChild>
        <w:div w:id="990332252">
          <w:marLeft w:val="446"/>
          <w:marRight w:val="0"/>
          <w:marTop w:val="86"/>
          <w:marBottom w:val="0"/>
          <w:divBdr>
            <w:top w:val="none" w:sz="0" w:space="0" w:color="auto"/>
            <w:left w:val="none" w:sz="0" w:space="0" w:color="auto"/>
            <w:bottom w:val="none" w:sz="0" w:space="0" w:color="auto"/>
            <w:right w:val="none" w:sz="0" w:space="0" w:color="auto"/>
          </w:divBdr>
        </w:div>
        <w:div w:id="1381859016">
          <w:marLeft w:val="446"/>
          <w:marRight w:val="0"/>
          <w:marTop w:val="86"/>
          <w:marBottom w:val="0"/>
          <w:divBdr>
            <w:top w:val="none" w:sz="0" w:space="0" w:color="auto"/>
            <w:left w:val="none" w:sz="0" w:space="0" w:color="auto"/>
            <w:bottom w:val="none" w:sz="0" w:space="0" w:color="auto"/>
            <w:right w:val="none" w:sz="0" w:space="0" w:color="auto"/>
          </w:divBdr>
        </w:div>
        <w:div w:id="63528511">
          <w:marLeft w:val="446"/>
          <w:marRight w:val="0"/>
          <w:marTop w:val="86"/>
          <w:marBottom w:val="0"/>
          <w:divBdr>
            <w:top w:val="none" w:sz="0" w:space="0" w:color="auto"/>
            <w:left w:val="none" w:sz="0" w:space="0" w:color="auto"/>
            <w:bottom w:val="none" w:sz="0" w:space="0" w:color="auto"/>
            <w:right w:val="none" w:sz="0" w:space="0" w:color="auto"/>
          </w:divBdr>
        </w:div>
        <w:div w:id="543251448">
          <w:marLeft w:val="446"/>
          <w:marRight w:val="0"/>
          <w:marTop w:val="86"/>
          <w:marBottom w:val="0"/>
          <w:divBdr>
            <w:top w:val="none" w:sz="0" w:space="0" w:color="auto"/>
            <w:left w:val="none" w:sz="0" w:space="0" w:color="auto"/>
            <w:bottom w:val="none" w:sz="0" w:space="0" w:color="auto"/>
            <w:right w:val="none" w:sz="0" w:space="0" w:color="auto"/>
          </w:divBdr>
        </w:div>
        <w:div w:id="1183711454">
          <w:marLeft w:val="446"/>
          <w:marRight w:val="0"/>
          <w:marTop w:val="86"/>
          <w:marBottom w:val="0"/>
          <w:divBdr>
            <w:top w:val="none" w:sz="0" w:space="0" w:color="auto"/>
            <w:left w:val="none" w:sz="0" w:space="0" w:color="auto"/>
            <w:bottom w:val="none" w:sz="0" w:space="0" w:color="auto"/>
            <w:right w:val="none" w:sz="0" w:space="0" w:color="auto"/>
          </w:divBdr>
        </w:div>
        <w:div w:id="1802844755">
          <w:marLeft w:val="446"/>
          <w:marRight w:val="0"/>
          <w:marTop w:val="86"/>
          <w:marBottom w:val="0"/>
          <w:divBdr>
            <w:top w:val="none" w:sz="0" w:space="0" w:color="auto"/>
            <w:left w:val="none" w:sz="0" w:space="0" w:color="auto"/>
            <w:bottom w:val="none" w:sz="0" w:space="0" w:color="auto"/>
            <w:right w:val="none" w:sz="0" w:space="0" w:color="auto"/>
          </w:divBdr>
        </w:div>
        <w:div w:id="1694846623">
          <w:marLeft w:val="446"/>
          <w:marRight w:val="0"/>
          <w:marTop w:val="86"/>
          <w:marBottom w:val="0"/>
          <w:divBdr>
            <w:top w:val="none" w:sz="0" w:space="0" w:color="auto"/>
            <w:left w:val="none" w:sz="0" w:space="0" w:color="auto"/>
            <w:bottom w:val="none" w:sz="0" w:space="0" w:color="auto"/>
            <w:right w:val="none" w:sz="0" w:space="0" w:color="auto"/>
          </w:divBdr>
        </w:div>
        <w:div w:id="737285055">
          <w:marLeft w:val="446"/>
          <w:marRight w:val="0"/>
          <w:marTop w:val="86"/>
          <w:marBottom w:val="0"/>
          <w:divBdr>
            <w:top w:val="none" w:sz="0" w:space="0" w:color="auto"/>
            <w:left w:val="none" w:sz="0" w:space="0" w:color="auto"/>
            <w:bottom w:val="none" w:sz="0" w:space="0" w:color="auto"/>
            <w:right w:val="none" w:sz="0" w:space="0" w:color="auto"/>
          </w:divBdr>
        </w:div>
      </w:divsChild>
    </w:div>
    <w:div w:id="219438074">
      <w:bodyDiv w:val="1"/>
      <w:marLeft w:val="0"/>
      <w:marRight w:val="0"/>
      <w:marTop w:val="0"/>
      <w:marBottom w:val="0"/>
      <w:divBdr>
        <w:top w:val="none" w:sz="0" w:space="0" w:color="auto"/>
        <w:left w:val="none" w:sz="0" w:space="0" w:color="auto"/>
        <w:bottom w:val="none" w:sz="0" w:space="0" w:color="auto"/>
        <w:right w:val="none" w:sz="0" w:space="0" w:color="auto"/>
      </w:divBdr>
    </w:div>
    <w:div w:id="278997445">
      <w:bodyDiv w:val="1"/>
      <w:marLeft w:val="0"/>
      <w:marRight w:val="0"/>
      <w:marTop w:val="0"/>
      <w:marBottom w:val="0"/>
      <w:divBdr>
        <w:top w:val="none" w:sz="0" w:space="0" w:color="auto"/>
        <w:left w:val="none" w:sz="0" w:space="0" w:color="auto"/>
        <w:bottom w:val="none" w:sz="0" w:space="0" w:color="auto"/>
        <w:right w:val="none" w:sz="0" w:space="0" w:color="auto"/>
      </w:divBdr>
    </w:div>
    <w:div w:id="300236093">
      <w:bodyDiv w:val="1"/>
      <w:marLeft w:val="0"/>
      <w:marRight w:val="0"/>
      <w:marTop w:val="0"/>
      <w:marBottom w:val="0"/>
      <w:divBdr>
        <w:top w:val="none" w:sz="0" w:space="0" w:color="auto"/>
        <w:left w:val="none" w:sz="0" w:space="0" w:color="auto"/>
        <w:bottom w:val="none" w:sz="0" w:space="0" w:color="auto"/>
        <w:right w:val="none" w:sz="0" w:space="0" w:color="auto"/>
      </w:divBdr>
    </w:div>
    <w:div w:id="337540490">
      <w:bodyDiv w:val="1"/>
      <w:marLeft w:val="0"/>
      <w:marRight w:val="0"/>
      <w:marTop w:val="0"/>
      <w:marBottom w:val="0"/>
      <w:divBdr>
        <w:top w:val="none" w:sz="0" w:space="0" w:color="auto"/>
        <w:left w:val="none" w:sz="0" w:space="0" w:color="auto"/>
        <w:bottom w:val="none" w:sz="0" w:space="0" w:color="auto"/>
        <w:right w:val="none" w:sz="0" w:space="0" w:color="auto"/>
      </w:divBdr>
    </w:div>
    <w:div w:id="444274108">
      <w:bodyDiv w:val="1"/>
      <w:marLeft w:val="0"/>
      <w:marRight w:val="0"/>
      <w:marTop w:val="0"/>
      <w:marBottom w:val="0"/>
      <w:divBdr>
        <w:top w:val="none" w:sz="0" w:space="0" w:color="auto"/>
        <w:left w:val="none" w:sz="0" w:space="0" w:color="auto"/>
        <w:bottom w:val="none" w:sz="0" w:space="0" w:color="auto"/>
        <w:right w:val="none" w:sz="0" w:space="0" w:color="auto"/>
      </w:divBdr>
    </w:div>
    <w:div w:id="446437705">
      <w:bodyDiv w:val="1"/>
      <w:marLeft w:val="0"/>
      <w:marRight w:val="0"/>
      <w:marTop w:val="0"/>
      <w:marBottom w:val="0"/>
      <w:divBdr>
        <w:top w:val="none" w:sz="0" w:space="0" w:color="auto"/>
        <w:left w:val="none" w:sz="0" w:space="0" w:color="auto"/>
        <w:bottom w:val="none" w:sz="0" w:space="0" w:color="auto"/>
        <w:right w:val="none" w:sz="0" w:space="0" w:color="auto"/>
      </w:divBdr>
    </w:div>
    <w:div w:id="477495665">
      <w:bodyDiv w:val="1"/>
      <w:marLeft w:val="0"/>
      <w:marRight w:val="0"/>
      <w:marTop w:val="0"/>
      <w:marBottom w:val="0"/>
      <w:divBdr>
        <w:top w:val="none" w:sz="0" w:space="0" w:color="auto"/>
        <w:left w:val="none" w:sz="0" w:space="0" w:color="auto"/>
        <w:bottom w:val="none" w:sz="0" w:space="0" w:color="auto"/>
        <w:right w:val="none" w:sz="0" w:space="0" w:color="auto"/>
      </w:divBdr>
    </w:div>
    <w:div w:id="520051117">
      <w:bodyDiv w:val="1"/>
      <w:marLeft w:val="0"/>
      <w:marRight w:val="0"/>
      <w:marTop w:val="0"/>
      <w:marBottom w:val="0"/>
      <w:divBdr>
        <w:top w:val="none" w:sz="0" w:space="0" w:color="auto"/>
        <w:left w:val="none" w:sz="0" w:space="0" w:color="auto"/>
        <w:bottom w:val="none" w:sz="0" w:space="0" w:color="auto"/>
        <w:right w:val="none" w:sz="0" w:space="0" w:color="auto"/>
      </w:divBdr>
    </w:div>
    <w:div w:id="531458059">
      <w:bodyDiv w:val="1"/>
      <w:marLeft w:val="0"/>
      <w:marRight w:val="0"/>
      <w:marTop w:val="0"/>
      <w:marBottom w:val="0"/>
      <w:divBdr>
        <w:top w:val="none" w:sz="0" w:space="0" w:color="auto"/>
        <w:left w:val="none" w:sz="0" w:space="0" w:color="auto"/>
        <w:bottom w:val="none" w:sz="0" w:space="0" w:color="auto"/>
        <w:right w:val="none" w:sz="0" w:space="0" w:color="auto"/>
      </w:divBdr>
    </w:div>
    <w:div w:id="668287839">
      <w:bodyDiv w:val="1"/>
      <w:marLeft w:val="0"/>
      <w:marRight w:val="0"/>
      <w:marTop w:val="0"/>
      <w:marBottom w:val="0"/>
      <w:divBdr>
        <w:top w:val="none" w:sz="0" w:space="0" w:color="auto"/>
        <w:left w:val="none" w:sz="0" w:space="0" w:color="auto"/>
        <w:bottom w:val="none" w:sz="0" w:space="0" w:color="auto"/>
        <w:right w:val="none" w:sz="0" w:space="0" w:color="auto"/>
      </w:divBdr>
    </w:div>
    <w:div w:id="691957013">
      <w:bodyDiv w:val="1"/>
      <w:marLeft w:val="0"/>
      <w:marRight w:val="0"/>
      <w:marTop w:val="0"/>
      <w:marBottom w:val="0"/>
      <w:divBdr>
        <w:top w:val="none" w:sz="0" w:space="0" w:color="auto"/>
        <w:left w:val="none" w:sz="0" w:space="0" w:color="auto"/>
        <w:bottom w:val="none" w:sz="0" w:space="0" w:color="auto"/>
        <w:right w:val="none" w:sz="0" w:space="0" w:color="auto"/>
      </w:divBdr>
    </w:div>
    <w:div w:id="699936119">
      <w:bodyDiv w:val="1"/>
      <w:marLeft w:val="0"/>
      <w:marRight w:val="0"/>
      <w:marTop w:val="0"/>
      <w:marBottom w:val="0"/>
      <w:divBdr>
        <w:top w:val="none" w:sz="0" w:space="0" w:color="auto"/>
        <w:left w:val="none" w:sz="0" w:space="0" w:color="auto"/>
        <w:bottom w:val="none" w:sz="0" w:space="0" w:color="auto"/>
        <w:right w:val="none" w:sz="0" w:space="0" w:color="auto"/>
      </w:divBdr>
    </w:div>
    <w:div w:id="723715622">
      <w:bodyDiv w:val="1"/>
      <w:marLeft w:val="0"/>
      <w:marRight w:val="0"/>
      <w:marTop w:val="0"/>
      <w:marBottom w:val="0"/>
      <w:divBdr>
        <w:top w:val="none" w:sz="0" w:space="0" w:color="auto"/>
        <w:left w:val="none" w:sz="0" w:space="0" w:color="auto"/>
        <w:bottom w:val="none" w:sz="0" w:space="0" w:color="auto"/>
        <w:right w:val="none" w:sz="0" w:space="0" w:color="auto"/>
      </w:divBdr>
    </w:div>
    <w:div w:id="752897671">
      <w:bodyDiv w:val="1"/>
      <w:marLeft w:val="0"/>
      <w:marRight w:val="0"/>
      <w:marTop w:val="0"/>
      <w:marBottom w:val="0"/>
      <w:divBdr>
        <w:top w:val="none" w:sz="0" w:space="0" w:color="auto"/>
        <w:left w:val="none" w:sz="0" w:space="0" w:color="auto"/>
        <w:bottom w:val="none" w:sz="0" w:space="0" w:color="auto"/>
        <w:right w:val="none" w:sz="0" w:space="0" w:color="auto"/>
      </w:divBdr>
    </w:div>
    <w:div w:id="766920702">
      <w:bodyDiv w:val="1"/>
      <w:marLeft w:val="0"/>
      <w:marRight w:val="0"/>
      <w:marTop w:val="0"/>
      <w:marBottom w:val="0"/>
      <w:divBdr>
        <w:top w:val="none" w:sz="0" w:space="0" w:color="auto"/>
        <w:left w:val="none" w:sz="0" w:space="0" w:color="auto"/>
        <w:bottom w:val="none" w:sz="0" w:space="0" w:color="auto"/>
        <w:right w:val="none" w:sz="0" w:space="0" w:color="auto"/>
      </w:divBdr>
    </w:div>
    <w:div w:id="770778803">
      <w:bodyDiv w:val="1"/>
      <w:marLeft w:val="0"/>
      <w:marRight w:val="0"/>
      <w:marTop w:val="0"/>
      <w:marBottom w:val="0"/>
      <w:divBdr>
        <w:top w:val="none" w:sz="0" w:space="0" w:color="auto"/>
        <w:left w:val="none" w:sz="0" w:space="0" w:color="auto"/>
        <w:bottom w:val="none" w:sz="0" w:space="0" w:color="auto"/>
        <w:right w:val="none" w:sz="0" w:space="0" w:color="auto"/>
      </w:divBdr>
    </w:div>
    <w:div w:id="788086481">
      <w:bodyDiv w:val="1"/>
      <w:marLeft w:val="0"/>
      <w:marRight w:val="0"/>
      <w:marTop w:val="0"/>
      <w:marBottom w:val="0"/>
      <w:divBdr>
        <w:top w:val="none" w:sz="0" w:space="0" w:color="auto"/>
        <w:left w:val="none" w:sz="0" w:space="0" w:color="auto"/>
        <w:bottom w:val="none" w:sz="0" w:space="0" w:color="auto"/>
        <w:right w:val="none" w:sz="0" w:space="0" w:color="auto"/>
      </w:divBdr>
    </w:div>
    <w:div w:id="791091481">
      <w:bodyDiv w:val="1"/>
      <w:marLeft w:val="0"/>
      <w:marRight w:val="0"/>
      <w:marTop w:val="0"/>
      <w:marBottom w:val="0"/>
      <w:divBdr>
        <w:top w:val="none" w:sz="0" w:space="0" w:color="auto"/>
        <w:left w:val="none" w:sz="0" w:space="0" w:color="auto"/>
        <w:bottom w:val="none" w:sz="0" w:space="0" w:color="auto"/>
        <w:right w:val="none" w:sz="0" w:space="0" w:color="auto"/>
      </w:divBdr>
    </w:div>
    <w:div w:id="806320545">
      <w:bodyDiv w:val="1"/>
      <w:marLeft w:val="0"/>
      <w:marRight w:val="0"/>
      <w:marTop w:val="0"/>
      <w:marBottom w:val="0"/>
      <w:divBdr>
        <w:top w:val="none" w:sz="0" w:space="0" w:color="auto"/>
        <w:left w:val="none" w:sz="0" w:space="0" w:color="auto"/>
        <w:bottom w:val="none" w:sz="0" w:space="0" w:color="auto"/>
        <w:right w:val="none" w:sz="0" w:space="0" w:color="auto"/>
      </w:divBdr>
      <w:divsChild>
        <w:div w:id="1733918091">
          <w:marLeft w:val="446"/>
          <w:marRight w:val="0"/>
          <w:marTop w:val="86"/>
          <w:marBottom w:val="0"/>
          <w:divBdr>
            <w:top w:val="none" w:sz="0" w:space="0" w:color="auto"/>
            <w:left w:val="none" w:sz="0" w:space="0" w:color="auto"/>
            <w:bottom w:val="none" w:sz="0" w:space="0" w:color="auto"/>
            <w:right w:val="none" w:sz="0" w:space="0" w:color="auto"/>
          </w:divBdr>
        </w:div>
        <w:div w:id="1552687025">
          <w:marLeft w:val="446"/>
          <w:marRight w:val="0"/>
          <w:marTop w:val="86"/>
          <w:marBottom w:val="0"/>
          <w:divBdr>
            <w:top w:val="none" w:sz="0" w:space="0" w:color="auto"/>
            <w:left w:val="none" w:sz="0" w:space="0" w:color="auto"/>
            <w:bottom w:val="none" w:sz="0" w:space="0" w:color="auto"/>
            <w:right w:val="none" w:sz="0" w:space="0" w:color="auto"/>
          </w:divBdr>
        </w:div>
        <w:div w:id="1344432822">
          <w:marLeft w:val="446"/>
          <w:marRight w:val="0"/>
          <w:marTop w:val="86"/>
          <w:marBottom w:val="0"/>
          <w:divBdr>
            <w:top w:val="none" w:sz="0" w:space="0" w:color="auto"/>
            <w:left w:val="none" w:sz="0" w:space="0" w:color="auto"/>
            <w:bottom w:val="none" w:sz="0" w:space="0" w:color="auto"/>
            <w:right w:val="none" w:sz="0" w:space="0" w:color="auto"/>
          </w:divBdr>
        </w:div>
        <w:div w:id="1912810820">
          <w:marLeft w:val="907"/>
          <w:marRight w:val="0"/>
          <w:marTop w:val="86"/>
          <w:marBottom w:val="0"/>
          <w:divBdr>
            <w:top w:val="none" w:sz="0" w:space="0" w:color="auto"/>
            <w:left w:val="none" w:sz="0" w:space="0" w:color="auto"/>
            <w:bottom w:val="none" w:sz="0" w:space="0" w:color="auto"/>
            <w:right w:val="none" w:sz="0" w:space="0" w:color="auto"/>
          </w:divBdr>
        </w:div>
        <w:div w:id="509871791">
          <w:marLeft w:val="907"/>
          <w:marRight w:val="0"/>
          <w:marTop w:val="86"/>
          <w:marBottom w:val="0"/>
          <w:divBdr>
            <w:top w:val="none" w:sz="0" w:space="0" w:color="auto"/>
            <w:left w:val="none" w:sz="0" w:space="0" w:color="auto"/>
            <w:bottom w:val="none" w:sz="0" w:space="0" w:color="auto"/>
            <w:right w:val="none" w:sz="0" w:space="0" w:color="auto"/>
          </w:divBdr>
        </w:div>
        <w:div w:id="1165053678">
          <w:marLeft w:val="907"/>
          <w:marRight w:val="0"/>
          <w:marTop w:val="86"/>
          <w:marBottom w:val="0"/>
          <w:divBdr>
            <w:top w:val="none" w:sz="0" w:space="0" w:color="auto"/>
            <w:left w:val="none" w:sz="0" w:space="0" w:color="auto"/>
            <w:bottom w:val="none" w:sz="0" w:space="0" w:color="auto"/>
            <w:right w:val="none" w:sz="0" w:space="0" w:color="auto"/>
          </w:divBdr>
        </w:div>
        <w:div w:id="1560893878">
          <w:marLeft w:val="446"/>
          <w:marRight w:val="0"/>
          <w:marTop w:val="86"/>
          <w:marBottom w:val="0"/>
          <w:divBdr>
            <w:top w:val="none" w:sz="0" w:space="0" w:color="auto"/>
            <w:left w:val="none" w:sz="0" w:space="0" w:color="auto"/>
            <w:bottom w:val="none" w:sz="0" w:space="0" w:color="auto"/>
            <w:right w:val="none" w:sz="0" w:space="0" w:color="auto"/>
          </w:divBdr>
        </w:div>
      </w:divsChild>
    </w:div>
    <w:div w:id="838958224">
      <w:bodyDiv w:val="1"/>
      <w:marLeft w:val="0"/>
      <w:marRight w:val="0"/>
      <w:marTop w:val="0"/>
      <w:marBottom w:val="0"/>
      <w:divBdr>
        <w:top w:val="none" w:sz="0" w:space="0" w:color="auto"/>
        <w:left w:val="none" w:sz="0" w:space="0" w:color="auto"/>
        <w:bottom w:val="none" w:sz="0" w:space="0" w:color="auto"/>
        <w:right w:val="none" w:sz="0" w:space="0" w:color="auto"/>
      </w:divBdr>
    </w:div>
    <w:div w:id="855853593">
      <w:bodyDiv w:val="1"/>
      <w:marLeft w:val="0"/>
      <w:marRight w:val="0"/>
      <w:marTop w:val="0"/>
      <w:marBottom w:val="0"/>
      <w:divBdr>
        <w:top w:val="none" w:sz="0" w:space="0" w:color="auto"/>
        <w:left w:val="none" w:sz="0" w:space="0" w:color="auto"/>
        <w:bottom w:val="none" w:sz="0" w:space="0" w:color="auto"/>
        <w:right w:val="none" w:sz="0" w:space="0" w:color="auto"/>
      </w:divBdr>
    </w:div>
    <w:div w:id="904528835">
      <w:bodyDiv w:val="1"/>
      <w:marLeft w:val="0"/>
      <w:marRight w:val="0"/>
      <w:marTop w:val="0"/>
      <w:marBottom w:val="0"/>
      <w:divBdr>
        <w:top w:val="none" w:sz="0" w:space="0" w:color="auto"/>
        <w:left w:val="none" w:sz="0" w:space="0" w:color="auto"/>
        <w:bottom w:val="none" w:sz="0" w:space="0" w:color="auto"/>
        <w:right w:val="none" w:sz="0" w:space="0" w:color="auto"/>
      </w:divBdr>
    </w:div>
    <w:div w:id="928386800">
      <w:bodyDiv w:val="1"/>
      <w:marLeft w:val="0"/>
      <w:marRight w:val="0"/>
      <w:marTop w:val="0"/>
      <w:marBottom w:val="0"/>
      <w:divBdr>
        <w:top w:val="none" w:sz="0" w:space="0" w:color="auto"/>
        <w:left w:val="none" w:sz="0" w:space="0" w:color="auto"/>
        <w:bottom w:val="none" w:sz="0" w:space="0" w:color="auto"/>
        <w:right w:val="none" w:sz="0" w:space="0" w:color="auto"/>
      </w:divBdr>
    </w:div>
    <w:div w:id="955598129">
      <w:bodyDiv w:val="1"/>
      <w:marLeft w:val="0"/>
      <w:marRight w:val="0"/>
      <w:marTop w:val="0"/>
      <w:marBottom w:val="0"/>
      <w:divBdr>
        <w:top w:val="none" w:sz="0" w:space="0" w:color="auto"/>
        <w:left w:val="none" w:sz="0" w:space="0" w:color="auto"/>
        <w:bottom w:val="none" w:sz="0" w:space="0" w:color="auto"/>
        <w:right w:val="none" w:sz="0" w:space="0" w:color="auto"/>
      </w:divBdr>
    </w:div>
    <w:div w:id="960110401">
      <w:bodyDiv w:val="1"/>
      <w:marLeft w:val="0"/>
      <w:marRight w:val="0"/>
      <w:marTop w:val="0"/>
      <w:marBottom w:val="0"/>
      <w:divBdr>
        <w:top w:val="none" w:sz="0" w:space="0" w:color="auto"/>
        <w:left w:val="none" w:sz="0" w:space="0" w:color="auto"/>
        <w:bottom w:val="none" w:sz="0" w:space="0" w:color="auto"/>
        <w:right w:val="none" w:sz="0" w:space="0" w:color="auto"/>
      </w:divBdr>
    </w:div>
    <w:div w:id="995958438">
      <w:bodyDiv w:val="1"/>
      <w:marLeft w:val="0"/>
      <w:marRight w:val="0"/>
      <w:marTop w:val="0"/>
      <w:marBottom w:val="0"/>
      <w:divBdr>
        <w:top w:val="none" w:sz="0" w:space="0" w:color="auto"/>
        <w:left w:val="none" w:sz="0" w:space="0" w:color="auto"/>
        <w:bottom w:val="none" w:sz="0" w:space="0" w:color="auto"/>
        <w:right w:val="none" w:sz="0" w:space="0" w:color="auto"/>
      </w:divBdr>
    </w:div>
    <w:div w:id="1040284820">
      <w:bodyDiv w:val="1"/>
      <w:marLeft w:val="0"/>
      <w:marRight w:val="0"/>
      <w:marTop w:val="0"/>
      <w:marBottom w:val="0"/>
      <w:divBdr>
        <w:top w:val="none" w:sz="0" w:space="0" w:color="auto"/>
        <w:left w:val="none" w:sz="0" w:space="0" w:color="auto"/>
        <w:bottom w:val="none" w:sz="0" w:space="0" w:color="auto"/>
        <w:right w:val="none" w:sz="0" w:space="0" w:color="auto"/>
      </w:divBdr>
    </w:div>
    <w:div w:id="1078865999">
      <w:bodyDiv w:val="1"/>
      <w:marLeft w:val="0"/>
      <w:marRight w:val="0"/>
      <w:marTop w:val="0"/>
      <w:marBottom w:val="0"/>
      <w:divBdr>
        <w:top w:val="none" w:sz="0" w:space="0" w:color="auto"/>
        <w:left w:val="none" w:sz="0" w:space="0" w:color="auto"/>
        <w:bottom w:val="none" w:sz="0" w:space="0" w:color="auto"/>
        <w:right w:val="none" w:sz="0" w:space="0" w:color="auto"/>
      </w:divBdr>
    </w:div>
    <w:div w:id="1093287187">
      <w:bodyDiv w:val="1"/>
      <w:marLeft w:val="0"/>
      <w:marRight w:val="0"/>
      <w:marTop w:val="0"/>
      <w:marBottom w:val="0"/>
      <w:divBdr>
        <w:top w:val="none" w:sz="0" w:space="0" w:color="auto"/>
        <w:left w:val="none" w:sz="0" w:space="0" w:color="auto"/>
        <w:bottom w:val="none" w:sz="0" w:space="0" w:color="auto"/>
        <w:right w:val="none" w:sz="0" w:space="0" w:color="auto"/>
      </w:divBdr>
    </w:div>
    <w:div w:id="1157379565">
      <w:bodyDiv w:val="1"/>
      <w:marLeft w:val="0"/>
      <w:marRight w:val="0"/>
      <w:marTop w:val="0"/>
      <w:marBottom w:val="0"/>
      <w:divBdr>
        <w:top w:val="none" w:sz="0" w:space="0" w:color="auto"/>
        <w:left w:val="none" w:sz="0" w:space="0" w:color="auto"/>
        <w:bottom w:val="none" w:sz="0" w:space="0" w:color="auto"/>
        <w:right w:val="none" w:sz="0" w:space="0" w:color="auto"/>
      </w:divBdr>
    </w:div>
    <w:div w:id="1168322270">
      <w:bodyDiv w:val="1"/>
      <w:marLeft w:val="0"/>
      <w:marRight w:val="0"/>
      <w:marTop w:val="0"/>
      <w:marBottom w:val="0"/>
      <w:divBdr>
        <w:top w:val="none" w:sz="0" w:space="0" w:color="auto"/>
        <w:left w:val="none" w:sz="0" w:space="0" w:color="auto"/>
        <w:bottom w:val="none" w:sz="0" w:space="0" w:color="auto"/>
        <w:right w:val="none" w:sz="0" w:space="0" w:color="auto"/>
      </w:divBdr>
    </w:div>
    <w:div w:id="1187868652">
      <w:bodyDiv w:val="1"/>
      <w:marLeft w:val="0"/>
      <w:marRight w:val="0"/>
      <w:marTop w:val="0"/>
      <w:marBottom w:val="0"/>
      <w:divBdr>
        <w:top w:val="none" w:sz="0" w:space="0" w:color="auto"/>
        <w:left w:val="none" w:sz="0" w:space="0" w:color="auto"/>
        <w:bottom w:val="none" w:sz="0" w:space="0" w:color="auto"/>
        <w:right w:val="none" w:sz="0" w:space="0" w:color="auto"/>
      </w:divBdr>
    </w:div>
    <w:div w:id="1439444316">
      <w:bodyDiv w:val="1"/>
      <w:marLeft w:val="0"/>
      <w:marRight w:val="0"/>
      <w:marTop w:val="0"/>
      <w:marBottom w:val="0"/>
      <w:divBdr>
        <w:top w:val="none" w:sz="0" w:space="0" w:color="auto"/>
        <w:left w:val="none" w:sz="0" w:space="0" w:color="auto"/>
        <w:bottom w:val="none" w:sz="0" w:space="0" w:color="auto"/>
        <w:right w:val="none" w:sz="0" w:space="0" w:color="auto"/>
      </w:divBdr>
    </w:div>
    <w:div w:id="1454517943">
      <w:bodyDiv w:val="1"/>
      <w:marLeft w:val="0"/>
      <w:marRight w:val="0"/>
      <w:marTop w:val="0"/>
      <w:marBottom w:val="0"/>
      <w:divBdr>
        <w:top w:val="none" w:sz="0" w:space="0" w:color="auto"/>
        <w:left w:val="none" w:sz="0" w:space="0" w:color="auto"/>
        <w:bottom w:val="none" w:sz="0" w:space="0" w:color="auto"/>
        <w:right w:val="none" w:sz="0" w:space="0" w:color="auto"/>
      </w:divBdr>
    </w:div>
    <w:div w:id="1559198871">
      <w:bodyDiv w:val="1"/>
      <w:marLeft w:val="0"/>
      <w:marRight w:val="0"/>
      <w:marTop w:val="0"/>
      <w:marBottom w:val="0"/>
      <w:divBdr>
        <w:top w:val="none" w:sz="0" w:space="0" w:color="auto"/>
        <w:left w:val="none" w:sz="0" w:space="0" w:color="auto"/>
        <w:bottom w:val="none" w:sz="0" w:space="0" w:color="auto"/>
        <w:right w:val="none" w:sz="0" w:space="0" w:color="auto"/>
      </w:divBdr>
    </w:div>
    <w:div w:id="1615284978">
      <w:bodyDiv w:val="1"/>
      <w:marLeft w:val="0"/>
      <w:marRight w:val="0"/>
      <w:marTop w:val="0"/>
      <w:marBottom w:val="0"/>
      <w:divBdr>
        <w:top w:val="none" w:sz="0" w:space="0" w:color="auto"/>
        <w:left w:val="none" w:sz="0" w:space="0" w:color="auto"/>
        <w:bottom w:val="none" w:sz="0" w:space="0" w:color="auto"/>
        <w:right w:val="none" w:sz="0" w:space="0" w:color="auto"/>
      </w:divBdr>
    </w:div>
    <w:div w:id="1726097176">
      <w:bodyDiv w:val="1"/>
      <w:marLeft w:val="0"/>
      <w:marRight w:val="0"/>
      <w:marTop w:val="0"/>
      <w:marBottom w:val="0"/>
      <w:divBdr>
        <w:top w:val="none" w:sz="0" w:space="0" w:color="auto"/>
        <w:left w:val="none" w:sz="0" w:space="0" w:color="auto"/>
        <w:bottom w:val="none" w:sz="0" w:space="0" w:color="auto"/>
        <w:right w:val="none" w:sz="0" w:space="0" w:color="auto"/>
      </w:divBdr>
    </w:div>
    <w:div w:id="1760441428">
      <w:bodyDiv w:val="1"/>
      <w:marLeft w:val="0"/>
      <w:marRight w:val="0"/>
      <w:marTop w:val="0"/>
      <w:marBottom w:val="0"/>
      <w:divBdr>
        <w:top w:val="none" w:sz="0" w:space="0" w:color="auto"/>
        <w:left w:val="none" w:sz="0" w:space="0" w:color="auto"/>
        <w:bottom w:val="none" w:sz="0" w:space="0" w:color="auto"/>
        <w:right w:val="none" w:sz="0" w:space="0" w:color="auto"/>
      </w:divBdr>
    </w:div>
    <w:div w:id="2033678216">
      <w:bodyDiv w:val="1"/>
      <w:marLeft w:val="0"/>
      <w:marRight w:val="0"/>
      <w:marTop w:val="0"/>
      <w:marBottom w:val="0"/>
      <w:divBdr>
        <w:top w:val="none" w:sz="0" w:space="0" w:color="auto"/>
        <w:left w:val="none" w:sz="0" w:space="0" w:color="auto"/>
        <w:bottom w:val="none" w:sz="0" w:space="0" w:color="auto"/>
        <w:right w:val="none" w:sz="0" w:space="0" w:color="auto"/>
      </w:divBdr>
    </w:div>
    <w:div w:id="210830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file:///C:\Program%20Files\Dtc2001\ReportCoverLarge.jpg" TargetMode="External"/><Relationship Id="rId18" Type="http://schemas.openxmlformats.org/officeDocument/2006/relationships/header" Target="header2.xml"/><Relationship Id="rId26" Type="http://schemas.openxmlformats.org/officeDocument/2006/relationships/footer" Target="footer5.xml"/><Relationship Id="rId39" Type="http://schemas.openxmlformats.org/officeDocument/2006/relationships/image" Target="media/image11.png"/><Relationship Id="rId21" Type="http://schemas.openxmlformats.org/officeDocument/2006/relationships/header" Target="header3.xml"/><Relationship Id="rId34" Type="http://schemas.openxmlformats.org/officeDocument/2006/relationships/header" Target="header9.xml"/><Relationship Id="rId42" Type="http://schemas.openxmlformats.org/officeDocument/2006/relationships/image" Target="media/image14.emf"/><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footer" Target="footer7.xml"/><Relationship Id="rId38" Type="http://schemas.openxmlformats.org/officeDocument/2006/relationships/image" Target="media/image10.png"/><Relationship Id="rId46" Type="http://schemas.openxmlformats.org/officeDocument/2006/relationships/hyperlink" Target="https://data.mfe.govt.nz/x/odt3cv"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29" Type="http://schemas.openxmlformats.org/officeDocument/2006/relationships/image" Target="media/image5.png"/><Relationship Id="rId41" Type="http://schemas.openxmlformats.org/officeDocument/2006/relationships/image" Target="media/image13.png"/><Relationship Id="rId54" Type="http://schemas.openxmlformats.org/officeDocument/2006/relationships/hyperlink" Target="file:///\\192.168.0.50\ids_media\IDS\Work\GHD\MSO2010\2010_ReportTemplate\www.ghd.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eader" Target="header5.xml"/><Relationship Id="rId32" Type="http://schemas.openxmlformats.org/officeDocument/2006/relationships/header" Target="header8.xm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yperlink" Target="https://www.lawa.org.nz/" TargetMode="External"/><Relationship Id="rId53" Type="http://schemas.openxmlformats.org/officeDocument/2006/relationships/hyperlink" Target="file:///\\192.168.0.50\ids_media\IDS\Work\GHD\MSO2010\2010_ReportTemplate\www.ghd.com"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image" Target="media/image8.png"/><Relationship Id="rId49" Type="http://schemas.openxmlformats.org/officeDocument/2006/relationships/image" Target="media/image19.png"/><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header" Target="header7.xml"/><Relationship Id="rId44" Type="http://schemas.openxmlformats.org/officeDocument/2006/relationships/image" Target="media/image16.png"/><Relationship Id="rId52" Type="http://schemas.openxmlformats.org/officeDocument/2006/relationships/image" Target="media/image22.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image" Target="media/image6.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18.png"/><Relationship Id="rId56" Type="http://schemas.openxmlformats.org/officeDocument/2006/relationships/theme" Target="theme/theme1.xml"/><Relationship Id="rId8" Type="http://schemas.microsoft.com/office/2007/relationships/stylesWithEffects" Target="stylesWithEffects.xml"/><Relationship Id="rId51" Type="http://schemas.openxmlformats.org/officeDocument/2006/relationships/image" Target="media/image21.emf"/><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4.gif"/></Relationships>
</file>

<file path=word/_rels/settings.xml.rels><?xml version="1.0" encoding="UTF-8" standalone="yes"?>
<Relationships xmlns="http://schemas.openxmlformats.org/package/2006/relationships"><Relationship Id="rId1" Type="http://schemas.openxmlformats.org/officeDocument/2006/relationships/attachedTemplate" Target="file:///C:\data\templates\2010\Non%20DTC%20-%20NZ\GHD_Report_2012.dotm" TargetMode="External"/></Relationships>
</file>

<file path=word/theme/theme1.xml><?xml version="1.0" encoding="utf-8"?>
<a:theme xmlns:a="http://schemas.openxmlformats.org/drawingml/2006/main" name="GHDTheme2012">
  <a:themeElements>
    <a:clrScheme name="Custom 3">
      <a:dk1>
        <a:sysClr val="windowText" lastClr="000000"/>
      </a:dk1>
      <a:lt1>
        <a:sysClr val="window" lastClr="FFFFFF"/>
      </a:lt1>
      <a:dk2>
        <a:srgbClr val="0065A4"/>
      </a:dk2>
      <a:lt2>
        <a:srgbClr val="EEECE1"/>
      </a:lt2>
      <a:accent1>
        <a:srgbClr val="0065A4"/>
      </a:accent1>
      <a:accent2>
        <a:srgbClr val="E50E81"/>
      </a:accent2>
      <a:accent3>
        <a:srgbClr val="8DC43F"/>
      </a:accent3>
      <a:accent4>
        <a:srgbClr val="FFD200"/>
      </a:accent4>
      <a:accent5>
        <a:srgbClr val="F568B3"/>
      </a:accent5>
      <a:accent6>
        <a:srgbClr val="BADB8B"/>
      </a:accent6>
      <a:hlink>
        <a:srgbClr val="1645D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Report Document DIA" ma:contentTypeID="0x0101005496552013C0BA46BE88192D5C6EB20B0096B3B2A18C38574E89AD9AF66855684A007AFDF2E238ADA042997606569F83E3F5" ma:contentTypeVersion="1" ma:contentTypeDescription="Use for all reports either created by or received by DIA in the course of its business" ma:contentTypeScope="" ma:versionID="5a6cba2b4a230d0c095b89907d10ac26">
  <xsd:schema xmlns:xsd="http://www.w3.org/2001/XMLSchema" xmlns:xs="http://www.w3.org/2001/XMLSchema" xmlns:p="http://schemas.microsoft.com/office/2006/metadata/properties" xmlns:ns3="01be4277-2979-4a68-876d-b92b25fceece" xmlns:ns4="f54e2983-00ce-40fc-8108-18f351fc47bf" targetNamespace="http://schemas.microsoft.com/office/2006/metadata/properties" ma:root="true" ma:fieldsID="46ded3a09ca88f0ccbc9f248513b5801" ns3:_="" ns4:_="">
    <xsd:import namespace="01be4277-2979-4a68-876d-b92b25fceece"/>
    <xsd:import namespace="f54e2983-00ce-40fc-8108-18f351fc47bf"/>
    <xsd:element name="properties">
      <xsd:complexType>
        <xsd:sequence>
          <xsd:element name="documentManagement">
            <xsd:complexType>
              <xsd:all>
                <xsd:element ref="ns3:C3TopicNote" minOccurs="0"/>
                <xsd:element ref="ns4:TaxKeywordTaxHTField" minOccurs="0"/>
                <xsd:element ref="ns4:TaxCatchAll" minOccurs="0"/>
                <xsd:element ref="ns4:TaxCatchAllLabel" minOccurs="0"/>
                <xsd:element ref="ns4:ld855601a22744588946efdda84ef6c0" minOccurs="0"/>
                <xsd:element ref="ns4:lcff0ddf232c47f2a2233c5008913c29" minOccurs="0"/>
                <xsd:element ref="ns4:DIANotes" minOccurs="0"/>
                <xsd:element ref="ns4:_dlc_DocId" minOccurs="0"/>
                <xsd:element ref="ns4:_dlc_DocIdUrl" minOccurs="0"/>
                <xsd:element ref="ns4:_dlc_DocIdPersistId" minOccurs="0"/>
                <xsd:element ref="ns4:i28a3dfa7619411fa0190df1513c6f61" minOccurs="0"/>
                <xsd:element ref="ns4:ab652c8fc19f4aa1b7c685bfd6c8b663" minOccurs="0"/>
                <xsd:element ref="ns4:DIAReferenceNumber" minOccurs="0"/>
                <xsd:element ref="ns4:j47b0202623f4ea5aacb4f820e2a4374" minOccurs="0"/>
                <xsd:element ref="ns4:DIAPrivateEnt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9" nillable="true" ma:taxonomy="true" ma:internalName="C3TopicNote" ma:taxonomyFieldName="C3Topic" ma:displayName="Topic" ma:readOnly="false" ma:default="" ma:fieldId="{6a3fe89f-a6dd-4490-a9c1-3ef38d67b8c7}" ma:sspId="caf61cd4-0327-4679-8f8a-6e41773e81e7" ma:termSetId="bd117d0a-f6da-4449-89a0-3df3ae40d037" ma:anchorId="3800b7fa-0c58-4b7e-8f3b-9489079c2ad9"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54e2983-00ce-40fc-8108-18f351fc47bf"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caf61cd4-0327-4679-8f8a-6e41773e81e7"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52d4e302-90f6-448a-9506-1690ac8b6ec3}" ma:internalName="TaxCatchAll" ma:showField="CatchAllData" ma:web="f54e2983-00ce-40fc-8108-18f351fc47bf">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52d4e302-90f6-448a-9506-1690ac8b6ec3}" ma:internalName="TaxCatchAllLabel" ma:readOnly="true" ma:showField="CatchAllDataLabel" ma:web="f54e2983-00ce-40fc-8108-18f351fc47bf">
      <xsd:complexType>
        <xsd:complexContent>
          <xsd:extension base="dms:MultiChoiceLookup">
            <xsd:sequence>
              <xsd:element name="Value" type="dms:Lookup" maxOccurs="unbounded" minOccurs="0" nillable="true"/>
            </xsd:sequence>
          </xsd:extension>
        </xsd:complexContent>
      </xsd:complexType>
    </xsd:element>
    <xsd:element name="ld855601a22744588946efdda84ef6c0" ma:index="14" ma:taxonomy="true" ma:internalName="ld855601a22744588946efdda84ef6c0" ma:taxonomyFieldName="DIAReportDocumentType" ma:displayName="Report Document Type" ma:fieldId="{5d855601-a227-4458-8946-efdda84ef6c0}" ma:sspId="caf61cd4-0327-4679-8f8a-6e41773e81e7" ma:termSetId="e1ff6601-4247-485d-a449-0ad25dff4221" ma:anchorId="00000000-0000-0000-0000-000000000000" ma:open="false" ma:isKeyword="false">
      <xsd:complexType>
        <xsd:sequence>
          <xsd:element ref="pc:Terms" minOccurs="0" maxOccurs="1"/>
        </xsd:sequence>
      </xsd:complexType>
    </xsd:element>
    <xsd:element name="lcff0ddf232c47f2a2233c5008913c29" ma:index="16" ma:taxonomy="true" ma:internalName="lcff0ddf232c47f2a2233c5008913c29" ma:taxonomyFieldName="DIASecurityClassification" ma:displayName="Security Classification" ma:default="1;#UNCLASSIFIED|875d92a8-67e2-4a32-9472-8fe99549e1eb" ma:fieldId="{5cff0ddf-232c-47f2-a223-3c5008913c29}" ma:sspId="caf61cd4-0327-4679-8f8a-6e41773e81e7" ma:termSetId="6e030844-242a-4d29-a562-8ce1d1b5efae" ma:anchorId="00000000-0000-0000-0000-000000000000" ma:open="false" ma:isKeyword="false">
      <xsd:complexType>
        <xsd:sequence>
          <xsd:element ref="pc:Terms" minOccurs="0" maxOccurs="1"/>
        </xsd:sequence>
      </xsd:complexType>
    </xsd:element>
    <xsd:element name="DIANotes" ma:index="18" nillable="true" ma:displayName="Notes" ma:description="Additional information, can include URL link to another document" ma:internalName="DIANotes">
      <xsd:simpleType>
        <xsd:restriction base="dms:Note">
          <xsd:maxLength value="255"/>
        </xsd:restriction>
      </xsd:simple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element name="i28a3dfa7619411fa0190df1513c6f61" ma:index="22" nillable="true" ma:taxonomy="true" ma:internalName="i28a3dfa7619411fa0190df1513c6f61" ma:taxonomyFieldName="DIALegislation" ma:displayName="Legislation" ma:fieldId="{228a3dfa-7619-411f-a019-0df1513c6f61}" ma:sspId="caf61cd4-0327-4679-8f8a-6e41773e81e7" ma:termSetId="d3d327d7-5365-4556-8990-578cbb151723" ma:anchorId="00000000-0000-0000-0000-000000000000" ma:open="false" ma:isKeyword="false">
      <xsd:complexType>
        <xsd:sequence>
          <xsd:element ref="pc:Terms" minOccurs="0" maxOccurs="1"/>
        </xsd:sequence>
      </xsd:complexType>
    </xsd:element>
    <xsd:element name="ab652c8fc19f4aa1b7c685bfd6c8b663" ma:index="24" nillable="true" ma:taxonomy="true" ma:internalName="ab652c8fc19f4aa1b7c685bfd6c8b663" ma:taxonomyFieldName="DIAPortfolio" ma:displayName="Portfolio" ma:default="4;#Local Government|d4c83f0c-f81e-4391-a096-cd21301ce608" ma:fieldId="{ab652c8f-c19f-4aa1-b7c6-85bfd6c8b663}" ma:sspId="caf61cd4-0327-4679-8f8a-6e41773e81e7" ma:termSetId="8f088340-0c5e-4686-b1b2-3e1dd9212e72" ma:anchorId="00000000-0000-0000-0000-000000000000" ma:open="false" ma:isKeyword="false">
      <xsd:complexType>
        <xsd:sequence>
          <xsd:element ref="pc:Terms" minOccurs="0" maxOccurs="1"/>
        </xsd:sequence>
      </xsd:complexType>
    </xsd:element>
    <xsd:element name="DIAReferenceNumber" ma:index="26" nillable="true" ma:displayName="Reference Number" ma:description="Use to specify the reference number" ma:internalName="DIAReferenceNumber">
      <xsd:simpleType>
        <xsd:restriction base="dms:Text"/>
      </xsd:simpleType>
    </xsd:element>
    <xsd:element name="j47b0202623f4ea5aacb4f820e2a4374" ma:index="27" nillable="true" ma:taxonomy="true" ma:internalName="j47b0202623f4ea5aacb4f820e2a4374" ma:taxonomyFieldName="DIAOfficialEntity" ma:displayName="Official Entity" ma:fieldId="{347b0202-623f-4ea5-aacb-4f820e2a4374}" ma:sspId="caf61cd4-0327-4679-8f8a-6e41773e81e7" ma:termSetId="962fbc7a-8f33-40b5-b11a-87d7921022a8" ma:anchorId="00000000-0000-0000-0000-000000000000" ma:open="false" ma:isKeyword="false">
      <xsd:complexType>
        <xsd:sequence>
          <xsd:element ref="pc:Terms" minOccurs="0" maxOccurs="1"/>
        </xsd:sequence>
      </xsd:complexType>
    </xsd:element>
    <xsd:element name="DIAPrivateEntity" ma:index="29" nillable="true" ma:displayName="Private Entity" ma:description="Use for the name of a private or non regulated entity or individual with whom DIA has a relationship or from whom, or about whom a complaint is received or investigation initiated" ma:internalName="DIAPrivateEntit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f54e2983-00ce-40fc-8108-18f351fc47bf">
      <Value>1294</Value>
      <Value>243</Value>
      <Value>4</Value>
      <Value>2</Value>
      <Value>1</Value>
    </TaxCatchAll>
    <_dlc_DocId xmlns="f54e2983-00ce-40fc-8108-18f351fc47bf">3W2DU3RAJ5R2-545706221-1404</_dlc_DocId>
    <_dlc_DocIdUrl xmlns="f54e2983-00ce-40fc-8108-18f351fc47bf">
      <Url>https://dia.cohesion.net.nz/Sites/LGV/LGVS/PLM/PLI/TWGR/_layouts/15/DocIdRedir.aspx?ID=3W2DU3RAJ5R2-545706221-1404</Url>
      <Description>3W2DU3RAJ5R2-545706221-1404</Description>
    </_dlc_DocIdUrl>
    <TaxKeywordTaxHTField xmlns="f54e2983-00ce-40fc-8108-18f351fc47bf">
      <Terms xmlns="http://schemas.microsoft.com/office/infopath/2007/PartnerControls"/>
    </TaxKeywordTaxHTField>
    <C3TopicNote xmlns="01be4277-2979-4a68-876d-b92b25fceece">
      <Terms xmlns="http://schemas.microsoft.com/office/infopath/2007/PartnerControls">
        <TermInfo xmlns="http://schemas.microsoft.com/office/infopath/2007/PartnerControls">
          <TermName xmlns="http://schemas.microsoft.com/office/infopath/2007/PartnerControls">Stage 2 funding and finance</TermName>
          <TermId xmlns="http://schemas.microsoft.com/office/infopath/2007/PartnerControls">19650330-068c-491b-bd6b-b9cf4a54701e</TermId>
        </TermInfo>
      </Terms>
    </C3TopicNote>
    <ab652c8fc19f4aa1b7c685bfd6c8b663 xmlns="f54e2983-00ce-40fc-8108-18f351fc47bf">
      <Terms xmlns="http://schemas.microsoft.com/office/infopath/2007/PartnerControls">
        <TermInfo xmlns="http://schemas.microsoft.com/office/infopath/2007/PartnerControls">
          <TermName xmlns="http://schemas.microsoft.com/office/infopath/2007/PartnerControls">Local Government</TermName>
          <TermId xmlns="http://schemas.microsoft.com/office/infopath/2007/PartnerControls">d4c83f0c-f81e-4391-a096-cd21301ce608</TermId>
        </TermInfo>
      </Terms>
    </ab652c8fc19f4aa1b7c685bfd6c8b663>
    <j47b0202623f4ea5aacb4f820e2a4374 xmlns="f54e2983-00ce-40fc-8108-18f351fc47bf">
      <Terms xmlns="http://schemas.microsoft.com/office/infopath/2007/PartnerControls"/>
    </j47b0202623f4ea5aacb4f820e2a4374>
    <DIAReferenceNumber xmlns="f54e2983-00ce-40fc-8108-18f351fc47bf" xsi:nil="true"/>
    <i28a3dfa7619411fa0190df1513c6f61 xmlns="f54e2983-00ce-40fc-8108-18f351fc47bf">
      <Terms xmlns="http://schemas.microsoft.com/office/infopath/2007/PartnerControls"/>
    </i28a3dfa7619411fa0190df1513c6f61>
    <lcff0ddf232c47f2a2233c5008913c29 xmlns="f54e2983-00ce-40fc-8108-18f351fc47bf">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875d92a8-67e2-4a32-9472-8fe99549e1eb</TermId>
        </TermInfo>
      </Terms>
    </lcff0ddf232c47f2a2233c5008913c29>
    <DIANotes xmlns="f54e2983-00ce-40fc-8108-18f351fc47bf" xsi:nil="true"/>
    <DIAPrivateEntity xmlns="f54e2983-00ce-40fc-8108-18f351fc47bf" xsi:nil="true"/>
    <ld855601a22744588946efdda84ef6c0 xmlns="f54e2983-00ce-40fc-8108-18f351fc47bf">
      <Terms xmlns="http://schemas.microsoft.com/office/infopath/2007/PartnerControls">
        <TermInfo xmlns="http://schemas.microsoft.com/office/infopath/2007/PartnerControls">
          <TermName xmlns="http://schemas.microsoft.com/office/infopath/2007/PartnerControls">External Report</TermName>
          <TermId xmlns="http://schemas.microsoft.com/office/infopath/2007/PartnerControls">389ca33c-f86c-4e62-be29-c7ea48e50ee1</TermId>
        </TermInfo>
      </Terms>
    </ld855601a22744588946efdda84ef6c0>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B40C3-6361-491B-AF88-B4D2CC730D05}">
  <ds:schemaRefs>
    <ds:schemaRef ds:uri="http://schemas.microsoft.com/sharepoint/v3/contenttype/forms"/>
  </ds:schemaRefs>
</ds:datastoreItem>
</file>

<file path=customXml/itemProps2.xml><?xml version="1.0" encoding="utf-8"?>
<ds:datastoreItem xmlns:ds="http://schemas.openxmlformats.org/officeDocument/2006/customXml" ds:itemID="{F050CA5E-4B6B-45EE-A69E-5B7D660857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e4277-2979-4a68-876d-b92b25fceece"/>
    <ds:schemaRef ds:uri="f54e2983-00ce-40fc-8108-18f351fc47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EFB1F4-2C5A-4201-8311-D0E1E426DDEE}">
  <ds:schemaRefs>
    <ds:schemaRef ds:uri="http://schemas.microsoft.com/sharepoint/events"/>
  </ds:schemaRefs>
</ds:datastoreItem>
</file>

<file path=customXml/itemProps4.xml><?xml version="1.0" encoding="utf-8"?>
<ds:datastoreItem xmlns:ds="http://schemas.openxmlformats.org/officeDocument/2006/customXml" ds:itemID="{67D39DDC-52F5-4ECD-B55E-FD9E33010E15}">
  <ds:schemaRefs>
    <ds:schemaRef ds:uri="http://purl.org/dc/term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f54e2983-00ce-40fc-8108-18f351fc47bf"/>
    <ds:schemaRef ds:uri="01be4277-2979-4a68-876d-b92b25fceece"/>
    <ds:schemaRef ds:uri="http://www.w3.org/XML/1998/namespace"/>
    <ds:schemaRef ds:uri="http://purl.org/dc/dcmitype/"/>
  </ds:schemaRefs>
</ds:datastoreItem>
</file>

<file path=customXml/itemProps5.xml><?xml version="1.0" encoding="utf-8"?>
<ds:datastoreItem xmlns:ds="http://schemas.openxmlformats.org/officeDocument/2006/customXml" ds:itemID="{4C17097F-2769-42D8-BD25-6D4CA67B3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GHD_Report_2012</Template>
  <TotalTime>0</TotalTime>
  <Pages>92</Pages>
  <Words>26949</Words>
  <Characters>153612</Characters>
  <Application>Microsoft Office Word</Application>
  <DocSecurity>4</DocSecurity>
  <Lines>1280</Lines>
  <Paragraphs>360</Paragraphs>
  <ScaleCrop>false</ScaleCrop>
  <HeadingPairs>
    <vt:vector size="2" baseType="variant">
      <vt:variant>
        <vt:lpstr>Title</vt:lpstr>
      </vt:variant>
      <vt:variant>
        <vt:i4>1</vt:i4>
      </vt:variant>
    </vt:vector>
  </HeadingPairs>
  <TitlesOfParts>
    <vt:vector size="1" baseType="lpstr">
      <vt:lpstr>DIA Three Waters Review -Wastewater Final Report -  Oct 2018.docx</vt:lpstr>
    </vt:vector>
  </TitlesOfParts>
  <Company>GHD</Company>
  <LinksUpToDate>false</LinksUpToDate>
  <CharactersWithSpaces>180201</CharactersWithSpaces>
  <SharedDoc>false</SharedDoc>
  <HLinks>
    <vt:vector size="6" baseType="variant">
      <vt:variant>
        <vt:i4>3997816</vt:i4>
      </vt:variant>
      <vt:variant>
        <vt:i4>0</vt:i4>
      </vt:variant>
      <vt:variant>
        <vt:i4>0</vt:i4>
      </vt:variant>
      <vt:variant>
        <vt:i4>5</vt:i4>
      </vt:variant>
      <vt:variant>
        <vt:lpwstr>C:\Work\GHD\GHD-Prop-Template\www.ghd.com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 Three Waters Review -Wastewater Final Report -  Oct 2018.docx</dc:title>
  <dc:creator>Sioban Hartwell</dc:creator>
  <cp:lastModifiedBy>Tim Bollinger</cp:lastModifiedBy>
  <cp:revision>2</cp:revision>
  <cp:lastPrinted>2018-10-23T00:40:00Z</cp:lastPrinted>
  <dcterms:created xsi:type="dcterms:W3CDTF">2018-10-23T20:43:00Z</dcterms:created>
  <dcterms:modified xsi:type="dcterms:W3CDTF">2018-10-23T20:43:00Z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PCosting">
    <vt:filetime>2018-06-18T07:04:04Z</vt:filetime>
  </property>
  <property fmtid="{D5CDD505-2E9C-101B-9397-08002B2CF9AE}" pid="3" name="PropStyle">
    <vt:lpwstr>Part-</vt:lpwstr>
  </property>
  <property fmtid="{D5CDD505-2E9C-101B-9397-08002B2CF9AE}" pid="4" name="Client">
    <vt:lpwstr>Department of Internal Affairs</vt:lpwstr>
  </property>
  <property fmtid="{D5CDD505-2E9C-101B-9397-08002B2CF9AE}" pid="5" name="Project">
    <vt:lpwstr>Three Waters Review</vt:lpwstr>
  </property>
  <property fmtid="{D5CDD505-2E9C-101B-9397-08002B2CF9AE}" pid="6" name="StyleColor">
    <vt:lpwstr>0,89,156</vt:lpwstr>
  </property>
  <property fmtid="{D5CDD505-2E9C-101B-9397-08002B2CF9AE}" pid="7" name="GHDAuthor">
    <vt:lpwstr> GHDAuthor</vt:lpwstr>
  </property>
  <property fmtid="{D5CDD505-2E9C-101B-9397-08002B2CF9AE}" pid="8" name="GHDSubject">
    <vt:lpwstr>Cost Estimates for upgrading Wastewater Treatment Plants to meet Objectives of the NPS Freshwater</vt:lpwstr>
  </property>
  <property fmtid="{D5CDD505-2E9C-101B-9397-08002B2CF9AE}" pid="9" name="ImagePath">
    <vt:lpwstr>C:\Tmp\Images\</vt:lpwstr>
  </property>
  <property fmtid="{D5CDD505-2E9C-101B-9397-08002B2CF9AE}" pid="10" name="LC-enable">
    <vt:lpwstr>True</vt:lpwstr>
  </property>
  <property fmtid="{D5CDD505-2E9C-101B-9397-08002B2CF9AE}" pid="11" name="DocNumber">
    <vt:lpwstr>0</vt:lpwstr>
  </property>
  <property fmtid="{D5CDD505-2E9C-101B-9397-08002B2CF9AE}" pid="12" name="JobNumber">
    <vt:lpwstr>51/37923/</vt:lpwstr>
  </property>
  <property fmtid="{D5CDD505-2E9C-101B-9397-08002B2CF9AE}" pid="13" name="ToCompany">
    <vt:lpwstr>Company</vt:lpwstr>
  </property>
  <property fmtid="{D5CDD505-2E9C-101B-9397-08002B2CF9AE}" pid="14" name="ToContact">
    <vt:lpwstr>ToContact</vt:lpwstr>
  </property>
  <property fmtid="{D5CDD505-2E9C-101B-9397-08002B2CF9AE}" pid="15" name="ToTitle">
    <vt:lpwstr>ToTitle</vt:lpwstr>
  </property>
  <property fmtid="{D5CDD505-2E9C-101B-9397-08002B2CF9AE}" pid="16" name="ToStreet">
    <vt:lpwstr>ToStreet</vt:lpwstr>
  </property>
  <property fmtid="{D5CDD505-2E9C-101B-9397-08002B2CF9AE}" pid="17" name="ToSuburb">
    <vt:lpwstr>ToSuburb</vt:lpwstr>
  </property>
  <property fmtid="{D5CDD505-2E9C-101B-9397-08002B2CF9AE}" pid="18" name="ToState">
    <vt:lpwstr>ToState</vt:lpwstr>
  </property>
  <property fmtid="{D5CDD505-2E9C-101B-9397-08002B2CF9AE}" pid="19" name="ToFax">
    <vt:lpwstr>ToFax</vt:lpwstr>
  </property>
  <property fmtid="{D5CDD505-2E9C-101B-9397-08002B2CF9AE}" pid="20" name="ToPhone">
    <vt:lpwstr>ToPhone</vt:lpwstr>
  </property>
  <property fmtid="{D5CDD505-2E9C-101B-9397-08002B2CF9AE}" pid="21" name="ToEmail">
    <vt:lpwstr>ToEmail</vt:lpwstr>
  </property>
  <property fmtid="{D5CDD505-2E9C-101B-9397-08002B2CF9AE}" pid="22" name="OfficeAddressFull">
    <vt:lpwstr>OfficeAddressFull</vt:lpwstr>
  </property>
  <property fmtid="{D5CDD505-2E9C-101B-9397-08002B2CF9AE}" pid="23" name="OfficeAddressLine1">
    <vt:lpwstr>Level 3</vt:lpwstr>
  </property>
  <property fmtid="{D5CDD505-2E9C-101B-9397-08002B2CF9AE}" pid="24" name="OfficeAddressLine2">
    <vt:lpwstr>138 Victoria Street</vt:lpwstr>
  </property>
  <property fmtid="{D5CDD505-2E9C-101B-9397-08002B2CF9AE}" pid="25" name="OfficeTelephone">
    <vt:lpwstr>64 3 378 0900</vt:lpwstr>
  </property>
  <property fmtid="{D5CDD505-2E9C-101B-9397-08002B2CF9AE}" pid="26" name="OfficeFax">
    <vt:lpwstr/>
  </property>
  <property fmtid="{D5CDD505-2E9C-101B-9397-08002B2CF9AE}" pid="27" name="OfficeEmail">
    <vt:lpwstr>chcmail@ghd.com</vt:lpwstr>
  </property>
  <property fmtid="{D5CDD505-2E9C-101B-9397-08002B2CF9AE}" pid="28" name="AuthorName">
    <vt:lpwstr>Sioban Hartwell</vt:lpwstr>
  </property>
  <property fmtid="{D5CDD505-2E9C-101B-9397-08002B2CF9AE}" pid="29" name="AuthorInitials">
    <vt:lpwstr>AuthorInitials</vt:lpwstr>
  </property>
  <property fmtid="{D5CDD505-2E9C-101B-9397-08002B2CF9AE}" pid="30" name="AuthorShortName">
    <vt:lpwstr>AuthorShortName</vt:lpwstr>
  </property>
  <property fmtid="{D5CDD505-2E9C-101B-9397-08002B2CF9AE}" pid="31" name="AuthorTitle">
    <vt:lpwstr>AuthorTitle</vt:lpwstr>
  </property>
  <property fmtid="{D5CDD505-2E9C-101B-9397-08002B2CF9AE}" pid="32" name="AuthorDirectLine">
    <vt:lpwstr>AuthorDirectLine</vt:lpwstr>
  </property>
  <property fmtid="{D5CDD505-2E9C-101B-9397-08002B2CF9AE}" pid="33" name="AuthorFAXNumber">
    <vt:lpwstr>AuthorFAXNumber</vt:lpwstr>
  </property>
  <property fmtid="{D5CDD505-2E9C-101B-9397-08002B2CF9AE}" pid="34" name="AuthorEmailAddress">
    <vt:lpwstr>AuthorEmailAddress</vt:lpwstr>
  </property>
  <property fmtid="{D5CDD505-2E9C-101B-9397-08002B2CF9AE}" pid="35" name="Typist">
    <vt:lpwstr>Typist</vt:lpwstr>
  </property>
  <property fmtid="{D5CDD505-2E9C-101B-9397-08002B2CF9AE}" pid="36" name="FileSavedAs">
    <vt:lpwstr>FileSavedAs</vt:lpwstr>
  </property>
  <property fmtid="{D5CDD505-2E9C-101B-9397-08002B2CF9AE}" pid="37" name="DocType">
    <vt:lpwstr>DocType</vt:lpwstr>
  </property>
  <property fmtid="{D5CDD505-2E9C-101B-9397-08002B2CF9AE}" pid="38" name="ReplyRequested">
    <vt:lpwstr>ReplyRequested</vt:lpwstr>
  </property>
  <property fmtid="{D5CDD505-2E9C-101B-9397-08002B2CF9AE}" pid="39" name="DocDate">
    <vt:lpwstr>DocDate</vt:lpwstr>
  </property>
  <property fmtid="{D5CDD505-2E9C-101B-9397-08002B2CF9AE}" pid="40" name="ToPostCode">
    <vt:lpwstr>ToPostCode</vt:lpwstr>
  </property>
  <property fmtid="{D5CDD505-2E9C-101B-9397-08002B2CF9AE}" pid="41" name="Recipient">
    <vt:lpwstr>Recipient</vt:lpwstr>
  </property>
  <property fmtid="{D5CDD505-2E9C-101B-9397-08002B2CF9AE}" pid="42" name="ContentTypeId">
    <vt:lpwstr>0x0101005496552013C0BA46BE88192D5C6EB20B0096B3B2A18C38574E89AD9AF66855684A007AFDF2E238ADA042997606569F83E3F5</vt:lpwstr>
  </property>
  <property fmtid="{D5CDD505-2E9C-101B-9397-08002B2CF9AE}" pid="43" name="_dlc_DocIdItemGuid">
    <vt:lpwstr>8254c432-69cc-4738-86f8-f2593de7b41a</vt:lpwstr>
  </property>
  <property fmtid="{D5CDD505-2E9C-101B-9397-08002B2CF9AE}" pid="44" name="TaxKeyword">
    <vt:lpwstr/>
  </property>
  <property fmtid="{D5CDD505-2E9C-101B-9397-08002B2CF9AE}" pid="45" name="GHDRegion">
    <vt:lpwstr>21;#Asia Pacific|fe2015cb-5917-40ab-b281-f783deb1b24a</vt:lpwstr>
  </property>
  <property fmtid="{D5CDD505-2E9C-101B-9397-08002B2CF9AE}" pid="46" name="ProjectDocumentCategory">
    <vt:lpwstr>3;#(Not Categorised)|f4f9c753-b57a-44c0-a441-0f219a3b091b</vt:lpwstr>
  </property>
  <property fmtid="{D5CDD505-2E9C-101B-9397-08002B2CF9AE}" pid="47" name="TaxKeywordTaxHTField">
    <vt:lpwstr>wastewater|11111111-1111-1111-1111-111111111111;freshwater|0170eb92-d063-4daa-b87c-c91014d2cd62</vt:lpwstr>
  </property>
  <property fmtid="{D5CDD505-2E9C-101B-9397-08002B2CF9AE}" pid="48" name="GHDOperatingCentre">
    <vt:lpwstr/>
  </property>
  <property fmtid="{D5CDD505-2E9C-101B-9397-08002B2CF9AE}" pid="49" name="Classification">
    <vt:lpwstr>2;#Unclassified|5bcd1335-87be-43aa-9aa8-adc620b22826</vt:lpwstr>
  </property>
  <property fmtid="{D5CDD505-2E9C-101B-9397-08002B2CF9AE}" pid="50" name="ProjectDocumentType">
    <vt:lpwstr/>
  </property>
  <property fmtid="{D5CDD505-2E9C-101B-9397-08002B2CF9AE}" pid="51" name="GHDCountry">
    <vt:lpwstr>58;#New Zealand|c890d274-2069-4c1b-927d-2b65d93631b7</vt:lpwstr>
  </property>
  <property fmtid="{D5CDD505-2E9C-101B-9397-08002B2CF9AE}" pid="52" name="Discipline">
    <vt:lpwstr>60;#Water|2e4a8949-166f-4c6b-b73a-a0ffd4a14107</vt:lpwstr>
  </property>
  <property fmtid="{D5CDD505-2E9C-101B-9397-08002B2CF9AE}" pid="53" name="i234661d9f7a423e8a2378db11976a3c">
    <vt:lpwstr>Correspondence|dcd6b05f-dc80-4336-b228-09aebf3d212c</vt:lpwstr>
  </property>
  <property fmtid="{D5CDD505-2E9C-101B-9397-08002B2CF9AE}" pid="54" name="DIALegislation">
    <vt:lpwstr/>
  </property>
  <property fmtid="{D5CDD505-2E9C-101B-9397-08002B2CF9AE}" pid="55" name="le8f14e3a5174dcd8947229fe72147e2">
    <vt:lpwstr/>
  </property>
  <property fmtid="{D5CDD505-2E9C-101B-9397-08002B2CF9AE}" pid="56" name="h6a4697b39e74ba095548f0435f03d14">
    <vt:lpwstr/>
  </property>
  <property fmtid="{D5CDD505-2E9C-101B-9397-08002B2CF9AE}" pid="57" name="DIAReportDocumentType">
    <vt:lpwstr>243;#External Report|389ca33c-f86c-4e62-be29-c7ea48e50ee1</vt:lpwstr>
  </property>
  <property fmtid="{D5CDD505-2E9C-101B-9397-08002B2CF9AE}" pid="58" name="b6dab2e87b6a495ebad2906ab9494053">
    <vt:lpwstr/>
  </property>
  <property fmtid="{D5CDD505-2E9C-101B-9397-08002B2CF9AE}" pid="59" name="DIASecurityClassification">
    <vt:lpwstr>1;#UNCLASSIFIED|875d92a8-67e2-4a32-9472-8fe99549e1eb</vt:lpwstr>
  </property>
  <property fmtid="{D5CDD505-2E9C-101B-9397-08002B2CF9AE}" pid="60" name="DIAEmailContentType">
    <vt:lpwstr>2;#Correspondence|dcd6b05f-dc80-4336-b228-09aebf3d212c</vt:lpwstr>
  </property>
  <property fmtid="{D5CDD505-2E9C-101B-9397-08002B2CF9AE}" pid="61" name="o548e6814ab94c938ba56a3d768e8f45">
    <vt:lpwstr/>
  </property>
  <property fmtid="{D5CDD505-2E9C-101B-9397-08002B2CF9AE}" pid="62" name="DIAMeetingDocumentType">
    <vt:lpwstr/>
  </property>
  <property fmtid="{D5CDD505-2E9C-101B-9397-08002B2CF9AE}" pid="63" name="a5be7c9889484186a869be5aa1b9c3a4">
    <vt:lpwstr/>
  </property>
  <property fmtid="{D5CDD505-2E9C-101B-9397-08002B2CF9AE}" pid="64" name="DIAPortfolio">
    <vt:lpwstr>4;#Local Government|d4c83f0c-f81e-4391-a096-cd21301ce608</vt:lpwstr>
  </property>
  <property fmtid="{D5CDD505-2E9C-101B-9397-08002B2CF9AE}" pid="65" name="DIAPlanningDocumentType">
    <vt:lpwstr/>
  </property>
  <property fmtid="{D5CDD505-2E9C-101B-9397-08002B2CF9AE}" pid="66" name="DIAOfficialEntity">
    <vt:lpwstr/>
  </property>
  <property fmtid="{D5CDD505-2E9C-101B-9397-08002B2CF9AE}" pid="67" name="DIAAdministrationDocumentType">
    <vt:lpwstr/>
  </property>
  <property fmtid="{D5CDD505-2E9C-101B-9397-08002B2CF9AE}" pid="68" name="DIABriefingType">
    <vt:lpwstr/>
  </property>
  <property fmtid="{D5CDD505-2E9C-101B-9397-08002B2CF9AE}" pid="69" name="DIABriefingAudience">
    <vt:lpwstr/>
  </property>
  <property fmtid="{D5CDD505-2E9C-101B-9397-08002B2CF9AE}" pid="70" name="C3Topic">
    <vt:lpwstr>1294;#Stage 2 funding and finance|19650330-068c-491b-bd6b-b9cf4a54701e</vt:lpwstr>
  </property>
  <property fmtid="{D5CDD505-2E9C-101B-9397-08002B2CF9AE}" pid="71" name="DIAMediaDocumentType">
    <vt:lpwstr/>
  </property>
  <property fmtid="{D5CDD505-2E9C-101B-9397-08002B2CF9AE}" pid="72" name="o2f22aac53bd4fed8afdac54e6ae7a01">
    <vt:lpwstr/>
  </property>
</Properties>
</file>