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egoe UI" w:hAnsi="Segoe UI" w:cs="Segoe UI"/>
          <w:b/>
          <w:bCs/>
          <w:color w:val="03B2C4"/>
          <w:sz w:val="36"/>
          <w:szCs w:val="36"/>
        </w:rPr>
        <w:id w:val="1124276035"/>
        <w:docPartObj>
          <w:docPartGallery w:val="Cover Pages"/>
          <w:docPartUnique/>
        </w:docPartObj>
      </w:sdtPr>
      <w:sdtEndPr>
        <w:rPr>
          <w:rFonts w:ascii="Calibri" w:hAnsi="Calibri" w:cs="Calibri"/>
          <w:b w:val="0"/>
          <w:bCs w:val="0"/>
          <w:color w:val="auto"/>
          <w:sz w:val="21"/>
          <w:szCs w:val="21"/>
        </w:rPr>
      </w:sdtEndPr>
      <w:sdtContent>
        <w:p w14:paraId="62ED9F99" w14:textId="77777777" w:rsidR="00A110E7" w:rsidRPr="00107AA8" w:rsidRDefault="00A110E7" w:rsidP="00276B51"/>
        <w:tbl>
          <w:tblPr>
            <w:tblStyle w:val="TableDefault"/>
            <w:tblW w:w="6859" w:type="dxa"/>
            <w:tblBorders>
              <w:top w:val="none" w:sz="0" w:space="0" w:color="auto"/>
              <w:bottom w:val="none" w:sz="0" w:space="0" w:color="auto"/>
              <w:insideH w:val="none" w:sz="0" w:space="0" w:color="auto"/>
            </w:tblBorders>
            <w:tblCellMar>
              <w:top w:w="113" w:type="dxa"/>
              <w:bottom w:w="113" w:type="dxa"/>
            </w:tblCellMar>
            <w:tblLook w:val="0600" w:firstRow="0" w:lastRow="0" w:firstColumn="0" w:lastColumn="0" w:noHBand="1" w:noVBand="1"/>
          </w:tblPr>
          <w:tblGrid>
            <w:gridCol w:w="1474"/>
            <w:gridCol w:w="850"/>
            <w:gridCol w:w="4535"/>
          </w:tblGrid>
          <w:tr w:rsidR="00A110E7" w14:paraId="49E34C78" w14:textId="77777777" w:rsidTr="008030FA">
            <w:tc>
              <w:tcPr>
                <w:tcW w:w="1474" w:type="dxa"/>
              </w:tcPr>
              <w:p w14:paraId="51108939" w14:textId="77777777" w:rsidR="00A110E7" w:rsidRPr="00276B51" w:rsidRDefault="00A110E7" w:rsidP="008030FA">
                <w:pPr>
                  <w:rPr>
                    <w:b/>
                    <w:bCs/>
                    <w:color w:val="03B2C4"/>
                    <w:sz w:val="72"/>
                    <w:szCs w:val="96"/>
                  </w:rPr>
                </w:pPr>
                <w:r w:rsidRPr="00107AA8">
                  <w:rPr>
                    <w:rStyle w:val="Sectionsub-headingChar"/>
                  </w:rPr>
                  <w:t>At a glance</w:t>
                </w:r>
              </w:p>
            </w:tc>
            <w:tc>
              <w:tcPr>
                <w:tcW w:w="850" w:type="dxa"/>
                <w:shd w:val="clear" w:color="auto" w:fill="F2F2F2" w:themeFill="background1" w:themeFillShade="F2"/>
              </w:tcPr>
              <w:p w14:paraId="026D24FB" w14:textId="77777777" w:rsidR="00A110E7" w:rsidRPr="00276B51" w:rsidRDefault="00A110E7" w:rsidP="008030FA">
                <w:pPr>
                  <w:rPr>
                    <w:rFonts w:ascii="Calibri" w:hAnsi="Calibri" w:cs="Calibri"/>
                    <w:sz w:val="21"/>
                    <w:szCs w:val="21"/>
                  </w:rPr>
                </w:pPr>
                <w:r w:rsidRPr="00276B51">
                  <w:rPr>
                    <w:b/>
                    <w:bCs/>
                    <w:color w:val="03B2C4"/>
                    <w:sz w:val="72"/>
                    <w:szCs w:val="96"/>
                  </w:rPr>
                  <w:t>1</w:t>
                </w:r>
              </w:p>
            </w:tc>
            <w:tc>
              <w:tcPr>
                <w:tcW w:w="4535" w:type="dxa"/>
                <w:shd w:val="clear" w:color="auto" w:fill="F2F2F2" w:themeFill="background1" w:themeFillShade="F2"/>
                <w:vAlign w:val="center"/>
              </w:tcPr>
              <w:p w14:paraId="3030596C" w14:textId="608C3BBE" w:rsidR="00A110E7" w:rsidRDefault="00A110E7" w:rsidP="008030FA">
                <w:pPr>
                  <w:spacing w:after="0"/>
                </w:pPr>
                <w:r w:rsidRPr="00CF4BBF">
                  <w:t xml:space="preserve">This document provides additional context around the information requested in the </w:t>
                </w:r>
                <w:proofErr w:type="spellStart"/>
                <w:r>
                  <w:t>RfI</w:t>
                </w:r>
                <w:proofErr w:type="spellEnd"/>
                <w:r>
                  <w:t xml:space="preserve"> Response Template C.</w:t>
                </w:r>
              </w:p>
            </w:tc>
          </w:tr>
        </w:tbl>
        <w:p w14:paraId="7351229F" w14:textId="1ED6C849" w:rsidR="00107AA8" w:rsidRDefault="00107AA8">
          <w:pPr>
            <w:spacing w:after="160" w:line="259" w:lineRule="auto"/>
            <w:sectPr w:rsidR="00107AA8" w:rsidSect="00107AA8">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871" w:right="936" w:bottom="1077" w:left="3402" w:header="567" w:footer="493" w:gutter="0"/>
              <w:pgNumType w:start="0"/>
              <w:cols w:space="708"/>
              <w:titlePg/>
              <w:docGrid w:linePitch="360"/>
            </w:sectPr>
          </w:pPr>
        </w:p>
        <w:p w14:paraId="32141F4E" w14:textId="359CA602" w:rsidR="00EB55D8" w:rsidRPr="00B442D7" w:rsidRDefault="006E018E" w:rsidP="00EB55D8">
          <w:pPr>
            <w:pStyle w:val="Title1"/>
            <w:ind w:left="0"/>
            <w:rPr>
              <w:rFonts w:ascii="Calibri" w:hAnsi="Calibri" w:cs="Calibri"/>
              <w:lang w:val="en-GB"/>
            </w:rPr>
          </w:pPr>
          <w:r w:rsidRPr="00B442D7">
            <w:rPr>
              <w:rFonts w:ascii="Calibri" w:hAnsi="Calibri" w:cs="Calibri"/>
              <w:lang w:val="en-GB"/>
            </w:rPr>
            <w:lastRenderedPageBreak/>
            <w:t>CONFIDENCE GRADES</w:t>
          </w:r>
        </w:p>
        <w:p w14:paraId="4901D27F" w14:textId="77777777" w:rsidR="00EB55D8" w:rsidRPr="00B442D7" w:rsidRDefault="00EB55D8" w:rsidP="00EB55D8">
          <w:pPr>
            <w:pStyle w:val="Bodynumbercopy"/>
            <w:spacing w:line="240" w:lineRule="auto"/>
          </w:pPr>
          <w:r w:rsidRPr="00B442D7">
            <w:t xml:space="preserve">This </w:t>
          </w:r>
          <w:proofErr w:type="spellStart"/>
          <w:r w:rsidRPr="00B442D7">
            <w:t>RfI</w:t>
          </w:r>
          <w:proofErr w:type="spellEnd"/>
          <w:r w:rsidRPr="00B442D7">
            <w:t xml:space="preserve"> includes a confidence grading system which requires each Local Authority to apply a level of confidence to each request. </w:t>
          </w:r>
        </w:p>
        <w:p w14:paraId="65F51FD6" w14:textId="7ADBB87F" w:rsidR="00EB55D8" w:rsidRPr="005562F4" w:rsidRDefault="00EB55D8" w:rsidP="00EB55D8">
          <w:pPr>
            <w:pStyle w:val="Bodynumbercopy"/>
            <w:spacing w:line="240" w:lineRule="auto"/>
          </w:pPr>
          <w:r w:rsidRPr="005562F4">
            <w:t xml:space="preserve">The confidence grade system has been developed to provide a reasoned basis for </w:t>
          </w:r>
          <w:r w:rsidR="005562F4">
            <w:t>Local Authorities</w:t>
          </w:r>
          <w:r w:rsidRPr="005562F4">
            <w:t xml:space="preserve"> to qualify information in respect to reliability and accuracy. It is essential that proper care and a high level of application is given to the assignment of confidence grades to data requiring such annexation. </w:t>
          </w:r>
        </w:p>
        <w:p w14:paraId="4DC2A3E0" w14:textId="77777777" w:rsidR="00EB55D8" w:rsidRPr="00B442D7" w:rsidRDefault="00EB55D8" w:rsidP="00EB55D8">
          <w:pPr>
            <w:pStyle w:val="Bodynumbercopy"/>
            <w:spacing w:line="240" w:lineRule="auto"/>
          </w:pPr>
          <w:r w:rsidRPr="00B442D7">
            <w:t>There are two elements to the confidence grades:</w:t>
          </w:r>
        </w:p>
        <w:p w14:paraId="3F15A6A3" w14:textId="77777777" w:rsidR="00EB55D8" w:rsidRPr="00B442D7" w:rsidRDefault="00EB55D8" w:rsidP="00EB55D8">
          <w:pPr>
            <w:pStyle w:val="Bodynumbercopy"/>
            <w:numPr>
              <w:ilvl w:val="0"/>
              <w:numId w:val="33"/>
            </w:numPr>
            <w:spacing w:line="240" w:lineRule="auto"/>
          </w:pPr>
          <w:r w:rsidRPr="00B442D7">
            <w:t>Reliability bands (A to D); and</w:t>
          </w:r>
        </w:p>
        <w:p w14:paraId="3CA68206" w14:textId="77777777" w:rsidR="00EB55D8" w:rsidRPr="00B442D7" w:rsidRDefault="00EB55D8" w:rsidP="00EB55D8">
          <w:pPr>
            <w:pStyle w:val="Bodynumbercopy"/>
            <w:numPr>
              <w:ilvl w:val="0"/>
              <w:numId w:val="33"/>
            </w:numPr>
            <w:spacing w:line="240" w:lineRule="auto"/>
          </w:pPr>
          <w:r w:rsidRPr="00B442D7">
            <w:t>Accuracy bands (1 to 6).</w:t>
          </w:r>
        </w:p>
        <w:p w14:paraId="5AD6EC9B" w14:textId="77777777" w:rsidR="00EB55D8" w:rsidRPr="00B442D7" w:rsidRDefault="00EB55D8" w:rsidP="00EB55D8">
          <w:pPr>
            <w:pStyle w:val="Bodynumbercopy"/>
            <w:spacing w:line="240" w:lineRule="auto"/>
          </w:pPr>
          <w:r w:rsidRPr="00B442D7">
            <w:t>The reliability bands are assigned according to the source of the information.</w:t>
          </w:r>
        </w:p>
        <w:tbl>
          <w:tblPr>
            <w:tblStyle w:val="TableGrid1"/>
            <w:tblW w:w="7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144"/>
          </w:tblGrid>
          <w:tr w:rsidR="00EB55D8" w:rsidRPr="00B442D7" w14:paraId="0F76F169" w14:textId="77777777" w:rsidTr="00264902">
            <w:trPr>
              <w:trHeight w:val="203"/>
              <w:tblHeader/>
            </w:trPr>
            <w:tc>
              <w:tcPr>
                <w:tcW w:w="1555" w:type="dxa"/>
                <w:tcBorders>
                  <w:top w:val="single" w:sz="4" w:space="0" w:color="307D99"/>
                  <w:left w:val="single" w:sz="4" w:space="0" w:color="307D99"/>
                  <w:bottom w:val="single" w:sz="4" w:space="0" w:color="307D99"/>
                  <w:right w:val="single" w:sz="4" w:space="0" w:color="307D99"/>
                </w:tcBorders>
                <w:shd w:val="clear" w:color="auto" w:fill="12B2C2"/>
                <w:vAlign w:val="center"/>
              </w:tcPr>
              <w:p w14:paraId="023FDAA4" w14:textId="77777777" w:rsidR="00EB55D8" w:rsidRPr="00E74F3B" w:rsidRDefault="00EB55D8" w:rsidP="00264902">
                <w:pPr>
                  <w:rPr>
                    <w:rFonts w:ascii="Calibri" w:hAnsi="Calibri" w:cs="Calibri"/>
                    <w:b/>
                    <w:bCs/>
                    <w:color w:val="FFFFFF" w:themeColor="background1"/>
                    <w:sz w:val="21"/>
                    <w:szCs w:val="21"/>
                  </w:rPr>
                </w:pPr>
                <w:r w:rsidRPr="00E74F3B">
                  <w:rPr>
                    <w:rFonts w:ascii="Calibri" w:hAnsi="Calibri" w:cs="Calibri"/>
                    <w:b/>
                    <w:bCs/>
                    <w:color w:val="FFFFFF" w:themeColor="background1"/>
                    <w:sz w:val="21"/>
                    <w:szCs w:val="21"/>
                  </w:rPr>
                  <w:t>Reliability Band</w:t>
                </w:r>
              </w:p>
            </w:tc>
            <w:tc>
              <w:tcPr>
                <w:tcW w:w="6144" w:type="dxa"/>
                <w:tcBorders>
                  <w:top w:val="single" w:sz="4" w:space="0" w:color="307D99"/>
                  <w:left w:val="single" w:sz="4" w:space="0" w:color="307D99"/>
                  <w:bottom w:val="single" w:sz="4" w:space="0" w:color="307D99"/>
                  <w:right w:val="single" w:sz="4" w:space="0" w:color="307D99"/>
                </w:tcBorders>
                <w:shd w:val="clear" w:color="auto" w:fill="12B2C2"/>
                <w:vAlign w:val="center"/>
              </w:tcPr>
              <w:p w14:paraId="66B3815E" w14:textId="77777777" w:rsidR="00EB55D8" w:rsidRPr="00E74F3B" w:rsidRDefault="00EB55D8" w:rsidP="00264902">
                <w:pPr>
                  <w:jc w:val="center"/>
                  <w:rPr>
                    <w:rFonts w:ascii="Calibri" w:hAnsi="Calibri" w:cs="Calibri"/>
                    <w:b/>
                    <w:bCs/>
                    <w:color w:val="FFFFFF" w:themeColor="background1"/>
                    <w:sz w:val="21"/>
                    <w:szCs w:val="21"/>
                  </w:rPr>
                </w:pPr>
                <w:r w:rsidRPr="00E74F3B">
                  <w:rPr>
                    <w:rFonts w:ascii="Calibri" w:hAnsi="Calibri" w:cs="Calibri"/>
                    <w:b/>
                    <w:bCs/>
                    <w:color w:val="FFFFFF" w:themeColor="background1"/>
                    <w:sz w:val="21"/>
                    <w:szCs w:val="21"/>
                  </w:rPr>
                  <w:t>Description</w:t>
                </w:r>
              </w:p>
            </w:tc>
          </w:tr>
          <w:tr w:rsidR="00EB55D8" w:rsidRPr="00B442D7" w14:paraId="457D2385" w14:textId="77777777" w:rsidTr="00264902">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6117EFBB" w14:textId="77777777" w:rsidR="00EB55D8" w:rsidRPr="00E74F3B" w:rsidRDefault="00EB55D8" w:rsidP="00264902">
                <w:pPr>
                  <w:rPr>
                    <w:rFonts w:ascii="Calibri" w:hAnsi="Calibri" w:cs="Calibri"/>
                    <w:sz w:val="21"/>
                    <w:szCs w:val="21"/>
                  </w:rPr>
                </w:pPr>
                <w:r w:rsidRPr="00E74F3B">
                  <w:rPr>
                    <w:rFonts w:ascii="Calibri" w:hAnsi="Calibri" w:cs="Calibri"/>
                    <w:sz w:val="21"/>
                    <w:szCs w:val="21"/>
                  </w:rPr>
                  <w:t>A</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6E54C7AD" w14:textId="77777777" w:rsidR="00EB55D8" w:rsidRPr="00E74F3B" w:rsidRDefault="00EB55D8" w:rsidP="00264902">
                <w:pPr>
                  <w:rPr>
                    <w:rFonts w:ascii="Calibri" w:hAnsi="Calibri" w:cs="Calibri"/>
                    <w:sz w:val="21"/>
                    <w:szCs w:val="21"/>
                  </w:rPr>
                </w:pPr>
                <w:r w:rsidRPr="00E74F3B">
                  <w:rPr>
                    <w:rFonts w:ascii="Calibri" w:hAnsi="Calibri" w:cs="Calibri"/>
                    <w:color w:val="000000"/>
                    <w:sz w:val="21"/>
                    <w:szCs w:val="21"/>
                  </w:rPr>
                  <w:t xml:space="preserve">Sound textual records, procedures, investigations or analysis properly documented and </w:t>
                </w:r>
                <w:proofErr w:type="spellStart"/>
                <w:r w:rsidRPr="00E74F3B">
                  <w:rPr>
                    <w:rFonts w:ascii="Calibri" w:hAnsi="Calibri" w:cs="Calibri"/>
                    <w:color w:val="000000"/>
                    <w:sz w:val="21"/>
                    <w:szCs w:val="21"/>
                  </w:rPr>
                  <w:t>recognised</w:t>
                </w:r>
                <w:proofErr w:type="spellEnd"/>
                <w:r w:rsidRPr="00E74F3B">
                  <w:rPr>
                    <w:rFonts w:ascii="Calibri" w:hAnsi="Calibri" w:cs="Calibri"/>
                    <w:color w:val="000000"/>
                    <w:sz w:val="21"/>
                    <w:szCs w:val="21"/>
                  </w:rPr>
                  <w:t xml:space="preserve"> as the best method of assessment.</w:t>
                </w:r>
              </w:p>
            </w:tc>
          </w:tr>
          <w:tr w:rsidR="00EB55D8" w:rsidRPr="00B442D7" w14:paraId="3AB90E30" w14:textId="77777777" w:rsidTr="00264902">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6CC87FE7" w14:textId="77777777" w:rsidR="00EB55D8" w:rsidRPr="00E74F3B" w:rsidRDefault="00EB55D8" w:rsidP="00264902">
                <w:pPr>
                  <w:rPr>
                    <w:rFonts w:ascii="Calibri" w:hAnsi="Calibri" w:cs="Calibri"/>
                    <w:sz w:val="21"/>
                    <w:szCs w:val="21"/>
                  </w:rPr>
                </w:pPr>
                <w:r w:rsidRPr="00E74F3B">
                  <w:rPr>
                    <w:rFonts w:ascii="Calibri" w:hAnsi="Calibri" w:cs="Calibri"/>
                    <w:sz w:val="21"/>
                    <w:szCs w:val="21"/>
                  </w:rPr>
                  <w:t>B</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62DFB1E8" w14:textId="77777777" w:rsidR="00EB55D8" w:rsidRPr="00E74F3B" w:rsidRDefault="00EB55D8" w:rsidP="00264902">
                <w:pPr>
                  <w:rPr>
                    <w:rFonts w:ascii="Calibri" w:hAnsi="Calibri" w:cs="Calibri"/>
                    <w:sz w:val="21"/>
                    <w:szCs w:val="21"/>
                  </w:rPr>
                </w:pPr>
                <w:r w:rsidRPr="00E74F3B">
                  <w:rPr>
                    <w:rFonts w:ascii="Calibri" w:hAnsi="Calibri" w:cs="Calibri"/>
                    <w:color w:val="000000"/>
                    <w:sz w:val="21"/>
                    <w:szCs w:val="21"/>
                  </w:rPr>
                  <w:t>As A but with minor shortcomings. Examples include old assessment, some missing documentation, some reliance on unconfirmed reports, some use of extrapolation.</w:t>
                </w:r>
              </w:p>
            </w:tc>
          </w:tr>
          <w:tr w:rsidR="00EB55D8" w:rsidRPr="00B442D7" w14:paraId="3989AA1A" w14:textId="77777777" w:rsidTr="00264902">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68621968" w14:textId="77777777" w:rsidR="00EB55D8" w:rsidRPr="00E74F3B" w:rsidRDefault="00EB55D8" w:rsidP="00264902">
                <w:pPr>
                  <w:rPr>
                    <w:rFonts w:ascii="Calibri" w:hAnsi="Calibri" w:cs="Calibri"/>
                    <w:sz w:val="21"/>
                    <w:szCs w:val="21"/>
                  </w:rPr>
                </w:pPr>
                <w:r w:rsidRPr="00E74F3B">
                  <w:rPr>
                    <w:rFonts w:ascii="Calibri" w:hAnsi="Calibri" w:cs="Calibri"/>
                    <w:sz w:val="21"/>
                    <w:szCs w:val="21"/>
                  </w:rPr>
                  <w:t>C</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1675A00C" w14:textId="77777777" w:rsidR="00EB55D8" w:rsidRPr="00E74F3B" w:rsidRDefault="00EB55D8" w:rsidP="00264902">
                <w:pPr>
                  <w:rPr>
                    <w:rFonts w:ascii="Calibri" w:hAnsi="Calibri" w:cs="Calibri"/>
                    <w:sz w:val="21"/>
                    <w:szCs w:val="21"/>
                  </w:rPr>
                </w:pPr>
                <w:r w:rsidRPr="00E74F3B">
                  <w:rPr>
                    <w:rFonts w:ascii="Calibri" w:hAnsi="Calibri" w:cs="Calibri"/>
                    <w:color w:val="000000"/>
                    <w:sz w:val="21"/>
                    <w:szCs w:val="21"/>
                  </w:rPr>
                  <w:t>Extrapolation from limited sample for which Grade A or B data is available.</w:t>
                </w:r>
              </w:p>
            </w:tc>
          </w:tr>
          <w:tr w:rsidR="00EB55D8" w:rsidRPr="00B442D7" w14:paraId="03F576B6" w14:textId="77777777" w:rsidTr="00264902">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714F74B2" w14:textId="77777777" w:rsidR="00EB55D8" w:rsidRPr="00E74F3B" w:rsidRDefault="00EB55D8" w:rsidP="00264902">
                <w:pPr>
                  <w:rPr>
                    <w:rFonts w:ascii="Calibri" w:hAnsi="Calibri" w:cs="Calibri"/>
                    <w:sz w:val="21"/>
                    <w:szCs w:val="21"/>
                  </w:rPr>
                </w:pPr>
                <w:r w:rsidRPr="00E74F3B">
                  <w:rPr>
                    <w:rFonts w:ascii="Calibri" w:hAnsi="Calibri" w:cs="Calibri"/>
                    <w:sz w:val="21"/>
                    <w:szCs w:val="21"/>
                  </w:rPr>
                  <w:t>D</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103CB4EC" w14:textId="77777777" w:rsidR="00EB55D8" w:rsidRPr="00E74F3B" w:rsidRDefault="00EB55D8" w:rsidP="00264902">
                <w:pPr>
                  <w:rPr>
                    <w:rFonts w:ascii="Calibri" w:hAnsi="Calibri" w:cs="Calibri"/>
                    <w:sz w:val="21"/>
                    <w:szCs w:val="21"/>
                  </w:rPr>
                </w:pPr>
                <w:r w:rsidRPr="00E74F3B">
                  <w:rPr>
                    <w:rFonts w:ascii="Calibri" w:hAnsi="Calibri" w:cs="Calibri"/>
                    <w:color w:val="000000"/>
                    <w:sz w:val="21"/>
                    <w:szCs w:val="21"/>
                  </w:rPr>
                  <w:t>Unconfirmed verbal reports, cursory inspections or analysis.</w:t>
                </w:r>
              </w:p>
            </w:tc>
          </w:tr>
        </w:tbl>
        <w:p w14:paraId="7AD7E7B3" w14:textId="77777777" w:rsidR="00EB55D8" w:rsidRPr="00B442D7" w:rsidRDefault="00EB55D8" w:rsidP="00EB55D8">
          <w:pPr>
            <w:rPr>
              <w:rFonts w:ascii="Calibri" w:hAnsi="Calibri" w:cs="Calibri"/>
            </w:rPr>
          </w:pPr>
        </w:p>
        <w:p w14:paraId="47E0B816" w14:textId="77777777" w:rsidR="00EB55D8" w:rsidRPr="00B442D7" w:rsidRDefault="00EB55D8" w:rsidP="00EB55D8">
          <w:pPr>
            <w:pStyle w:val="Bodynumbercopy"/>
            <w:spacing w:line="240" w:lineRule="auto"/>
            <w:rPr>
              <w:rFonts w:eastAsia="Calibri"/>
              <w:lang w:val="en-GB"/>
            </w:rPr>
          </w:pPr>
          <w:r w:rsidRPr="00B442D7">
            <w:rPr>
              <w:rFonts w:eastAsia="Calibri"/>
              <w:lang w:val="en-GB"/>
            </w:rPr>
            <w:t xml:space="preserve">Accuracy bands provide the margin of error around the central estimate. </w:t>
          </w:r>
        </w:p>
        <w:tbl>
          <w:tblPr>
            <w:tblW w:w="7730" w:type="dxa"/>
            <w:tblInd w:w="8" w:type="dxa"/>
            <w:tblBorders>
              <w:top w:val="single" w:sz="4" w:space="0" w:color="307D99"/>
              <w:left w:val="single" w:sz="4" w:space="0" w:color="307D99"/>
              <w:bottom w:val="single" w:sz="4" w:space="0" w:color="307D99"/>
              <w:right w:val="single" w:sz="4" w:space="0" w:color="307D99"/>
              <w:insideH w:val="single" w:sz="4" w:space="0" w:color="307D99"/>
              <w:insideV w:val="single" w:sz="4" w:space="0" w:color="307D99"/>
            </w:tblBorders>
            <w:tblLayout w:type="fixed"/>
            <w:tblCellMar>
              <w:left w:w="0" w:type="dxa"/>
              <w:right w:w="0" w:type="dxa"/>
            </w:tblCellMar>
            <w:tblLook w:val="0000" w:firstRow="0" w:lastRow="0" w:firstColumn="0" w:lastColumn="0" w:noHBand="0" w:noVBand="0"/>
          </w:tblPr>
          <w:tblGrid>
            <w:gridCol w:w="1129"/>
            <w:gridCol w:w="3173"/>
            <w:gridCol w:w="3428"/>
          </w:tblGrid>
          <w:tr w:rsidR="00EB55D8" w:rsidRPr="00B442D7" w14:paraId="0C00ADE4" w14:textId="77777777" w:rsidTr="00264902">
            <w:trPr>
              <w:cantSplit/>
              <w:trHeight w:val="818"/>
            </w:trPr>
            <w:tc>
              <w:tcPr>
                <w:tcW w:w="1129" w:type="dxa"/>
                <w:shd w:val="clear" w:color="auto" w:fill="12B2C2"/>
                <w:vAlign w:val="center"/>
              </w:tcPr>
              <w:p w14:paraId="1302F9CA" w14:textId="77777777" w:rsidR="00EB55D8" w:rsidRPr="00B442D7" w:rsidRDefault="00EB55D8" w:rsidP="00264902">
                <w:pPr>
                  <w:jc w:val="center"/>
                  <w:rPr>
                    <w:rFonts w:ascii="Calibri" w:hAnsi="Calibri" w:cs="Calibri"/>
                    <w:b/>
                    <w:bCs/>
                    <w:color w:val="FFFFFF" w:themeColor="background1"/>
                    <w:lang w:val="en-GB"/>
                  </w:rPr>
                </w:pPr>
                <w:r w:rsidRPr="00B442D7">
                  <w:rPr>
                    <w:rFonts w:ascii="Calibri" w:hAnsi="Calibri" w:cs="Calibri"/>
                    <w:b/>
                    <w:bCs/>
                    <w:color w:val="FFFFFF" w:themeColor="background1"/>
                    <w:lang w:val="en-GB"/>
                  </w:rPr>
                  <w:t>Accuracy Band</w:t>
                </w:r>
              </w:p>
            </w:tc>
            <w:tc>
              <w:tcPr>
                <w:tcW w:w="3173" w:type="dxa"/>
                <w:shd w:val="clear" w:color="auto" w:fill="12B2C2"/>
                <w:vAlign w:val="center"/>
              </w:tcPr>
              <w:p w14:paraId="74356D08" w14:textId="77777777" w:rsidR="00EB55D8" w:rsidRPr="00B442D7" w:rsidRDefault="00EB55D8" w:rsidP="00264902">
                <w:pPr>
                  <w:jc w:val="center"/>
                  <w:rPr>
                    <w:rFonts w:ascii="Calibri" w:hAnsi="Calibri" w:cs="Calibri"/>
                    <w:b/>
                    <w:bCs/>
                    <w:color w:val="FFFFFF" w:themeColor="background1"/>
                    <w:lang w:val="en-GB"/>
                  </w:rPr>
                </w:pPr>
                <w:r w:rsidRPr="00B442D7">
                  <w:rPr>
                    <w:rFonts w:ascii="Calibri" w:hAnsi="Calibri" w:cs="Calibri"/>
                    <w:b/>
                    <w:bCs/>
                    <w:color w:val="FFFFFF" w:themeColor="background1"/>
                    <w:lang w:val="en-GB"/>
                  </w:rPr>
                  <w:t>Accuracy to or within +/-</w:t>
                </w:r>
              </w:p>
            </w:tc>
            <w:tc>
              <w:tcPr>
                <w:tcW w:w="3427" w:type="dxa"/>
                <w:shd w:val="clear" w:color="auto" w:fill="12B2C2"/>
                <w:vAlign w:val="center"/>
              </w:tcPr>
              <w:p w14:paraId="40A4C404" w14:textId="77777777" w:rsidR="00EB55D8" w:rsidRPr="00B442D7" w:rsidRDefault="00EB55D8" w:rsidP="00264902">
                <w:pPr>
                  <w:jc w:val="center"/>
                  <w:rPr>
                    <w:rFonts w:ascii="Calibri" w:hAnsi="Calibri" w:cs="Calibri"/>
                    <w:b/>
                    <w:bCs/>
                    <w:color w:val="FFFFFF" w:themeColor="background1"/>
                    <w:lang w:val="en-GB"/>
                  </w:rPr>
                </w:pPr>
                <w:r w:rsidRPr="00B442D7">
                  <w:rPr>
                    <w:rFonts w:ascii="Calibri" w:hAnsi="Calibri" w:cs="Calibri"/>
                    <w:b/>
                    <w:bCs/>
                    <w:color w:val="FFFFFF" w:themeColor="background1"/>
                    <w:lang w:val="en-GB"/>
                  </w:rPr>
                  <w:t>but outside +/-</w:t>
                </w:r>
              </w:p>
            </w:tc>
          </w:tr>
          <w:tr w:rsidR="00EB55D8" w:rsidRPr="00B442D7" w14:paraId="0E561867" w14:textId="77777777" w:rsidTr="00264902">
            <w:trPr>
              <w:cantSplit/>
              <w:trHeight w:val="548"/>
            </w:trPr>
            <w:tc>
              <w:tcPr>
                <w:tcW w:w="1129" w:type="dxa"/>
                <w:vAlign w:val="center"/>
              </w:tcPr>
              <w:p w14:paraId="111BAE8A" w14:textId="77777777" w:rsidR="00EB55D8" w:rsidRPr="00E74F3B" w:rsidRDefault="00EB55D8" w:rsidP="00264902">
                <w:pPr>
                  <w:jc w:val="center"/>
                  <w:rPr>
                    <w:rFonts w:ascii="Calibri" w:hAnsi="Calibri" w:cs="Calibri"/>
                    <w:color w:val="000000"/>
                    <w:sz w:val="21"/>
                    <w:szCs w:val="21"/>
                    <w:lang w:val="en-GB"/>
                  </w:rPr>
                </w:pPr>
                <w:r w:rsidRPr="00E74F3B">
                  <w:rPr>
                    <w:rFonts w:ascii="Calibri" w:hAnsi="Calibri" w:cs="Calibri"/>
                    <w:color w:val="000000"/>
                    <w:sz w:val="21"/>
                    <w:szCs w:val="21"/>
                    <w:lang w:val="en-GB"/>
                  </w:rPr>
                  <w:t>1</w:t>
                </w:r>
              </w:p>
            </w:tc>
            <w:tc>
              <w:tcPr>
                <w:tcW w:w="3173" w:type="dxa"/>
                <w:vAlign w:val="center"/>
              </w:tcPr>
              <w:p w14:paraId="6E03AC23" w14:textId="77777777" w:rsidR="00EB55D8" w:rsidRPr="00E74F3B" w:rsidRDefault="00EB55D8" w:rsidP="00264902">
                <w:pPr>
                  <w:jc w:val="center"/>
                  <w:rPr>
                    <w:rFonts w:ascii="Calibri" w:hAnsi="Calibri" w:cs="Calibri"/>
                    <w:color w:val="000000"/>
                    <w:sz w:val="21"/>
                    <w:szCs w:val="21"/>
                    <w:lang w:val="en-GB"/>
                  </w:rPr>
                </w:pPr>
                <w:r w:rsidRPr="00E74F3B">
                  <w:rPr>
                    <w:rFonts w:ascii="Calibri" w:hAnsi="Calibri" w:cs="Calibri"/>
                    <w:color w:val="000000"/>
                    <w:sz w:val="21"/>
                    <w:szCs w:val="21"/>
                    <w:lang w:val="en-GB"/>
                  </w:rPr>
                  <w:t>1%</w:t>
                </w:r>
              </w:p>
            </w:tc>
            <w:tc>
              <w:tcPr>
                <w:tcW w:w="3427" w:type="dxa"/>
                <w:vAlign w:val="center"/>
              </w:tcPr>
              <w:p w14:paraId="1DEFA9E9" w14:textId="77777777" w:rsidR="00EB55D8" w:rsidRPr="00E74F3B" w:rsidRDefault="00EB55D8" w:rsidP="00264902">
                <w:pPr>
                  <w:jc w:val="center"/>
                  <w:rPr>
                    <w:rFonts w:ascii="Calibri" w:hAnsi="Calibri" w:cs="Calibri"/>
                    <w:color w:val="000000"/>
                    <w:sz w:val="21"/>
                    <w:szCs w:val="21"/>
                    <w:lang w:val="en-GB"/>
                  </w:rPr>
                </w:pPr>
                <w:r w:rsidRPr="00E74F3B">
                  <w:rPr>
                    <w:rFonts w:ascii="Calibri" w:hAnsi="Calibri" w:cs="Calibri"/>
                    <w:color w:val="000000"/>
                    <w:sz w:val="21"/>
                    <w:szCs w:val="21"/>
                    <w:lang w:val="en-GB"/>
                  </w:rPr>
                  <w:t>-</w:t>
                </w:r>
              </w:p>
            </w:tc>
          </w:tr>
          <w:tr w:rsidR="00EB55D8" w:rsidRPr="00B442D7" w14:paraId="259D40CE" w14:textId="77777777" w:rsidTr="00264902">
            <w:trPr>
              <w:cantSplit/>
              <w:trHeight w:val="535"/>
            </w:trPr>
            <w:tc>
              <w:tcPr>
                <w:tcW w:w="1129" w:type="dxa"/>
                <w:vAlign w:val="center"/>
              </w:tcPr>
              <w:p w14:paraId="17F2E935" w14:textId="77777777" w:rsidR="00EB55D8" w:rsidRPr="00E74F3B" w:rsidRDefault="00EB55D8" w:rsidP="00264902">
                <w:pPr>
                  <w:jc w:val="center"/>
                  <w:rPr>
                    <w:rFonts w:ascii="Calibri" w:hAnsi="Calibri" w:cs="Calibri"/>
                    <w:color w:val="000000"/>
                    <w:sz w:val="21"/>
                    <w:szCs w:val="21"/>
                    <w:lang w:val="en-GB"/>
                  </w:rPr>
                </w:pPr>
                <w:r w:rsidRPr="00E74F3B">
                  <w:rPr>
                    <w:rFonts w:ascii="Calibri" w:hAnsi="Calibri" w:cs="Calibri"/>
                    <w:color w:val="000000"/>
                    <w:sz w:val="21"/>
                    <w:szCs w:val="21"/>
                    <w:lang w:val="en-GB"/>
                  </w:rPr>
                  <w:t>2</w:t>
                </w:r>
              </w:p>
            </w:tc>
            <w:tc>
              <w:tcPr>
                <w:tcW w:w="3173" w:type="dxa"/>
                <w:vAlign w:val="center"/>
              </w:tcPr>
              <w:p w14:paraId="5CE95C29" w14:textId="77777777" w:rsidR="00EB55D8" w:rsidRPr="00E74F3B" w:rsidRDefault="00EB55D8" w:rsidP="00264902">
                <w:pPr>
                  <w:jc w:val="center"/>
                  <w:rPr>
                    <w:rFonts w:ascii="Calibri" w:hAnsi="Calibri" w:cs="Calibri"/>
                    <w:color w:val="000000"/>
                    <w:sz w:val="21"/>
                    <w:szCs w:val="21"/>
                    <w:lang w:val="en-GB"/>
                  </w:rPr>
                </w:pPr>
                <w:r w:rsidRPr="00E74F3B">
                  <w:rPr>
                    <w:rFonts w:ascii="Calibri" w:hAnsi="Calibri" w:cs="Calibri"/>
                    <w:color w:val="000000"/>
                    <w:sz w:val="21"/>
                    <w:szCs w:val="21"/>
                    <w:lang w:val="en-GB"/>
                  </w:rPr>
                  <w:t>5%</w:t>
                </w:r>
              </w:p>
            </w:tc>
            <w:tc>
              <w:tcPr>
                <w:tcW w:w="3427" w:type="dxa"/>
                <w:vAlign w:val="center"/>
              </w:tcPr>
              <w:p w14:paraId="7F817CCA" w14:textId="77777777" w:rsidR="00EB55D8" w:rsidRPr="00E74F3B" w:rsidRDefault="00EB55D8" w:rsidP="00264902">
                <w:pPr>
                  <w:jc w:val="center"/>
                  <w:rPr>
                    <w:rFonts w:ascii="Calibri" w:hAnsi="Calibri" w:cs="Calibri"/>
                    <w:color w:val="000000"/>
                    <w:sz w:val="21"/>
                    <w:szCs w:val="21"/>
                    <w:lang w:val="en-GB"/>
                  </w:rPr>
                </w:pPr>
                <w:r w:rsidRPr="00E74F3B">
                  <w:rPr>
                    <w:rFonts w:ascii="Calibri" w:hAnsi="Calibri" w:cs="Calibri"/>
                    <w:color w:val="000000"/>
                    <w:sz w:val="21"/>
                    <w:szCs w:val="21"/>
                    <w:lang w:val="en-GB"/>
                  </w:rPr>
                  <w:t>1%</w:t>
                </w:r>
              </w:p>
            </w:tc>
          </w:tr>
          <w:tr w:rsidR="00EB55D8" w:rsidRPr="00B442D7" w14:paraId="65E721B4" w14:textId="77777777" w:rsidTr="00264902">
            <w:trPr>
              <w:cantSplit/>
              <w:trHeight w:val="548"/>
            </w:trPr>
            <w:tc>
              <w:tcPr>
                <w:tcW w:w="1129" w:type="dxa"/>
                <w:vAlign w:val="center"/>
              </w:tcPr>
              <w:p w14:paraId="1CCBD636" w14:textId="77777777" w:rsidR="00EB55D8" w:rsidRPr="00E74F3B" w:rsidRDefault="00EB55D8" w:rsidP="00264902">
                <w:pPr>
                  <w:jc w:val="center"/>
                  <w:rPr>
                    <w:rFonts w:ascii="Calibri" w:hAnsi="Calibri" w:cs="Calibri"/>
                    <w:color w:val="000000"/>
                    <w:sz w:val="21"/>
                    <w:szCs w:val="21"/>
                    <w:lang w:val="en-GB"/>
                  </w:rPr>
                </w:pPr>
                <w:r w:rsidRPr="00E74F3B">
                  <w:rPr>
                    <w:rFonts w:ascii="Calibri" w:hAnsi="Calibri" w:cs="Calibri"/>
                    <w:color w:val="000000"/>
                    <w:sz w:val="21"/>
                    <w:szCs w:val="21"/>
                    <w:lang w:val="en-GB"/>
                  </w:rPr>
                  <w:t>3</w:t>
                </w:r>
              </w:p>
            </w:tc>
            <w:tc>
              <w:tcPr>
                <w:tcW w:w="3173" w:type="dxa"/>
                <w:vAlign w:val="center"/>
              </w:tcPr>
              <w:p w14:paraId="52E59202" w14:textId="77777777" w:rsidR="00EB55D8" w:rsidRPr="00E74F3B" w:rsidRDefault="00EB55D8" w:rsidP="00264902">
                <w:pPr>
                  <w:jc w:val="center"/>
                  <w:rPr>
                    <w:rFonts w:ascii="Calibri" w:hAnsi="Calibri" w:cs="Calibri"/>
                    <w:color w:val="000000"/>
                    <w:sz w:val="21"/>
                    <w:szCs w:val="21"/>
                    <w:lang w:val="en-GB"/>
                  </w:rPr>
                </w:pPr>
                <w:r w:rsidRPr="00E74F3B">
                  <w:rPr>
                    <w:rFonts w:ascii="Calibri" w:hAnsi="Calibri" w:cs="Calibri"/>
                    <w:color w:val="000000"/>
                    <w:sz w:val="21"/>
                    <w:szCs w:val="21"/>
                    <w:lang w:val="en-GB"/>
                  </w:rPr>
                  <w:t>10%</w:t>
                </w:r>
              </w:p>
            </w:tc>
            <w:tc>
              <w:tcPr>
                <w:tcW w:w="3427" w:type="dxa"/>
                <w:vAlign w:val="center"/>
              </w:tcPr>
              <w:p w14:paraId="4C1F4000" w14:textId="77777777" w:rsidR="00EB55D8" w:rsidRPr="00E74F3B" w:rsidRDefault="00EB55D8" w:rsidP="00264902">
                <w:pPr>
                  <w:jc w:val="center"/>
                  <w:rPr>
                    <w:rFonts w:ascii="Calibri" w:hAnsi="Calibri" w:cs="Calibri"/>
                    <w:color w:val="000000"/>
                    <w:sz w:val="21"/>
                    <w:szCs w:val="21"/>
                    <w:lang w:val="en-GB"/>
                  </w:rPr>
                </w:pPr>
                <w:r w:rsidRPr="00E74F3B">
                  <w:rPr>
                    <w:rFonts w:ascii="Calibri" w:hAnsi="Calibri" w:cs="Calibri"/>
                    <w:color w:val="000000"/>
                    <w:sz w:val="21"/>
                    <w:szCs w:val="21"/>
                    <w:lang w:val="en-GB"/>
                  </w:rPr>
                  <w:t>5%</w:t>
                </w:r>
              </w:p>
            </w:tc>
          </w:tr>
          <w:tr w:rsidR="00EB55D8" w:rsidRPr="00B442D7" w14:paraId="53C3FDB6" w14:textId="77777777" w:rsidTr="00264902">
            <w:trPr>
              <w:cantSplit/>
              <w:trHeight w:val="535"/>
            </w:trPr>
            <w:tc>
              <w:tcPr>
                <w:tcW w:w="1129" w:type="dxa"/>
                <w:vAlign w:val="center"/>
              </w:tcPr>
              <w:p w14:paraId="6F04F132" w14:textId="77777777" w:rsidR="00EB55D8" w:rsidRPr="00E74F3B" w:rsidRDefault="00EB55D8" w:rsidP="00264902">
                <w:pPr>
                  <w:jc w:val="center"/>
                  <w:rPr>
                    <w:rFonts w:ascii="Calibri" w:hAnsi="Calibri" w:cs="Calibri"/>
                    <w:color w:val="000000"/>
                    <w:sz w:val="21"/>
                    <w:szCs w:val="21"/>
                    <w:lang w:val="en-GB"/>
                  </w:rPr>
                </w:pPr>
                <w:r w:rsidRPr="00E74F3B">
                  <w:rPr>
                    <w:rFonts w:ascii="Calibri" w:hAnsi="Calibri" w:cs="Calibri"/>
                    <w:color w:val="000000"/>
                    <w:sz w:val="21"/>
                    <w:szCs w:val="21"/>
                    <w:lang w:val="en-GB"/>
                  </w:rPr>
                  <w:t>4</w:t>
                </w:r>
              </w:p>
            </w:tc>
            <w:tc>
              <w:tcPr>
                <w:tcW w:w="3173" w:type="dxa"/>
                <w:vAlign w:val="center"/>
              </w:tcPr>
              <w:p w14:paraId="2BA60034" w14:textId="77777777" w:rsidR="00EB55D8" w:rsidRPr="00E74F3B" w:rsidRDefault="00EB55D8" w:rsidP="00264902">
                <w:pPr>
                  <w:jc w:val="center"/>
                  <w:rPr>
                    <w:rFonts w:ascii="Calibri" w:hAnsi="Calibri" w:cs="Calibri"/>
                    <w:color w:val="000000"/>
                    <w:sz w:val="21"/>
                    <w:szCs w:val="21"/>
                    <w:lang w:val="en-GB"/>
                  </w:rPr>
                </w:pPr>
                <w:r w:rsidRPr="00E74F3B">
                  <w:rPr>
                    <w:rFonts w:ascii="Calibri" w:hAnsi="Calibri" w:cs="Calibri"/>
                    <w:color w:val="000000"/>
                    <w:sz w:val="21"/>
                    <w:szCs w:val="21"/>
                    <w:lang w:val="en-GB"/>
                  </w:rPr>
                  <w:t>25%</w:t>
                </w:r>
              </w:p>
            </w:tc>
            <w:tc>
              <w:tcPr>
                <w:tcW w:w="3427" w:type="dxa"/>
                <w:vAlign w:val="center"/>
              </w:tcPr>
              <w:p w14:paraId="1A629A3E" w14:textId="77777777" w:rsidR="00EB55D8" w:rsidRPr="00E74F3B" w:rsidRDefault="00EB55D8" w:rsidP="00264902">
                <w:pPr>
                  <w:jc w:val="center"/>
                  <w:rPr>
                    <w:rFonts w:ascii="Calibri" w:hAnsi="Calibri" w:cs="Calibri"/>
                    <w:color w:val="000000"/>
                    <w:sz w:val="21"/>
                    <w:szCs w:val="21"/>
                    <w:lang w:val="en-GB"/>
                  </w:rPr>
                </w:pPr>
                <w:r w:rsidRPr="00E74F3B">
                  <w:rPr>
                    <w:rFonts w:ascii="Calibri" w:hAnsi="Calibri" w:cs="Calibri"/>
                    <w:color w:val="000000"/>
                    <w:sz w:val="21"/>
                    <w:szCs w:val="21"/>
                    <w:lang w:val="en-GB"/>
                  </w:rPr>
                  <w:t>10%</w:t>
                </w:r>
              </w:p>
            </w:tc>
          </w:tr>
          <w:tr w:rsidR="00EB55D8" w:rsidRPr="00B442D7" w14:paraId="15D5333A" w14:textId="77777777" w:rsidTr="00264902">
            <w:trPr>
              <w:cantSplit/>
              <w:trHeight w:val="535"/>
            </w:trPr>
            <w:tc>
              <w:tcPr>
                <w:tcW w:w="1129" w:type="dxa"/>
                <w:vAlign w:val="center"/>
              </w:tcPr>
              <w:p w14:paraId="20E90A02" w14:textId="77777777" w:rsidR="00EB55D8" w:rsidRPr="00E74F3B" w:rsidRDefault="00EB55D8" w:rsidP="00264902">
                <w:pPr>
                  <w:jc w:val="center"/>
                  <w:rPr>
                    <w:rFonts w:ascii="Calibri" w:hAnsi="Calibri" w:cs="Calibri"/>
                    <w:color w:val="000000"/>
                    <w:sz w:val="21"/>
                    <w:szCs w:val="21"/>
                    <w:lang w:val="en-GB"/>
                  </w:rPr>
                </w:pPr>
                <w:r w:rsidRPr="00E74F3B">
                  <w:rPr>
                    <w:rFonts w:ascii="Calibri" w:hAnsi="Calibri" w:cs="Calibri"/>
                    <w:color w:val="000000"/>
                    <w:sz w:val="21"/>
                    <w:szCs w:val="21"/>
                    <w:lang w:val="en-GB"/>
                  </w:rPr>
                  <w:t>5</w:t>
                </w:r>
              </w:p>
            </w:tc>
            <w:tc>
              <w:tcPr>
                <w:tcW w:w="3173" w:type="dxa"/>
                <w:vAlign w:val="center"/>
              </w:tcPr>
              <w:p w14:paraId="2731AEDE" w14:textId="77777777" w:rsidR="00EB55D8" w:rsidRPr="00E74F3B" w:rsidRDefault="00EB55D8" w:rsidP="00264902">
                <w:pPr>
                  <w:jc w:val="center"/>
                  <w:rPr>
                    <w:rFonts w:ascii="Calibri" w:hAnsi="Calibri" w:cs="Calibri"/>
                    <w:color w:val="000000"/>
                    <w:sz w:val="21"/>
                    <w:szCs w:val="21"/>
                    <w:lang w:val="en-GB"/>
                  </w:rPr>
                </w:pPr>
                <w:r w:rsidRPr="00E74F3B">
                  <w:rPr>
                    <w:rFonts w:ascii="Calibri" w:hAnsi="Calibri" w:cs="Calibri"/>
                    <w:color w:val="000000"/>
                    <w:sz w:val="21"/>
                    <w:szCs w:val="21"/>
                    <w:lang w:val="en-GB"/>
                  </w:rPr>
                  <w:t>50%</w:t>
                </w:r>
              </w:p>
            </w:tc>
            <w:tc>
              <w:tcPr>
                <w:tcW w:w="3427" w:type="dxa"/>
                <w:vAlign w:val="center"/>
              </w:tcPr>
              <w:p w14:paraId="380E40B5" w14:textId="77777777" w:rsidR="00EB55D8" w:rsidRPr="00E74F3B" w:rsidRDefault="00EB55D8" w:rsidP="00264902">
                <w:pPr>
                  <w:jc w:val="center"/>
                  <w:rPr>
                    <w:rFonts w:ascii="Calibri" w:hAnsi="Calibri" w:cs="Calibri"/>
                    <w:color w:val="000000"/>
                    <w:sz w:val="21"/>
                    <w:szCs w:val="21"/>
                    <w:lang w:val="en-GB"/>
                  </w:rPr>
                </w:pPr>
                <w:r w:rsidRPr="00E74F3B">
                  <w:rPr>
                    <w:rFonts w:ascii="Calibri" w:hAnsi="Calibri" w:cs="Calibri"/>
                    <w:color w:val="000000"/>
                    <w:sz w:val="21"/>
                    <w:szCs w:val="21"/>
                    <w:lang w:val="en-GB"/>
                  </w:rPr>
                  <w:t>25%</w:t>
                </w:r>
              </w:p>
            </w:tc>
          </w:tr>
          <w:tr w:rsidR="00EB55D8" w:rsidRPr="00B442D7" w14:paraId="492CF96D" w14:textId="77777777" w:rsidTr="00264902">
            <w:trPr>
              <w:cantSplit/>
              <w:trHeight w:val="535"/>
            </w:trPr>
            <w:tc>
              <w:tcPr>
                <w:tcW w:w="1129" w:type="dxa"/>
                <w:vAlign w:val="center"/>
              </w:tcPr>
              <w:p w14:paraId="2F1AF8E2" w14:textId="77777777" w:rsidR="00EB55D8" w:rsidRPr="00E74F3B" w:rsidRDefault="00EB55D8" w:rsidP="00264902">
                <w:pPr>
                  <w:jc w:val="center"/>
                  <w:rPr>
                    <w:rFonts w:ascii="Calibri" w:hAnsi="Calibri" w:cs="Calibri"/>
                    <w:color w:val="000000"/>
                    <w:sz w:val="21"/>
                    <w:szCs w:val="21"/>
                    <w:lang w:val="en-GB"/>
                  </w:rPr>
                </w:pPr>
                <w:r w:rsidRPr="00E74F3B">
                  <w:rPr>
                    <w:rFonts w:ascii="Calibri" w:hAnsi="Calibri" w:cs="Calibri"/>
                    <w:color w:val="000000"/>
                    <w:sz w:val="21"/>
                    <w:szCs w:val="21"/>
                    <w:lang w:val="en-GB"/>
                  </w:rPr>
                  <w:t>6</w:t>
                </w:r>
              </w:p>
            </w:tc>
            <w:tc>
              <w:tcPr>
                <w:tcW w:w="3173" w:type="dxa"/>
                <w:vAlign w:val="center"/>
              </w:tcPr>
              <w:p w14:paraId="38CAD483" w14:textId="77777777" w:rsidR="00EB55D8" w:rsidRPr="00E74F3B" w:rsidRDefault="00EB55D8" w:rsidP="00264902">
                <w:pPr>
                  <w:jc w:val="center"/>
                  <w:rPr>
                    <w:rFonts w:ascii="Calibri" w:hAnsi="Calibri" w:cs="Calibri"/>
                    <w:color w:val="000000"/>
                    <w:sz w:val="21"/>
                    <w:szCs w:val="21"/>
                    <w:lang w:val="en-GB"/>
                  </w:rPr>
                </w:pPr>
                <w:r w:rsidRPr="00E74F3B">
                  <w:rPr>
                    <w:rFonts w:ascii="Calibri" w:hAnsi="Calibri" w:cs="Calibri"/>
                    <w:color w:val="000000"/>
                    <w:sz w:val="21"/>
                    <w:szCs w:val="21"/>
                    <w:lang w:val="en-GB"/>
                  </w:rPr>
                  <w:t>100%</w:t>
                </w:r>
              </w:p>
            </w:tc>
            <w:tc>
              <w:tcPr>
                <w:tcW w:w="3427" w:type="dxa"/>
                <w:vAlign w:val="center"/>
              </w:tcPr>
              <w:p w14:paraId="58477A55" w14:textId="77777777" w:rsidR="00EB55D8" w:rsidRPr="00E74F3B" w:rsidRDefault="00EB55D8" w:rsidP="00264902">
                <w:pPr>
                  <w:jc w:val="center"/>
                  <w:rPr>
                    <w:rFonts w:ascii="Calibri" w:hAnsi="Calibri" w:cs="Calibri"/>
                    <w:color w:val="000000"/>
                    <w:sz w:val="21"/>
                    <w:szCs w:val="21"/>
                    <w:lang w:val="en-GB"/>
                  </w:rPr>
                </w:pPr>
                <w:r w:rsidRPr="00E74F3B">
                  <w:rPr>
                    <w:rFonts w:ascii="Calibri" w:hAnsi="Calibri" w:cs="Calibri"/>
                    <w:color w:val="000000"/>
                    <w:sz w:val="21"/>
                    <w:szCs w:val="21"/>
                    <w:lang w:val="en-GB"/>
                  </w:rPr>
                  <w:t>50%</w:t>
                </w:r>
              </w:p>
            </w:tc>
          </w:tr>
          <w:tr w:rsidR="00EB55D8" w:rsidRPr="00B442D7" w14:paraId="28FF646A" w14:textId="77777777" w:rsidTr="00264902">
            <w:trPr>
              <w:cantSplit/>
              <w:trHeight w:val="832"/>
            </w:trPr>
            <w:tc>
              <w:tcPr>
                <w:tcW w:w="1129" w:type="dxa"/>
                <w:vAlign w:val="center"/>
              </w:tcPr>
              <w:p w14:paraId="5D69AFAD" w14:textId="77777777" w:rsidR="00EB55D8" w:rsidRPr="00E74F3B" w:rsidRDefault="00EB55D8" w:rsidP="00264902">
                <w:pPr>
                  <w:jc w:val="center"/>
                  <w:rPr>
                    <w:rFonts w:ascii="Calibri" w:hAnsi="Calibri" w:cs="Calibri"/>
                    <w:color w:val="000000"/>
                    <w:sz w:val="21"/>
                    <w:szCs w:val="21"/>
                    <w:lang w:val="en-GB"/>
                  </w:rPr>
                </w:pPr>
                <w:r w:rsidRPr="00E74F3B">
                  <w:rPr>
                    <w:rFonts w:ascii="Calibri" w:hAnsi="Calibri" w:cs="Calibri"/>
                    <w:color w:val="000000"/>
                    <w:sz w:val="21"/>
                    <w:szCs w:val="21"/>
                    <w:lang w:val="en-GB"/>
                  </w:rPr>
                  <w:t>X</w:t>
                </w:r>
              </w:p>
            </w:tc>
            <w:tc>
              <w:tcPr>
                <w:tcW w:w="6601" w:type="dxa"/>
                <w:gridSpan w:val="2"/>
                <w:vAlign w:val="center"/>
              </w:tcPr>
              <w:p w14:paraId="3A855AF6" w14:textId="77777777" w:rsidR="00EB55D8" w:rsidRPr="00E74F3B" w:rsidRDefault="00EB55D8" w:rsidP="00264902">
                <w:pPr>
                  <w:jc w:val="center"/>
                  <w:rPr>
                    <w:rFonts w:ascii="Calibri" w:hAnsi="Calibri" w:cs="Calibri"/>
                    <w:color w:val="000000"/>
                    <w:sz w:val="21"/>
                    <w:szCs w:val="21"/>
                    <w:lang w:val="en-GB"/>
                  </w:rPr>
                </w:pPr>
                <w:r w:rsidRPr="00E74F3B">
                  <w:rPr>
                    <w:rFonts w:ascii="Calibri" w:hAnsi="Calibri" w:cs="Calibri"/>
                    <w:color w:val="000000"/>
                    <w:sz w:val="21"/>
                    <w:szCs w:val="21"/>
                    <w:lang w:val="en-GB"/>
                  </w:rPr>
                  <w:t>Accuracy outside +/- 100 %, zero or small numbers or otherwise incompatible, see example below.</w:t>
                </w:r>
              </w:p>
            </w:tc>
          </w:tr>
        </w:tbl>
        <w:p w14:paraId="68BBF033" w14:textId="77777777" w:rsidR="00EB55D8" w:rsidRPr="00E74F3B" w:rsidRDefault="00EB55D8" w:rsidP="00EB55D8">
          <w:pPr>
            <w:pStyle w:val="Bodynumbercopy"/>
            <w:spacing w:line="240" w:lineRule="auto"/>
            <w:rPr>
              <w:rFonts w:eastAsia="Calibri"/>
              <w:lang w:val="en-GB"/>
            </w:rPr>
          </w:pPr>
          <w:r w:rsidRPr="0042216E">
            <w:rPr>
              <w:rFonts w:eastAsia="Calibri"/>
              <w:lang w:val="en-GB"/>
            </w:rPr>
            <w:lastRenderedPageBreak/>
            <w:t>The X grade is generally only likely to be appropriate where a zero has been entered.</w:t>
          </w:r>
        </w:p>
        <w:p w14:paraId="0CFACF7D" w14:textId="77777777" w:rsidR="00EB55D8" w:rsidRPr="00B442D7" w:rsidRDefault="00EB55D8" w:rsidP="00EB55D8">
          <w:pPr>
            <w:pStyle w:val="Bodynumbercopy"/>
            <w:spacing w:line="240" w:lineRule="auto"/>
            <w:rPr>
              <w:rFonts w:eastAsia="Calibri"/>
              <w:lang w:val="en-GB"/>
            </w:rPr>
          </w:pPr>
          <w:r w:rsidRPr="00B442D7">
            <w:rPr>
              <w:rFonts w:eastAsia="Calibri"/>
              <w:lang w:val="en-GB"/>
            </w:rPr>
            <w:t>The overall confidence grade is a combination of the reliability and accuracy band. For example:</w:t>
          </w:r>
        </w:p>
        <w:p w14:paraId="0CF6A4A9" w14:textId="77777777" w:rsidR="00EB55D8" w:rsidRPr="00B442D7" w:rsidRDefault="00EB55D8" w:rsidP="00EB55D8">
          <w:pPr>
            <w:pStyle w:val="Bodynumbercopy"/>
            <w:numPr>
              <w:ilvl w:val="0"/>
              <w:numId w:val="34"/>
            </w:numPr>
            <w:spacing w:line="240" w:lineRule="auto"/>
          </w:pPr>
          <w:r w:rsidRPr="00B442D7">
            <w:t>A2: Data based on sound records etc. (A, highly reliable) and estimated to be within +/- 5% (accuracy band 2);</w:t>
          </w:r>
        </w:p>
        <w:p w14:paraId="6D17AE59" w14:textId="77777777" w:rsidR="00EB55D8" w:rsidRPr="00B442D7" w:rsidRDefault="00EB55D8" w:rsidP="00EB55D8">
          <w:pPr>
            <w:pStyle w:val="Bodynumbercopy"/>
            <w:numPr>
              <w:ilvl w:val="0"/>
              <w:numId w:val="34"/>
            </w:numPr>
            <w:spacing w:line="240" w:lineRule="auto"/>
          </w:pPr>
          <w:r w:rsidRPr="00B442D7">
            <w:t>C4: Data based on extrapolation from a limited sample (C, unreliable) and estimated to be within +/- 25% (accuracy band 4);</w:t>
          </w:r>
        </w:p>
        <w:p w14:paraId="40888D0F" w14:textId="77777777" w:rsidR="00EB55D8" w:rsidRPr="00B442D7" w:rsidRDefault="00EB55D8" w:rsidP="00EB55D8">
          <w:pPr>
            <w:pStyle w:val="Bodynumbercopy"/>
            <w:numPr>
              <w:ilvl w:val="0"/>
              <w:numId w:val="34"/>
            </w:numPr>
            <w:spacing w:line="240" w:lineRule="auto"/>
          </w:pPr>
          <w:r w:rsidRPr="00B442D7">
            <w:t>AX: Data based on sound records etc. (A, highly reliable) but value too small to calculate any meaningful accuracy percentage.</w:t>
          </w:r>
        </w:p>
        <w:p w14:paraId="519854AF" w14:textId="77777777" w:rsidR="00EB55D8" w:rsidRPr="00B442D7" w:rsidRDefault="00EB55D8" w:rsidP="00EB55D8">
          <w:pPr>
            <w:jc w:val="both"/>
            <w:rPr>
              <w:rFonts w:ascii="Calibri" w:eastAsia="Calibri" w:hAnsi="Calibri" w:cs="Calibri"/>
              <w:lang w:val="en-GB"/>
            </w:rPr>
          </w:pPr>
        </w:p>
        <w:p w14:paraId="5BF5AE6A" w14:textId="77777777" w:rsidR="00EB55D8" w:rsidRPr="00B442D7" w:rsidRDefault="00EB55D8" w:rsidP="00EB55D8">
          <w:pPr>
            <w:pStyle w:val="Bodynumbercopy"/>
            <w:spacing w:line="240" w:lineRule="auto"/>
            <w:rPr>
              <w:rFonts w:eastAsia="Calibri"/>
              <w:lang w:val="en-GB"/>
            </w:rPr>
          </w:pPr>
          <w:r w:rsidRPr="00B442D7">
            <w:rPr>
              <w:rFonts w:eastAsia="Calibri"/>
              <w:lang w:val="en-GB"/>
            </w:rPr>
            <w:t xml:space="preserve">The table below provides a list of compatible confidence grades. </w:t>
          </w:r>
        </w:p>
        <w:tbl>
          <w:tblPr>
            <w:tblW w:w="5000" w:type="pct"/>
            <w:tblLayout w:type="fixed"/>
            <w:tblCellMar>
              <w:left w:w="0" w:type="dxa"/>
              <w:right w:w="0" w:type="dxa"/>
            </w:tblCellMar>
            <w:tblLook w:val="0000" w:firstRow="0" w:lastRow="0" w:firstColumn="0" w:lastColumn="0" w:noHBand="0" w:noVBand="0"/>
          </w:tblPr>
          <w:tblGrid>
            <w:gridCol w:w="4065"/>
            <w:gridCol w:w="853"/>
            <w:gridCol w:w="853"/>
            <w:gridCol w:w="890"/>
            <w:gridCol w:w="891"/>
          </w:tblGrid>
          <w:tr w:rsidR="00EB55D8" w:rsidRPr="00B442D7" w14:paraId="39262EEC" w14:textId="77777777" w:rsidTr="00264902">
            <w:trPr>
              <w:cantSplit/>
              <w:trHeight w:val="302"/>
            </w:trPr>
            <w:tc>
              <w:tcPr>
                <w:tcW w:w="5000" w:type="pct"/>
                <w:gridSpan w:val="5"/>
                <w:tcBorders>
                  <w:top w:val="single" w:sz="6" w:space="0" w:color="000000"/>
                  <w:left w:val="single" w:sz="6" w:space="0" w:color="000000"/>
                  <w:bottom w:val="single" w:sz="6" w:space="0" w:color="FFFFFF"/>
                  <w:right w:val="single" w:sz="6" w:space="0" w:color="000000"/>
                </w:tcBorders>
                <w:shd w:val="clear" w:color="auto" w:fill="12B2C2"/>
                <w:vAlign w:val="center"/>
              </w:tcPr>
              <w:p w14:paraId="7B310779" w14:textId="77777777" w:rsidR="00EB55D8" w:rsidRPr="00E74F3B" w:rsidRDefault="00EB55D8" w:rsidP="00264902">
                <w:pPr>
                  <w:spacing w:line="201" w:lineRule="atLeast"/>
                  <w:jc w:val="center"/>
                  <w:rPr>
                    <w:rFonts w:ascii="Calibri" w:hAnsi="Calibri" w:cs="Calibri"/>
                    <w:color w:val="000000"/>
                    <w:sz w:val="21"/>
                    <w:szCs w:val="21"/>
                  </w:rPr>
                </w:pPr>
              </w:p>
              <w:p w14:paraId="22F8AD89" w14:textId="77777777" w:rsidR="00EB55D8" w:rsidRPr="00E74F3B" w:rsidRDefault="00EB55D8" w:rsidP="00264902">
                <w:pPr>
                  <w:jc w:val="center"/>
                  <w:rPr>
                    <w:rFonts w:ascii="Calibri" w:hAnsi="Calibri" w:cs="Calibri"/>
                    <w:b/>
                    <w:color w:val="000000"/>
                    <w:sz w:val="21"/>
                    <w:szCs w:val="21"/>
                  </w:rPr>
                </w:pPr>
                <w:r w:rsidRPr="00E74F3B">
                  <w:rPr>
                    <w:rFonts w:ascii="Calibri" w:hAnsi="Calibri" w:cs="Calibri"/>
                    <w:b/>
                    <w:color w:val="FFFFFF" w:themeColor="background2"/>
                    <w:sz w:val="21"/>
                    <w:szCs w:val="21"/>
                  </w:rPr>
                  <w:t>Compatible Confidence Grades</w:t>
                </w:r>
              </w:p>
            </w:tc>
          </w:tr>
          <w:tr w:rsidR="00EB55D8" w:rsidRPr="00B442D7" w14:paraId="2C820DA3" w14:textId="77777777" w:rsidTr="00264902">
            <w:trPr>
              <w:cantSplit/>
            </w:trPr>
            <w:tc>
              <w:tcPr>
                <w:tcW w:w="2691" w:type="pct"/>
                <w:tcBorders>
                  <w:top w:val="single" w:sz="6" w:space="0" w:color="000000"/>
                  <w:left w:val="single" w:sz="6" w:space="0" w:color="000000"/>
                  <w:right w:val="single" w:sz="6" w:space="0" w:color="FFFFFF"/>
                </w:tcBorders>
              </w:tcPr>
              <w:p w14:paraId="08E2D886" w14:textId="77777777" w:rsidR="00EB55D8" w:rsidRPr="00E74F3B" w:rsidRDefault="00EB55D8" w:rsidP="00264902">
                <w:pPr>
                  <w:spacing w:line="201" w:lineRule="atLeast"/>
                  <w:rPr>
                    <w:rFonts w:ascii="Calibri" w:hAnsi="Calibri" w:cs="Calibri"/>
                    <w:b/>
                    <w:color w:val="000000"/>
                    <w:sz w:val="21"/>
                    <w:szCs w:val="21"/>
                  </w:rPr>
                </w:pPr>
              </w:p>
              <w:p w14:paraId="0199366B" w14:textId="77777777" w:rsidR="00EB55D8" w:rsidRPr="00E74F3B" w:rsidRDefault="00EB55D8" w:rsidP="00264902">
                <w:pPr>
                  <w:jc w:val="center"/>
                  <w:rPr>
                    <w:rFonts w:ascii="Calibri" w:hAnsi="Calibri" w:cs="Calibri"/>
                    <w:b/>
                    <w:bCs/>
                    <w:color w:val="000000"/>
                    <w:sz w:val="21"/>
                    <w:szCs w:val="21"/>
                  </w:rPr>
                </w:pPr>
                <w:r w:rsidRPr="00E74F3B">
                  <w:rPr>
                    <w:rFonts w:ascii="Calibri" w:hAnsi="Calibri" w:cs="Calibri"/>
                    <w:b/>
                    <w:bCs/>
                    <w:color w:val="000000"/>
                    <w:sz w:val="21"/>
                    <w:szCs w:val="21"/>
                  </w:rPr>
                  <w:t>Accuracy Band</w:t>
                </w:r>
              </w:p>
            </w:tc>
            <w:tc>
              <w:tcPr>
                <w:tcW w:w="2309" w:type="pct"/>
                <w:gridSpan w:val="4"/>
                <w:tcBorders>
                  <w:top w:val="single" w:sz="6" w:space="0" w:color="000000"/>
                  <w:left w:val="single" w:sz="6" w:space="0" w:color="000000"/>
                  <w:bottom w:val="single" w:sz="6" w:space="0" w:color="FFFFFF"/>
                  <w:right w:val="single" w:sz="6" w:space="0" w:color="000000"/>
                </w:tcBorders>
              </w:tcPr>
              <w:p w14:paraId="6DC96103" w14:textId="77777777" w:rsidR="00EB55D8" w:rsidRPr="00E74F3B" w:rsidRDefault="00EB55D8" w:rsidP="00264902">
                <w:pPr>
                  <w:spacing w:line="201" w:lineRule="atLeast"/>
                  <w:jc w:val="center"/>
                  <w:rPr>
                    <w:rFonts w:ascii="Calibri" w:hAnsi="Calibri" w:cs="Calibri"/>
                    <w:color w:val="000000"/>
                    <w:sz w:val="21"/>
                    <w:szCs w:val="21"/>
                  </w:rPr>
                </w:pPr>
              </w:p>
              <w:p w14:paraId="619BAE7E" w14:textId="77777777" w:rsidR="00EB55D8" w:rsidRPr="00E74F3B" w:rsidRDefault="00EB55D8" w:rsidP="00264902">
                <w:pPr>
                  <w:jc w:val="center"/>
                  <w:rPr>
                    <w:rFonts w:ascii="Calibri" w:hAnsi="Calibri" w:cs="Calibri"/>
                    <w:b/>
                    <w:bCs/>
                    <w:color w:val="000000"/>
                    <w:sz w:val="21"/>
                    <w:szCs w:val="21"/>
                  </w:rPr>
                </w:pPr>
                <w:r w:rsidRPr="00E74F3B">
                  <w:rPr>
                    <w:rFonts w:ascii="Calibri" w:hAnsi="Calibri" w:cs="Calibri"/>
                    <w:b/>
                    <w:bCs/>
                    <w:color w:val="000000"/>
                    <w:sz w:val="21"/>
                    <w:szCs w:val="21"/>
                  </w:rPr>
                  <w:t>Reliability Band</w:t>
                </w:r>
              </w:p>
            </w:tc>
          </w:tr>
          <w:tr w:rsidR="00EB55D8" w:rsidRPr="00B442D7" w14:paraId="6B837387" w14:textId="77777777" w:rsidTr="00264902">
            <w:trPr>
              <w:cantSplit/>
            </w:trPr>
            <w:tc>
              <w:tcPr>
                <w:tcW w:w="2691" w:type="pct"/>
                <w:tcBorders>
                  <w:left w:val="single" w:sz="6" w:space="0" w:color="000000"/>
                  <w:bottom w:val="single" w:sz="6" w:space="0" w:color="FFFFFF"/>
                  <w:right w:val="single" w:sz="6" w:space="0" w:color="FFFFFF"/>
                </w:tcBorders>
              </w:tcPr>
              <w:p w14:paraId="1451F558" w14:textId="77777777" w:rsidR="00EB55D8" w:rsidRPr="00E74F3B" w:rsidRDefault="00EB55D8" w:rsidP="00264902">
                <w:pP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273DDD41" w14:textId="77777777" w:rsidR="00EB55D8" w:rsidRPr="00E74F3B" w:rsidRDefault="00EB55D8" w:rsidP="00264902">
                <w:pPr>
                  <w:spacing w:line="163" w:lineRule="atLeast"/>
                  <w:rPr>
                    <w:rFonts w:ascii="Calibri" w:hAnsi="Calibri" w:cs="Calibri"/>
                    <w:color w:val="000000"/>
                    <w:sz w:val="21"/>
                    <w:szCs w:val="21"/>
                  </w:rPr>
                </w:pPr>
              </w:p>
              <w:p w14:paraId="0B5DC781"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A</w:t>
                </w:r>
              </w:p>
            </w:tc>
            <w:tc>
              <w:tcPr>
                <w:tcW w:w="565" w:type="pct"/>
                <w:tcBorders>
                  <w:top w:val="single" w:sz="6" w:space="0" w:color="000000"/>
                  <w:left w:val="single" w:sz="6" w:space="0" w:color="000000"/>
                  <w:bottom w:val="single" w:sz="6" w:space="0" w:color="FFFFFF"/>
                  <w:right w:val="single" w:sz="6" w:space="0" w:color="FFFFFF"/>
                </w:tcBorders>
              </w:tcPr>
              <w:p w14:paraId="27BB5EE1" w14:textId="77777777" w:rsidR="00EB55D8" w:rsidRPr="00E74F3B" w:rsidRDefault="00EB55D8" w:rsidP="00264902">
                <w:pPr>
                  <w:spacing w:line="163" w:lineRule="atLeast"/>
                  <w:jc w:val="center"/>
                  <w:rPr>
                    <w:rFonts w:ascii="Calibri" w:hAnsi="Calibri" w:cs="Calibri"/>
                    <w:color w:val="000000"/>
                    <w:sz w:val="21"/>
                    <w:szCs w:val="21"/>
                  </w:rPr>
                </w:pPr>
              </w:p>
              <w:p w14:paraId="5A33AE5C"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B</w:t>
                </w:r>
              </w:p>
            </w:tc>
            <w:tc>
              <w:tcPr>
                <w:tcW w:w="589" w:type="pct"/>
                <w:tcBorders>
                  <w:top w:val="single" w:sz="6" w:space="0" w:color="000000"/>
                  <w:left w:val="single" w:sz="6" w:space="0" w:color="000000"/>
                  <w:bottom w:val="single" w:sz="6" w:space="0" w:color="FFFFFF"/>
                  <w:right w:val="single" w:sz="6" w:space="0" w:color="FFFFFF"/>
                </w:tcBorders>
              </w:tcPr>
              <w:p w14:paraId="0BB4EA59" w14:textId="77777777" w:rsidR="00EB55D8" w:rsidRPr="00E74F3B" w:rsidRDefault="00EB55D8" w:rsidP="00264902">
                <w:pPr>
                  <w:spacing w:line="163" w:lineRule="atLeast"/>
                  <w:jc w:val="center"/>
                  <w:rPr>
                    <w:rFonts w:ascii="Calibri" w:hAnsi="Calibri" w:cs="Calibri"/>
                    <w:color w:val="000000"/>
                    <w:sz w:val="21"/>
                    <w:szCs w:val="21"/>
                  </w:rPr>
                </w:pPr>
              </w:p>
              <w:p w14:paraId="368F1387"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C</w:t>
                </w:r>
              </w:p>
            </w:tc>
            <w:tc>
              <w:tcPr>
                <w:tcW w:w="590" w:type="pct"/>
                <w:tcBorders>
                  <w:top w:val="single" w:sz="6" w:space="0" w:color="000000"/>
                  <w:left w:val="single" w:sz="6" w:space="0" w:color="000000"/>
                  <w:bottom w:val="single" w:sz="6" w:space="0" w:color="FFFFFF"/>
                  <w:right w:val="single" w:sz="6" w:space="0" w:color="000000"/>
                </w:tcBorders>
              </w:tcPr>
              <w:p w14:paraId="29ECE88D" w14:textId="77777777" w:rsidR="00EB55D8" w:rsidRPr="00E74F3B" w:rsidRDefault="00EB55D8" w:rsidP="00264902">
                <w:pPr>
                  <w:spacing w:line="163" w:lineRule="atLeast"/>
                  <w:jc w:val="center"/>
                  <w:rPr>
                    <w:rFonts w:ascii="Calibri" w:hAnsi="Calibri" w:cs="Calibri"/>
                    <w:color w:val="000000"/>
                    <w:sz w:val="21"/>
                    <w:szCs w:val="21"/>
                  </w:rPr>
                </w:pPr>
              </w:p>
              <w:p w14:paraId="00A24025"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D</w:t>
                </w:r>
              </w:p>
            </w:tc>
          </w:tr>
          <w:tr w:rsidR="00EB55D8" w:rsidRPr="00B442D7" w14:paraId="26DA04BC" w14:textId="77777777" w:rsidTr="00264902">
            <w:trPr>
              <w:cantSplit/>
            </w:trPr>
            <w:tc>
              <w:tcPr>
                <w:tcW w:w="2691" w:type="pct"/>
                <w:tcBorders>
                  <w:top w:val="single" w:sz="6" w:space="0" w:color="000000"/>
                  <w:left w:val="single" w:sz="6" w:space="0" w:color="000000"/>
                  <w:bottom w:val="single" w:sz="6" w:space="0" w:color="FFFFFF"/>
                  <w:right w:val="single" w:sz="6" w:space="0" w:color="FFFFFF"/>
                </w:tcBorders>
              </w:tcPr>
              <w:p w14:paraId="2CF3E2B4" w14:textId="77777777" w:rsidR="00EB55D8" w:rsidRPr="00E74F3B" w:rsidRDefault="00EB55D8" w:rsidP="00264902">
                <w:pPr>
                  <w:spacing w:line="201" w:lineRule="atLeast"/>
                  <w:rPr>
                    <w:rFonts w:ascii="Calibri" w:hAnsi="Calibri" w:cs="Calibri"/>
                    <w:color w:val="000000"/>
                    <w:sz w:val="21"/>
                    <w:szCs w:val="21"/>
                  </w:rPr>
                </w:pPr>
              </w:p>
              <w:p w14:paraId="234CDE8C"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1</w:t>
                </w:r>
              </w:p>
            </w:tc>
            <w:tc>
              <w:tcPr>
                <w:tcW w:w="565" w:type="pct"/>
                <w:tcBorders>
                  <w:top w:val="single" w:sz="6" w:space="0" w:color="000000"/>
                  <w:left w:val="single" w:sz="6" w:space="0" w:color="000000"/>
                  <w:bottom w:val="single" w:sz="6" w:space="0" w:color="FFFFFF"/>
                  <w:right w:val="single" w:sz="6" w:space="0" w:color="FFFFFF"/>
                </w:tcBorders>
              </w:tcPr>
              <w:p w14:paraId="57025B74" w14:textId="77777777" w:rsidR="00EB55D8" w:rsidRPr="00E74F3B" w:rsidRDefault="00EB55D8" w:rsidP="00264902">
                <w:pPr>
                  <w:spacing w:line="201" w:lineRule="atLeast"/>
                  <w:jc w:val="center"/>
                  <w:rPr>
                    <w:rFonts w:ascii="Calibri" w:hAnsi="Calibri" w:cs="Calibri"/>
                    <w:color w:val="000000"/>
                    <w:sz w:val="21"/>
                    <w:szCs w:val="21"/>
                  </w:rPr>
                </w:pPr>
              </w:p>
              <w:p w14:paraId="107B4CA2"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A1</w:t>
                </w:r>
              </w:p>
            </w:tc>
            <w:tc>
              <w:tcPr>
                <w:tcW w:w="565" w:type="pct"/>
                <w:tcBorders>
                  <w:top w:val="single" w:sz="6" w:space="0" w:color="000000"/>
                  <w:left w:val="single" w:sz="6" w:space="0" w:color="000000"/>
                  <w:bottom w:val="single" w:sz="6" w:space="0" w:color="FFFFFF"/>
                  <w:right w:val="single" w:sz="6" w:space="0" w:color="FFFFFF"/>
                </w:tcBorders>
              </w:tcPr>
              <w:p w14:paraId="65378E02" w14:textId="77777777" w:rsidR="00EB55D8" w:rsidRPr="00E74F3B" w:rsidRDefault="00EB55D8" w:rsidP="00264902">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1F4FD48C" w14:textId="77777777" w:rsidR="00EB55D8" w:rsidRPr="00E74F3B" w:rsidRDefault="00EB55D8" w:rsidP="00264902">
                <w:pPr>
                  <w:jc w:val="center"/>
                  <w:rPr>
                    <w:rFonts w:ascii="Calibri" w:hAnsi="Calibri" w:cs="Calibri"/>
                    <w:color w:val="000000"/>
                    <w:sz w:val="21"/>
                    <w:szCs w:val="21"/>
                  </w:rPr>
                </w:pPr>
              </w:p>
            </w:tc>
            <w:tc>
              <w:tcPr>
                <w:tcW w:w="590" w:type="pct"/>
                <w:tcBorders>
                  <w:top w:val="single" w:sz="6" w:space="0" w:color="000000"/>
                  <w:left w:val="single" w:sz="6" w:space="0" w:color="000000"/>
                  <w:bottom w:val="single" w:sz="6" w:space="0" w:color="FFFFFF"/>
                  <w:right w:val="single" w:sz="6" w:space="0" w:color="000000"/>
                </w:tcBorders>
              </w:tcPr>
              <w:p w14:paraId="5499AEF6" w14:textId="77777777" w:rsidR="00EB55D8" w:rsidRPr="00E74F3B" w:rsidRDefault="00EB55D8" w:rsidP="00264902">
                <w:pPr>
                  <w:jc w:val="center"/>
                  <w:rPr>
                    <w:rFonts w:ascii="Calibri" w:hAnsi="Calibri" w:cs="Calibri"/>
                    <w:color w:val="000000"/>
                    <w:sz w:val="21"/>
                    <w:szCs w:val="21"/>
                  </w:rPr>
                </w:pPr>
              </w:p>
            </w:tc>
          </w:tr>
          <w:tr w:rsidR="00EB55D8" w:rsidRPr="00B442D7" w14:paraId="2B06773B" w14:textId="77777777" w:rsidTr="00264902">
            <w:trPr>
              <w:cantSplit/>
            </w:trPr>
            <w:tc>
              <w:tcPr>
                <w:tcW w:w="2691" w:type="pct"/>
                <w:tcBorders>
                  <w:top w:val="single" w:sz="6" w:space="0" w:color="000000"/>
                  <w:left w:val="single" w:sz="6" w:space="0" w:color="000000"/>
                  <w:bottom w:val="single" w:sz="6" w:space="0" w:color="FFFFFF"/>
                  <w:right w:val="single" w:sz="6" w:space="0" w:color="FFFFFF"/>
                </w:tcBorders>
              </w:tcPr>
              <w:p w14:paraId="14F47352" w14:textId="77777777" w:rsidR="00EB55D8" w:rsidRPr="00E74F3B" w:rsidRDefault="00EB55D8" w:rsidP="00264902">
                <w:pPr>
                  <w:spacing w:line="163" w:lineRule="atLeast"/>
                  <w:rPr>
                    <w:rFonts w:ascii="Calibri" w:hAnsi="Calibri" w:cs="Calibri"/>
                    <w:color w:val="000000"/>
                    <w:sz w:val="21"/>
                    <w:szCs w:val="21"/>
                  </w:rPr>
                </w:pPr>
              </w:p>
              <w:p w14:paraId="00F8CE29"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2</w:t>
                </w:r>
              </w:p>
            </w:tc>
            <w:tc>
              <w:tcPr>
                <w:tcW w:w="565" w:type="pct"/>
                <w:tcBorders>
                  <w:top w:val="single" w:sz="6" w:space="0" w:color="000000"/>
                  <w:left w:val="single" w:sz="6" w:space="0" w:color="000000"/>
                  <w:bottom w:val="single" w:sz="6" w:space="0" w:color="FFFFFF"/>
                  <w:right w:val="single" w:sz="6" w:space="0" w:color="FFFFFF"/>
                </w:tcBorders>
              </w:tcPr>
              <w:p w14:paraId="6409A54D" w14:textId="77777777" w:rsidR="00EB55D8" w:rsidRPr="00E74F3B" w:rsidRDefault="00EB55D8" w:rsidP="00264902">
                <w:pPr>
                  <w:spacing w:line="163" w:lineRule="atLeast"/>
                  <w:jc w:val="center"/>
                  <w:rPr>
                    <w:rFonts w:ascii="Calibri" w:hAnsi="Calibri" w:cs="Calibri"/>
                    <w:color w:val="000000"/>
                    <w:sz w:val="21"/>
                    <w:szCs w:val="21"/>
                  </w:rPr>
                </w:pPr>
              </w:p>
              <w:p w14:paraId="611773D5"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A2</w:t>
                </w:r>
              </w:p>
            </w:tc>
            <w:tc>
              <w:tcPr>
                <w:tcW w:w="565" w:type="pct"/>
                <w:tcBorders>
                  <w:top w:val="single" w:sz="6" w:space="0" w:color="000000"/>
                  <w:left w:val="single" w:sz="6" w:space="0" w:color="000000"/>
                  <w:bottom w:val="single" w:sz="6" w:space="0" w:color="FFFFFF"/>
                  <w:right w:val="single" w:sz="6" w:space="0" w:color="FFFFFF"/>
                </w:tcBorders>
              </w:tcPr>
              <w:p w14:paraId="5BC39728" w14:textId="77777777" w:rsidR="00EB55D8" w:rsidRPr="00E74F3B" w:rsidRDefault="00EB55D8" w:rsidP="00264902">
                <w:pPr>
                  <w:spacing w:line="163" w:lineRule="atLeast"/>
                  <w:jc w:val="center"/>
                  <w:rPr>
                    <w:rFonts w:ascii="Calibri" w:hAnsi="Calibri" w:cs="Calibri"/>
                    <w:color w:val="000000"/>
                    <w:sz w:val="21"/>
                    <w:szCs w:val="21"/>
                  </w:rPr>
                </w:pPr>
              </w:p>
              <w:p w14:paraId="798ABF21"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B2</w:t>
                </w:r>
              </w:p>
            </w:tc>
            <w:tc>
              <w:tcPr>
                <w:tcW w:w="589" w:type="pct"/>
                <w:tcBorders>
                  <w:top w:val="single" w:sz="6" w:space="0" w:color="000000"/>
                  <w:left w:val="single" w:sz="6" w:space="0" w:color="000000"/>
                  <w:bottom w:val="single" w:sz="6" w:space="0" w:color="FFFFFF"/>
                  <w:right w:val="single" w:sz="6" w:space="0" w:color="FFFFFF"/>
                </w:tcBorders>
              </w:tcPr>
              <w:p w14:paraId="5AD360E1" w14:textId="77777777" w:rsidR="00EB55D8" w:rsidRPr="00E74F3B" w:rsidRDefault="00EB55D8" w:rsidP="00264902">
                <w:pPr>
                  <w:spacing w:line="163" w:lineRule="atLeast"/>
                  <w:jc w:val="center"/>
                  <w:rPr>
                    <w:rFonts w:ascii="Calibri" w:hAnsi="Calibri" w:cs="Calibri"/>
                    <w:color w:val="000000"/>
                    <w:sz w:val="21"/>
                    <w:szCs w:val="21"/>
                  </w:rPr>
                </w:pPr>
              </w:p>
              <w:p w14:paraId="7A38765F"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C2</w:t>
                </w:r>
              </w:p>
            </w:tc>
            <w:tc>
              <w:tcPr>
                <w:tcW w:w="590" w:type="pct"/>
                <w:tcBorders>
                  <w:top w:val="single" w:sz="6" w:space="0" w:color="000000"/>
                  <w:left w:val="single" w:sz="6" w:space="0" w:color="000000"/>
                  <w:bottom w:val="single" w:sz="6" w:space="0" w:color="FFFFFF"/>
                  <w:right w:val="single" w:sz="6" w:space="0" w:color="000000"/>
                </w:tcBorders>
              </w:tcPr>
              <w:p w14:paraId="63220429" w14:textId="77777777" w:rsidR="00EB55D8" w:rsidRPr="00E74F3B" w:rsidRDefault="00EB55D8" w:rsidP="00264902">
                <w:pPr>
                  <w:jc w:val="center"/>
                  <w:rPr>
                    <w:rFonts w:ascii="Calibri" w:hAnsi="Calibri" w:cs="Calibri"/>
                    <w:color w:val="000000"/>
                    <w:sz w:val="21"/>
                    <w:szCs w:val="21"/>
                  </w:rPr>
                </w:pPr>
              </w:p>
            </w:tc>
          </w:tr>
          <w:tr w:rsidR="00EB55D8" w:rsidRPr="00B442D7" w14:paraId="2BAE1573" w14:textId="77777777" w:rsidTr="00264902">
            <w:trPr>
              <w:cantSplit/>
            </w:trPr>
            <w:tc>
              <w:tcPr>
                <w:tcW w:w="2691" w:type="pct"/>
                <w:tcBorders>
                  <w:top w:val="single" w:sz="6" w:space="0" w:color="000000"/>
                  <w:left w:val="single" w:sz="6" w:space="0" w:color="000000"/>
                  <w:bottom w:val="single" w:sz="6" w:space="0" w:color="FFFFFF"/>
                  <w:right w:val="single" w:sz="6" w:space="0" w:color="FFFFFF"/>
                </w:tcBorders>
              </w:tcPr>
              <w:p w14:paraId="3218E036" w14:textId="77777777" w:rsidR="00EB55D8" w:rsidRPr="00E74F3B" w:rsidRDefault="00EB55D8" w:rsidP="00264902">
                <w:pPr>
                  <w:spacing w:line="163" w:lineRule="atLeast"/>
                  <w:rPr>
                    <w:rFonts w:ascii="Calibri" w:hAnsi="Calibri" w:cs="Calibri"/>
                    <w:color w:val="000000"/>
                    <w:sz w:val="21"/>
                    <w:szCs w:val="21"/>
                  </w:rPr>
                </w:pPr>
              </w:p>
              <w:p w14:paraId="7F5E3FEB"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3</w:t>
                </w:r>
              </w:p>
            </w:tc>
            <w:tc>
              <w:tcPr>
                <w:tcW w:w="565" w:type="pct"/>
                <w:tcBorders>
                  <w:top w:val="single" w:sz="6" w:space="0" w:color="000000"/>
                  <w:left w:val="single" w:sz="6" w:space="0" w:color="000000"/>
                  <w:bottom w:val="single" w:sz="6" w:space="0" w:color="FFFFFF"/>
                  <w:right w:val="single" w:sz="6" w:space="0" w:color="FFFFFF"/>
                </w:tcBorders>
              </w:tcPr>
              <w:p w14:paraId="5DC72570" w14:textId="77777777" w:rsidR="00EB55D8" w:rsidRPr="00E74F3B" w:rsidRDefault="00EB55D8" w:rsidP="00264902">
                <w:pPr>
                  <w:spacing w:line="163" w:lineRule="atLeast"/>
                  <w:jc w:val="center"/>
                  <w:rPr>
                    <w:rFonts w:ascii="Calibri" w:hAnsi="Calibri" w:cs="Calibri"/>
                    <w:color w:val="000000"/>
                    <w:sz w:val="21"/>
                    <w:szCs w:val="21"/>
                  </w:rPr>
                </w:pPr>
              </w:p>
              <w:p w14:paraId="3BF41853"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A3</w:t>
                </w:r>
              </w:p>
            </w:tc>
            <w:tc>
              <w:tcPr>
                <w:tcW w:w="565" w:type="pct"/>
                <w:tcBorders>
                  <w:top w:val="single" w:sz="6" w:space="0" w:color="000000"/>
                  <w:left w:val="single" w:sz="6" w:space="0" w:color="000000"/>
                  <w:bottom w:val="single" w:sz="6" w:space="0" w:color="FFFFFF"/>
                  <w:right w:val="single" w:sz="6" w:space="0" w:color="FFFFFF"/>
                </w:tcBorders>
              </w:tcPr>
              <w:p w14:paraId="1E55EB71" w14:textId="77777777" w:rsidR="00EB55D8" w:rsidRPr="00E74F3B" w:rsidRDefault="00EB55D8" w:rsidP="00264902">
                <w:pPr>
                  <w:spacing w:line="163" w:lineRule="atLeast"/>
                  <w:jc w:val="center"/>
                  <w:rPr>
                    <w:rFonts w:ascii="Calibri" w:hAnsi="Calibri" w:cs="Calibri"/>
                    <w:color w:val="000000"/>
                    <w:sz w:val="21"/>
                    <w:szCs w:val="21"/>
                  </w:rPr>
                </w:pPr>
              </w:p>
              <w:p w14:paraId="613605DF"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B3</w:t>
                </w:r>
              </w:p>
            </w:tc>
            <w:tc>
              <w:tcPr>
                <w:tcW w:w="589" w:type="pct"/>
                <w:tcBorders>
                  <w:top w:val="single" w:sz="6" w:space="0" w:color="000000"/>
                  <w:left w:val="single" w:sz="6" w:space="0" w:color="000000"/>
                  <w:bottom w:val="single" w:sz="6" w:space="0" w:color="FFFFFF"/>
                  <w:right w:val="single" w:sz="6" w:space="0" w:color="FFFFFF"/>
                </w:tcBorders>
              </w:tcPr>
              <w:p w14:paraId="708C2236" w14:textId="77777777" w:rsidR="00EB55D8" w:rsidRPr="00E74F3B" w:rsidRDefault="00EB55D8" w:rsidP="00264902">
                <w:pPr>
                  <w:spacing w:line="163" w:lineRule="atLeast"/>
                  <w:jc w:val="center"/>
                  <w:rPr>
                    <w:rFonts w:ascii="Calibri" w:hAnsi="Calibri" w:cs="Calibri"/>
                    <w:color w:val="000000"/>
                    <w:sz w:val="21"/>
                    <w:szCs w:val="21"/>
                  </w:rPr>
                </w:pPr>
              </w:p>
              <w:p w14:paraId="4B096887"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C3</w:t>
                </w:r>
              </w:p>
            </w:tc>
            <w:tc>
              <w:tcPr>
                <w:tcW w:w="590" w:type="pct"/>
                <w:tcBorders>
                  <w:top w:val="single" w:sz="6" w:space="0" w:color="000000"/>
                  <w:left w:val="single" w:sz="6" w:space="0" w:color="000000"/>
                  <w:bottom w:val="single" w:sz="6" w:space="0" w:color="FFFFFF"/>
                  <w:right w:val="single" w:sz="6" w:space="0" w:color="000000"/>
                </w:tcBorders>
              </w:tcPr>
              <w:p w14:paraId="42FBE713" w14:textId="77777777" w:rsidR="00EB55D8" w:rsidRPr="00E74F3B" w:rsidRDefault="00EB55D8" w:rsidP="00264902">
                <w:pPr>
                  <w:spacing w:line="163" w:lineRule="atLeast"/>
                  <w:jc w:val="center"/>
                  <w:rPr>
                    <w:rFonts w:ascii="Calibri" w:hAnsi="Calibri" w:cs="Calibri"/>
                    <w:color w:val="000000"/>
                    <w:sz w:val="21"/>
                    <w:szCs w:val="21"/>
                  </w:rPr>
                </w:pPr>
              </w:p>
              <w:p w14:paraId="54DC8A2F"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D3</w:t>
                </w:r>
              </w:p>
            </w:tc>
          </w:tr>
          <w:tr w:rsidR="00EB55D8" w:rsidRPr="00B442D7" w14:paraId="329BFA7C" w14:textId="77777777" w:rsidTr="00264902">
            <w:trPr>
              <w:cantSplit/>
            </w:trPr>
            <w:tc>
              <w:tcPr>
                <w:tcW w:w="2691" w:type="pct"/>
                <w:tcBorders>
                  <w:top w:val="single" w:sz="6" w:space="0" w:color="000000"/>
                  <w:left w:val="single" w:sz="6" w:space="0" w:color="000000"/>
                  <w:bottom w:val="single" w:sz="6" w:space="0" w:color="FFFFFF"/>
                  <w:right w:val="single" w:sz="6" w:space="0" w:color="FFFFFF"/>
                </w:tcBorders>
              </w:tcPr>
              <w:p w14:paraId="5079B797" w14:textId="77777777" w:rsidR="00EB55D8" w:rsidRPr="00E74F3B" w:rsidRDefault="00EB55D8" w:rsidP="00264902">
                <w:pPr>
                  <w:spacing w:line="163" w:lineRule="atLeast"/>
                  <w:rPr>
                    <w:rFonts w:ascii="Calibri" w:hAnsi="Calibri" w:cs="Calibri"/>
                    <w:color w:val="000000"/>
                    <w:sz w:val="21"/>
                    <w:szCs w:val="21"/>
                  </w:rPr>
                </w:pPr>
              </w:p>
              <w:p w14:paraId="6884FB63"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4</w:t>
                </w:r>
              </w:p>
            </w:tc>
            <w:tc>
              <w:tcPr>
                <w:tcW w:w="565" w:type="pct"/>
                <w:tcBorders>
                  <w:top w:val="single" w:sz="6" w:space="0" w:color="000000"/>
                  <w:left w:val="single" w:sz="6" w:space="0" w:color="000000"/>
                  <w:bottom w:val="single" w:sz="6" w:space="0" w:color="FFFFFF"/>
                  <w:right w:val="single" w:sz="6" w:space="0" w:color="FFFFFF"/>
                </w:tcBorders>
              </w:tcPr>
              <w:p w14:paraId="50ACF582" w14:textId="77777777" w:rsidR="00EB55D8" w:rsidRPr="00E74F3B" w:rsidRDefault="00EB55D8" w:rsidP="00264902">
                <w:pPr>
                  <w:spacing w:line="163" w:lineRule="atLeast"/>
                  <w:jc w:val="center"/>
                  <w:rPr>
                    <w:rFonts w:ascii="Calibri" w:hAnsi="Calibri" w:cs="Calibri"/>
                    <w:color w:val="000000"/>
                    <w:sz w:val="21"/>
                    <w:szCs w:val="21"/>
                  </w:rPr>
                </w:pPr>
              </w:p>
              <w:p w14:paraId="16534F53"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A4</w:t>
                </w:r>
              </w:p>
            </w:tc>
            <w:tc>
              <w:tcPr>
                <w:tcW w:w="565" w:type="pct"/>
                <w:tcBorders>
                  <w:top w:val="single" w:sz="6" w:space="0" w:color="000000"/>
                  <w:left w:val="single" w:sz="6" w:space="0" w:color="000000"/>
                  <w:bottom w:val="single" w:sz="6" w:space="0" w:color="FFFFFF"/>
                  <w:right w:val="single" w:sz="6" w:space="0" w:color="FFFFFF"/>
                </w:tcBorders>
              </w:tcPr>
              <w:p w14:paraId="1516E77D" w14:textId="77777777" w:rsidR="00EB55D8" w:rsidRPr="00E74F3B" w:rsidRDefault="00EB55D8" w:rsidP="00264902">
                <w:pPr>
                  <w:spacing w:line="163" w:lineRule="atLeast"/>
                  <w:jc w:val="center"/>
                  <w:rPr>
                    <w:rFonts w:ascii="Calibri" w:hAnsi="Calibri" w:cs="Calibri"/>
                    <w:color w:val="000000"/>
                    <w:sz w:val="21"/>
                    <w:szCs w:val="21"/>
                  </w:rPr>
                </w:pPr>
              </w:p>
              <w:p w14:paraId="2ABB7310"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B4</w:t>
                </w:r>
              </w:p>
            </w:tc>
            <w:tc>
              <w:tcPr>
                <w:tcW w:w="589" w:type="pct"/>
                <w:tcBorders>
                  <w:top w:val="single" w:sz="6" w:space="0" w:color="000000"/>
                  <w:left w:val="single" w:sz="6" w:space="0" w:color="000000"/>
                  <w:bottom w:val="single" w:sz="6" w:space="0" w:color="FFFFFF"/>
                  <w:right w:val="single" w:sz="6" w:space="0" w:color="FFFFFF"/>
                </w:tcBorders>
              </w:tcPr>
              <w:p w14:paraId="7439FFAE" w14:textId="77777777" w:rsidR="00EB55D8" w:rsidRPr="00E74F3B" w:rsidRDefault="00EB55D8" w:rsidP="00264902">
                <w:pPr>
                  <w:spacing w:line="163" w:lineRule="atLeast"/>
                  <w:jc w:val="center"/>
                  <w:rPr>
                    <w:rFonts w:ascii="Calibri" w:hAnsi="Calibri" w:cs="Calibri"/>
                    <w:color w:val="000000"/>
                    <w:sz w:val="21"/>
                    <w:szCs w:val="21"/>
                  </w:rPr>
                </w:pPr>
              </w:p>
              <w:p w14:paraId="7012B25D"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C4</w:t>
                </w:r>
              </w:p>
            </w:tc>
            <w:tc>
              <w:tcPr>
                <w:tcW w:w="590" w:type="pct"/>
                <w:tcBorders>
                  <w:top w:val="single" w:sz="6" w:space="0" w:color="000000"/>
                  <w:left w:val="single" w:sz="6" w:space="0" w:color="000000"/>
                  <w:bottom w:val="single" w:sz="6" w:space="0" w:color="FFFFFF"/>
                  <w:right w:val="single" w:sz="6" w:space="0" w:color="000000"/>
                </w:tcBorders>
              </w:tcPr>
              <w:p w14:paraId="1851993E" w14:textId="77777777" w:rsidR="00EB55D8" w:rsidRPr="00E74F3B" w:rsidRDefault="00EB55D8" w:rsidP="00264902">
                <w:pPr>
                  <w:spacing w:line="163" w:lineRule="atLeast"/>
                  <w:jc w:val="center"/>
                  <w:rPr>
                    <w:rFonts w:ascii="Calibri" w:hAnsi="Calibri" w:cs="Calibri"/>
                    <w:color w:val="000000"/>
                    <w:sz w:val="21"/>
                    <w:szCs w:val="21"/>
                  </w:rPr>
                </w:pPr>
              </w:p>
              <w:p w14:paraId="0D7091F4"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D4</w:t>
                </w:r>
              </w:p>
            </w:tc>
          </w:tr>
          <w:tr w:rsidR="00EB55D8" w:rsidRPr="00B442D7" w14:paraId="61D607F4" w14:textId="77777777" w:rsidTr="00264902">
            <w:trPr>
              <w:cantSplit/>
            </w:trPr>
            <w:tc>
              <w:tcPr>
                <w:tcW w:w="2691" w:type="pct"/>
                <w:tcBorders>
                  <w:top w:val="single" w:sz="6" w:space="0" w:color="000000"/>
                  <w:left w:val="single" w:sz="6" w:space="0" w:color="000000"/>
                  <w:bottom w:val="single" w:sz="6" w:space="0" w:color="FFFFFF"/>
                  <w:right w:val="single" w:sz="6" w:space="0" w:color="FFFFFF"/>
                </w:tcBorders>
              </w:tcPr>
              <w:p w14:paraId="24E52D68" w14:textId="77777777" w:rsidR="00EB55D8" w:rsidRPr="00E74F3B" w:rsidRDefault="00EB55D8" w:rsidP="00264902">
                <w:pPr>
                  <w:spacing w:line="163" w:lineRule="atLeast"/>
                  <w:rPr>
                    <w:rFonts w:ascii="Calibri" w:hAnsi="Calibri" w:cs="Calibri"/>
                    <w:color w:val="000000"/>
                    <w:sz w:val="21"/>
                    <w:szCs w:val="21"/>
                  </w:rPr>
                </w:pPr>
              </w:p>
              <w:p w14:paraId="070BB7C4"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5</w:t>
                </w:r>
              </w:p>
            </w:tc>
            <w:tc>
              <w:tcPr>
                <w:tcW w:w="565" w:type="pct"/>
                <w:tcBorders>
                  <w:top w:val="single" w:sz="6" w:space="0" w:color="000000"/>
                  <w:left w:val="single" w:sz="6" w:space="0" w:color="000000"/>
                  <w:bottom w:val="single" w:sz="6" w:space="0" w:color="FFFFFF"/>
                  <w:right w:val="single" w:sz="6" w:space="0" w:color="FFFFFF"/>
                </w:tcBorders>
              </w:tcPr>
              <w:p w14:paraId="67958A88" w14:textId="77777777" w:rsidR="00EB55D8" w:rsidRPr="00E74F3B" w:rsidRDefault="00EB55D8" w:rsidP="00264902">
                <w:pPr>
                  <w:jc w:val="cente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6EF06350" w14:textId="77777777" w:rsidR="00EB55D8" w:rsidRPr="00E74F3B" w:rsidRDefault="00EB55D8" w:rsidP="00264902">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171EE116" w14:textId="77777777" w:rsidR="00EB55D8" w:rsidRPr="00E74F3B" w:rsidRDefault="00EB55D8" w:rsidP="00264902">
                <w:pPr>
                  <w:spacing w:line="163" w:lineRule="atLeast"/>
                  <w:jc w:val="center"/>
                  <w:rPr>
                    <w:rFonts w:ascii="Calibri" w:hAnsi="Calibri" w:cs="Calibri"/>
                    <w:color w:val="000000"/>
                    <w:sz w:val="21"/>
                    <w:szCs w:val="21"/>
                  </w:rPr>
                </w:pPr>
              </w:p>
              <w:p w14:paraId="16ADC78F"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C5</w:t>
                </w:r>
              </w:p>
            </w:tc>
            <w:tc>
              <w:tcPr>
                <w:tcW w:w="590" w:type="pct"/>
                <w:tcBorders>
                  <w:top w:val="single" w:sz="6" w:space="0" w:color="000000"/>
                  <w:left w:val="single" w:sz="6" w:space="0" w:color="000000"/>
                  <w:bottom w:val="single" w:sz="6" w:space="0" w:color="FFFFFF"/>
                  <w:right w:val="single" w:sz="6" w:space="0" w:color="000000"/>
                </w:tcBorders>
              </w:tcPr>
              <w:p w14:paraId="23CD8621" w14:textId="77777777" w:rsidR="00EB55D8" w:rsidRPr="00E74F3B" w:rsidRDefault="00EB55D8" w:rsidP="00264902">
                <w:pPr>
                  <w:spacing w:line="163" w:lineRule="atLeast"/>
                  <w:jc w:val="center"/>
                  <w:rPr>
                    <w:rFonts w:ascii="Calibri" w:hAnsi="Calibri" w:cs="Calibri"/>
                    <w:color w:val="000000"/>
                    <w:sz w:val="21"/>
                    <w:szCs w:val="21"/>
                  </w:rPr>
                </w:pPr>
              </w:p>
              <w:p w14:paraId="1E9F56EA"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D5</w:t>
                </w:r>
              </w:p>
            </w:tc>
          </w:tr>
          <w:tr w:rsidR="00EB55D8" w:rsidRPr="00B442D7" w14:paraId="6C210176" w14:textId="77777777" w:rsidTr="00264902">
            <w:trPr>
              <w:cantSplit/>
            </w:trPr>
            <w:tc>
              <w:tcPr>
                <w:tcW w:w="2691" w:type="pct"/>
                <w:tcBorders>
                  <w:top w:val="single" w:sz="6" w:space="0" w:color="000000"/>
                  <w:left w:val="single" w:sz="6" w:space="0" w:color="000000"/>
                  <w:bottom w:val="single" w:sz="6" w:space="0" w:color="FFFFFF"/>
                  <w:right w:val="single" w:sz="6" w:space="0" w:color="FFFFFF"/>
                </w:tcBorders>
              </w:tcPr>
              <w:p w14:paraId="6AFBF747" w14:textId="77777777" w:rsidR="00EB55D8" w:rsidRPr="00E74F3B" w:rsidRDefault="00EB55D8" w:rsidP="00264902">
                <w:pPr>
                  <w:spacing w:line="163" w:lineRule="atLeast"/>
                  <w:rPr>
                    <w:rFonts w:ascii="Calibri" w:hAnsi="Calibri" w:cs="Calibri"/>
                    <w:color w:val="000000"/>
                    <w:sz w:val="21"/>
                    <w:szCs w:val="21"/>
                  </w:rPr>
                </w:pPr>
              </w:p>
              <w:p w14:paraId="5F4A3E40"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6</w:t>
                </w:r>
              </w:p>
            </w:tc>
            <w:tc>
              <w:tcPr>
                <w:tcW w:w="565" w:type="pct"/>
                <w:tcBorders>
                  <w:top w:val="single" w:sz="6" w:space="0" w:color="000000"/>
                  <w:left w:val="single" w:sz="6" w:space="0" w:color="000000"/>
                  <w:bottom w:val="single" w:sz="6" w:space="0" w:color="FFFFFF"/>
                  <w:right w:val="single" w:sz="6" w:space="0" w:color="FFFFFF"/>
                </w:tcBorders>
              </w:tcPr>
              <w:p w14:paraId="3E4306F9" w14:textId="77777777" w:rsidR="00EB55D8" w:rsidRPr="00E74F3B" w:rsidRDefault="00EB55D8" w:rsidP="00264902">
                <w:pPr>
                  <w:jc w:val="cente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2C6F639D" w14:textId="77777777" w:rsidR="00EB55D8" w:rsidRPr="00E74F3B" w:rsidRDefault="00EB55D8" w:rsidP="00264902">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484D39C1" w14:textId="77777777" w:rsidR="00EB55D8" w:rsidRPr="00E74F3B" w:rsidRDefault="00EB55D8" w:rsidP="00264902">
                <w:pPr>
                  <w:jc w:val="center"/>
                  <w:rPr>
                    <w:rFonts w:ascii="Calibri" w:hAnsi="Calibri" w:cs="Calibri"/>
                    <w:color w:val="000000"/>
                    <w:sz w:val="21"/>
                    <w:szCs w:val="21"/>
                  </w:rPr>
                </w:pPr>
              </w:p>
            </w:tc>
            <w:tc>
              <w:tcPr>
                <w:tcW w:w="590" w:type="pct"/>
                <w:tcBorders>
                  <w:top w:val="single" w:sz="6" w:space="0" w:color="000000"/>
                  <w:left w:val="single" w:sz="6" w:space="0" w:color="000000"/>
                  <w:bottom w:val="single" w:sz="6" w:space="0" w:color="FFFFFF"/>
                  <w:right w:val="single" w:sz="6" w:space="0" w:color="000000"/>
                </w:tcBorders>
              </w:tcPr>
              <w:p w14:paraId="55AD7209" w14:textId="77777777" w:rsidR="00EB55D8" w:rsidRPr="00E74F3B" w:rsidRDefault="00EB55D8" w:rsidP="00264902">
                <w:pPr>
                  <w:spacing w:line="163" w:lineRule="atLeast"/>
                  <w:jc w:val="center"/>
                  <w:rPr>
                    <w:rFonts w:ascii="Calibri" w:hAnsi="Calibri" w:cs="Calibri"/>
                    <w:color w:val="000000"/>
                    <w:sz w:val="21"/>
                    <w:szCs w:val="21"/>
                  </w:rPr>
                </w:pPr>
              </w:p>
              <w:p w14:paraId="79FCA3B3"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D6</w:t>
                </w:r>
              </w:p>
            </w:tc>
          </w:tr>
          <w:tr w:rsidR="00EB55D8" w:rsidRPr="00B442D7" w14:paraId="3D4782AA" w14:textId="77777777" w:rsidTr="00264902">
            <w:trPr>
              <w:cantSplit/>
            </w:trPr>
            <w:tc>
              <w:tcPr>
                <w:tcW w:w="2691" w:type="pct"/>
                <w:tcBorders>
                  <w:top w:val="single" w:sz="6" w:space="0" w:color="000000"/>
                  <w:left w:val="single" w:sz="6" w:space="0" w:color="000000"/>
                  <w:bottom w:val="single" w:sz="6" w:space="0" w:color="000000"/>
                  <w:right w:val="single" w:sz="6" w:space="0" w:color="FFFFFF"/>
                </w:tcBorders>
              </w:tcPr>
              <w:p w14:paraId="4941FA63" w14:textId="77777777" w:rsidR="00EB55D8" w:rsidRPr="00E74F3B" w:rsidRDefault="00EB55D8" w:rsidP="00264902">
                <w:pPr>
                  <w:spacing w:line="163" w:lineRule="atLeast"/>
                  <w:rPr>
                    <w:rFonts w:ascii="Calibri" w:hAnsi="Calibri" w:cs="Calibri"/>
                    <w:color w:val="000000"/>
                    <w:sz w:val="21"/>
                    <w:szCs w:val="21"/>
                  </w:rPr>
                </w:pPr>
              </w:p>
              <w:p w14:paraId="032F7ED0"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X</w:t>
                </w:r>
              </w:p>
            </w:tc>
            <w:tc>
              <w:tcPr>
                <w:tcW w:w="565" w:type="pct"/>
                <w:tcBorders>
                  <w:top w:val="single" w:sz="6" w:space="0" w:color="000000"/>
                  <w:left w:val="single" w:sz="6" w:space="0" w:color="000000"/>
                  <w:bottom w:val="single" w:sz="6" w:space="0" w:color="000000"/>
                  <w:right w:val="single" w:sz="6" w:space="0" w:color="FFFFFF"/>
                </w:tcBorders>
              </w:tcPr>
              <w:p w14:paraId="502092AE" w14:textId="77777777" w:rsidR="00EB55D8" w:rsidRPr="00E74F3B" w:rsidRDefault="00EB55D8" w:rsidP="00264902">
                <w:pPr>
                  <w:spacing w:line="163" w:lineRule="atLeast"/>
                  <w:jc w:val="center"/>
                  <w:rPr>
                    <w:rFonts w:ascii="Calibri" w:hAnsi="Calibri" w:cs="Calibri"/>
                    <w:color w:val="000000"/>
                    <w:sz w:val="21"/>
                    <w:szCs w:val="21"/>
                  </w:rPr>
                </w:pPr>
              </w:p>
              <w:p w14:paraId="0CA801FF"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AX</w:t>
                </w:r>
              </w:p>
            </w:tc>
            <w:tc>
              <w:tcPr>
                <w:tcW w:w="565" w:type="pct"/>
                <w:tcBorders>
                  <w:top w:val="single" w:sz="6" w:space="0" w:color="000000"/>
                  <w:left w:val="single" w:sz="6" w:space="0" w:color="000000"/>
                  <w:bottom w:val="single" w:sz="6" w:space="0" w:color="000000"/>
                  <w:right w:val="single" w:sz="6" w:space="0" w:color="FFFFFF"/>
                </w:tcBorders>
              </w:tcPr>
              <w:p w14:paraId="24614385" w14:textId="77777777" w:rsidR="00EB55D8" w:rsidRPr="00E74F3B" w:rsidRDefault="00EB55D8" w:rsidP="00264902">
                <w:pPr>
                  <w:spacing w:line="163" w:lineRule="atLeast"/>
                  <w:jc w:val="center"/>
                  <w:rPr>
                    <w:rFonts w:ascii="Calibri" w:hAnsi="Calibri" w:cs="Calibri"/>
                    <w:color w:val="000000"/>
                    <w:sz w:val="21"/>
                    <w:szCs w:val="21"/>
                  </w:rPr>
                </w:pPr>
              </w:p>
              <w:p w14:paraId="4267FB6A"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BX</w:t>
                </w:r>
              </w:p>
            </w:tc>
            <w:tc>
              <w:tcPr>
                <w:tcW w:w="589" w:type="pct"/>
                <w:tcBorders>
                  <w:top w:val="single" w:sz="6" w:space="0" w:color="000000"/>
                  <w:left w:val="single" w:sz="6" w:space="0" w:color="000000"/>
                  <w:bottom w:val="single" w:sz="6" w:space="0" w:color="000000"/>
                  <w:right w:val="single" w:sz="6" w:space="0" w:color="FFFFFF"/>
                </w:tcBorders>
              </w:tcPr>
              <w:p w14:paraId="2A24F0E5" w14:textId="77777777" w:rsidR="00EB55D8" w:rsidRPr="00E74F3B" w:rsidRDefault="00EB55D8" w:rsidP="00264902">
                <w:pPr>
                  <w:spacing w:line="163" w:lineRule="atLeast"/>
                  <w:jc w:val="center"/>
                  <w:rPr>
                    <w:rFonts w:ascii="Calibri" w:hAnsi="Calibri" w:cs="Calibri"/>
                    <w:color w:val="000000"/>
                    <w:sz w:val="21"/>
                    <w:szCs w:val="21"/>
                  </w:rPr>
                </w:pPr>
              </w:p>
              <w:p w14:paraId="663A3D6F"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CX</w:t>
                </w:r>
              </w:p>
            </w:tc>
            <w:tc>
              <w:tcPr>
                <w:tcW w:w="590" w:type="pct"/>
                <w:tcBorders>
                  <w:top w:val="single" w:sz="6" w:space="0" w:color="000000"/>
                  <w:left w:val="single" w:sz="6" w:space="0" w:color="000000"/>
                  <w:bottom w:val="single" w:sz="6" w:space="0" w:color="000000"/>
                  <w:right w:val="single" w:sz="6" w:space="0" w:color="000000"/>
                </w:tcBorders>
              </w:tcPr>
              <w:p w14:paraId="6353A6A9" w14:textId="77777777" w:rsidR="00EB55D8" w:rsidRPr="00E74F3B" w:rsidRDefault="00EB55D8" w:rsidP="00264902">
                <w:pPr>
                  <w:spacing w:line="163" w:lineRule="atLeast"/>
                  <w:jc w:val="center"/>
                  <w:rPr>
                    <w:rFonts w:ascii="Calibri" w:hAnsi="Calibri" w:cs="Calibri"/>
                    <w:color w:val="000000"/>
                    <w:sz w:val="21"/>
                    <w:szCs w:val="21"/>
                  </w:rPr>
                </w:pPr>
              </w:p>
              <w:p w14:paraId="1B2D8B59" w14:textId="77777777" w:rsidR="00EB55D8" w:rsidRPr="00E74F3B" w:rsidRDefault="00EB55D8" w:rsidP="00264902">
                <w:pPr>
                  <w:jc w:val="center"/>
                  <w:rPr>
                    <w:rFonts w:ascii="Calibri" w:hAnsi="Calibri" w:cs="Calibri"/>
                    <w:color w:val="000000"/>
                    <w:sz w:val="21"/>
                    <w:szCs w:val="21"/>
                  </w:rPr>
                </w:pPr>
                <w:r w:rsidRPr="00E74F3B">
                  <w:rPr>
                    <w:rFonts w:ascii="Calibri" w:hAnsi="Calibri" w:cs="Calibri"/>
                    <w:color w:val="000000"/>
                    <w:sz w:val="21"/>
                    <w:szCs w:val="21"/>
                  </w:rPr>
                  <w:t>DX</w:t>
                </w:r>
              </w:p>
            </w:tc>
          </w:tr>
        </w:tbl>
        <w:p w14:paraId="7B6C8979" w14:textId="77777777" w:rsidR="00EB55D8" w:rsidRPr="00B442D7" w:rsidRDefault="00EB55D8" w:rsidP="00EB55D8">
          <w:pPr>
            <w:jc w:val="both"/>
            <w:rPr>
              <w:rFonts w:ascii="Calibri" w:eastAsia="Calibri" w:hAnsi="Calibri" w:cs="Calibri"/>
              <w:lang w:val="en-GB"/>
            </w:rPr>
          </w:pPr>
        </w:p>
        <w:p w14:paraId="0DE2DF5F" w14:textId="77777777" w:rsidR="00EB55D8" w:rsidRPr="003E3FE8" w:rsidRDefault="00EB55D8" w:rsidP="00EB55D8">
          <w:pPr>
            <w:pStyle w:val="Bodynumbercopy"/>
            <w:spacing w:line="240" w:lineRule="auto"/>
            <w:rPr>
              <w:rFonts w:eastAsia="Calibri"/>
              <w:lang w:val="en-GB"/>
            </w:rPr>
          </w:pPr>
          <w:r w:rsidRPr="00B442D7">
            <w:rPr>
              <w:rFonts w:eastAsia="Calibri"/>
              <w:lang w:val="en-GB"/>
            </w:rPr>
            <w:t>As shown in the table above, certain reliability and accuracy band combinations are considered to be incompatible – for example, D1 or D2.</w:t>
          </w:r>
        </w:p>
        <w:p w14:paraId="6DA3D3C5" w14:textId="649E5472" w:rsidR="00EF1CB4" w:rsidRPr="00EF1CB4" w:rsidRDefault="00EB55D8" w:rsidP="00EF1CB4">
          <w:pPr>
            <w:pStyle w:val="Bodynumbercopy"/>
            <w:spacing w:line="240" w:lineRule="auto"/>
            <w:rPr>
              <w:rFonts w:eastAsia="Calibri"/>
              <w:lang w:val="en-GB"/>
            </w:rPr>
          </w:pPr>
          <w:r w:rsidRPr="00B442D7">
            <w:rPr>
              <w:rFonts w:eastAsia="Calibri"/>
              <w:lang w:val="en-GB"/>
            </w:rPr>
            <w:t>When selecting a confidence grade from the drop-down boxes provided in the template, it would be appreciated if each Local Authority could add explanatory comments for responses with lower confidence levels in the Comments field.</w:t>
          </w:r>
        </w:p>
        <w:p w14:paraId="094CB55A" w14:textId="325DFC55" w:rsidR="00EF1CB4" w:rsidRDefault="006E018E" w:rsidP="00EF1CB4">
          <w:pPr>
            <w:pStyle w:val="Title1"/>
          </w:pPr>
          <w:r>
            <w:lastRenderedPageBreak/>
            <w:t>GLOSSARY</w:t>
          </w:r>
        </w:p>
        <w:tbl>
          <w:tblPr>
            <w:tblStyle w:val="TableGrid"/>
            <w:tblW w:w="0" w:type="auto"/>
            <w:tblLook w:val="04A0" w:firstRow="1" w:lastRow="0" w:firstColumn="1" w:lastColumn="0" w:noHBand="0" w:noVBand="1"/>
          </w:tblPr>
          <w:tblGrid>
            <w:gridCol w:w="3779"/>
            <w:gridCol w:w="3779"/>
          </w:tblGrid>
          <w:tr w:rsidR="00EF1CB4" w14:paraId="29D95416" w14:textId="77777777" w:rsidTr="006E018E">
            <w:tc>
              <w:tcPr>
                <w:tcW w:w="3779" w:type="dxa"/>
              </w:tcPr>
              <w:p w14:paraId="5ED5FF1B" w14:textId="77777777" w:rsidR="00EF1CB4" w:rsidRPr="00EF1CB4" w:rsidRDefault="00EF1CB4" w:rsidP="006E018E">
                <w:pPr>
                  <w:pStyle w:val="Bodyromannumerals"/>
                  <w:rPr>
                    <w:b/>
                    <w:bCs/>
                  </w:rPr>
                </w:pPr>
                <w:r w:rsidRPr="00EF1CB4">
                  <w:rPr>
                    <w:b/>
                    <w:bCs/>
                  </w:rPr>
                  <w:t>MAVs</w:t>
                </w:r>
              </w:p>
            </w:tc>
            <w:tc>
              <w:tcPr>
                <w:tcW w:w="3779" w:type="dxa"/>
              </w:tcPr>
              <w:p w14:paraId="52A89E9A" w14:textId="77777777" w:rsidR="00EF1CB4" w:rsidRPr="00EB4EF2" w:rsidRDefault="00EF1CB4" w:rsidP="006E018E">
                <w:pPr>
                  <w:pStyle w:val="Bodyromannumerals"/>
                </w:pPr>
                <w:r w:rsidRPr="00EB4EF2">
                  <w:t>Maximum allowed values</w:t>
                </w:r>
              </w:p>
            </w:tc>
          </w:tr>
          <w:tr w:rsidR="00EF1CB4" w14:paraId="78BD2755" w14:textId="77777777" w:rsidTr="006E018E">
            <w:tc>
              <w:tcPr>
                <w:tcW w:w="3779" w:type="dxa"/>
              </w:tcPr>
              <w:p w14:paraId="117B972D" w14:textId="77777777" w:rsidR="00EF1CB4" w:rsidRPr="00EF1CB4" w:rsidRDefault="00EF1CB4" w:rsidP="006E018E">
                <w:pPr>
                  <w:pStyle w:val="Bodyromannumerals"/>
                  <w:rPr>
                    <w:b/>
                    <w:bCs/>
                  </w:rPr>
                </w:pPr>
                <w:r w:rsidRPr="00EF1CB4">
                  <w:rPr>
                    <w:b/>
                    <w:bCs/>
                  </w:rPr>
                  <w:t>THMs</w:t>
                </w:r>
              </w:p>
            </w:tc>
            <w:tc>
              <w:tcPr>
                <w:tcW w:w="3779" w:type="dxa"/>
              </w:tcPr>
              <w:p w14:paraId="4D636241" w14:textId="77777777" w:rsidR="00EF1CB4" w:rsidRDefault="00EF1CB4" w:rsidP="006E018E">
                <w:pPr>
                  <w:pStyle w:val="Bodyromannumerals"/>
                </w:pPr>
                <w:r>
                  <w:t>Trihalomethanes</w:t>
                </w:r>
              </w:p>
            </w:tc>
          </w:tr>
          <w:tr w:rsidR="00EF1CB4" w14:paraId="75E2675C" w14:textId="77777777" w:rsidTr="006E018E">
            <w:tc>
              <w:tcPr>
                <w:tcW w:w="3779" w:type="dxa"/>
              </w:tcPr>
              <w:p w14:paraId="0B9AF246" w14:textId="77777777" w:rsidR="00EF1CB4" w:rsidRPr="00EF1CB4" w:rsidRDefault="00EF1CB4" w:rsidP="006E018E">
                <w:pPr>
                  <w:pStyle w:val="Bodyromannumerals"/>
                  <w:rPr>
                    <w:b/>
                    <w:bCs/>
                  </w:rPr>
                </w:pPr>
                <w:r w:rsidRPr="00EF1CB4">
                  <w:rPr>
                    <w:b/>
                    <w:bCs/>
                  </w:rPr>
                  <w:t>PCV</w:t>
                </w:r>
              </w:p>
            </w:tc>
            <w:tc>
              <w:tcPr>
                <w:tcW w:w="3779" w:type="dxa"/>
              </w:tcPr>
              <w:p w14:paraId="524D2DC9" w14:textId="77777777" w:rsidR="00EF1CB4" w:rsidRDefault="00EF1CB4" w:rsidP="006E018E">
                <w:pPr>
                  <w:pStyle w:val="Bodyromannumerals"/>
                </w:pPr>
                <w:r>
                  <w:t>Prescribed concentration or value (Maximum level allowed)</w:t>
                </w:r>
              </w:p>
            </w:tc>
          </w:tr>
          <w:tr w:rsidR="00EF1CB4" w14:paraId="6E717EF6" w14:textId="77777777" w:rsidTr="006E018E">
            <w:tc>
              <w:tcPr>
                <w:tcW w:w="3779" w:type="dxa"/>
              </w:tcPr>
              <w:p w14:paraId="09A4317B" w14:textId="77777777" w:rsidR="00EF1CB4" w:rsidRPr="00EF1CB4" w:rsidRDefault="00EF1CB4" w:rsidP="006E018E">
                <w:pPr>
                  <w:pStyle w:val="Bodyromannumerals"/>
                  <w:rPr>
                    <w:b/>
                    <w:bCs/>
                  </w:rPr>
                </w:pPr>
                <w:r w:rsidRPr="00EF1CB4">
                  <w:rPr>
                    <w:b/>
                    <w:bCs/>
                  </w:rPr>
                  <w:t>BOD</w:t>
                </w:r>
              </w:p>
            </w:tc>
            <w:tc>
              <w:tcPr>
                <w:tcW w:w="3779" w:type="dxa"/>
              </w:tcPr>
              <w:p w14:paraId="7B0AF54D" w14:textId="77777777" w:rsidR="00EF1CB4" w:rsidRDefault="00EF1CB4" w:rsidP="006E018E">
                <w:pPr>
                  <w:pStyle w:val="Bodyromannumerals"/>
                </w:pPr>
                <w:r>
                  <w:t>Biological oxygen demand</w:t>
                </w:r>
              </w:p>
            </w:tc>
          </w:tr>
          <w:tr w:rsidR="00EF1CB4" w14:paraId="6BA2EA4C" w14:textId="77777777" w:rsidTr="006E018E">
            <w:tc>
              <w:tcPr>
                <w:tcW w:w="3779" w:type="dxa"/>
              </w:tcPr>
              <w:p w14:paraId="1320841A" w14:textId="77777777" w:rsidR="00EF1CB4" w:rsidRPr="00EF1CB4" w:rsidRDefault="00EF1CB4" w:rsidP="006E018E">
                <w:pPr>
                  <w:pStyle w:val="Bodyromannumerals"/>
                  <w:rPr>
                    <w:b/>
                    <w:bCs/>
                  </w:rPr>
                </w:pPr>
                <w:r w:rsidRPr="00EF1CB4">
                  <w:rPr>
                    <w:b/>
                    <w:bCs/>
                  </w:rPr>
                  <w:t>CSOs</w:t>
                </w:r>
              </w:p>
            </w:tc>
            <w:tc>
              <w:tcPr>
                <w:tcW w:w="3779" w:type="dxa"/>
              </w:tcPr>
              <w:p w14:paraId="6178A01A" w14:textId="77777777" w:rsidR="00EF1CB4" w:rsidRDefault="00EF1CB4" w:rsidP="006E018E">
                <w:pPr>
                  <w:pStyle w:val="Bodyromannumerals"/>
                </w:pPr>
                <w:r>
                  <w:t>Combined sewer overflows (wastewater and stormwater)</w:t>
                </w:r>
              </w:p>
            </w:tc>
          </w:tr>
        </w:tbl>
        <w:p w14:paraId="3C32F0CD" w14:textId="77777777" w:rsidR="00EF1CB4" w:rsidRPr="00EB55D8" w:rsidRDefault="00EF1CB4" w:rsidP="00EF1CB4">
          <w:pPr>
            <w:pStyle w:val="Bodynumbercopy"/>
            <w:numPr>
              <w:ilvl w:val="0"/>
              <w:numId w:val="0"/>
            </w:numPr>
            <w:spacing w:line="240" w:lineRule="auto"/>
            <w:ind w:left="780" w:hanging="420"/>
            <w:rPr>
              <w:rFonts w:eastAsia="Calibri"/>
              <w:lang w:val="en-GB"/>
            </w:rPr>
          </w:pPr>
        </w:p>
        <w:p w14:paraId="258CE967" w14:textId="77777777" w:rsidR="00EF1CB4" w:rsidRDefault="00EF1CB4">
          <w:pPr>
            <w:spacing w:after="160" w:line="259" w:lineRule="auto"/>
            <w:rPr>
              <w:rFonts w:ascii="Segoe UI" w:hAnsi="Segoe UI" w:cs="Segoe UI"/>
              <w:b/>
              <w:bCs/>
              <w:color w:val="03B2C4"/>
              <w:sz w:val="36"/>
              <w:szCs w:val="36"/>
            </w:rPr>
          </w:pPr>
          <w:r>
            <w:br w:type="page"/>
          </w:r>
        </w:p>
        <w:p w14:paraId="2953E3E4" w14:textId="3551721E" w:rsidR="00652757" w:rsidRPr="007013F6" w:rsidRDefault="006E018E" w:rsidP="007013F6">
          <w:pPr>
            <w:pStyle w:val="Title1"/>
          </w:pPr>
          <w:r w:rsidRPr="007013F6">
            <w:lastRenderedPageBreak/>
            <w:t xml:space="preserve">TABLE C: </w:t>
          </w:r>
          <w:r>
            <w:t>GENERAL GUIDANCE</w:t>
          </w:r>
        </w:p>
        <w:p w14:paraId="3B5E84A9" w14:textId="24CE76CD" w:rsidR="00882FC6" w:rsidRDefault="00652757" w:rsidP="00A1335A">
          <w:pPr>
            <w:pStyle w:val="Bodynumbercopy"/>
            <w:numPr>
              <w:ilvl w:val="0"/>
              <w:numId w:val="40"/>
            </w:numPr>
            <w:jc w:val="both"/>
          </w:pPr>
          <w:r>
            <w:t>In the United Kingdom, water companies organise their operational activities into smaller sub-areas</w:t>
          </w:r>
          <w:r w:rsidR="000034C2">
            <w:t xml:space="preserve"> (i.e. wastewater drainage areas, stormwater areas, metered areas, and water supply areas)</w:t>
          </w:r>
          <w:r>
            <w:t xml:space="preserve">. These </w:t>
          </w:r>
          <w:r w:rsidR="00376250">
            <w:t xml:space="preserve">allow </w:t>
          </w:r>
          <w:r w:rsidR="00B21CF7">
            <w:t>water companies</w:t>
          </w:r>
          <w:r>
            <w:t xml:space="preserve"> to provide more information </w:t>
          </w:r>
          <w:r w:rsidR="007F785D">
            <w:t xml:space="preserve">at a disaggregated level on water quality and environmental factors </w:t>
          </w:r>
          <w:r>
            <w:t>across the overall company area. Th</w:t>
          </w:r>
          <w:r w:rsidR="0098776A">
            <w:t xml:space="preserve">e disaggregation methodology is </w:t>
          </w:r>
          <w:r w:rsidR="00442FA5">
            <w:t>chosen by the water company and</w:t>
          </w:r>
          <w:r>
            <w:t xml:space="preserve"> could </w:t>
          </w:r>
          <w:r w:rsidR="00442FA5">
            <w:t>typically</w:t>
          </w:r>
          <w:r>
            <w:t xml:space="preserve"> be, for example, by district meter area, by treatment plant, by river basin. These areas are known as operational areas. If the Local Authority similarly organises its operations at a more disaggregated level for reporting </w:t>
          </w:r>
          <w:r w:rsidR="003D07C0">
            <w:t xml:space="preserve">water quality and environmental </w:t>
          </w:r>
          <w:r w:rsidR="007050B3">
            <w:t xml:space="preserve">information </w:t>
          </w:r>
          <w:r>
            <w:t xml:space="preserve">for </w:t>
          </w:r>
          <w:r w:rsidR="00442FA5">
            <w:t>the following</w:t>
          </w:r>
          <w:r>
            <w:t xml:space="preserve"> tables, the Local Authorities are requested to report information by operational area. These areas could be different for water, wastewater and stormwater. In the event that the Local Authority does not have such areas, it is requested to provide the information for the whole Local Authority. </w:t>
          </w:r>
          <w:r w:rsidR="00B44664">
            <w:t xml:space="preserve">  </w:t>
          </w:r>
        </w:p>
        <w:p w14:paraId="6C96F5F6" w14:textId="6F7A6247" w:rsidR="005562F4" w:rsidRDefault="00882FC6" w:rsidP="00A1335A">
          <w:pPr>
            <w:pStyle w:val="Bodynumbercopy"/>
            <w:jc w:val="both"/>
          </w:pPr>
          <w:r>
            <w:t xml:space="preserve">For example, </w:t>
          </w:r>
          <w:r w:rsidR="005020AD">
            <w:t xml:space="preserve">in Scotland, Scottish Water </w:t>
          </w:r>
          <w:r w:rsidR="004551AE">
            <w:t xml:space="preserve">defines wastewater drainage areas as </w:t>
          </w:r>
          <w:r w:rsidR="004551AE" w:rsidRPr="007013F6">
            <w:t xml:space="preserve">the extent of the </w:t>
          </w:r>
          <w:proofErr w:type="spellStart"/>
          <w:r w:rsidR="004551AE" w:rsidRPr="007013F6">
            <w:t>sewered</w:t>
          </w:r>
          <w:proofErr w:type="spellEnd"/>
          <w:r w:rsidR="004551AE" w:rsidRPr="007013F6">
            <w:t xml:space="preserve"> area draining to a particular wastewater </w:t>
          </w:r>
          <w:r w:rsidR="004551AE" w:rsidRPr="004551AE">
            <w:t>treatment</w:t>
          </w:r>
          <w:r w:rsidR="004551AE" w:rsidRPr="007013F6">
            <w:t xml:space="preserve"> works.</w:t>
          </w:r>
          <w:r w:rsidR="00B44664">
            <w:t xml:space="preserve">    </w:t>
          </w:r>
        </w:p>
      </w:sdtContent>
    </w:sdt>
    <w:bookmarkStart w:id="1" w:name="_Ref51930522" w:displacedByCustomXml="prev"/>
    <w:bookmarkEnd w:id="1" w:displacedByCustomXml="prev"/>
    <w:bookmarkStart w:id="2" w:name="_Toc480458956" w:displacedByCustomXml="prev"/>
    <w:p w14:paraId="536AF302" w14:textId="77777777" w:rsidR="006E018E" w:rsidRDefault="006E018E" w:rsidP="00DF6535">
      <w:pPr>
        <w:pStyle w:val="Title1"/>
      </w:pPr>
      <w:r>
        <w:br w:type="page"/>
      </w:r>
    </w:p>
    <w:p w14:paraId="3D889561" w14:textId="0D4CB93C" w:rsidR="00940E3A" w:rsidRPr="006466B5" w:rsidRDefault="007B444A" w:rsidP="00DF6535">
      <w:pPr>
        <w:pStyle w:val="Title1"/>
      </w:pPr>
      <w:r>
        <w:t>TABLE</w:t>
      </w:r>
      <w:r w:rsidR="00940E3A" w:rsidRPr="006466B5">
        <w:t xml:space="preserve"> C1: WATER QUALITY OUTPUTS - COMPLIANCE</w:t>
      </w:r>
    </w:p>
    <w:p w14:paraId="3BD79131" w14:textId="24D01D85" w:rsidR="00940E3A" w:rsidRPr="00940E3A" w:rsidRDefault="00940E3A" w:rsidP="00A1335A">
      <w:pPr>
        <w:pStyle w:val="Bodynumbercopy"/>
        <w:numPr>
          <w:ilvl w:val="0"/>
          <w:numId w:val="41"/>
        </w:numPr>
      </w:pPr>
      <w:r w:rsidRPr="00940E3A">
        <w:t>This table covers:</w:t>
      </w:r>
    </w:p>
    <w:p w14:paraId="71F714B9" w14:textId="15A9378D" w:rsidR="00C533D7" w:rsidRPr="00C533D7" w:rsidRDefault="00C533D7" w:rsidP="00E4625B">
      <w:pPr>
        <w:pStyle w:val="Bodynumbercopy"/>
        <w:numPr>
          <w:ilvl w:val="1"/>
          <w:numId w:val="23"/>
        </w:numPr>
        <w:rPr>
          <w:b/>
          <w:bCs/>
        </w:rPr>
      </w:pPr>
      <w:r w:rsidRPr="00C533D7">
        <w:rPr>
          <w:b/>
          <w:bCs/>
        </w:rPr>
        <w:t xml:space="preserve">Water quality </w:t>
      </w:r>
      <w:proofErr w:type="spellStart"/>
      <w:r w:rsidR="008A4707" w:rsidRPr="00C533D7">
        <w:rPr>
          <w:b/>
          <w:bCs/>
        </w:rPr>
        <w:t>determinan</w:t>
      </w:r>
      <w:r w:rsidR="008A4707">
        <w:rPr>
          <w:b/>
          <w:bCs/>
        </w:rPr>
        <w:t>d</w:t>
      </w:r>
      <w:proofErr w:type="spellEnd"/>
      <w:r w:rsidR="008A4707" w:rsidRPr="00C533D7">
        <w:rPr>
          <w:b/>
          <w:bCs/>
        </w:rPr>
        <w:t xml:space="preserve"> </w:t>
      </w:r>
      <w:r w:rsidRPr="00C533D7">
        <w:rPr>
          <w:b/>
          <w:bCs/>
        </w:rPr>
        <w:t xml:space="preserve">compliance in water </w:t>
      </w:r>
      <w:r w:rsidR="00611632">
        <w:rPr>
          <w:b/>
          <w:bCs/>
        </w:rPr>
        <w:t>distribution</w:t>
      </w:r>
      <w:r w:rsidR="00611632" w:rsidRPr="00C533D7">
        <w:rPr>
          <w:b/>
          <w:bCs/>
        </w:rPr>
        <w:t xml:space="preserve"> </w:t>
      </w:r>
      <w:r w:rsidRPr="00C533D7">
        <w:rPr>
          <w:b/>
          <w:bCs/>
        </w:rPr>
        <w:t xml:space="preserve">zones: </w:t>
      </w:r>
      <w:r w:rsidRPr="006466B5">
        <w:t xml:space="preserve">These lines record the general compliance with the water quality regulations of the water entering the distribution system </w:t>
      </w:r>
      <w:r w:rsidR="00703CDB">
        <w:t>for</w:t>
      </w:r>
      <w:r w:rsidRPr="006466B5">
        <w:t xml:space="preserve"> the </w:t>
      </w:r>
      <w:r w:rsidR="001B6EE7">
        <w:t>reporting</w:t>
      </w:r>
      <w:r w:rsidR="008030FA" w:rsidRPr="006466B5">
        <w:t xml:space="preserve"> </w:t>
      </w:r>
      <w:r w:rsidRPr="006466B5">
        <w:t>year</w:t>
      </w:r>
      <w:r w:rsidR="008030FA">
        <w:t xml:space="preserve"> ending 30 June</w:t>
      </w:r>
      <w:r w:rsidR="00BD65EB">
        <w:t xml:space="preserve"> 2020</w:t>
      </w:r>
      <w:r>
        <w:t>.</w:t>
      </w:r>
      <w:r w:rsidR="001B6EE7">
        <w:t xml:space="preserve"> </w:t>
      </w:r>
    </w:p>
    <w:p w14:paraId="605FA84C" w14:textId="14148484" w:rsidR="00940E3A" w:rsidRPr="00A705D6" w:rsidRDefault="00940E3A" w:rsidP="00A705D6">
      <w:pPr>
        <w:pStyle w:val="Bodynumbercopy"/>
        <w:numPr>
          <w:ilvl w:val="1"/>
          <w:numId w:val="23"/>
        </w:numPr>
        <w:rPr>
          <w:b/>
          <w:bCs/>
        </w:rPr>
      </w:pPr>
      <w:r w:rsidRPr="00E4625B">
        <w:rPr>
          <w:b/>
          <w:bCs/>
        </w:rPr>
        <w:t xml:space="preserve">Compliance with bacteriological parameters at water treatment </w:t>
      </w:r>
      <w:r w:rsidR="002142E2">
        <w:rPr>
          <w:b/>
          <w:bCs/>
        </w:rPr>
        <w:t>plants</w:t>
      </w:r>
      <w:r w:rsidRPr="00E4625B">
        <w:rPr>
          <w:b/>
          <w:bCs/>
        </w:rPr>
        <w:t xml:space="preserve"> and service reservoirs</w:t>
      </w:r>
      <w:r w:rsidR="00C533D7" w:rsidRPr="00E4625B">
        <w:rPr>
          <w:b/>
          <w:bCs/>
        </w:rPr>
        <w:t>:</w:t>
      </w:r>
      <w:r w:rsidR="00C533D7" w:rsidRPr="00C533D7">
        <w:rPr>
          <w:b/>
          <w:bCs/>
        </w:rPr>
        <w:t xml:space="preserve"> </w:t>
      </w:r>
      <w:r w:rsidRPr="00A705D6">
        <w:t xml:space="preserve">These lines give a breakdown of compliance programmes for coliforms at treatment </w:t>
      </w:r>
      <w:r w:rsidR="002142E2">
        <w:t>plants</w:t>
      </w:r>
      <w:r w:rsidRPr="00A705D6">
        <w:t xml:space="preserve"> and service reservoirs. The quality related information from these </w:t>
      </w:r>
      <w:r w:rsidR="004568A1">
        <w:t>i</w:t>
      </w:r>
      <w:r w:rsidRPr="00A705D6">
        <w:t xml:space="preserve">nformation </w:t>
      </w:r>
      <w:r w:rsidR="004568A1">
        <w:t>r</w:t>
      </w:r>
      <w:r w:rsidRPr="00A705D6">
        <w:t>equirements will be used to examine performance with quality standards, the outputs achieved against expenditure and the quality of the water received by customers.</w:t>
      </w:r>
    </w:p>
    <w:p w14:paraId="2E447B40" w14:textId="2F2A9248" w:rsidR="00193FF2" w:rsidRDefault="00193FF2" w:rsidP="008508D3">
      <w:pPr>
        <w:pStyle w:val="Bodynumbercopy"/>
      </w:pPr>
      <w:r>
        <w:t>Table C1 requests information by w</w:t>
      </w:r>
      <w:r w:rsidRPr="00955B8F">
        <w:t>ater distribution zone</w:t>
      </w:r>
      <w:r>
        <w:t xml:space="preserve">. </w:t>
      </w:r>
      <w:r w:rsidRPr="00F6092B">
        <w:t xml:space="preserve">Consistent with the Drinking Water Standards </w:t>
      </w:r>
      <w:r w:rsidR="00C37FBC">
        <w:t xml:space="preserve">New Zealand </w:t>
      </w:r>
      <w:r w:rsidRPr="00F6092B">
        <w:t>Annual Report,</w:t>
      </w:r>
      <w:r>
        <w:t xml:space="preserve"> water distribution zone</w:t>
      </w:r>
      <w:r w:rsidRPr="00955B8F">
        <w:t xml:space="preserve"> is defined as an identifiable part of the water supply network</w:t>
      </w:r>
      <w:r>
        <w:t xml:space="preserve">. </w:t>
      </w:r>
    </w:p>
    <w:p w14:paraId="0F3A974C" w14:textId="6C9D6272" w:rsidR="00207EE7" w:rsidRPr="006466B5" w:rsidRDefault="00207EE7" w:rsidP="008508D3">
      <w:pPr>
        <w:pStyle w:val="Bodynumbercopy"/>
      </w:pPr>
      <w:r>
        <w:t>Please explain in the commentary the number of samples considered as failing due to data loss incidents in the reporting year.</w:t>
      </w:r>
    </w:p>
    <w:p w14:paraId="50C848F8" w14:textId="61336FE5" w:rsidR="00940E3A" w:rsidRPr="006466B5" w:rsidRDefault="00940E3A" w:rsidP="00940E3A">
      <w:pPr>
        <w:pStyle w:val="Sectionsub-heading"/>
      </w:pPr>
      <w:r w:rsidRPr="006466B5">
        <w:t xml:space="preserve">Guidance to the </w:t>
      </w:r>
      <w:r w:rsidR="000011BB">
        <w:t>Local</w:t>
      </w:r>
      <w:r w:rsidR="0098264D">
        <w:t xml:space="preserve"> </w:t>
      </w:r>
      <w:r w:rsidRPr="006466B5">
        <w:t>Authority</w:t>
      </w:r>
    </w:p>
    <w:p w14:paraId="73E4D8C3" w14:textId="1715C883" w:rsidR="008030FA" w:rsidRPr="007540E2" w:rsidRDefault="00940E3A" w:rsidP="00940E3A">
      <w:pPr>
        <w:pStyle w:val="Bodynumbercopy"/>
      </w:pPr>
      <w:r>
        <w:t xml:space="preserve">On completion of Table C1 the </w:t>
      </w:r>
      <w:r w:rsidR="000011BB">
        <w:t>Local</w:t>
      </w:r>
      <w:r w:rsidR="008030FA">
        <w:t xml:space="preserve"> Authority </w:t>
      </w:r>
      <w:r>
        <w:t xml:space="preserve">should ensure that no input cell is left blank. </w:t>
      </w:r>
    </w:p>
    <w:p w14:paraId="200FAE56" w14:textId="77777777" w:rsidR="00A1335A" w:rsidRDefault="00A1335A">
      <w:pPr>
        <w:spacing w:after="160" w:line="259" w:lineRule="auto"/>
        <w:rPr>
          <w:rFonts w:ascii="Calibri" w:hAnsi="Calibri" w:cs="Calibri"/>
          <w:b/>
          <w:color w:val="182B46"/>
          <w:sz w:val="26"/>
          <w:lang w:val="en-US"/>
        </w:rPr>
      </w:pPr>
      <w:r>
        <w:rPr>
          <w:lang w:val="en-US"/>
        </w:rPr>
        <w:br w:type="page"/>
      </w:r>
    </w:p>
    <w:p w14:paraId="1D242861" w14:textId="704EF4BB" w:rsidR="00940E3A" w:rsidRDefault="00940E3A" w:rsidP="00940E3A">
      <w:pPr>
        <w:pStyle w:val="Sectionsub-heading"/>
        <w:rPr>
          <w:lang w:val="en-US"/>
        </w:rPr>
      </w:pPr>
      <w:r w:rsidRPr="008456AD">
        <w:rPr>
          <w:lang w:val="en-US"/>
        </w:rPr>
        <w:t>BLOCK 1: SUMMARY</w:t>
      </w:r>
    </w:p>
    <w:tbl>
      <w:tblPr>
        <w:tblStyle w:val="TableGrid3"/>
        <w:tblW w:w="0" w:type="auto"/>
        <w:tblLook w:val="04A0" w:firstRow="1" w:lastRow="0" w:firstColumn="1" w:lastColumn="0" w:noHBand="0" w:noVBand="1"/>
      </w:tblPr>
      <w:tblGrid>
        <w:gridCol w:w="1232"/>
        <w:gridCol w:w="742"/>
        <w:gridCol w:w="4693"/>
        <w:gridCol w:w="891"/>
      </w:tblGrid>
      <w:tr w:rsidR="00940E3A" w:rsidRPr="001F4A22" w14:paraId="37796C81" w14:textId="77777777" w:rsidTr="007B444A">
        <w:tc>
          <w:tcPr>
            <w:tcW w:w="1232" w:type="dxa"/>
          </w:tcPr>
          <w:p w14:paraId="0F2DD101" w14:textId="77777777" w:rsidR="00940E3A" w:rsidRPr="00940E3A" w:rsidRDefault="00940E3A" w:rsidP="00940E3A">
            <w:pPr>
              <w:pStyle w:val="Bodyromannumerals"/>
              <w:rPr>
                <w:rFonts w:eastAsia="Calibri"/>
                <w:b/>
                <w:bCs/>
                <w:color w:val="000000" w:themeColor="text1"/>
                <w:szCs w:val="22"/>
                <w:lang w:val="en-US"/>
              </w:rPr>
            </w:pPr>
            <w:bookmarkStart w:id="3" w:name="_Hlk52423795"/>
            <w:r w:rsidRPr="00940E3A">
              <w:rPr>
                <w:b/>
                <w:bCs/>
              </w:rPr>
              <w:t>C1.1</w:t>
            </w:r>
          </w:p>
        </w:tc>
        <w:tc>
          <w:tcPr>
            <w:tcW w:w="5435" w:type="dxa"/>
            <w:gridSpan w:val="2"/>
          </w:tcPr>
          <w:p w14:paraId="6BB7DCF1" w14:textId="742D1A06" w:rsidR="00940E3A" w:rsidRPr="00940E3A" w:rsidRDefault="00940E3A" w:rsidP="00940E3A">
            <w:pPr>
              <w:pStyle w:val="Bodyromannumerals"/>
              <w:rPr>
                <w:rFonts w:eastAsia="Calibri"/>
                <w:b/>
                <w:bCs/>
                <w:color w:val="000000" w:themeColor="text1"/>
                <w:szCs w:val="22"/>
                <w:lang w:val="en-US"/>
              </w:rPr>
            </w:pPr>
            <w:r w:rsidRPr="00940E3A">
              <w:rPr>
                <w:b/>
                <w:bCs/>
              </w:rPr>
              <w:t xml:space="preserve">Number of </w:t>
            </w:r>
            <w:proofErr w:type="spellStart"/>
            <w:r w:rsidR="008A4707">
              <w:rPr>
                <w:b/>
                <w:bCs/>
              </w:rPr>
              <w:t>determinand</w:t>
            </w:r>
            <w:r w:rsidR="009E3A35" w:rsidRPr="00940E3A">
              <w:rPr>
                <w:b/>
                <w:bCs/>
              </w:rPr>
              <w:t>s</w:t>
            </w:r>
            <w:proofErr w:type="spellEnd"/>
            <w:r w:rsidR="009E3A35" w:rsidRPr="00940E3A">
              <w:rPr>
                <w:b/>
                <w:bCs/>
              </w:rPr>
              <w:t xml:space="preserve"> </w:t>
            </w:r>
            <w:r w:rsidRPr="00940E3A">
              <w:rPr>
                <w:b/>
                <w:bCs/>
              </w:rPr>
              <w:t xml:space="preserve">taken </w:t>
            </w:r>
            <w:r w:rsidR="00A93B98">
              <w:rPr>
                <w:b/>
                <w:bCs/>
              </w:rPr>
              <w:t>–</w:t>
            </w:r>
            <w:r w:rsidR="00724B13">
              <w:rPr>
                <w:b/>
                <w:bCs/>
              </w:rPr>
              <w:t xml:space="preserve"> </w:t>
            </w:r>
            <w:r w:rsidR="00A93B98">
              <w:rPr>
                <w:b/>
                <w:bCs/>
              </w:rPr>
              <w:t>unique spot samples</w:t>
            </w:r>
            <w:r w:rsidR="004F4C61">
              <w:rPr>
                <w:b/>
                <w:bCs/>
              </w:rPr>
              <w:t xml:space="preserve"> (manual monitoring)</w:t>
            </w:r>
          </w:p>
        </w:tc>
        <w:tc>
          <w:tcPr>
            <w:tcW w:w="891" w:type="dxa"/>
          </w:tcPr>
          <w:p w14:paraId="07A3F1A1" w14:textId="77777777" w:rsidR="00940E3A" w:rsidRPr="00940E3A" w:rsidRDefault="00940E3A" w:rsidP="00940E3A">
            <w:pPr>
              <w:pStyle w:val="Bodyromannumerals"/>
              <w:rPr>
                <w:rFonts w:eastAsia="Calibri"/>
                <w:b/>
                <w:bCs/>
                <w:color w:val="000000" w:themeColor="text1"/>
                <w:szCs w:val="22"/>
                <w:lang w:val="en-US"/>
              </w:rPr>
            </w:pPr>
            <w:r w:rsidRPr="00940E3A">
              <w:rPr>
                <w:b/>
                <w:bCs/>
              </w:rPr>
              <w:t>Nr.</w:t>
            </w:r>
          </w:p>
        </w:tc>
      </w:tr>
      <w:tr w:rsidR="00940E3A" w:rsidRPr="00E95786" w14:paraId="3ACA57A7" w14:textId="77777777" w:rsidTr="007B444A">
        <w:tc>
          <w:tcPr>
            <w:tcW w:w="1974" w:type="dxa"/>
            <w:gridSpan w:val="2"/>
            <w:tcBorders>
              <w:left w:val="single" w:sz="4" w:space="0" w:color="FFFFFF"/>
              <w:bottom w:val="single" w:sz="4" w:space="0" w:color="FFFFFF"/>
              <w:right w:val="single" w:sz="4" w:space="0" w:color="FFFFFF"/>
            </w:tcBorders>
          </w:tcPr>
          <w:p w14:paraId="4844617C" w14:textId="77777777" w:rsidR="00940E3A" w:rsidRPr="009A191E" w:rsidRDefault="00940E3A" w:rsidP="00940E3A">
            <w:pPr>
              <w:pStyle w:val="Bodyromannumerals"/>
              <w:rPr>
                <w:rFonts w:eastAsia="Calibri"/>
                <w:i/>
                <w:color w:val="000000" w:themeColor="text1"/>
                <w:szCs w:val="22"/>
                <w:lang w:val="en-US"/>
              </w:rPr>
            </w:pPr>
            <w:r w:rsidRPr="009A191E">
              <w:rPr>
                <w:rFonts w:eastAsia="Calibri"/>
                <w:i/>
                <w:color w:val="000000" w:themeColor="text1"/>
                <w:szCs w:val="22"/>
                <w:lang w:val="en-US"/>
              </w:rPr>
              <w:t>Definition:</w:t>
            </w:r>
          </w:p>
        </w:tc>
        <w:tc>
          <w:tcPr>
            <w:tcW w:w="5584" w:type="dxa"/>
            <w:gridSpan w:val="2"/>
            <w:tcBorders>
              <w:left w:val="single" w:sz="4" w:space="0" w:color="FFFFFF"/>
              <w:bottom w:val="single" w:sz="4" w:space="0" w:color="FFFFFF"/>
              <w:right w:val="single" w:sz="4" w:space="0" w:color="FFFFFF"/>
            </w:tcBorders>
          </w:tcPr>
          <w:p w14:paraId="7364A447" w14:textId="5826A010" w:rsidR="00B23873" w:rsidRDefault="008030FA" w:rsidP="00940E3A">
            <w:pPr>
              <w:pStyle w:val="Bodyromannumerals"/>
              <w:rPr>
                <w:rFonts w:eastAsia="Calibri"/>
                <w:color w:val="000000" w:themeColor="text1"/>
              </w:rPr>
            </w:pPr>
            <w:r>
              <w:rPr>
                <w:rFonts w:eastAsia="Calibri"/>
                <w:color w:val="000000" w:themeColor="text1"/>
              </w:rPr>
              <w:t xml:space="preserve">Please provide the number of </w:t>
            </w:r>
            <w:r w:rsidR="009E3A35">
              <w:rPr>
                <w:rFonts w:eastAsia="Calibri"/>
                <w:color w:val="000000" w:themeColor="text1"/>
              </w:rPr>
              <w:t xml:space="preserve">unique </w:t>
            </w:r>
            <w:r w:rsidR="00D92E81">
              <w:rPr>
                <w:rFonts w:eastAsia="Calibri"/>
                <w:color w:val="000000" w:themeColor="text1"/>
              </w:rPr>
              <w:t xml:space="preserve">network or distribution zone </w:t>
            </w:r>
            <w:r>
              <w:rPr>
                <w:rFonts w:eastAsia="Calibri"/>
                <w:color w:val="000000" w:themeColor="text1"/>
              </w:rPr>
              <w:t>samples taken</w:t>
            </w:r>
            <w:r w:rsidR="009E3A35">
              <w:rPr>
                <w:rFonts w:eastAsia="Calibri"/>
                <w:color w:val="000000" w:themeColor="text1"/>
              </w:rPr>
              <w:t xml:space="preserve">. Recognising that each sample will be tested against multiple </w:t>
            </w:r>
            <w:proofErr w:type="spellStart"/>
            <w:r w:rsidR="008A4707">
              <w:rPr>
                <w:rFonts w:eastAsia="Calibri"/>
                <w:color w:val="000000" w:themeColor="text1"/>
              </w:rPr>
              <w:t>determinand</w:t>
            </w:r>
            <w:r w:rsidR="009E3A35">
              <w:rPr>
                <w:rFonts w:eastAsia="Calibri"/>
                <w:color w:val="000000" w:themeColor="text1"/>
              </w:rPr>
              <w:t>s</w:t>
            </w:r>
            <w:proofErr w:type="spellEnd"/>
            <w:r w:rsidR="009E3A35">
              <w:rPr>
                <w:rFonts w:eastAsia="Calibri"/>
                <w:color w:val="000000" w:themeColor="text1"/>
              </w:rPr>
              <w:t xml:space="preserve">, </w:t>
            </w:r>
            <w:r w:rsidR="000011BB">
              <w:rPr>
                <w:rFonts w:eastAsia="Calibri"/>
                <w:color w:val="000000" w:themeColor="text1"/>
              </w:rPr>
              <w:t>Local</w:t>
            </w:r>
            <w:r w:rsidR="009E3A35">
              <w:rPr>
                <w:rFonts w:eastAsia="Calibri"/>
                <w:color w:val="000000" w:themeColor="text1"/>
              </w:rPr>
              <w:t xml:space="preserve"> Authorities should provide the number of unique samples – e.g. a sample tested against six main </w:t>
            </w:r>
            <w:proofErr w:type="spellStart"/>
            <w:r w:rsidR="008A4707">
              <w:rPr>
                <w:rFonts w:eastAsia="Calibri"/>
                <w:color w:val="000000" w:themeColor="text1"/>
              </w:rPr>
              <w:t>determinand</w:t>
            </w:r>
            <w:r w:rsidR="009E3A35">
              <w:rPr>
                <w:rFonts w:eastAsia="Calibri"/>
                <w:color w:val="000000" w:themeColor="text1"/>
              </w:rPr>
              <w:t>s</w:t>
            </w:r>
            <w:proofErr w:type="spellEnd"/>
            <w:r w:rsidR="009E3A35">
              <w:rPr>
                <w:rFonts w:eastAsia="Calibri"/>
                <w:color w:val="000000" w:themeColor="text1"/>
              </w:rPr>
              <w:t xml:space="preserve"> would be counted as one sample (and not six). </w:t>
            </w:r>
          </w:p>
          <w:p w14:paraId="456F6A37" w14:textId="22AE147F" w:rsidR="009E3A35" w:rsidRDefault="00B23873" w:rsidP="00940E3A">
            <w:pPr>
              <w:pStyle w:val="Bodyromannumerals"/>
              <w:rPr>
                <w:rFonts w:eastAsia="Calibri"/>
                <w:color w:val="000000" w:themeColor="text1"/>
              </w:rPr>
            </w:pPr>
            <w:r>
              <w:rPr>
                <w:rFonts w:eastAsia="Calibri"/>
                <w:color w:val="000000" w:themeColor="text1"/>
              </w:rPr>
              <w:t xml:space="preserve">This excludes samples taken through online continuous monitoring. </w:t>
            </w:r>
            <w:r w:rsidR="00E435BF">
              <w:rPr>
                <w:rFonts w:eastAsia="Calibri"/>
                <w:color w:val="000000" w:themeColor="text1"/>
              </w:rPr>
              <w:t>Local Authorities should only report unique spot samples.</w:t>
            </w:r>
          </w:p>
          <w:p w14:paraId="025CBCF9" w14:textId="6CAAB0E9" w:rsidR="008030FA" w:rsidRPr="009A191E" w:rsidRDefault="008030FA" w:rsidP="00940E3A">
            <w:pPr>
              <w:pStyle w:val="Bodyromannumerals"/>
              <w:rPr>
                <w:rFonts w:eastAsia="Calibri"/>
                <w:color w:val="000000" w:themeColor="text1"/>
                <w:szCs w:val="22"/>
                <w:lang w:val="en-US"/>
              </w:rPr>
            </w:pPr>
            <w:r>
              <w:rPr>
                <w:rFonts w:eastAsia="Calibri"/>
                <w:color w:val="000000" w:themeColor="text1"/>
              </w:rPr>
              <w:t xml:space="preserve">In Scotland, samples are taken at the customer tap. </w:t>
            </w:r>
            <w:r w:rsidR="009E3A35">
              <w:rPr>
                <w:rFonts w:eastAsia="Calibri"/>
                <w:color w:val="000000" w:themeColor="text1"/>
              </w:rPr>
              <w:t>Given that no s</w:t>
            </w:r>
            <w:r>
              <w:rPr>
                <w:rFonts w:eastAsia="Calibri"/>
                <w:color w:val="000000" w:themeColor="text1"/>
              </w:rPr>
              <w:t>uch requirement exists in New Zealand</w:t>
            </w:r>
            <w:r w:rsidR="009E3A35">
              <w:rPr>
                <w:rFonts w:eastAsia="Calibri"/>
                <w:color w:val="000000" w:themeColor="text1"/>
              </w:rPr>
              <w:t xml:space="preserve">, </w:t>
            </w:r>
            <w:r w:rsidR="000011BB">
              <w:rPr>
                <w:rFonts w:eastAsia="Calibri"/>
                <w:color w:val="000000" w:themeColor="text1"/>
              </w:rPr>
              <w:t>Local</w:t>
            </w:r>
            <w:r w:rsidR="009E3A35">
              <w:rPr>
                <w:rFonts w:eastAsia="Calibri"/>
                <w:color w:val="000000" w:themeColor="text1"/>
              </w:rPr>
              <w:t xml:space="preserve"> Authorities are required to</w:t>
            </w:r>
            <w:r>
              <w:rPr>
                <w:rFonts w:eastAsia="Calibri"/>
                <w:color w:val="000000" w:themeColor="text1"/>
              </w:rPr>
              <w:t xml:space="preserve"> provide any samples taken for water quality </w:t>
            </w:r>
            <w:r w:rsidRPr="007540E2">
              <w:rPr>
                <w:rFonts w:eastAsia="Calibri"/>
                <w:color w:val="000000" w:themeColor="text1"/>
                <w:u w:val="single"/>
              </w:rPr>
              <w:t>after</w:t>
            </w:r>
            <w:r>
              <w:rPr>
                <w:rFonts w:eastAsia="Calibri"/>
                <w:color w:val="000000" w:themeColor="text1"/>
              </w:rPr>
              <w:t xml:space="preserve"> </w:t>
            </w:r>
            <w:r w:rsidR="009E3A35">
              <w:rPr>
                <w:rFonts w:eastAsia="Calibri"/>
                <w:color w:val="000000" w:themeColor="text1"/>
              </w:rPr>
              <w:t>treatment</w:t>
            </w:r>
            <w:r>
              <w:rPr>
                <w:rFonts w:eastAsia="Calibri"/>
                <w:color w:val="000000" w:themeColor="text1"/>
              </w:rPr>
              <w:t xml:space="preserve">. These could, for example, be samples taken at dedicated sample points in the distribution network (as was the case for Watercare). </w:t>
            </w:r>
          </w:p>
        </w:tc>
      </w:tr>
      <w:tr w:rsidR="00940E3A" w:rsidRPr="00E95786" w14:paraId="77B74086" w14:textId="77777777" w:rsidTr="007B444A">
        <w:tc>
          <w:tcPr>
            <w:tcW w:w="1974" w:type="dxa"/>
            <w:gridSpan w:val="2"/>
            <w:tcBorders>
              <w:top w:val="single" w:sz="4" w:space="0" w:color="FFFFFF"/>
              <w:left w:val="single" w:sz="4" w:space="0" w:color="FFFFFF"/>
              <w:bottom w:val="single" w:sz="4" w:space="0" w:color="FFFFFF"/>
              <w:right w:val="single" w:sz="4" w:space="0" w:color="FFFFFF"/>
            </w:tcBorders>
          </w:tcPr>
          <w:p w14:paraId="7F91682D" w14:textId="77777777" w:rsidR="00940E3A" w:rsidRPr="009A191E" w:rsidRDefault="00940E3A" w:rsidP="00940E3A">
            <w:pPr>
              <w:pStyle w:val="Bodyromannumerals"/>
              <w:rPr>
                <w:rFonts w:eastAsia="Calibri"/>
                <w:i/>
                <w:color w:val="000000" w:themeColor="text1"/>
                <w:szCs w:val="22"/>
                <w:lang w:val="en-US"/>
              </w:rPr>
            </w:pPr>
            <w:r w:rsidRPr="009A191E">
              <w:rPr>
                <w:rFonts w:eastAsia="Calibri"/>
                <w:i/>
                <w:color w:val="000000" w:themeColor="text1"/>
                <w:szCs w:val="22"/>
                <w:lang w:val="en-US"/>
              </w:rPr>
              <w:t>Processing Rules:</w:t>
            </w:r>
          </w:p>
        </w:tc>
        <w:tc>
          <w:tcPr>
            <w:tcW w:w="5584" w:type="dxa"/>
            <w:gridSpan w:val="2"/>
            <w:tcBorders>
              <w:top w:val="single" w:sz="4" w:space="0" w:color="FFFFFF"/>
              <w:left w:val="single" w:sz="4" w:space="0" w:color="FFFFFF"/>
              <w:bottom w:val="single" w:sz="4" w:space="0" w:color="FFFFFF"/>
              <w:right w:val="single" w:sz="4" w:space="0" w:color="FFFFFF"/>
            </w:tcBorders>
          </w:tcPr>
          <w:p w14:paraId="08567445" w14:textId="77777777" w:rsidR="00940E3A" w:rsidRPr="009A191E" w:rsidRDefault="00940E3A" w:rsidP="00940E3A">
            <w:pPr>
              <w:pStyle w:val="Bodyromannumerals"/>
              <w:rPr>
                <w:rFonts w:eastAsia="Calibri"/>
                <w:color w:val="000000" w:themeColor="text1"/>
                <w:szCs w:val="22"/>
                <w:lang w:val="en-US"/>
              </w:rPr>
            </w:pPr>
            <w:r w:rsidRPr="006C0269">
              <w:t>Input field</w:t>
            </w:r>
          </w:p>
        </w:tc>
      </w:tr>
      <w:bookmarkEnd w:id="3"/>
    </w:tbl>
    <w:p w14:paraId="3FC076F6" w14:textId="77777777" w:rsidR="00724B13" w:rsidRDefault="00724B13"/>
    <w:tbl>
      <w:tblPr>
        <w:tblStyle w:val="TableGrid3"/>
        <w:tblW w:w="0" w:type="auto"/>
        <w:tblLook w:val="04A0" w:firstRow="1" w:lastRow="0" w:firstColumn="1" w:lastColumn="0" w:noHBand="0" w:noVBand="1"/>
      </w:tblPr>
      <w:tblGrid>
        <w:gridCol w:w="1232"/>
        <w:gridCol w:w="742"/>
        <w:gridCol w:w="4693"/>
        <w:gridCol w:w="891"/>
      </w:tblGrid>
      <w:tr w:rsidR="00724B13" w:rsidRPr="00940E3A" w14:paraId="5409CE4B" w14:textId="77777777" w:rsidTr="00D017D3">
        <w:tc>
          <w:tcPr>
            <w:tcW w:w="1232" w:type="dxa"/>
          </w:tcPr>
          <w:p w14:paraId="69B85D78" w14:textId="78D70D82" w:rsidR="00724B13" w:rsidRPr="00940E3A" w:rsidRDefault="00724B13" w:rsidP="00D017D3">
            <w:pPr>
              <w:pStyle w:val="Bodyromannumerals"/>
              <w:rPr>
                <w:rFonts w:eastAsia="Calibri"/>
                <w:b/>
                <w:bCs/>
                <w:color w:val="000000" w:themeColor="text1"/>
                <w:szCs w:val="22"/>
                <w:lang w:val="en-US"/>
              </w:rPr>
            </w:pPr>
            <w:r w:rsidRPr="00940E3A">
              <w:rPr>
                <w:b/>
                <w:bCs/>
              </w:rPr>
              <w:t>C1.1</w:t>
            </w:r>
            <w:r>
              <w:rPr>
                <w:b/>
                <w:bCs/>
              </w:rPr>
              <w:t>b</w:t>
            </w:r>
          </w:p>
        </w:tc>
        <w:tc>
          <w:tcPr>
            <w:tcW w:w="5435" w:type="dxa"/>
            <w:gridSpan w:val="2"/>
          </w:tcPr>
          <w:p w14:paraId="60E6AA0C" w14:textId="505A5A5C" w:rsidR="00724B13" w:rsidRPr="00940E3A" w:rsidRDefault="00724B13" w:rsidP="00D017D3">
            <w:pPr>
              <w:pStyle w:val="Bodyromannumerals"/>
              <w:rPr>
                <w:rFonts w:eastAsia="Calibri"/>
                <w:b/>
                <w:bCs/>
                <w:color w:val="000000" w:themeColor="text1"/>
                <w:szCs w:val="22"/>
                <w:lang w:val="en-US"/>
              </w:rPr>
            </w:pPr>
            <w:r w:rsidRPr="00940E3A">
              <w:rPr>
                <w:b/>
                <w:bCs/>
              </w:rPr>
              <w:t xml:space="preserve">Number of </w:t>
            </w:r>
            <w:proofErr w:type="spellStart"/>
            <w:r w:rsidR="008A4707">
              <w:rPr>
                <w:b/>
                <w:bCs/>
              </w:rPr>
              <w:t>determinand</w:t>
            </w:r>
            <w:r w:rsidRPr="00940E3A">
              <w:rPr>
                <w:b/>
                <w:bCs/>
              </w:rPr>
              <w:t>s</w:t>
            </w:r>
            <w:proofErr w:type="spellEnd"/>
            <w:r w:rsidRPr="00940E3A">
              <w:rPr>
                <w:b/>
                <w:bCs/>
              </w:rPr>
              <w:t xml:space="preserve"> taken </w:t>
            </w:r>
            <w:r w:rsidR="00A93B98">
              <w:rPr>
                <w:b/>
                <w:bCs/>
              </w:rPr>
              <w:t xml:space="preserve">– continuous </w:t>
            </w:r>
            <w:r w:rsidR="004F4C61">
              <w:rPr>
                <w:b/>
                <w:bCs/>
              </w:rPr>
              <w:t>monitoring</w:t>
            </w:r>
          </w:p>
        </w:tc>
        <w:tc>
          <w:tcPr>
            <w:tcW w:w="891" w:type="dxa"/>
          </w:tcPr>
          <w:p w14:paraId="0C16716B" w14:textId="77777777" w:rsidR="00724B13" w:rsidRPr="00940E3A" w:rsidRDefault="00724B13" w:rsidP="00D017D3">
            <w:pPr>
              <w:pStyle w:val="Bodyromannumerals"/>
              <w:rPr>
                <w:rFonts w:eastAsia="Calibri"/>
                <w:b/>
                <w:bCs/>
                <w:color w:val="000000" w:themeColor="text1"/>
                <w:szCs w:val="22"/>
                <w:lang w:val="en-US"/>
              </w:rPr>
            </w:pPr>
            <w:r w:rsidRPr="00940E3A">
              <w:rPr>
                <w:b/>
                <w:bCs/>
              </w:rPr>
              <w:t>Nr.</w:t>
            </w:r>
          </w:p>
        </w:tc>
      </w:tr>
      <w:tr w:rsidR="00724B13" w:rsidRPr="009A191E" w14:paraId="7829B7F6" w14:textId="77777777" w:rsidTr="00D017D3">
        <w:tc>
          <w:tcPr>
            <w:tcW w:w="1974" w:type="dxa"/>
            <w:gridSpan w:val="2"/>
            <w:tcBorders>
              <w:left w:val="single" w:sz="4" w:space="0" w:color="FFFFFF"/>
              <w:bottom w:val="single" w:sz="4" w:space="0" w:color="FFFFFF"/>
              <w:right w:val="single" w:sz="4" w:space="0" w:color="FFFFFF"/>
            </w:tcBorders>
          </w:tcPr>
          <w:p w14:paraId="173BE479" w14:textId="77777777" w:rsidR="00724B13" w:rsidRPr="009A191E" w:rsidRDefault="00724B13" w:rsidP="00D017D3">
            <w:pPr>
              <w:pStyle w:val="Bodyromannumerals"/>
              <w:rPr>
                <w:rFonts w:eastAsia="Calibri"/>
                <w:i/>
                <w:color w:val="000000" w:themeColor="text1"/>
                <w:szCs w:val="22"/>
                <w:lang w:val="en-US"/>
              </w:rPr>
            </w:pPr>
            <w:r w:rsidRPr="009A191E">
              <w:rPr>
                <w:rFonts w:eastAsia="Calibri"/>
                <w:i/>
                <w:color w:val="000000" w:themeColor="text1"/>
                <w:szCs w:val="22"/>
                <w:lang w:val="en-US"/>
              </w:rPr>
              <w:t>Definition:</w:t>
            </w:r>
          </w:p>
        </w:tc>
        <w:tc>
          <w:tcPr>
            <w:tcW w:w="5584" w:type="dxa"/>
            <w:gridSpan w:val="2"/>
            <w:tcBorders>
              <w:left w:val="single" w:sz="4" w:space="0" w:color="FFFFFF"/>
              <w:bottom w:val="single" w:sz="4" w:space="0" w:color="FFFFFF"/>
              <w:right w:val="single" w:sz="4" w:space="0" w:color="FFFFFF"/>
            </w:tcBorders>
          </w:tcPr>
          <w:p w14:paraId="6FB8A589" w14:textId="5CC57591" w:rsidR="00724B13" w:rsidRDefault="00724B13" w:rsidP="00D017D3">
            <w:pPr>
              <w:pStyle w:val="Bodyromannumerals"/>
              <w:rPr>
                <w:rFonts w:eastAsia="Calibri"/>
                <w:color w:val="000000" w:themeColor="text1"/>
              </w:rPr>
            </w:pPr>
            <w:r>
              <w:rPr>
                <w:rFonts w:eastAsia="Calibri"/>
                <w:color w:val="000000" w:themeColor="text1"/>
              </w:rPr>
              <w:t xml:space="preserve">Please provide the number of unique network or distribution zone samples taken. Recognising that each sample will be tested against multiple </w:t>
            </w:r>
            <w:proofErr w:type="spellStart"/>
            <w:r w:rsidR="008A4707">
              <w:rPr>
                <w:rFonts w:eastAsia="Calibri"/>
                <w:color w:val="000000" w:themeColor="text1"/>
              </w:rPr>
              <w:t>determinand</w:t>
            </w:r>
            <w:r>
              <w:rPr>
                <w:rFonts w:eastAsia="Calibri"/>
                <w:color w:val="000000" w:themeColor="text1"/>
              </w:rPr>
              <w:t>s</w:t>
            </w:r>
            <w:proofErr w:type="spellEnd"/>
            <w:r>
              <w:rPr>
                <w:rFonts w:eastAsia="Calibri"/>
                <w:color w:val="000000" w:themeColor="text1"/>
              </w:rPr>
              <w:t xml:space="preserve">, Local Authorities should provide the number of unique samples – e.g. a sample tested against six main </w:t>
            </w:r>
            <w:proofErr w:type="spellStart"/>
            <w:r w:rsidR="008A4707">
              <w:rPr>
                <w:rFonts w:eastAsia="Calibri"/>
                <w:color w:val="000000" w:themeColor="text1"/>
              </w:rPr>
              <w:t>determinand</w:t>
            </w:r>
            <w:r>
              <w:rPr>
                <w:rFonts w:eastAsia="Calibri"/>
                <w:color w:val="000000" w:themeColor="text1"/>
              </w:rPr>
              <w:t>s</w:t>
            </w:r>
            <w:proofErr w:type="spellEnd"/>
            <w:r>
              <w:rPr>
                <w:rFonts w:eastAsia="Calibri"/>
                <w:color w:val="000000" w:themeColor="text1"/>
              </w:rPr>
              <w:t xml:space="preserve"> would be counted as one sample (and not six). </w:t>
            </w:r>
          </w:p>
          <w:p w14:paraId="19B35FB9" w14:textId="30B2E217" w:rsidR="00724B13" w:rsidRDefault="00724B13" w:rsidP="00D017D3">
            <w:pPr>
              <w:pStyle w:val="Bodyromannumerals"/>
              <w:rPr>
                <w:rFonts w:eastAsia="Calibri"/>
                <w:color w:val="000000" w:themeColor="text1"/>
              </w:rPr>
            </w:pPr>
            <w:r>
              <w:rPr>
                <w:rFonts w:eastAsia="Calibri"/>
                <w:color w:val="000000" w:themeColor="text1"/>
              </w:rPr>
              <w:t xml:space="preserve">This excludes </w:t>
            </w:r>
            <w:r w:rsidR="00C922E0">
              <w:rPr>
                <w:rFonts w:eastAsia="Calibri"/>
                <w:color w:val="000000" w:themeColor="text1"/>
              </w:rPr>
              <w:t xml:space="preserve">unique spot </w:t>
            </w:r>
            <w:r>
              <w:rPr>
                <w:rFonts w:eastAsia="Calibri"/>
                <w:color w:val="000000" w:themeColor="text1"/>
              </w:rPr>
              <w:t xml:space="preserve">samples taken </w:t>
            </w:r>
            <w:r w:rsidR="00C922E0">
              <w:rPr>
                <w:rFonts w:eastAsia="Calibri"/>
                <w:color w:val="000000" w:themeColor="text1"/>
              </w:rPr>
              <w:t xml:space="preserve">through </w:t>
            </w:r>
            <w:r w:rsidR="00021AF0">
              <w:rPr>
                <w:rFonts w:eastAsia="Calibri"/>
                <w:color w:val="000000" w:themeColor="text1"/>
              </w:rPr>
              <w:t xml:space="preserve">manual </w:t>
            </w:r>
            <w:r>
              <w:rPr>
                <w:rFonts w:eastAsia="Calibri"/>
                <w:color w:val="000000" w:themeColor="text1"/>
              </w:rPr>
              <w:t xml:space="preserve">monitoring. Local Authorities should only report </w:t>
            </w:r>
            <w:r w:rsidR="00874BAE">
              <w:rPr>
                <w:rFonts w:eastAsia="Calibri"/>
                <w:color w:val="000000" w:themeColor="text1"/>
              </w:rPr>
              <w:t xml:space="preserve">continuous </w:t>
            </w:r>
            <w:r w:rsidR="00D26DDF">
              <w:rPr>
                <w:rFonts w:eastAsia="Calibri"/>
                <w:color w:val="000000" w:themeColor="text1"/>
              </w:rPr>
              <w:t>monitoring</w:t>
            </w:r>
            <w:r w:rsidR="00874BAE">
              <w:rPr>
                <w:rFonts w:eastAsia="Calibri"/>
                <w:color w:val="000000" w:themeColor="text1"/>
              </w:rPr>
              <w:t xml:space="preserve"> </w:t>
            </w:r>
            <w:r w:rsidR="00D26DDF">
              <w:rPr>
                <w:rFonts w:eastAsia="Calibri"/>
                <w:color w:val="000000" w:themeColor="text1"/>
              </w:rPr>
              <w:t>samples</w:t>
            </w:r>
            <w:r>
              <w:rPr>
                <w:rFonts w:eastAsia="Calibri"/>
                <w:color w:val="000000" w:themeColor="text1"/>
              </w:rPr>
              <w:t>.</w:t>
            </w:r>
          </w:p>
          <w:p w14:paraId="116C05DD" w14:textId="77777777" w:rsidR="00724B13" w:rsidRPr="009A191E" w:rsidRDefault="00724B13" w:rsidP="00D017D3">
            <w:pPr>
              <w:pStyle w:val="Bodyromannumerals"/>
              <w:rPr>
                <w:rFonts w:eastAsia="Calibri"/>
                <w:color w:val="000000" w:themeColor="text1"/>
                <w:szCs w:val="22"/>
                <w:lang w:val="en-US"/>
              </w:rPr>
            </w:pPr>
            <w:r>
              <w:rPr>
                <w:rFonts w:eastAsia="Calibri"/>
                <w:color w:val="000000" w:themeColor="text1"/>
              </w:rPr>
              <w:t xml:space="preserve">In Scotland, samples are taken at the customer tap. Given that no such requirement exists in New Zealand, Local Authorities are required to provide any samples taken for water quality </w:t>
            </w:r>
            <w:r w:rsidRPr="007540E2">
              <w:rPr>
                <w:rFonts w:eastAsia="Calibri"/>
                <w:color w:val="000000" w:themeColor="text1"/>
                <w:u w:val="single"/>
              </w:rPr>
              <w:t>after</w:t>
            </w:r>
            <w:r>
              <w:rPr>
                <w:rFonts w:eastAsia="Calibri"/>
                <w:color w:val="000000" w:themeColor="text1"/>
              </w:rPr>
              <w:t xml:space="preserve"> treatment. These could, for example, be samples taken at dedicated sample points in the distribution network (as was the case for Watercare). </w:t>
            </w:r>
          </w:p>
        </w:tc>
      </w:tr>
      <w:tr w:rsidR="00724B13" w:rsidRPr="009A191E" w14:paraId="263E4ABD" w14:textId="77777777" w:rsidTr="00D017D3">
        <w:tc>
          <w:tcPr>
            <w:tcW w:w="1974" w:type="dxa"/>
            <w:gridSpan w:val="2"/>
            <w:tcBorders>
              <w:top w:val="single" w:sz="4" w:space="0" w:color="FFFFFF"/>
              <w:left w:val="single" w:sz="4" w:space="0" w:color="FFFFFF"/>
              <w:bottom w:val="single" w:sz="4" w:space="0" w:color="FFFFFF"/>
              <w:right w:val="single" w:sz="4" w:space="0" w:color="FFFFFF"/>
            </w:tcBorders>
          </w:tcPr>
          <w:p w14:paraId="73835FE9" w14:textId="77777777" w:rsidR="00724B13" w:rsidRPr="009A191E" w:rsidRDefault="00724B13" w:rsidP="00D017D3">
            <w:pPr>
              <w:pStyle w:val="Bodyromannumerals"/>
              <w:rPr>
                <w:rFonts w:eastAsia="Calibri"/>
                <w:i/>
                <w:color w:val="000000" w:themeColor="text1"/>
                <w:szCs w:val="22"/>
                <w:lang w:val="en-US"/>
              </w:rPr>
            </w:pPr>
            <w:r w:rsidRPr="009A191E">
              <w:rPr>
                <w:rFonts w:eastAsia="Calibri"/>
                <w:i/>
                <w:color w:val="000000" w:themeColor="text1"/>
                <w:szCs w:val="22"/>
                <w:lang w:val="en-US"/>
              </w:rPr>
              <w:t>Processing Rules:</w:t>
            </w:r>
          </w:p>
        </w:tc>
        <w:tc>
          <w:tcPr>
            <w:tcW w:w="5584" w:type="dxa"/>
            <w:gridSpan w:val="2"/>
            <w:tcBorders>
              <w:top w:val="single" w:sz="4" w:space="0" w:color="FFFFFF"/>
              <w:left w:val="single" w:sz="4" w:space="0" w:color="FFFFFF"/>
              <w:bottom w:val="single" w:sz="4" w:space="0" w:color="FFFFFF"/>
              <w:right w:val="single" w:sz="4" w:space="0" w:color="FFFFFF"/>
            </w:tcBorders>
          </w:tcPr>
          <w:p w14:paraId="12035E1D" w14:textId="77777777" w:rsidR="00724B13" w:rsidRPr="009A191E" w:rsidRDefault="00724B13" w:rsidP="00D017D3">
            <w:pPr>
              <w:pStyle w:val="Bodyromannumerals"/>
              <w:rPr>
                <w:rFonts w:eastAsia="Calibri"/>
                <w:color w:val="000000" w:themeColor="text1"/>
                <w:szCs w:val="22"/>
                <w:lang w:val="en-US"/>
              </w:rPr>
            </w:pPr>
            <w:r w:rsidRPr="006C0269">
              <w:t>Input field</w:t>
            </w:r>
          </w:p>
        </w:tc>
      </w:tr>
      <w:tr w:rsidR="007224EF" w:rsidRPr="00940E3A" w14:paraId="259E3834" w14:textId="77777777" w:rsidTr="00D017D3">
        <w:tc>
          <w:tcPr>
            <w:tcW w:w="1232" w:type="dxa"/>
          </w:tcPr>
          <w:p w14:paraId="5FEC1FFA" w14:textId="77777777" w:rsidR="007224EF" w:rsidRPr="00940E3A" w:rsidRDefault="007224EF" w:rsidP="00D017D3">
            <w:pPr>
              <w:pStyle w:val="Bodyromannumerals"/>
              <w:rPr>
                <w:rFonts w:eastAsia="Calibri"/>
                <w:b/>
                <w:bCs/>
                <w:color w:val="000000" w:themeColor="text1"/>
                <w:szCs w:val="22"/>
                <w:lang w:val="en-US"/>
              </w:rPr>
            </w:pPr>
            <w:r w:rsidRPr="00940E3A">
              <w:rPr>
                <w:b/>
                <w:bCs/>
              </w:rPr>
              <w:t>C1.2</w:t>
            </w:r>
          </w:p>
        </w:tc>
        <w:tc>
          <w:tcPr>
            <w:tcW w:w="5435" w:type="dxa"/>
            <w:gridSpan w:val="2"/>
          </w:tcPr>
          <w:p w14:paraId="0093A50C" w14:textId="035CCBC2" w:rsidR="007224EF" w:rsidRPr="00940E3A" w:rsidRDefault="007224EF" w:rsidP="00D017D3">
            <w:pPr>
              <w:pStyle w:val="Bodyromannumerals"/>
              <w:rPr>
                <w:rFonts w:eastAsia="Calibri"/>
                <w:b/>
                <w:bCs/>
                <w:color w:val="000000" w:themeColor="text1"/>
                <w:szCs w:val="22"/>
                <w:lang w:val="en-US"/>
              </w:rPr>
            </w:pPr>
            <w:r w:rsidRPr="00940E3A">
              <w:rPr>
                <w:b/>
                <w:bCs/>
              </w:rPr>
              <w:t xml:space="preserve">Sample </w:t>
            </w:r>
            <w:proofErr w:type="spellStart"/>
            <w:r w:rsidR="008A4707">
              <w:rPr>
                <w:b/>
                <w:bCs/>
              </w:rPr>
              <w:t>determinand</w:t>
            </w:r>
            <w:r w:rsidRPr="00940E3A">
              <w:rPr>
                <w:b/>
                <w:bCs/>
              </w:rPr>
              <w:t>s</w:t>
            </w:r>
            <w:proofErr w:type="spellEnd"/>
            <w:r w:rsidRPr="00940E3A">
              <w:rPr>
                <w:b/>
                <w:bCs/>
              </w:rPr>
              <w:t xml:space="preserve"> failing</w:t>
            </w:r>
            <w:r>
              <w:rPr>
                <w:b/>
                <w:bCs/>
              </w:rPr>
              <w:t xml:space="preserve"> – unique spot samples (manual monitoring)</w:t>
            </w:r>
          </w:p>
        </w:tc>
        <w:tc>
          <w:tcPr>
            <w:tcW w:w="891" w:type="dxa"/>
          </w:tcPr>
          <w:p w14:paraId="3B2F6E10" w14:textId="77777777" w:rsidR="007224EF" w:rsidRPr="00940E3A" w:rsidRDefault="007224EF" w:rsidP="00D017D3">
            <w:pPr>
              <w:pStyle w:val="Bodyromannumerals"/>
              <w:rPr>
                <w:rFonts w:eastAsia="Calibri"/>
                <w:b/>
                <w:bCs/>
                <w:color w:val="000000" w:themeColor="text1"/>
                <w:szCs w:val="22"/>
                <w:lang w:val="en-US"/>
              </w:rPr>
            </w:pPr>
            <w:r w:rsidRPr="00940E3A">
              <w:rPr>
                <w:b/>
                <w:bCs/>
              </w:rPr>
              <w:t>Nr.</w:t>
            </w:r>
          </w:p>
        </w:tc>
      </w:tr>
      <w:tr w:rsidR="007224EF" w:rsidRPr="009A191E" w14:paraId="5271DEE2" w14:textId="77777777" w:rsidTr="00D017D3">
        <w:tc>
          <w:tcPr>
            <w:tcW w:w="1974" w:type="dxa"/>
            <w:gridSpan w:val="2"/>
            <w:tcBorders>
              <w:left w:val="single" w:sz="4" w:space="0" w:color="FFFFFF"/>
              <w:bottom w:val="single" w:sz="4" w:space="0" w:color="FFFFFF"/>
              <w:right w:val="single" w:sz="4" w:space="0" w:color="FFFFFF"/>
            </w:tcBorders>
          </w:tcPr>
          <w:p w14:paraId="41DEE068" w14:textId="77777777" w:rsidR="007224EF" w:rsidRPr="009A191E" w:rsidRDefault="007224EF" w:rsidP="00D017D3">
            <w:pPr>
              <w:pStyle w:val="Bodyromannumerals"/>
              <w:rPr>
                <w:rFonts w:eastAsia="Calibri"/>
                <w:i/>
                <w:color w:val="000000" w:themeColor="text1"/>
                <w:szCs w:val="22"/>
                <w:lang w:val="en-US"/>
              </w:rPr>
            </w:pPr>
            <w:r w:rsidRPr="009A191E">
              <w:rPr>
                <w:rFonts w:eastAsia="Calibri"/>
                <w:i/>
                <w:color w:val="000000" w:themeColor="text1"/>
                <w:szCs w:val="22"/>
                <w:lang w:val="en-US"/>
              </w:rPr>
              <w:t>Definition:</w:t>
            </w:r>
          </w:p>
        </w:tc>
        <w:tc>
          <w:tcPr>
            <w:tcW w:w="5584" w:type="dxa"/>
            <w:gridSpan w:val="2"/>
            <w:tcBorders>
              <w:left w:val="single" w:sz="4" w:space="0" w:color="FFFFFF"/>
              <w:bottom w:val="single" w:sz="4" w:space="0" w:color="FFFFFF"/>
              <w:right w:val="single" w:sz="4" w:space="0" w:color="FFFFFF"/>
            </w:tcBorders>
          </w:tcPr>
          <w:p w14:paraId="1E53D47E" w14:textId="1A0176F1" w:rsidR="007224EF" w:rsidRDefault="007224EF" w:rsidP="00D017D3">
            <w:pPr>
              <w:pStyle w:val="Bodyromannumerals"/>
            </w:pPr>
            <w:r>
              <w:t xml:space="preserve">Please provide the number of samples taken (as reported in C1.1) </w:t>
            </w:r>
            <w:r w:rsidRPr="008B459B">
              <w:t xml:space="preserve">which </w:t>
            </w:r>
            <w:r>
              <w:t xml:space="preserve">exceeded the maximum allowable values (MAVs) for </w:t>
            </w:r>
            <w:proofErr w:type="spellStart"/>
            <w:r w:rsidR="008A4707">
              <w:t>determinand</w:t>
            </w:r>
            <w:r>
              <w:t>s</w:t>
            </w:r>
            <w:proofErr w:type="spellEnd"/>
            <w:r>
              <w:t xml:space="preserve"> as set out in the Drinking Water Standards for New Zealand 2005 (revised 2018) requirements</w:t>
            </w:r>
            <w:r w:rsidRPr="008B459B">
              <w:t>.</w:t>
            </w:r>
            <w:r>
              <w:t xml:space="preserve"> </w:t>
            </w:r>
          </w:p>
          <w:p w14:paraId="110BB008" w14:textId="12548386" w:rsidR="007224EF" w:rsidRDefault="007224EF" w:rsidP="00D017D3">
            <w:pPr>
              <w:pStyle w:val="Bodyromannumerals"/>
            </w:pPr>
            <w:r>
              <w:t xml:space="preserve">This excludes </w:t>
            </w:r>
            <w:r w:rsidR="00AC7120">
              <w:t xml:space="preserve">samples </w:t>
            </w:r>
            <w:r>
              <w:rPr>
                <w:rFonts w:eastAsia="Calibri"/>
                <w:color w:val="000000" w:themeColor="text1"/>
              </w:rPr>
              <w:t>taken through online continuous monitoring.  Local Authorities should only report unique spot samples.</w:t>
            </w:r>
            <w:r>
              <w:t xml:space="preserve"> </w:t>
            </w:r>
          </w:p>
          <w:p w14:paraId="086CD69C" w14:textId="453CCE7F" w:rsidR="007224EF" w:rsidRPr="009A191E" w:rsidRDefault="007224EF" w:rsidP="00D017D3">
            <w:pPr>
              <w:pStyle w:val="Bodyromannumerals"/>
              <w:rPr>
                <w:rFonts w:eastAsia="Calibri"/>
                <w:color w:val="000000" w:themeColor="text1"/>
                <w:szCs w:val="22"/>
                <w:lang w:val="en-US"/>
              </w:rPr>
            </w:pPr>
            <w:r>
              <w:t xml:space="preserve">If a sample fails against 2 </w:t>
            </w:r>
            <w:proofErr w:type="spellStart"/>
            <w:r w:rsidR="008A4707">
              <w:t>determinand</w:t>
            </w:r>
            <w:r>
              <w:t>s</w:t>
            </w:r>
            <w:proofErr w:type="spellEnd"/>
            <w:r>
              <w:t xml:space="preserve"> sampled, </w:t>
            </w:r>
            <w:r w:rsidR="00865E9C">
              <w:t xml:space="preserve">for example, </w:t>
            </w:r>
            <w:r>
              <w:t xml:space="preserve">this would still be counted as 1 sample failing. </w:t>
            </w:r>
            <w:r>
              <w:rPr>
                <w:rFonts w:eastAsia="Calibri"/>
                <w:color w:val="000000" w:themeColor="text1"/>
              </w:rPr>
              <w:t xml:space="preserve"> </w:t>
            </w:r>
          </w:p>
        </w:tc>
      </w:tr>
      <w:tr w:rsidR="007224EF" w:rsidRPr="00140A2E" w14:paraId="0C9348E4" w14:textId="77777777" w:rsidTr="00D017D3">
        <w:tc>
          <w:tcPr>
            <w:tcW w:w="1974" w:type="dxa"/>
            <w:gridSpan w:val="2"/>
            <w:tcBorders>
              <w:top w:val="single" w:sz="4" w:space="0" w:color="FFFFFF"/>
              <w:left w:val="single" w:sz="4" w:space="0" w:color="FFFFFF"/>
              <w:bottom w:val="single" w:sz="4" w:space="0" w:color="FFFFFF"/>
              <w:right w:val="single" w:sz="4" w:space="0" w:color="FFFFFF"/>
            </w:tcBorders>
          </w:tcPr>
          <w:p w14:paraId="7580777D" w14:textId="77777777" w:rsidR="007224EF" w:rsidRPr="009A191E" w:rsidRDefault="007224EF" w:rsidP="00D017D3">
            <w:pPr>
              <w:pStyle w:val="Bodyromannumerals"/>
              <w:rPr>
                <w:rFonts w:eastAsia="Calibri"/>
                <w:i/>
                <w:color w:val="000000" w:themeColor="text1"/>
                <w:szCs w:val="22"/>
                <w:lang w:val="en-US"/>
              </w:rPr>
            </w:pPr>
            <w:r w:rsidRPr="009A191E">
              <w:rPr>
                <w:rFonts w:eastAsia="Calibri"/>
                <w:i/>
                <w:color w:val="000000" w:themeColor="text1"/>
                <w:szCs w:val="22"/>
                <w:lang w:val="en-US"/>
              </w:rPr>
              <w:t>Processing Rules:</w:t>
            </w:r>
          </w:p>
        </w:tc>
        <w:tc>
          <w:tcPr>
            <w:tcW w:w="5584" w:type="dxa"/>
            <w:gridSpan w:val="2"/>
            <w:tcBorders>
              <w:top w:val="single" w:sz="4" w:space="0" w:color="FFFFFF"/>
              <w:left w:val="single" w:sz="4" w:space="0" w:color="FFFFFF"/>
              <w:bottom w:val="single" w:sz="4" w:space="0" w:color="FFFFFF"/>
              <w:right w:val="single" w:sz="4" w:space="0" w:color="FFFFFF"/>
            </w:tcBorders>
          </w:tcPr>
          <w:p w14:paraId="5C74EC1F" w14:textId="77777777" w:rsidR="007224EF" w:rsidRPr="00140A2E" w:rsidRDefault="007224EF" w:rsidP="00D017D3">
            <w:pPr>
              <w:pStyle w:val="Bodyromannumerals"/>
            </w:pPr>
            <w:r w:rsidRPr="008B459B">
              <w:t>Input field</w:t>
            </w:r>
          </w:p>
        </w:tc>
      </w:tr>
    </w:tbl>
    <w:p w14:paraId="48B5EFE6" w14:textId="2F5965DC" w:rsidR="007B444A" w:rsidRDefault="007B444A"/>
    <w:tbl>
      <w:tblPr>
        <w:tblStyle w:val="TableGrid3"/>
        <w:tblW w:w="0" w:type="auto"/>
        <w:tblLook w:val="04A0" w:firstRow="1" w:lastRow="0" w:firstColumn="1" w:lastColumn="0" w:noHBand="0" w:noVBand="1"/>
      </w:tblPr>
      <w:tblGrid>
        <w:gridCol w:w="1232"/>
        <w:gridCol w:w="742"/>
        <w:gridCol w:w="4693"/>
        <w:gridCol w:w="891"/>
      </w:tblGrid>
      <w:tr w:rsidR="00940E3A" w:rsidRPr="001F4A22" w14:paraId="42D1F785" w14:textId="77777777" w:rsidTr="007B444A">
        <w:tc>
          <w:tcPr>
            <w:tcW w:w="1232" w:type="dxa"/>
          </w:tcPr>
          <w:p w14:paraId="4C333D21" w14:textId="6F2B9CD7" w:rsidR="00940E3A" w:rsidRPr="00940E3A" w:rsidRDefault="00940E3A" w:rsidP="00940E3A">
            <w:pPr>
              <w:pStyle w:val="Bodyromannumerals"/>
              <w:rPr>
                <w:rFonts w:eastAsia="Calibri"/>
                <w:b/>
                <w:bCs/>
                <w:color w:val="000000" w:themeColor="text1"/>
                <w:szCs w:val="22"/>
                <w:lang w:val="en-US"/>
              </w:rPr>
            </w:pPr>
            <w:r w:rsidRPr="00940E3A">
              <w:rPr>
                <w:b/>
                <w:bCs/>
              </w:rPr>
              <w:t>C1.2</w:t>
            </w:r>
            <w:r w:rsidR="00E412AF">
              <w:rPr>
                <w:b/>
                <w:bCs/>
              </w:rPr>
              <w:t>b</w:t>
            </w:r>
          </w:p>
        </w:tc>
        <w:tc>
          <w:tcPr>
            <w:tcW w:w="5435" w:type="dxa"/>
            <w:gridSpan w:val="2"/>
          </w:tcPr>
          <w:p w14:paraId="64BCFCEB" w14:textId="2470DE73" w:rsidR="00940E3A" w:rsidRPr="00940E3A" w:rsidRDefault="00940E3A" w:rsidP="00940E3A">
            <w:pPr>
              <w:pStyle w:val="Bodyromannumerals"/>
              <w:rPr>
                <w:rFonts w:eastAsia="Calibri"/>
                <w:b/>
                <w:bCs/>
                <w:color w:val="000000" w:themeColor="text1"/>
                <w:szCs w:val="22"/>
                <w:lang w:val="en-US"/>
              </w:rPr>
            </w:pPr>
            <w:r w:rsidRPr="00940E3A">
              <w:rPr>
                <w:b/>
                <w:bCs/>
              </w:rPr>
              <w:t xml:space="preserve">Sample </w:t>
            </w:r>
            <w:proofErr w:type="spellStart"/>
            <w:r w:rsidR="008A4707">
              <w:rPr>
                <w:b/>
                <w:bCs/>
              </w:rPr>
              <w:t>determinand</w:t>
            </w:r>
            <w:r w:rsidR="009E3A35" w:rsidRPr="00940E3A">
              <w:rPr>
                <w:b/>
                <w:bCs/>
              </w:rPr>
              <w:t>s</w:t>
            </w:r>
            <w:proofErr w:type="spellEnd"/>
            <w:r w:rsidR="009E3A35" w:rsidRPr="00940E3A">
              <w:rPr>
                <w:b/>
                <w:bCs/>
              </w:rPr>
              <w:t xml:space="preserve"> </w:t>
            </w:r>
            <w:r w:rsidRPr="00940E3A">
              <w:rPr>
                <w:b/>
                <w:bCs/>
              </w:rPr>
              <w:t xml:space="preserve">failing </w:t>
            </w:r>
            <w:r w:rsidR="007224EF">
              <w:rPr>
                <w:b/>
                <w:bCs/>
              </w:rPr>
              <w:t>– continuous monitoring</w:t>
            </w:r>
          </w:p>
        </w:tc>
        <w:tc>
          <w:tcPr>
            <w:tcW w:w="891" w:type="dxa"/>
          </w:tcPr>
          <w:p w14:paraId="413FACB8" w14:textId="77777777" w:rsidR="00940E3A" w:rsidRPr="00940E3A" w:rsidRDefault="00940E3A" w:rsidP="00940E3A">
            <w:pPr>
              <w:pStyle w:val="Bodyromannumerals"/>
              <w:rPr>
                <w:rFonts w:eastAsia="Calibri"/>
                <w:b/>
                <w:bCs/>
                <w:color w:val="000000" w:themeColor="text1"/>
                <w:szCs w:val="22"/>
                <w:lang w:val="en-US"/>
              </w:rPr>
            </w:pPr>
            <w:r w:rsidRPr="00940E3A">
              <w:rPr>
                <w:b/>
                <w:bCs/>
              </w:rPr>
              <w:t>Nr.</w:t>
            </w:r>
          </w:p>
        </w:tc>
      </w:tr>
      <w:tr w:rsidR="00940E3A" w:rsidRPr="00E95786" w14:paraId="2B52872B" w14:textId="77777777" w:rsidTr="007B444A">
        <w:tc>
          <w:tcPr>
            <w:tcW w:w="1974" w:type="dxa"/>
            <w:gridSpan w:val="2"/>
            <w:tcBorders>
              <w:left w:val="single" w:sz="4" w:space="0" w:color="FFFFFF"/>
              <w:bottom w:val="single" w:sz="4" w:space="0" w:color="FFFFFF"/>
              <w:right w:val="single" w:sz="4" w:space="0" w:color="FFFFFF"/>
            </w:tcBorders>
          </w:tcPr>
          <w:p w14:paraId="0C1179A5" w14:textId="77777777" w:rsidR="00940E3A" w:rsidRPr="009A191E" w:rsidRDefault="00940E3A" w:rsidP="00940E3A">
            <w:pPr>
              <w:pStyle w:val="Bodyromannumerals"/>
              <w:rPr>
                <w:rFonts w:eastAsia="Calibri"/>
                <w:i/>
                <w:color w:val="000000" w:themeColor="text1"/>
                <w:szCs w:val="22"/>
                <w:lang w:val="en-US"/>
              </w:rPr>
            </w:pPr>
            <w:r w:rsidRPr="009A191E">
              <w:rPr>
                <w:rFonts w:eastAsia="Calibri"/>
                <w:i/>
                <w:color w:val="000000" w:themeColor="text1"/>
                <w:szCs w:val="22"/>
                <w:lang w:val="en-US"/>
              </w:rPr>
              <w:t>Definition:</w:t>
            </w:r>
          </w:p>
        </w:tc>
        <w:tc>
          <w:tcPr>
            <w:tcW w:w="5584" w:type="dxa"/>
            <w:gridSpan w:val="2"/>
            <w:tcBorders>
              <w:left w:val="single" w:sz="4" w:space="0" w:color="FFFFFF"/>
              <w:bottom w:val="single" w:sz="4" w:space="0" w:color="FFFFFF"/>
              <w:right w:val="single" w:sz="4" w:space="0" w:color="FFFFFF"/>
            </w:tcBorders>
          </w:tcPr>
          <w:p w14:paraId="7A333993" w14:textId="20C4539D" w:rsidR="0083788F" w:rsidRDefault="008030FA" w:rsidP="00940E3A">
            <w:pPr>
              <w:pStyle w:val="Bodyromannumerals"/>
            </w:pPr>
            <w:r>
              <w:t>Please provide the number of samples taken</w:t>
            </w:r>
            <w:r w:rsidR="009E3A35">
              <w:t xml:space="preserve"> (as reported in C1.1</w:t>
            </w:r>
            <w:r w:rsidR="002E2264">
              <w:t>b</w:t>
            </w:r>
            <w:r w:rsidR="009E3A35">
              <w:t>)</w:t>
            </w:r>
            <w:r>
              <w:t xml:space="preserve"> </w:t>
            </w:r>
            <w:r w:rsidR="00940E3A" w:rsidRPr="008B459B">
              <w:t xml:space="preserve">which </w:t>
            </w:r>
            <w:r>
              <w:t xml:space="preserve">exceeded the maximum allowable values (MAVs) for </w:t>
            </w:r>
            <w:proofErr w:type="spellStart"/>
            <w:r w:rsidR="008A4707">
              <w:t>determinand</w:t>
            </w:r>
            <w:r>
              <w:t>s</w:t>
            </w:r>
            <w:proofErr w:type="spellEnd"/>
            <w:r>
              <w:t xml:space="preserve"> as set out in the Drinking Water Standards for New Zealand 2005 (revised 2018) requirements</w:t>
            </w:r>
            <w:r w:rsidR="00940E3A" w:rsidRPr="008B459B">
              <w:t>.</w:t>
            </w:r>
            <w:r>
              <w:t xml:space="preserve"> </w:t>
            </w:r>
          </w:p>
          <w:p w14:paraId="56577B80" w14:textId="78BB5A32" w:rsidR="00D6267B" w:rsidRDefault="00D6267B" w:rsidP="00D6267B">
            <w:pPr>
              <w:pStyle w:val="Bodyromannumerals"/>
              <w:rPr>
                <w:rFonts w:eastAsia="Calibri"/>
                <w:color w:val="000000" w:themeColor="text1"/>
              </w:rPr>
            </w:pPr>
            <w:r>
              <w:rPr>
                <w:rFonts w:eastAsia="Calibri"/>
                <w:color w:val="000000" w:themeColor="text1"/>
              </w:rPr>
              <w:t xml:space="preserve">This excludes unique spot samples taken through manual monitoring. Local Authorities </w:t>
            </w:r>
            <w:r w:rsidR="00A1335A">
              <w:rPr>
                <w:rFonts w:eastAsia="Calibri"/>
                <w:color w:val="000000" w:themeColor="text1"/>
              </w:rPr>
              <w:t>should</w:t>
            </w:r>
            <w:r>
              <w:rPr>
                <w:rFonts w:eastAsia="Calibri"/>
                <w:color w:val="000000" w:themeColor="text1"/>
              </w:rPr>
              <w:t xml:space="preserve"> only report continuous monitoring samples.</w:t>
            </w:r>
          </w:p>
          <w:p w14:paraId="4680194A" w14:textId="78DD52CF" w:rsidR="006937D5" w:rsidRDefault="006937D5" w:rsidP="00D6267B">
            <w:pPr>
              <w:pStyle w:val="Bodyromannumerals"/>
              <w:rPr>
                <w:rFonts w:eastAsia="Calibri"/>
                <w:color w:val="000000" w:themeColor="text1"/>
              </w:rPr>
            </w:pPr>
            <w:r>
              <w:rPr>
                <w:rFonts w:eastAsia="Calibri"/>
                <w:color w:val="000000" w:themeColor="text1"/>
              </w:rPr>
              <w:t xml:space="preserve">Please provide in the commentary the number of samples considered as a fail due to data loss incidents in the reporting year. </w:t>
            </w:r>
          </w:p>
          <w:p w14:paraId="157457A1" w14:textId="0C9AE732" w:rsidR="008030FA" w:rsidRPr="009A191E" w:rsidRDefault="009E3A35" w:rsidP="00940E3A">
            <w:pPr>
              <w:pStyle w:val="Bodyromannumerals"/>
              <w:rPr>
                <w:rFonts w:eastAsia="Calibri"/>
                <w:color w:val="000000" w:themeColor="text1"/>
                <w:szCs w:val="22"/>
                <w:lang w:val="en-US"/>
              </w:rPr>
            </w:pPr>
            <w:r>
              <w:t xml:space="preserve">If a sample fails against 2 </w:t>
            </w:r>
            <w:proofErr w:type="spellStart"/>
            <w:r w:rsidR="008A4707">
              <w:t>determinand</w:t>
            </w:r>
            <w:r>
              <w:t>s</w:t>
            </w:r>
            <w:proofErr w:type="spellEnd"/>
            <w:r>
              <w:t xml:space="preserve"> sampled, </w:t>
            </w:r>
            <w:r w:rsidR="000C1990">
              <w:t xml:space="preserve">for example, </w:t>
            </w:r>
            <w:r>
              <w:t xml:space="preserve">this would still be counted as 1 sample failing. </w:t>
            </w:r>
            <w:r w:rsidR="008030FA">
              <w:rPr>
                <w:rFonts w:eastAsia="Calibri"/>
                <w:color w:val="000000" w:themeColor="text1"/>
              </w:rPr>
              <w:t xml:space="preserve"> </w:t>
            </w:r>
          </w:p>
        </w:tc>
      </w:tr>
      <w:tr w:rsidR="00940E3A" w:rsidRPr="00E95786" w14:paraId="48588FEB" w14:textId="77777777" w:rsidTr="007B444A">
        <w:tc>
          <w:tcPr>
            <w:tcW w:w="1974" w:type="dxa"/>
            <w:gridSpan w:val="2"/>
            <w:tcBorders>
              <w:top w:val="single" w:sz="4" w:space="0" w:color="FFFFFF"/>
              <w:left w:val="single" w:sz="4" w:space="0" w:color="FFFFFF"/>
              <w:bottom w:val="single" w:sz="4" w:space="0" w:color="FFFFFF"/>
              <w:right w:val="single" w:sz="4" w:space="0" w:color="FFFFFF"/>
            </w:tcBorders>
          </w:tcPr>
          <w:p w14:paraId="181841A2" w14:textId="77777777" w:rsidR="00940E3A" w:rsidRPr="009A191E" w:rsidRDefault="00940E3A" w:rsidP="00940E3A">
            <w:pPr>
              <w:pStyle w:val="Bodyromannumerals"/>
              <w:rPr>
                <w:rFonts w:eastAsia="Calibri"/>
                <w:i/>
                <w:color w:val="000000" w:themeColor="text1"/>
                <w:szCs w:val="22"/>
                <w:lang w:val="en-US"/>
              </w:rPr>
            </w:pPr>
            <w:r w:rsidRPr="009A191E">
              <w:rPr>
                <w:rFonts w:eastAsia="Calibri"/>
                <w:i/>
                <w:color w:val="000000" w:themeColor="text1"/>
                <w:szCs w:val="22"/>
                <w:lang w:val="en-US"/>
              </w:rPr>
              <w:t>Processing Rules:</w:t>
            </w:r>
          </w:p>
        </w:tc>
        <w:tc>
          <w:tcPr>
            <w:tcW w:w="5584" w:type="dxa"/>
            <w:gridSpan w:val="2"/>
            <w:tcBorders>
              <w:top w:val="single" w:sz="4" w:space="0" w:color="FFFFFF"/>
              <w:left w:val="single" w:sz="4" w:space="0" w:color="FFFFFF"/>
              <w:bottom w:val="single" w:sz="4" w:space="0" w:color="FFFFFF"/>
              <w:right w:val="single" w:sz="4" w:space="0" w:color="FFFFFF"/>
            </w:tcBorders>
          </w:tcPr>
          <w:p w14:paraId="759AA27D" w14:textId="4586F878" w:rsidR="00940E3A" w:rsidRPr="007013F6" w:rsidRDefault="00940E3A" w:rsidP="00940E3A">
            <w:pPr>
              <w:pStyle w:val="Bodyromannumerals"/>
            </w:pPr>
            <w:r w:rsidRPr="008B459B">
              <w:t>Input field</w:t>
            </w:r>
          </w:p>
        </w:tc>
      </w:tr>
      <w:tr w:rsidR="00940E3A" w:rsidRPr="001F4A22" w14:paraId="1A84FF1C" w14:textId="77777777" w:rsidTr="007B444A">
        <w:tc>
          <w:tcPr>
            <w:tcW w:w="1232" w:type="dxa"/>
          </w:tcPr>
          <w:p w14:paraId="0896039D" w14:textId="77777777" w:rsidR="00940E3A" w:rsidRPr="00940E3A" w:rsidRDefault="00940E3A" w:rsidP="00940E3A">
            <w:pPr>
              <w:pStyle w:val="Bodyromannumerals"/>
              <w:rPr>
                <w:rFonts w:eastAsia="Calibri"/>
                <w:b/>
                <w:bCs/>
                <w:color w:val="000000" w:themeColor="text1"/>
                <w:szCs w:val="22"/>
                <w:lang w:val="en-US"/>
              </w:rPr>
            </w:pPr>
            <w:r w:rsidRPr="00940E3A">
              <w:rPr>
                <w:b/>
                <w:bCs/>
              </w:rPr>
              <w:t>C1.3</w:t>
            </w:r>
          </w:p>
        </w:tc>
        <w:tc>
          <w:tcPr>
            <w:tcW w:w="5435" w:type="dxa"/>
            <w:gridSpan w:val="2"/>
          </w:tcPr>
          <w:p w14:paraId="7E155E52" w14:textId="4718DE4F" w:rsidR="00940E3A" w:rsidRPr="00940E3A" w:rsidRDefault="00940E3A" w:rsidP="00940E3A">
            <w:pPr>
              <w:pStyle w:val="Bodyromannumerals"/>
              <w:rPr>
                <w:rFonts w:eastAsia="Calibri"/>
                <w:b/>
                <w:bCs/>
                <w:color w:val="000000" w:themeColor="text1"/>
                <w:szCs w:val="22"/>
                <w:lang w:val="en-US"/>
              </w:rPr>
            </w:pPr>
            <w:r w:rsidRPr="00940E3A">
              <w:rPr>
                <w:b/>
                <w:bCs/>
              </w:rPr>
              <w:t xml:space="preserve">Number of water </w:t>
            </w:r>
            <w:r w:rsidR="00611632">
              <w:rPr>
                <w:b/>
                <w:bCs/>
              </w:rPr>
              <w:t>distribution</w:t>
            </w:r>
            <w:r w:rsidR="00611632" w:rsidRPr="00940E3A">
              <w:rPr>
                <w:b/>
                <w:bCs/>
              </w:rPr>
              <w:t xml:space="preserve"> </w:t>
            </w:r>
            <w:r w:rsidRPr="00940E3A">
              <w:rPr>
                <w:b/>
                <w:bCs/>
              </w:rPr>
              <w:t xml:space="preserve">zones in the </w:t>
            </w:r>
            <w:r w:rsidR="000011BB">
              <w:rPr>
                <w:b/>
                <w:bCs/>
              </w:rPr>
              <w:t>Local</w:t>
            </w:r>
            <w:r w:rsidR="008611FE" w:rsidRPr="00940E3A">
              <w:rPr>
                <w:b/>
                <w:bCs/>
              </w:rPr>
              <w:t xml:space="preserve"> </w:t>
            </w:r>
            <w:r w:rsidRPr="00940E3A">
              <w:rPr>
                <w:b/>
                <w:bCs/>
              </w:rPr>
              <w:t xml:space="preserve">Authority’s </w:t>
            </w:r>
            <w:r w:rsidR="008611FE">
              <w:rPr>
                <w:b/>
                <w:bCs/>
              </w:rPr>
              <w:t xml:space="preserve">supply </w:t>
            </w:r>
            <w:r w:rsidRPr="00940E3A">
              <w:rPr>
                <w:b/>
                <w:bCs/>
              </w:rPr>
              <w:t>area</w:t>
            </w:r>
          </w:p>
        </w:tc>
        <w:tc>
          <w:tcPr>
            <w:tcW w:w="891" w:type="dxa"/>
          </w:tcPr>
          <w:p w14:paraId="14D06A26" w14:textId="77777777" w:rsidR="00940E3A" w:rsidRPr="00940E3A" w:rsidRDefault="00940E3A" w:rsidP="00940E3A">
            <w:pPr>
              <w:pStyle w:val="Bodyromannumerals"/>
              <w:rPr>
                <w:rFonts w:eastAsia="Calibri"/>
                <w:b/>
                <w:bCs/>
                <w:color w:val="000000" w:themeColor="text1"/>
                <w:szCs w:val="22"/>
                <w:lang w:val="en-US"/>
              </w:rPr>
            </w:pPr>
            <w:r w:rsidRPr="00940E3A">
              <w:rPr>
                <w:b/>
                <w:bCs/>
              </w:rPr>
              <w:t>Nr.</w:t>
            </w:r>
          </w:p>
        </w:tc>
      </w:tr>
      <w:tr w:rsidR="00940E3A" w:rsidRPr="00E95786" w14:paraId="4899A090" w14:textId="77777777" w:rsidTr="007B444A">
        <w:tc>
          <w:tcPr>
            <w:tcW w:w="1974" w:type="dxa"/>
            <w:gridSpan w:val="2"/>
            <w:tcBorders>
              <w:left w:val="single" w:sz="4" w:space="0" w:color="FFFFFF"/>
              <w:bottom w:val="single" w:sz="4" w:space="0" w:color="FFFFFF"/>
              <w:right w:val="single" w:sz="4" w:space="0" w:color="FFFFFF"/>
            </w:tcBorders>
          </w:tcPr>
          <w:p w14:paraId="7B3B9DB3" w14:textId="77777777" w:rsidR="00940E3A" w:rsidRPr="009A191E" w:rsidRDefault="00940E3A" w:rsidP="00940E3A">
            <w:pPr>
              <w:pStyle w:val="Bodyromannumerals"/>
              <w:rPr>
                <w:rFonts w:eastAsia="Calibri"/>
                <w:i/>
                <w:color w:val="000000" w:themeColor="text1"/>
                <w:szCs w:val="22"/>
                <w:lang w:val="en-US"/>
              </w:rPr>
            </w:pPr>
            <w:r w:rsidRPr="009A191E">
              <w:rPr>
                <w:rFonts w:eastAsia="Calibri"/>
                <w:i/>
                <w:color w:val="000000" w:themeColor="text1"/>
                <w:szCs w:val="22"/>
                <w:lang w:val="en-US"/>
              </w:rPr>
              <w:t>Definition:</w:t>
            </w:r>
          </w:p>
        </w:tc>
        <w:tc>
          <w:tcPr>
            <w:tcW w:w="5584" w:type="dxa"/>
            <w:gridSpan w:val="2"/>
            <w:tcBorders>
              <w:left w:val="single" w:sz="4" w:space="0" w:color="FFFFFF"/>
              <w:bottom w:val="single" w:sz="4" w:space="0" w:color="FFFFFF"/>
              <w:right w:val="single" w:sz="4" w:space="0" w:color="FFFFFF"/>
            </w:tcBorders>
          </w:tcPr>
          <w:p w14:paraId="391DD5A3" w14:textId="59620548" w:rsidR="00940E3A" w:rsidRPr="00B03EFD" w:rsidRDefault="00940E3A" w:rsidP="00B03EFD">
            <w:pPr>
              <w:pStyle w:val="Bodynumbercopy"/>
              <w:numPr>
                <w:ilvl w:val="0"/>
                <w:numId w:val="0"/>
              </w:numPr>
              <w:rPr>
                <w:b/>
                <w:bCs/>
              </w:rPr>
            </w:pPr>
            <w:r w:rsidRPr="00A349FC">
              <w:t>The total number of water supply zones the authority has.</w:t>
            </w:r>
            <w:r w:rsidR="0006190D">
              <w:t xml:space="preserve"> </w:t>
            </w:r>
            <w:r w:rsidR="0006190D" w:rsidRPr="00955B8F">
              <w:t>Water distribution zone is defined as an identifiable part of the water supply network</w:t>
            </w:r>
            <w:r w:rsidR="0006190D">
              <w:t>. T</w:t>
            </w:r>
            <w:r w:rsidR="0006190D" w:rsidRPr="007F29CF">
              <w:t xml:space="preserve">his is in line with </w:t>
            </w:r>
            <w:r w:rsidR="0006190D">
              <w:t xml:space="preserve">the </w:t>
            </w:r>
            <w:r w:rsidR="0006190D" w:rsidRPr="007F29CF">
              <w:t>Drinking-water Standards for New Zealand 2005 (Revised 2018)</w:t>
            </w:r>
            <w:r w:rsidR="00A41AFC">
              <w:t>.</w:t>
            </w:r>
          </w:p>
        </w:tc>
      </w:tr>
      <w:tr w:rsidR="00940E3A" w:rsidRPr="00E95786" w14:paraId="2E331F99" w14:textId="77777777" w:rsidTr="007B444A">
        <w:tc>
          <w:tcPr>
            <w:tcW w:w="1974" w:type="dxa"/>
            <w:gridSpan w:val="2"/>
            <w:tcBorders>
              <w:top w:val="single" w:sz="4" w:space="0" w:color="FFFFFF"/>
              <w:left w:val="single" w:sz="4" w:space="0" w:color="FFFFFF"/>
              <w:bottom w:val="single" w:sz="4" w:space="0" w:color="FFFFFF"/>
              <w:right w:val="single" w:sz="4" w:space="0" w:color="FFFFFF"/>
            </w:tcBorders>
          </w:tcPr>
          <w:p w14:paraId="48B17FB1" w14:textId="77777777" w:rsidR="00940E3A" w:rsidRPr="009A191E" w:rsidRDefault="00940E3A" w:rsidP="00940E3A">
            <w:pPr>
              <w:pStyle w:val="Bodyromannumerals"/>
              <w:rPr>
                <w:rFonts w:eastAsia="Calibri"/>
                <w:i/>
                <w:color w:val="000000" w:themeColor="text1"/>
                <w:szCs w:val="22"/>
                <w:lang w:val="en-US"/>
              </w:rPr>
            </w:pPr>
            <w:r w:rsidRPr="009A191E">
              <w:rPr>
                <w:rFonts w:eastAsia="Calibri"/>
                <w:i/>
                <w:color w:val="000000" w:themeColor="text1"/>
                <w:szCs w:val="22"/>
                <w:lang w:val="en-US"/>
              </w:rPr>
              <w:t>Processing Rules:</w:t>
            </w:r>
          </w:p>
        </w:tc>
        <w:tc>
          <w:tcPr>
            <w:tcW w:w="5584" w:type="dxa"/>
            <w:gridSpan w:val="2"/>
            <w:tcBorders>
              <w:top w:val="single" w:sz="4" w:space="0" w:color="FFFFFF"/>
              <w:left w:val="single" w:sz="4" w:space="0" w:color="FFFFFF"/>
              <w:bottom w:val="single" w:sz="4" w:space="0" w:color="FFFFFF"/>
              <w:right w:val="single" w:sz="4" w:space="0" w:color="FFFFFF"/>
            </w:tcBorders>
          </w:tcPr>
          <w:p w14:paraId="5C7C78CC" w14:textId="77777777" w:rsidR="00940E3A" w:rsidRPr="009A191E" w:rsidRDefault="00940E3A" w:rsidP="00940E3A">
            <w:pPr>
              <w:pStyle w:val="Bodyromannumerals"/>
              <w:rPr>
                <w:rFonts w:eastAsia="Calibri"/>
                <w:color w:val="000000" w:themeColor="text1"/>
                <w:szCs w:val="22"/>
                <w:lang w:val="en-US"/>
              </w:rPr>
            </w:pPr>
            <w:r w:rsidRPr="00A349FC">
              <w:t xml:space="preserve">Input field </w:t>
            </w:r>
          </w:p>
        </w:tc>
      </w:tr>
      <w:tr w:rsidR="00940E3A" w:rsidRPr="00A83F00" w14:paraId="2C4D7BFD" w14:textId="77777777" w:rsidTr="007B444A">
        <w:tc>
          <w:tcPr>
            <w:tcW w:w="1232" w:type="dxa"/>
          </w:tcPr>
          <w:p w14:paraId="7A50033A" w14:textId="77777777" w:rsidR="00940E3A" w:rsidRPr="00940E3A" w:rsidRDefault="00940E3A" w:rsidP="00940E3A">
            <w:pPr>
              <w:pStyle w:val="Bodyromannumerals"/>
              <w:rPr>
                <w:rFonts w:eastAsia="Calibri"/>
                <w:b/>
                <w:bCs/>
                <w:color w:val="000000" w:themeColor="text1"/>
                <w:szCs w:val="22"/>
                <w:lang w:val="en-US"/>
              </w:rPr>
            </w:pPr>
            <w:r w:rsidRPr="00940E3A">
              <w:rPr>
                <w:b/>
                <w:bCs/>
                <w:szCs w:val="22"/>
              </w:rPr>
              <w:t>C1.4</w:t>
            </w:r>
          </w:p>
        </w:tc>
        <w:tc>
          <w:tcPr>
            <w:tcW w:w="5435" w:type="dxa"/>
            <w:gridSpan w:val="2"/>
          </w:tcPr>
          <w:p w14:paraId="6A98AF52" w14:textId="2DA410F4" w:rsidR="00940E3A" w:rsidRPr="00940E3A" w:rsidRDefault="00940E3A" w:rsidP="00940E3A">
            <w:pPr>
              <w:pStyle w:val="Bodyromannumerals"/>
              <w:rPr>
                <w:rFonts w:eastAsia="Calibri"/>
                <w:b/>
                <w:bCs/>
                <w:color w:val="000000" w:themeColor="text1"/>
                <w:szCs w:val="22"/>
                <w:lang w:val="en-US"/>
              </w:rPr>
            </w:pPr>
            <w:r w:rsidRPr="00940E3A">
              <w:rPr>
                <w:b/>
                <w:bCs/>
                <w:szCs w:val="22"/>
                <w:lang w:val="en-NZ"/>
              </w:rPr>
              <w:t xml:space="preserve">Number of water </w:t>
            </w:r>
            <w:r w:rsidR="00611632">
              <w:rPr>
                <w:b/>
                <w:bCs/>
              </w:rPr>
              <w:t>distribution</w:t>
            </w:r>
            <w:r w:rsidRPr="00940E3A">
              <w:rPr>
                <w:b/>
                <w:bCs/>
                <w:szCs w:val="22"/>
                <w:lang w:val="en-NZ"/>
              </w:rPr>
              <w:t xml:space="preserve"> zones reporting </w:t>
            </w:r>
            <w:proofErr w:type="spellStart"/>
            <w:r w:rsidR="008A4707">
              <w:rPr>
                <w:b/>
                <w:bCs/>
                <w:szCs w:val="22"/>
                <w:lang w:val="en-NZ"/>
              </w:rPr>
              <w:t>determinand</w:t>
            </w:r>
            <w:proofErr w:type="spellEnd"/>
            <w:r w:rsidRPr="00940E3A">
              <w:rPr>
                <w:b/>
                <w:bCs/>
                <w:szCs w:val="22"/>
                <w:lang w:val="en-NZ"/>
              </w:rPr>
              <w:t xml:space="preserve"> failures</w:t>
            </w:r>
          </w:p>
        </w:tc>
        <w:tc>
          <w:tcPr>
            <w:tcW w:w="891" w:type="dxa"/>
          </w:tcPr>
          <w:p w14:paraId="7E8AC250" w14:textId="77777777" w:rsidR="00940E3A" w:rsidRPr="00940E3A" w:rsidRDefault="00940E3A" w:rsidP="00940E3A">
            <w:pPr>
              <w:pStyle w:val="Bodyromannumerals"/>
              <w:rPr>
                <w:rFonts w:eastAsia="Calibri"/>
                <w:b/>
                <w:bCs/>
                <w:color w:val="000000" w:themeColor="text1"/>
                <w:szCs w:val="22"/>
                <w:lang w:val="en-US"/>
              </w:rPr>
            </w:pPr>
            <w:r w:rsidRPr="00940E3A">
              <w:rPr>
                <w:b/>
                <w:bCs/>
                <w:szCs w:val="22"/>
              </w:rPr>
              <w:t>Nr.</w:t>
            </w:r>
          </w:p>
        </w:tc>
      </w:tr>
      <w:tr w:rsidR="00940E3A" w:rsidRPr="00E95786" w14:paraId="623E407B" w14:textId="77777777" w:rsidTr="007B444A">
        <w:tc>
          <w:tcPr>
            <w:tcW w:w="1974" w:type="dxa"/>
            <w:gridSpan w:val="2"/>
            <w:tcBorders>
              <w:left w:val="single" w:sz="4" w:space="0" w:color="FFFFFF"/>
              <w:bottom w:val="single" w:sz="4" w:space="0" w:color="FFFFFF"/>
              <w:right w:val="single" w:sz="4" w:space="0" w:color="FFFFFF"/>
            </w:tcBorders>
          </w:tcPr>
          <w:p w14:paraId="339A5561" w14:textId="77777777" w:rsidR="00940E3A" w:rsidRPr="009A191E" w:rsidRDefault="00940E3A" w:rsidP="00940E3A">
            <w:pPr>
              <w:pStyle w:val="Bodyromannumerals"/>
              <w:rPr>
                <w:rFonts w:eastAsia="Calibri"/>
                <w:i/>
                <w:color w:val="000000" w:themeColor="text1"/>
                <w:szCs w:val="22"/>
                <w:lang w:val="en-US"/>
              </w:rPr>
            </w:pPr>
            <w:r w:rsidRPr="009A191E">
              <w:rPr>
                <w:rFonts w:eastAsia="Calibri"/>
                <w:i/>
                <w:color w:val="000000" w:themeColor="text1"/>
                <w:szCs w:val="22"/>
                <w:lang w:val="en-US"/>
              </w:rPr>
              <w:t>Definition:</w:t>
            </w:r>
          </w:p>
        </w:tc>
        <w:tc>
          <w:tcPr>
            <w:tcW w:w="5584" w:type="dxa"/>
            <w:gridSpan w:val="2"/>
            <w:tcBorders>
              <w:left w:val="single" w:sz="4" w:space="0" w:color="FFFFFF"/>
              <w:bottom w:val="single" w:sz="4" w:space="0" w:color="FFFFFF"/>
              <w:right w:val="single" w:sz="4" w:space="0" w:color="FFFFFF"/>
            </w:tcBorders>
          </w:tcPr>
          <w:p w14:paraId="2508EF43" w14:textId="20719059" w:rsidR="00940E3A" w:rsidRDefault="00940E3A" w:rsidP="00B03EFD">
            <w:pPr>
              <w:pStyle w:val="Bodynumbercopy"/>
              <w:numPr>
                <w:ilvl w:val="0"/>
                <w:numId w:val="0"/>
              </w:numPr>
            </w:pPr>
            <w:r w:rsidRPr="000A6826">
              <w:t xml:space="preserve">The total number of water supply zones where </w:t>
            </w:r>
            <w:proofErr w:type="spellStart"/>
            <w:r w:rsidR="008A4707">
              <w:t>determinand</w:t>
            </w:r>
            <w:proofErr w:type="spellEnd"/>
            <w:r w:rsidRPr="000A6826">
              <w:t xml:space="preserve"> failures are reported</w:t>
            </w:r>
            <w:r w:rsidR="0006190D">
              <w:t xml:space="preserve">. </w:t>
            </w:r>
            <w:r w:rsidR="0006190D" w:rsidRPr="00955B8F">
              <w:t>Water distribution zone is defined as an identifiable part of the water supply network</w:t>
            </w:r>
            <w:r w:rsidR="0006190D">
              <w:t>. T</w:t>
            </w:r>
            <w:r w:rsidR="0006190D" w:rsidRPr="007F29CF">
              <w:t xml:space="preserve">his is in line with </w:t>
            </w:r>
            <w:r w:rsidR="0006190D">
              <w:t xml:space="preserve">the </w:t>
            </w:r>
            <w:r w:rsidR="0006190D" w:rsidRPr="007F29CF">
              <w:t>Drinking-water Standards for New Zealand 2005 (Revised 2018)</w:t>
            </w:r>
            <w:r w:rsidR="00A41AFC">
              <w:t>.</w:t>
            </w:r>
          </w:p>
          <w:p w14:paraId="42CA341E" w14:textId="54D2087F" w:rsidR="00940E3A" w:rsidRPr="00B03EFD" w:rsidRDefault="00CB1572" w:rsidP="00B03EFD">
            <w:pPr>
              <w:pStyle w:val="Bodynumbercopy"/>
              <w:numPr>
                <w:ilvl w:val="0"/>
                <w:numId w:val="0"/>
              </w:numPr>
              <w:rPr>
                <w:b/>
                <w:bCs/>
              </w:rPr>
            </w:pPr>
            <w:r w:rsidRPr="00140A2E">
              <w:rPr>
                <w:lang w:val="en-NZ"/>
              </w:rPr>
              <w:t xml:space="preserve">For the avoidance of doubt, </w:t>
            </w:r>
            <w:r>
              <w:t xml:space="preserve">a </w:t>
            </w:r>
            <w:r w:rsidRPr="00140A2E">
              <w:t>single failure in a distribution zone would mean that the zone would be non-compliant</w:t>
            </w:r>
            <w:r w:rsidR="00D6267B">
              <w:t>.</w:t>
            </w:r>
          </w:p>
        </w:tc>
      </w:tr>
      <w:tr w:rsidR="00940E3A" w:rsidRPr="00E95786" w14:paraId="7186BD6D" w14:textId="77777777" w:rsidTr="007B444A">
        <w:tc>
          <w:tcPr>
            <w:tcW w:w="1974" w:type="dxa"/>
            <w:gridSpan w:val="2"/>
            <w:tcBorders>
              <w:top w:val="single" w:sz="4" w:space="0" w:color="FFFFFF"/>
              <w:left w:val="single" w:sz="4" w:space="0" w:color="FFFFFF"/>
              <w:bottom w:val="single" w:sz="4" w:space="0" w:color="FFFFFF"/>
              <w:right w:val="single" w:sz="4" w:space="0" w:color="FFFFFF"/>
            </w:tcBorders>
          </w:tcPr>
          <w:p w14:paraId="093CA9DF" w14:textId="77777777" w:rsidR="00940E3A" w:rsidRPr="009A191E" w:rsidRDefault="00940E3A" w:rsidP="00940E3A">
            <w:pPr>
              <w:pStyle w:val="Bodyromannumerals"/>
              <w:rPr>
                <w:rFonts w:eastAsia="Calibri"/>
                <w:i/>
                <w:color w:val="000000" w:themeColor="text1"/>
                <w:szCs w:val="22"/>
                <w:lang w:val="en-US"/>
              </w:rPr>
            </w:pPr>
            <w:r w:rsidRPr="009A191E">
              <w:rPr>
                <w:rFonts w:eastAsia="Calibri"/>
                <w:i/>
                <w:color w:val="000000" w:themeColor="text1"/>
                <w:szCs w:val="22"/>
                <w:lang w:val="en-US"/>
              </w:rPr>
              <w:t>Processing Rules:</w:t>
            </w:r>
          </w:p>
        </w:tc>
        <w:tc>
          <w:tcPr>
            <w:tcW w:w="5584" w:type="dxa"/>
            <w:gridSpan w:val="2"/>
            <w:tcBorders>
              <w:top w:val="single" w:sz="4" w:space="0" w:color="FFFFFF"/>
              <w:left w:val="single" w:sz="4" w:space="0" w:color="FFFFFF"/>
              <w:bottom w:val="single" w:sz="4" w:space="0" w:color="FFFFFF"/>
              <w:right w:val="single" w:sz="4" w:space="0" w:color="FFFFFF"/>
            </w:tcBorders>
          </w:tcPr>
          <w:p w14:paraId="774D74CC" w14:textId="77777777" w:rsidR="00940E3A" w:rsidRPr="009A191E" w:rsidRDefault="00940E3A" w:rsidP="00940E3A">
            <w:pPr>
              <w:pStyle w:val="Bodyromannumerals"/>
              <w:rPr>
                <w:rFonts w:eastAsia="Calibri"/>
                <w:color w:val="000000" w:themeColor="text1"/>
                <w:szCs w:val="22"/>
                <w:lang w:val="en-US"/>
              </w:rPr>
            </w:pPr>
            <w:r w:rsidRPr="000A6826">
              <w:t>Input field</w:t>
            </w:r>
          </w:p>
        </w:tc>
      </w:tr>
    </w:tbl>
    <w:p w14:paraId="3D06B644" w14:textId="77777777" w:rsidR="008A7980" w:rsidRDefault="008A7980" w:rsidP="00940E3A">
      <w:pPr>
        <w:pStyle w:val="Sectionsub-heading"/>
        <w:rPr>
          <w:lang w:val="ro"/>
        </w:rPr>
      </w:pPr>
      <w:r>
        <w:rPr>
          <w:lang w:val="ro"/>
        </w:rPr>
        <w:br w:type="page"/>
      </w:r>
    </w:p>
    <w:p w14:paraId="6F09CD1D" w14:textId="7FA37685" w:rsidR="00940E3A" w:rsidRPr="006466B5" w:rsidRDefault="00940E3A" w:rsidP="00940E3A">
      <w:pPr>
        <w:pStyle w:val="Sectionsub-heading"/>
      </w:pPr>
      <w:r w:rsidRPr="008456AD">
        <w:rPr>
          <w:lang w:val="ro"/>
        </w:rPr>
        <w:t xml:space="preserve">BLOCK 2: </w:t>
      </w:r>
      <w:r w:rsidRPr="008456AD">
        <w:t xml:space="preserve"> SPECIFIC PARAMETERS WITHIN WATER SUPPLY ZONES</w:t>
      </w:r>
    </w:p>
    <w:tbl>
      <w:tblPr>
        <w:tblStyle w:val="TableGrid"/>
        <w:tblW w:w="5000" w:type="pct"/>
        <w:tblLook w:val="04A0" w:firstRow="1" w:lastRow="0" w:firstColumn="1" w:lastColumn="0" w:noHBand="0" w:noVBand="1"/>
      </w:tblPr>
      <w:tblGrid>
        <w:gridCol w:w="1143"/>
        <w:gridCol w:w="736"/>
        <w:gridCol w:w="4840"/>
        <w:gridCol w:w="839"/>
      </w:tblGrid>
      <w:tr w:rsidR="00940E3A" w:rsidRPr="00FA076A" w14:paraId="4E5955B2" w14:textId="77777777" w:rsidTr="00F45DB1">
        <w:tc>
          <w:tcPr>
            <w:tcW w:w="756" w:type="pct"/>
          </w:tcPr>
          <w:p w14:paraId="660EC213" w14:textId="77777777" w:rsidR="00940E3A" w:rsidRPr="00940E3A" w:rsidRDefault="00940E3A" w:rsidP="00940E3A">
            <w:pPr>
              <w:pStyle w:val="Bodyromannumerals"/>
              <w:rPr>
                <w:b/>
                <w:bCs/>
                <w:sz w:val="22"/>
              </w:rPr>
            </w:pPr>
            <w:r w:rsidRPr="00940E3A">
              <w:rPr>
                <w:b/>
                <w:bCs/>
              </w:rPr>
              <w:t>C1.5</w:t>
            </w:r>
          </w:p>
        </w:tc>
        <w:tc>
          <w:tcPr>
            <w:tcW w:w="3689" w:type="pct"/>
            <w:gridSpan w:val="2"/>
          </w:tcPr>
          <w:p w14:paraId="5F384C82" w14:textId="0354357A" w:rsidR="00940E3A" w:rsidRPr="00940E3A" w:rsidRDefault="00940E3A" w:rsidP="00940E3A">
            <w:pPr>
              <w:pStyle w:val="Bodyromannumerals"/>
              <w:rPr>
                <w:b/>
                <w:bCs/>
                <w:sz w:val="22"/>
              </w:rPr>
            </w:pPr>
            <w:r w:rsidRPr="00940E3A">
              <w:rPr>
                <w:b/>
                <w:bCs/>
              </w:rPr>
              <w:t xml:space="preserve">Number of </w:t>
            </w:r>
            <w:r w:rsidR="00611632">
              <w:rPr>
                <w:b/>
                <w:bCs/>
              </w:rPr>
              <w:t>distribution</w:t>
            </w:r>
            <w:r w:rsidR="00611632" w:rsidRPr="00940E3A">
              <w:rPr>
                <w:b/>
                <w:bCs/>
              </w:rPr>
              <w:t xml:space="preserve"> </w:t>
            </w:r>
            <w:r w:rsidRPr="00940E3A">
              <w:rPr>
                <w:b/>
                <w:bCs/>
              </w:rPr>
              <w:t xml:space="preserve">zones </w:t>
            </w:r>
            <w:r w:rsidR="006A393A">
              <w:rPr>
                <w:b/>
                <w:bCs/>
              </w:rPr>
              <w:t>that exceed the compliance value for</w:t>
            </w:r>
            <w:r w:rsidRPr="00940E3A">
              <w:rPr>
                <w:b/>
                <w:bCs/>
              </w:rPr>
              <w:t xml:space="preserve"> total coliforms</w:t>
            </w:r>
            <w:r w:rsidR="003532D5">
              <w:rPr>
                <w:b/>
                <w:bCs/>
              </w:rPr>
              <w:t xml:space="preserve"> </w:t>
            </w:r>
          </w:p>
        </w:tc>
        <w:tc>
          <w:tcPr>
            <w:tcW w:w="555" w:type="pct"/>
          </w:tcPr>
          <w:p w14:paraId="0DDC0FDD" w14:textId="77777777" w:rsidR="00940E3A" w:rsidRPr="00940E3A" w:rsidRDefault="00940E3A" w:rsidP="00940E3A">
            <w:pPr>
              <w:pStyle w:val="Bodyromannumerals"/>
              <w:rPr>
                <w:b/>
                <w:bCs/>
                <w:sz w:val="22"/>
              </w:rPr>
            </w:pPr>
            <w:r w:rsidRPr="00940E3A">
              <w:rPr>
                <w:b/>
                <w:bCs/>
              </w:rPr>
              <w:t>Nr.</w:t>
            </w:r>
          </w:p>
        </w:tc>
      </w:tr>
      <w:tr w:rsidR="00940E3A" w:rsidRPr="00FA076A" w14:paraId="55BBB93C" w14:textId="77777777" w:rsidTr="00F45DB1">
        <w:tc>
          <w:tcPr>
            <w:tcW w:w="1243" w:type="pct"/>
            <w:gridSpan w:val="2"/>
            <w:tcBorders>
              <w:left w:val="single" w:sz="4" w:space="0" w:color="FFFFFF" w:themeColor="background1"/>
              <w:bottom w:val="single" w:sz="4" w:space="0" w:color="FFFFFF" w:themeColor="background1"/>
              <w:right w:val="single" w:sz="4" w:space="0" w:color="FFFFFF" w:themeColor="background1"/>
            </w:tcBorders>
          </w:tcPr>
          <w:p w14:paraId="54396148" w14:textId="77777777" w:rsidR="00940E3A" w:rsidRPr="00FA076A" w:rsidRDefault="00940E3A" w:rsidP="00940E3A">
            <w:pPr>
              <w:pStyle w:val="Bodyromannumerals"/>
              <w:rPr>
                <w:i/>
                <w:sz w:val="22"/>
              </w:rPr>
            </w:pPr>
            <w:r w:rsidRPr="00FA076A">
              <w:rPr>
                <w:i/>
              </w:rPr>
              <w:t>Definition:</w:t>
            </w:r>
          </w:p>
        </w:tc>
        <w:tc>
          <w:tcPr>
            <w:tcW w:w="3757" w:type="pct"/>
            <w:gridSpan w:val="2"/>
            <w:tcBorders>
              <w:left w:val="single" w:sz="4" w:space="0" w:color="FFFFFF" w:themeColor="background1"/>
              <w:bottom w:val="single" w:sz="4" w:space="0" w:color="FFFFFF" w:themeColor="background1"/>
              <w:right w:val="single" w:sz="4" w:space="0" w:color="FFFFFF" w:themeColor="background1"/>
            </w:tcBorders>
          </w:tcPr>
          <w:p w14:paraId="26CE292D" w14:textId="3FBB5D1B" w:rsidR="004540B8" w:rsidRDefault="00940E3A" w:rsidP="00B03EFD">
            <w:pPr>
              <w:pStyle w:val="Bodynumbercopy"/>
              <w:numPr>
                <w:ilvl w:val="0"/>
                <w:numId w:val="0"/>
              </w:numPr>
              <w:rPr>
                <w:lang w:val="en-GB"/>
              </w:rPr>
            </w:pPr>
            <w:r w:rsidRPr="00FA076A">
              <w:t xml:space="preserve">The total number of zones </w:t>
            </w:r>
            <w:r w:rsidR="003532D5">
              <w:t>exceeding the compliance value for total coliforms for</w:t>
            </w:r>
            <w:r w:rsidRPr="00FA076A">
              <w:t xml:space="preserve"> </w:t>
            </w:r>
            <w:r w:rsidR="000225E6">
              <w:t>reporting</w:t>
            </w:r>
            <w:r w:rsidR="000225E6" w:rsidRPr="00FA076A">
              <w:t xml:space="preserve"> </w:t>
            </w:r>
            <w:r w:rsidRPr="00FA076A">
              <w:t>year.</w:t>
            </w:r>
            <w:r w:rsidR="0006190D">
              <w:t xml:space="preserve"> </w:t>
            </w:r>
            <w:r w:rsidR="0006190D" w:rsidRPr="00955B8F">
              <w:t>Water distribution zone is defined as an identifiable part of the water supply network</w:t>
            </w:r>
            <w:r w:rsidR="0006190D">
              <w:t>. T</w:t>
            </w:r>
            <w:r w:rsidR="0006190D" w:rsidRPr="007F29CF">
              <w:t xml:space="preserve">his is in line with </w:t>
            </w:r>
            <w:r w:rsidR="0006190D">
              <w:t xml:space="preserve">the </w:t>
            </w:r>
            <w:r w:rsidR="0006190D" w:rsidRPr="007F29CF">
              <w:rPr>
                <w:lang w:val="en-GB"/>
              </w:rPr>
              <w:t>Drinking-water Standards for New Zealand 2005 (Revised 2018)</w:t>
            </w:r>
            <w:r w:rsidR="00A41AFC">
              <w:rPr>
                <w:lang w:val="en-GB"/>
              </w:rPr>
              <w:t>.</w:t>
            </w:r>
          </w:p>
          <w:p w14:paraId="695FD240" w14:textId="73E50A94" w:rsidR="00D44B4C" w:rsidRDefault="00D44B4C" w:rsidP="00B03EFD">
            <w:pPr>
              <w:pStyle w:val="Bodynumbercopy"/>
              <w:numPr>
                <w:ilvl w:val="0"/>
                <w:numId w:val="0"/>
              </w:numPr>
              <w:rPr>
                <w:lang w:val="en-GB"/>
              </w:rPr>
            </w:pPr>
            <w:r w:rsidRPr="00140A2E">
              <w:t xml:space="preserve">For the avoidance of doubt, </w:t>
            </w:r>
            <w:r>
              <w:t xml:space="preserve">a </w:t>
            </w:r>
            <w:r w:rsidRPr="00140A2E">
              <w:t>single failure in a distribution zone would mean that the zone would be non-compliant</w:t>
            </w:r>
            <w:r w:rsidR="00D6267B">
              <w:t>.</w:t>
            </w:r>
          </w:p>
          <w:p w14:paraId="3855FC45" w14:textId="264E598C" w:rsidR="00940E3A" w:rsidRPr="00B03EFD" w:rsidRDefault="00940E3A" w:rsidP="00B03EFD">
            <w:pPr>
              <w:pStyle w:val="Bodynumbercopy"/>
              <w:numPr>
                <w:ilvl w:val="0"/>
                <w:numId w:val="0"/>
              </w:numPr>
              <w:rPr>
                <w:b/>
                <w:bCs/>
                <w:lang w:val="en-GB"/>
              </w:rPr>
            </w:pPr>
          </w:p>
        </w:tc>
      </w:tr>
      <w:tr w:rsidR="00940E3A" w:rsidRPr="00FA076A" w14:paraId="2009D233" w14:textId="77777777" w:rsidTr="00F45DB1">
        <w:tc>
          <w:tcPr>
            <w:tcW w:w="12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BE084B" w14:textId="77777777" w:rsidR="00940E3A" w:rsidRPr="00FA076A" w:rsidRDefault="00940E3A" w:rsidP="00940E3A">
            <w:pPr>
              <w:pStyle w:val="Bodyromannumerals"/>
              <w:rPr>
                <w:i/>
                <w:sz w:val="22"/>
              </w:rPr>
            </w:pPr>
            <w:r w:rsidRPr="00FA076A">
              <w:rPr>
                <w:i/>
              </w:rPr>
              <w:t>Processing rules:</w:t>
            </w:r>
          </w:p>
        </w:tc>
        <w:tc>
          <w:tcPr>
            <w:tcW w:w="375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50E264" w14:textId="77777777" w:rsidR="00940E3A" w:rsidRPr="00FA076A" w:rsidRDefault="00940E3A" w:rsidP="00940E3A">
            <w:pPr>
              <w:pStyle w:val="Bodyromannumerals"/>
              <w:rPr>
                <w:sz w:val="22"/>
              </w:rPr>
            </w:pPr>
            <w:r w:rsidRPr="00FA076A">
              <w:t>Input field</w:t>
            </w:r>
          </w:p>
        </w:tc>
      </w:tr>
    </w:tbl>
    <w:p w14:paraId="11E5F06A" w14:textId="13A582D7" w:rsidR="007B444A" w:rsidRDefault="007B444A"/>
    <w:tbl>
      <w:tblPr>
        <w:tblStyle w:val="TableGrid"/>
        <w:tblW w:w="5000" w:type="pct"/>
        <w:tblLook w:val="04A0" w:firstRow="1" w:lastRow="0" w:firstColumn="1" w:lastColumn="0" w:noHBand="0" w:noVBand="1"/>
      </w:tblPr>
      <w:tblGrid>
        <w:gridCol w:w="1143"/>
        <w:gridCol w:w="736"/>
        <w:gridCol w:w="4840"/>
        <w:gridCol w:w="839"/>
      </w:tblGrid>
      <w:tr w:rsidR="00940E3A" w:rsidRPr="00FA076A" w14:paraId="0FA22B35" w14:textId="77777777" w:rsidTr="00F45DB1">
        <w:tc>
          <w:tcPr>
            <w:tcW w:w="756" w:type="pct"/>
          </w:tcPr>
          <w:p w14:paraId="33D1A706" w14:textId="740228D9" w:rsidR="00940E3A" w:rsidRPr="00940E3A" w:rsidRDefault="00940E3A" w:rsidP="00940E3A">
            <w:pPr>
              <w:pStyle w:val="Bodyromannumerals"/>
              <w:rPr>
                <w:b/>
                <w:bCs/>
                <w:sz w:val="22"/>
              </w:rPr>
            </w:pPr>
            <w:r w:rsidRPr="00940E3A">
              <w:rPr>
                <w:b/>
                <w:bCs/>
              </w:rPr>
              <w:t>C1.6</w:t>
            </w:r>
          </w:p>
        </w:tc>
        <w:tc>
          <w:tcPr>
            <w:tcW w:w="3689" w:type="pct"/>
            <w:gridSpan w:val="2"/>
          </w:tcPr>
          <w:p w14:paraId="0D016960" w14:textId="2812A78D" w:rsidR="00940E3A" w:rsidRPr="00940E3A" w:rsidRDefault="00940E3A" w:rsidP="00940E3A">
            <w:pPr>
              <w:pStyle w:val="Bodyromannumerals"/>
              <w:rPr>
                <w:b/>
                <w:bCs/>
                <w:sz w:val="22"/>
              </w:rPr>
            </w:pPr>
            <w:r w:rsidRPr="00940E3A">
              <w:rPr>
                <w:b/>
                <w:bCs/>
              </w:rPr>
              <w:t xml:space="preserve">Number of </w:t>
            </w:r>
            <w:r w:rsidR="00611632">
              <w:rPr>
                <w:b/>
                <w:bCs/>
              </w:rPr>
              <w:t>distribution</w:t>
            </w:r>
            <w:r w:rsidR="00611632" w:rsidRPr="00940E3A">
              <w:rPr>
                <w:b/>
                <w:bCs/>
              </w:rPr>
              <w:t xml:space="preserve"> </w:t>
            </w:r>
            <w:r w:rsidRPr="00940E3A">
              <w:rPr>
                <w:b/>
                <w:bCs/>
              </w:rPr>
              <w:t xml:space="preserve">zones </w:t>
            </w:r>
            <w:r w:rsidR="00663262">
              <w:rPr>
                <w:b/>
                <w:bCs/>
              </w:rPr>
              <w:t>that exceed the compliance value for</w:t>
            </w:r>
            <w:r w:rsidRPr="00940E3A">
              <w:rPr>
                <w:b/>
                <w:bCs/>
              </w:rPr>
              <w:t xml:space="preserve"> faecal coliforms</w:t>
            </w:r>
            <w:r w:rsidR="00CF4DFE">
              <w:rPr>
                <w:b/>
                <w:bCs/>
              </w:rPr>
              <w:t xml:space="preserve"> </w:t>
            </w:r>
          </w:p>
        </w:tc>
        <w:tc>
          <w:tcPr>
            <w:tcW w:w="555" w:type="pct"/>
          </w:tcPr>
          <w:p w14:paraId="0A343356" w14:textId="77777777" w:rsidR="00940E3A" w:rsidRPr="00940E3A" w:rsidRDefault="00940E3A" w:rsidP="00940E3A">
            <w:pPr>
              <w:pStyle w:val="Bodyromannumerals"/>
              <w:rPr>
                <w:b/>
                <w:bCs/>
                <w:sz w:val="22"/>
              </w:rPr>
            </w:pPr>
            <w:r w:rsidRPr="00940E3A">
              <w:rPr>
                <w:b/>
                <w:bCs/>
              </w:rPr>
              <w:t>Nr.</w:t>
            </w:r>
          </w:p>
        </w:tc>
      </w:tr>
      <w:tr w:rsidR="00940E3A" w:rsidRPr="00FA076A" w14:paraId="3BDFF4B1" w14:textId="77777777" w:rsidTr="007013F6">
        <w:trPr>
          <w:trHeight w:val="2367"/>
        </w:trPr>
        <w:tc>
          <w:tcPr>
            <w:tcW w:w="1243" w:type="pct"/>
            <w:gridSpan w:val="2"/>
            <w:tcBorders>
              <w:left w:val="single" w:sz="4" w:space="0" w:color="FFFFFF" w:themeColor="background1"/>
              <w:bottom w:val="single" w:sz="4" w:space="0" w:color="FFFFFF" w:themeColor="background1"/>
              <w:right w:val="single" w:sz="4" w:space="0" w:color="FFFFFF" w:themeColor="background1"/>
            </w:tcBorders>
          </w:tcPr>
          <w:p w14:paraId="5B60563C" w14:textId="77777777" w:rsidR="00940E3A" w:rsidRPr="00FA076A" w:rsidRDefault="00940E3A" w:rsidP="00940E3A">
            <w:pPr>
              <w:pStyle w:val="Bodyromannumerals"/>
              <w:rPr>
                <w:i/>
                <w:sz w:val="22"/>
              </w:rPr>
            </w:pPr>
            <w:r w:rsidRPr="00FA076A">
              <w:rPr>
                <w:i/>
              </w:rPr>
              <w:t>Definition:</w:t>
            </w:r>
          </w:p>
        </w:tc>
        <w:tc>
          <w:tcPr>
            <w:tcW w:w="3757" w:type="pct"/>
            <w:gridSpan w:val="2"/>
            <w:tcBorders>
              <w:left w:val="single" w:sz="4" w:space="0" w:color="FFFFFF" w:themeColor="background1"/>
              <w:bottom w:val="single" w:sz="4" w:space="0" w:color="FFFFFF" w:themeColor="background1"/>
              <w:right w:val="single" w:sz="4" w:space="0" w:color="FFFFFF" w:themeColor="background1"/>
            </w:tcBorders>
          </w:tcPr>
          <w:p w14:paraId="54A90DAB" w14:textId="11EFA62F" w:rsidR="00C00376" w:rsidRDefault="00940E3A" w:rsidP="00C00376">
            <w:pPr>
              <w:pStyle w:val="Bodynumbercopy"/>
              <w:numPr>
                <w:ilvl w:val="0"/>
                <w:numId w:val="0"/>
              </w:numPr>
              <w:rPr>
                <w:lang w:val="en-GB"/>
              </w:rPr>
            </w:pPr>
            <w:r w:rsidRPr="00FA076A">
              <w:t xml:space="preserve">The total number of zones </w:t>
            </w:r>
            <w:r w:rsidR="00CF4DFE">
              <w:t>exceeding the compliance value for</w:t>
            </w:r>
            <w:r w:rsidR="00CF4DFE" w:rsidRPr="00FA076A">
              <w:t xml:space="preserve"> </w:t>
            </w:r>
            <w:r w:rsidRPr="00FA076A">
              <w:t>faecal coliform</w:t>
            </w:r>
            <w:r w:rsidR="00CF4DFE">
              <w:t>s</w:t>
            </w:r>
            <w:r w:rsidRPr="00FA076A">
              <w:t xml:space="preserve"> </w:t>
            </w:r>
            <w:r w:rsidR="000B7AB2">
              <w:t xml:space="preserve">(e.g. E-coli, </w:t>
            </w:r>
            <w:r w:rsidR="00F16CD0">
              <w:t>E</w:t>
            </w:r>
            <w:r w:rsidR="000B7AB2">
              <w:t>nter</w:t>
            </w:r>
            <w:r w:rsidR="00F16CD0">
              <w:t xml:space="preserve">ococci) </w:t>
            </w:r>
            <w:r w:rsidR="00CF4DFE">
              <w:t>for</w:t>
            </w:r>
            <w:r w:rsidRPr="00FA076A">
              <w:t xml:space="preserve"> the </w:t>
            </w:r>
            <w:r w:rsidR="000225E6">
              <w:t>reporting</w:t>
            </w:r>
            <w:r w:rsidR="000225E6" w:rsidRPr="00FA076A">
              <w:t xml:space="preserve"> </w:t>
            </w:r>
            <w:r w:rsidRPr="00FA076A">
              <w:t>year.</w:t>
            </w:r>
            <w:r w:rsidR="00664175">
              <w:t xml:space="preserve"> </w:t>
            </w:r>
            <w:r w:rsidR="00664175" w:rsidRPr="00955B8F">
              <w:t>Water distribution zone is defined as an identifiable part of the water supply network</w:t>
            </w:r>
            <w:r w:rsidR="00664175">
              <w:t>. T</w:t>
            </w:r>
            <w:r w:rsidR="00664175" w:rsidRPr="007F29CF">
              <w:t xml:space="preserve">his is in line with </w:t>
            </w:r>
            <w:r w:rsidR="00664175">
              <w:t xml:space="preserve">the </w:t>
            </w:r>
            <w:r w:rsidR="00664175" w:rsidRPr="007F29CF">
              <w:rPr>
                <w:lang w:val="en-GB"/>
              </w:rPr>
              <w:t>Drinking-water Standards for New Zealand 2005 (Revised 2018)</w:t>
            </w:r>
            <w:r w:rsidR="00A41AFC">
              <w:rPr>
                <w:lang w:val="en-GB"/>
              </w:rPr>
              <w:t>.</w:t>
            </w:r>
          </w:p>
          <w:p w14:paraId="48049736" w14:textId="04910542" w:rsidR="006E149E" w:rsidRDefault="006E149E" w:rsidP="00C00376">
            <w:pPr>
              <w:pStyle w:val="Bodynumbercopy"/>
              <w:numPr>
                <w:ilvl w:val="0"/>
                <w:numId w:val="0"/>
              </w:numPr>
              <w:rPr>
                <w:lang w:val="en-GB"/>
              </w:rPr>
            </w:pPr>
            <w:r w:rsidRPr="00886ADF">
              <w:t xml:space="preserve">In Scotland, the Drinking Water Quality Regulator will only accept manual sampling. In New Zealand, however, we understand that continuous monitoring can be used for some parameters. For the avoidance of doubt, local authorities should report on the same sampling basis that they would use to report as part of the Drinking Water Standards </w:t>
            </w:r>
            <w:r w:rsidR="00A70B00" w:rsidRPr="00886ADF">
              <w:t xml:space="preserve">for </w:t>
            </w:r>
            <w:r w:rsidRPr="00886ADF">
              <w:t xml:space="preserve">New Zealand for the relevant parameter.  </w:t>
            </w:r>
          </w:p>
          <w:p w14:paraId="19D92EAA" w14:textId="31C71697" w:rsidR="00940E3A" w:rsidRPr="007013F6" w:rsidRDefault="00C00376" w:rsidP="00C00376">
            <w:pPr>
              <w:pStyle w:val="Bodynumbercopy"/>
              <w:numPr>
                <w:ilvl w:val="0"/>
                <w:numId w:val="0"/>
              </w:numPr>
            </w:pPr>
            <w:r w:rsidRPr="007013F6">
              <w:t xml:space="preserve">For the avoidance of doubt, </w:t>
            </w:r>
            <w:r>
              <w:t xml:space="preserve">a </w:t>
            </w:r>
            <w:r w:rsidRPr="007013F6">
              <w:t>single failure in a distribution zone would mean that the zone would be non-compliant</w:t>
            </w:r>
            <w:r w:rsidR="00A41AFC">
              <w:t>.</w:t>
            </w:r>
          </w:p>
        </w:tc>
      </w:tr>
      <w:tr w:rsidR="00940E3A" w:rsidRPr="00FA076A" w14:paraId="05FC8B05" w14:textId="77777777" w:rsidTr="00F45DB1">
        <w:tc>
          <w:tcPr>
            <w:tcW w:w="12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BB0857" w14:textId="77777777" w:rsidR="00940E3A" w:rsidRPr="00FA076A" w:rsidRDefault="00940E3A" w:rsidP="00C00376">
            <w:pPr>
              <w:pStyle w:val="Bodyromannumerals"/>
              <w:rPr>
                <w:i/>
                <w:sz w:val="22"/>
              </w:rPr>
            </w:pPr>
            <w:r w:rsidRPr="00FA076A">
              <w:rPr>
                <w:i/>
              </w:rPr>
              <w:t>Processing rules:</w:t>
            </w:r>
          </w:p>
        </w:tc>
        <w:tc>
          <w:tcPr>
            <w:tcW w:w="375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3BA382" w14:textId="77777777" w:rsidR="00940E3A" w:rsidRPr="00FA076A" w:rsidRDefault="00940E3A" w:rsidP="00C00376">
            <w:pPr>
              <w:pStyle w:val="Bodyromannumerals"/>
              <w:rPr>
                <w:sz w:val="22"/>
              </w:rPr>
            </w:pPr>
            <w:r w:rsidRPr="00FA076A">
              <w:t>Input field</w:t>
            </w:r>
          </w:p>
        </w:tc>
      </w:tr>
      <w:tr w:rsidR="00940E3A" w:rsidRPr="00FA076A" w14:paraId="65B1B869" w14:textId="77777777" w:rsidTr="00F45DB1">
        <w:tc>
          <w:tcPr>
            <w:tcW w:w="756" w:type="pct"/>
          </w:tcPr>
          <w:p w14:paraId="446DFBA9" w14:textId="77777777" w:rsidR="00940E3A" w:rsidRPr="00940E3A" w:rsidRDefault="00940E3A" w:rsidP="00C00376">
            <w:pPr>
              <w:pStyle w:val="Bodyromannumerals"/>
              <w:rPr>
                <w:b/>
                <w:bCs/>
                <w:sz w:val="22"/>
              </w:rPr>
            </w:pPr>
            <w:r w:rsidRPr="00940E3A">
              <w:rPr>
                <w:b/>
                <w:bCs/>
              </w:rPr>
              <w:t>C1.7</w:t>
            </w:r>
          </w:p>
        </w:tc>
        <w:tc>
          <w:tcPr>
            <w:tcW w:w="3689" w:type="pct"/>
            <w:gridSpan w:val="2"/>
          </w:tcPr>
          <w:p w14:paraId="4A5C48C0" w14:textId="411598DF" w:rsidR="00940E3A" w:rsidRPr="00940E3A" w:rsidRDefault="00940E3A" w:rsidP="00C00376">
            <w:pPr>
              <w:pStyle w:val="Bodyromannumerals"/>
              <w:rPr>
                <w:b/>
                <w:bCs/>
                <w:sz w:val="22"/>
              </w:rPr>
            </w:pPr>
            <w:r w:rsidRPr="00940E3A">
              <w:rPr>
                <w:b/>
                <w:bCs/>
              </w:rPr>
              <w:t xml:space="preserve">Number of </w:t>
            </w:r>
            <w:r w:rsidR="00611632">
              <w:rPr>
                <w:b/>
                <w:bCs/>
              </w:rPr>
              <w:t>distribution</w:t>
            </w:r>
            <w:r w:rsidR="00611632" w:rsidRPr="00940E3A">
              <w:rPr>
                <w:b/>
                <w:bCs/>
              </w:rPr>
              <w:t xml:space="preserve"> </w:t>
            </w:r>
            <w:r w:rsidRPr="00940E3A">
              <w:rPr>
                <w:b/>
                <w:bCs/>
              </w:rPr>
              <w:t xml:space="preserve">zones </w:t>
            </w:r>
            <w:r w:rsidR="00C6739E">
              <w:rPr>
                <w:b/>
                <w:bCs/>
              </w:rPr>
              <w:t>exceeding the guideline value</w:t>
            </w:r>
            <w:r w:rsidR="00C6739E" w:rsidRPr="00940E3A">
              <w:rPr>
                <w:b/>
                <w:bCs/>
              </w:rPr>
              <w:t xml:space="preserve"> </w:t>
            </w:r>
            <w:r w:rsidRPr="00940E3A">
              <w:rPr>
                <w:b/>
                <w:bCs/>
              </w:rPr>
              <w:t>for colour</w:t>
            </w:r>
          </w:p>
        </w:tc>
        <w:tc>
          <w:tcPr>
            <w:tcW w:w="555" w:type="pct"/>
          </w:tcPr>
          <w:p w14:paraId="515FDD18" w14:textId="77777777" w:rsidR="00940E3A" w:rsidRPr="00940E3A" w:rsidRDefault="00940E3A" w:rsidP="00940E3A">
            <w:pPr>
              <w:pStyle w:val="Bodyromannumerals"/>
              <w:rPr>
                <w:b/>
                <w:bCs/>
                <w:sz w:val="22"/>
              </w:rPr>
            </w:pPr>
            <w:r w:rsidRPr="00940E3A">
              <w:rPr>
                <w:b/>
                <w:bCs/>
              </w:rPr>
              <w:t>Nr.</w:t>
            </w:r>
          </w:p>
        </w:tc>
      </w:tr>
      <w:tr w:rsidR="00940E3A" w:rsidRPr="00FA076A" w14:paraId="6D8574F3" w14:textId="77777777" w:rsidTr="00F45DB1">
        <w:tc>
          <w:tcPr>
            <w:tcW w:w="1243" w:type="pct"/>
            <w:gridSpan w:val="2"/>
            <w:tcBorders>
              <w:left w:val="single" w:sz="4" w:space="0" w:color="FFFFFF" w:themeColor="background1"/>
              <w:bottom w:val="single" w:sz="4" w:space="0" w:color="FFFFFF" w:themeColor="background1"/>
              <w:right w:val="single" w:sz="4" w:space="0" w:color="FFFFFF" w:themeColor="background1"/>
            </w:tcBorders>
          </w:tcPr>
          <w:p w14:paraId="6DFC740D" w14:textId="77777777" w:rsidR="00940E3A" w:rsidRPr="00FA076A" w:rsidRDefault="00940E3A" w:rsidP="00940E3A">
            <w:pPr>
              <w:pStyle w:val="Bodyromannumerals"/>
              <w:rPr>
                <w:i/>
                <w:sz w:val="22"/>
              </w:rPr>
            </w:pPr>
            <w:r w:rsidRPr="00FA076A">
              <w:rPr>
                <w:i/>
              </w:rPr>
              <w:t>Definition:</w:t>
            </w:r>
          </w:p>
        </w:tc>
        <w:tc>
          <w:tcPr>
            <w:tcW w:w="3757" w:type="pct"/>
            <w:gridSpan w:val="2"/>
            <w:tcBorders>
              <w:left w:val="single" w:sz="4" w:space="0" w:color="FFFFFF" w:themeColor="background1"/>
              <w:bottom w:val="single" w:sz="4" w:space="0" w:color="FFFFFF" w:themeColor="background1"/>
              <w:right w:val="single" w:sz="4" w:space="0" w:color="FFFFFF" w:themeColor="background1"/>
            </w:tcBorders>
          </w:tcPr>
          <w:p w14:paraId="7663CCFE" w14:textId="3DBA7D91" w:rsidR="00940E3A" w:rsidRDefault="00940E3A" w:rsidP="00B03EFD">
            <w:pPr>
              <w:pStyle w:val="Bodynumbercopy"/>
              <w:numPr>
                <w:ilvl w:val="0"/>
                <w:numId w:val="0"/>
              </w:numPr>
              <w:rPr>
                <w:lang w:val="en-GB"/>
              </w:rPr>
            </w:pPr>
            <w:r w:rsidRPr="00FA076A">
              <w:t xml:space="preserve">The total number of zones </w:t>
            </w:r>
            <w:r w:rsidR="00D77B7C">
              <w:t>exceeding the guideline value</w:t>
            </w:r>
            <w:r w:rsidRPr="00FA076A">
              <w:t xml:space="preserve"> </w:t>
            </w:r>
            <w:r w:rsidR="004A5F88">
              <w:t xml:space="preserve">for colour </w:t>
            </w:r>
            <w:r w:rsidRPr="00FA076A">
              <w:t xml:space="preserve">during the </w:t>
            </w:r>
            <w:r w:rsidR="000225E6">
              <w:t>reporting</w:t>
            </w:r>
            <w:r w:rsidR="000225E6" w:rsidRPr="00FA076A">
              <w:t xml:space="preserve"> </w:t>
            </w:r>
            <w:r w:rsidRPr="00FA076A">
              <w:t>year.</w:t>
            </w:r>
            <w:r w:rsidR="00664175">
              <w:t xml:space="preserve"> </w:t>
            </w:r>
            <w:r w:rsidR="00664175" w:rsidRPr="00955B8F">
              <w:t>Water distribution zone is defined as an identifiable part of the water supply network</w:t>
            </w:r>
            <w:r w:rsidR="00664175">
              <w:t>. T</w:t>
            </w:r>
            <w:r w:rsidR="00664175" w:rsidRPr="007F29CF">
              <w:t xml:space="preserve">his is in line with </w:t>
            </w:r>
            <w:r w:rsidR="00664175">
              <w:t xml:space="preserve">the </w:t>
            </w:r>
            <w:r w:rsidR="00664175" w:rsidRPr="007F29CF">
              <w:rPr>
                <w:lang w:val="en-GB"/>
              </w:rPr>
              <w:t>Drinking-water Standards for New Zealand 2005 (Revised 2018)</w:t>
            </w:r>
            <w:r w:rsidR="00A41AFC">
              <w:rPr>
                <w:lang w:val="en-GB"/>
              </w:rPr>
              <w:t>.</w:t>
            </w:r>
          </w:p>
          <w:p w14:paraId="08FD03BF" w14:textId="716DC153" w:rsidR="00940E3A" w:rsidRPr="00B03EFD" w:rsidRDefault="00940E3A" w:rsidP="00B03EFD">
            <w:pPr>
              <w:pStyle w:val="Bodynumbercopy"/>
              <w:numPr>
                <w:ilvl w:val="0"/>
                <w:numId w:val="0"/>
              </w:numPr>
              <w:rPr>
                <w:b/>
                <w:bCs/>
                <w:lang w:val="en-GB"/>
              </w:rPr>
            </w:pPr>
          </w:p>
        </w:tc>
      </w:tr>
      <w:tr w:rsidR="00940E3A" w:rsidRPr="00FA076A" w14:paraId="39C812AB" w14:textId="77777777" w:rsidTr="00F45DB1">
        <w:tc>
          <w:tcPr>
            <w:tcW w:w="12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E481D1" w14:textId="77777777" w:rsidR="00940E3A" w:rsidRPr="00FA076A" w:rsidRDefault="00940E3A" w:rsidP="00940E3A">
            <w:pPr>
              <w:pStyle w:val="Bodyromannumerals"/>
              <w:rPr>
                <w:i/>
                <w:sz w:val="22"/>
              </w:rPr>
            </w:pPr>
            <w:r w:rsidRPr="00FA076A">
              <w:rPr>
                <w:i/>
              </w:rPr>
              <w:t>Processing rules:</w:t>
            </w:r>
          </w:p>
        </w:tc>
        <w:tc>
          <w:tcPr>
            <w:tcW w:w="375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550C5C" w14:textId="77777777" w:rsidR="00940E3A" w:rsidRPr="00FA076A" w:rsidRDefault="00940E3A" w:rsidP="00940E3A">
            <w:pPr>
              <w:pStyle w:val="Bodyromannumerals"/>
              <w:rPr>
                <w:sz w:val="22"/>
              </w:rPr>
            </w:pPr>
            <w:r w:rsidRPr="00FA076A">
              <w:t>Input field</w:t>
            </w:r>
          </w:p>
        </w:tc>
      </w:tr>
      <w:tr w:rsidR="00940E3A" w:rsidRPr="00FA076A" w14:paraId="4AE98DF7" w14:textId="77777777" w:rsidTr="00F45DB1">
        <w:tc>
          <w:tcPr>
            <w:tcW w:w="756" w:type="pct"/>
          </w:tcPr>
          <w:p w14:paraId="4B80FD84" w14:textId="77777777" w:rsidR="00940E3A" w:rsidRPr="00940E3A" w:rsidRDefault="00940E3A" w:rsidP="00940E3A">
            <w:pPr>
              <w:pStyle w:val="Bodyromannumerals"/>
              <w:rPr>
                <w:b/>
                <w:bCs/>
                <w:sz w:val="22"/>
              </w:rPr>
            </w:pPr>
            <w:r w:rsidRPr="00940E3A">
              <w:rPr>
                <w:b/>
                <w:bCs/>
              </w:rPr>
              <w:t>C1.8</w:t>
            </w:r>
          </w:p>
        </w:tc>
        <w:tc>
          <w:tcPr>
            <w:tcW w:w="3689" w:type="pct"/>
            <w:gridSpan w:val="2"/>
          </w:tcPr>
          <w:p w14:paraId="2E8A912A" w14:textId="4B0FC25E" w:rsidR="00940E3A" w:rsidRPr="00940E3A" w:rsidRDefault="00940E3A" w:rsidP="00940E3A">
            <w:pPr>
              <w:pStyle w:val="Bodyromannumerals"/>
              <w:rPr>
                <w:b/>
                <w:bCs/>
                <w:sz w:val="22"/>
              </w:rPr>
            </w:pPr>
            <w:r w:rsidRPr="00940E3A">
              <w:rPr>
                <w:b/>
                <w:bCs/>
              </w:rPr>
              <w:t xml:space="preserve">Number of </w:t>
            </w:r>
            <w:r w:rsidR="00611632">
              <w:rPr>
                <w:b/>
                <w:bCs/>
              </w:rPr>
              <w:t>distribution</w:t>
            </w:r>
            <w:r w:rsidR="00611632" w:rsidRPr="00940E3A">
              <w:rPr>
                <w:b/>
                <w:bCs/>
              </w:rPr>
              <w:t xml:space="preserve"> </w:t>
            </w:r>
            <w:r w:rsidRPr="00940E3A">
              <w:rPr>
                <w:b/>
                <w:bCs/>
              </w:rPr>
              <w:t>zones</w:t>
            </w:r>
            <w:r w:rsidR="00D77B7C">
              <w:rPr>
                <w:b/>
                <w:bCs/>
              </w:rPr>
              <w:t xml:space="preserve"> exceeding </w:t>
            </w:r>
            <w:r w:rsidR="00232F73">
              <w:rPr>
                <w:b/>
                <w:bCs/>
              </w:rPr>
              <w:t xml:space="preserve">the </w:t>
            </w:r>
            <w:r w:rsidR="00D77B7C">
              <w:rPr>
                <w:b/>
                <w:bCs/>
              </w:rPr>
              <w:t>guideline value</w:t>
            </w:r>
            <w:r w:rsidRPr="00940E3A">
              <w:rPr>
                <w:b/>
                <w:bCs/>
              </w:rPr>
              <w:t xml:space="preserve"> for turbidity</w:t>
            </w:r>
          </w:p>
        </w:tc>
        <w:tc>
          <w:tcPr>
            <w:tcW w:w="555" w:type="pct"/>
          </w:tcPr>
          <w:p w14:paraId="14EFB46E" w14:textId="77777777" w:rsidR="00940E3A" w:rsidRPr="00940E3A" w:rsidRDefault="00940E3A" w:rsidP="00940E3A">
            <w:pPr>
              <w:pStyle w:val="Bodyromannumerals"/>
              <w:rPr>
                <w:b/>
                <w:bCs/>
                <w:sz w:val="22"/>
              </w:rPr>
            </w:pPr>
            <w:r w:rsidRPr="00940E3A">
              <w:rPr>
                <w:b/>
                <w:bCs/>
              </w:rPr>
              <w:t>Nr.</w:t>
            </w:r>
          </w:p>
        </w:tc>
      </w:tr>
      <w:tr w:rsidR="00940E3A" w:rsidRPr="00FA076A" w14:paraId="1C79BDFD" w14:textId="77777777" w:rsidTr="00F45DB1">
        <w:tc>
          <w:tcPr>
            <w:tcW w:w="1243" w:type="pct"/>
            <w:gridSpan w:val="2"/>
            <w:tcBorders>
              <w:left w:val="single" w:sz="4" w:space="0" w:color="FFFFFF" w:themeColor="background1"/>
              <w:bottom w:val="single" w:sz="4" w:space="0" w:color="FFFFFF" w:themeColor="background1"/>
              <w:right w:val="single" w:sz="4" w:space="0" w:color="FFFFFF" w:themeColor="background1"/>
            </w:tcBorders>
          </w:tcPr>
          <w:p w14:paraId="7CF82ACC" w14:textId="77777777" w:rsidR="00940E3A" w:rsidRPr="00FA076A" w:rsidRDefault="00940E3A" w:rsidP="00940E3A">
            <w:pPr>
              <w:pStyle w:val="Bodyromannumerals"/>
              <w:rPr>
                <w:i/>
                <w:sz w:val="22"/>
              </w:rPr>
            </w:pPr>
            <w:r w:rsidRPr="00FA076A">
              <w:rPr>
                <w:i/>
              </w:rPr>
              <w:t>Definition:</w:t>
            </w:r>
          </w:p>
        </w:tc>
        <w:tc>
          <w:tcPr>
            <w:tcW w:w="3757" w:type="pct"/>
            <w:gridSpan w:val="2"/>
            <w:tcBorders>
              <w:left w:val="single" w:sz="4" w:space="0" w:color="FFFFFF" w:themeColor="background1"/>
              <w:bottom w:val="single" w:sz="4" w:space="0" w:color="FFFFFF" w:themeColor="background1"/>
              <w:right w:val="single" w:sz="4" w:space="0" w:color="FFFFFF" w:themeColor="background1"/>
            </w:tcBorders>
          </w:tcPr>
          <w:p w14:paraId="530C57FC" w14:textId="366FEDEE" w:rsidR="00940E3A" w:rsidRDefault="00940E3A" w:rsidP="00B03EFD">
            <w:pPr>
              <w:pStyle w:val="Bodynumbercopy"/>
              <w:numPr>
                <w:ilvl w:val="0"/>
                <w:numId w:val="0"/>
              </w:numPr>
              <w:rPr>
                <w:lang w:val="en-GB"/>
              </w:rPr>
            </w:pPr>
            <w:r w:rsidRPr="00FA076A">
              <w:t xml:space="preserve">The total number of zones </w:t>
            </w:r>
            <w:r w:rsidR="00232F73">
              <w:t>exceeding the guideline value for</w:t>
            </w:r>
            <w:r w:rsidR="00232F73" w:rsidRPr="00FA076A">
              <w:t xml:space="preserve"> </w:t>
            </w:r>
            <w:r w:rsidRPr="00FA076A">
              <w:t xml:space="preserve">turbidity failures </w:t>
            </w:r>
            <w:r w:rsidR="003B1CB6">
              <w:t xml:space="preserve">(outside of the treatment plant) </w:t>
            </w:r>
            <w:r w:rsidRPr="00FA076A">
              <w:t xml:space="preserve">during the </w:t>
            </w:r>
            <w:r w:rsidR="001A6DF5">
              <w:t>reporting</w:t>
            </w:r>
            <w:r w:rsidR="001A6DF5" w:rsidRPr="00FA076A">
              <w:t xml:space="preserve"> </w:t>
            </w:r>
            <w:r w:rsidRPr="00FA076A">
              <w:t>year.</w:t>
            </w:r>
            <w:r w:rsidR="00664175">
              <w:t xml:space="preserve"> </w:t>
            </w:r>
            <w:r w:rsidR="00664175" w:rsidRPr="00955B8F">
              <w:t>Water distribution zone is defined as an identifiable part of the water supply network</w:t>
            </w:r>
            <w:r w:rsidR="00664175">
              <w:t>. T</w:t>
            </w:r>
            <w:r w:rsidR="00664175" w:rsidRPr="007F29CF">
              <w:t xml:space="preserve">his is in line with </w:t>
            </w:r>
            <w:r w:rsidR="00664175">
              <w:t xml:space="preserve">the </w:t>
            </w:r>
            <w:r w:rsidR="00664175" w:rsidRPr="007F29CF">
              <w:rPr>
                <w:lang w:val="en-GB"/>
              </w:rPr>
              <w:t>Drinking-water Standards for New Zealand 2005 (Revised 2018)</w:t>
            </w:r>
            <w:r w:rsidR="00A41AFC">
              <w:rPr>
                <w:lang w:val="en-GB"/>
              </w:rPr>
              <w:t>.</w:t>
            </w:r>
          </w:p>
          <w:p w14:paraId="578ECDCB" w14:textId="06394755" w:rsidR="00940E3A" w:rsidRPr="00B03EFD" w:rsidRDefault="00940E3A" w:rsidP="00B03EFD">
            <w:pPr>
              <w:pStyle w:val="Bodynumbercopy"/>
              <w:numPr>
                <w:ilvl w:val="0"/>
                <w:numId w:val="0"/>
              </w:numPr>
              <w:rPr>
                <w:b/>
                <w:bCs/>
                <w:lang w:val="en-GB"/>
              </w:rPr>
            </w:pPr>
          </w:p>
        </w:tc>
      </w:tr>
      <w:tr w:rsidR="00940E3A" w:rsidRPr="00FA076A" w14:paraId="04B2A2E9" w14:textId="77777777" w:rsidTr="00F45DB1">
        <w:tc>
          <w:tcPr>
            <w:tcW w:w="12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7A5334" w14:textId="77777777" w:rsidR="00940E3A" w:rsidRPr="00FA076A" w:rsidRDefault="00940E3A" w:rsidP="00940E3A">
            <w:pPr>
              <w:pStyle w:val="Bodyromannumerals"/>
              <w:rPr>
                <w:i/>
                <w:sz w:val="22"/>
              </w:rPr>
            </w:pPr>
            <w:r w:rsidRPr="00FA076A">
              <w:rPr>
                <w:i/>
              </w:rPr>
              <w:t>Processing rules:</w:t>
            </w:r>
          </w:p>
        </w:tc>
        <w:tc>
          <w:tcPr>
            <w:tcW w:w="375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D69F86" w14:textId="77777777" w:rsidR="00940E3A" w:rsidRPr="00FA076A" w:rsidRDefault="00940E3A" w:rsidP="00940E3A">
            <w:pPr>
              <w:pStyle w:val="Bodyromannumerals"/>
              <w:rPr>
                <w:sz w:val="22"/>
              </w:rPr>
            </w:pPr>
            <w:r w:rsidRPr="00FA076A">
              <w:t>Input field</w:t>
            </w:r>
          </w:p>
        </w:tc>
      </w:tr>
      <w:tr w:rsidR="00940E3A" w:rsidRPr="00FA076A" w14:paraId="3A3FB267" w14:textId="77777777" w:rsidTr="00F45DB1">
        <w:tc>
          <w:tcPr>
            <w:tcW w:w="756" w:type="pct"/>
          </w:tcPr>
          <w:p w14:paraId="54208635" w14:textId="77777777" w:rsidR="00940E3A" w:rsidRPr="00940E3A" w:rsidRDefault="00940E3A" w:rsidP="00940E3A">
            <w:pPr>
              <w:pStyle w:val="Bodyromannumerals"/>
              <w:rPr>
                <w:b/>
                <w:bCs/>
                <w:sz w:val="22"/>
              </w:rPr>
            </w:pPr>
            <w:r w:rsidRPr="00940E3A">
              <w:rPr>
                <w:b/>
                <w:bCs/>
              </w:rPr>
              <w:t>C1.9</w:t>
            </w:r>
          </w:p>
        </w:tc>
        <w:tc>
          <w:tcPr>
            <w:tcW w:w="3689" w:type="pct"/>
            <w:gridSpan w:val="2"/>
          </w:tcPr>
          <w:p w14:paraId="7EC9769E" w14:textId="4F3E84D4" w:rsidR="00940E3A" w:rsidRPr="00940E3A" w:rsidRDefault="00940E3A" w:rsidP="00940E3A">
            <w:pPr>
              <w:pStyle w:val="Bodyromannumerals"/>
              <w:rPr>
                <w:b/>
                <w:bCs/>
                <w:sz w:val="22"/>
              </w:rPr>
            </w:pPr>
            <w:r w:rsidRPr="00940E3A">
              <w:rPr>
                <w:b/>
                <w:bCs/>
              </w:rPr>
              <w:t xml:space="preserve">Number of </w:t>
            </w:r>
            <w:r w:rsidR="00611632">
              <w:rPr>
                <w:b/>
                <w:bCs/>
              </w:rPr>
              <w:t>distribution</w:t>
            </w:r>
            <w:r w:rsidR="00611632" w:rsidRPr="00940E3A">
              <w:rPr>
                <w:b/>
                <w:bCs/>
              </w:rPr>
              <w:t xml:space="preserve"> </w:t>
            </w:r>
            <w:r w:rsidRPr="00940E3A">
              <w:rPr>
                <w:b/>
                <w:bCs/>
              </w:rPr>
              <w:t xml:space="preserve">zones </w:t>
            </w:r>
            <w:r w:rsidR="002B62D3">
              <w:rPr>
                <w:b/>
                <w:bCs/>
              </w:rPr>
              <w:t>outside of the guideline range</w:t>
            </w:r>
            <w:r w:rsidR="002B62D3" w:rsidRPr="00940E3A">
              <w:rPr>
                <w:b/>
                <w:bCs/>
              </w:rPr>
              <w:t xml:space="preserve"> </w:t>
            </w:r>
            <w:r w:rsidRPr="00940E3A">
              <w:rPr>
                <w:b/>
                <w:bCs/>
              </w:rPr>
              <w:t>for hydrogen ion (pH)</w:t>
            </w:r>
          </w:p>
        </w:tc>
        <w:tc>
          <w:tcPr>
            <w:tcW w:w="555" w:type="pct"/>
          </w:tcPr>
          <w:p w14:paraId="11D883A9" w14:textId="77777777" w:rsidR="00940E3A" w:rsidRPr="00940E3A" w:rsidRDefault="00940E3A" w:rsidP="00940E3A">
            <w:pPr>
              <w:pStyle w:val="Bodyromannumerals"/>
              <w:rPr>
                <w:b/>
                <w:bCs/>
                <w:sz w:val="22"/>
              </w:rPr>
            </w:pPr>
            <w:r w:rsidRPr="00940E3A">
              <w:rPr>
                <w:b/>
                <w:bCs/>
              </w:rPr>
              <w:t>Nr.</w:t>
            </w:r>
          </w:p>
        </w:tc>
      </w:tr>
      <w:tr w:rsidR="00940E3A" w:rsidRPr="00FA076A" w14:paraId="473C6083" w14:textId="77777777" w:rsidTr="00F45DB1">
        <w:tc>
          <w:tcPr>
            <w:tcW w:w="1243" w:type="pct"/>
            <w:gridSpan w:val="2"/>
            <w:tcBorders>
              <w:left w:val="single" w:sz="4" w:space="0" w:color="FFFFFF" w:themeColor="background1"/>
              <w:bottom w:val="single" w:sz="4" w:space="0" w:color="FFFFFF" w:themeColor="background1"/>
              <w:right w:val="single" w:sz="4" w:space="0" w:color="FFFFFF" w:themeColor="background1"/>
            </w:tcBorders>
          </w:tcPr>
          <w:p w14:paraId="38ABE240" w14:textId="77777777" w:rsidR="00940E3A" w:rsidRPr="00FA076A" w:rsidRDefault="00940E3A" w:rsidP="00940E3A">
            <w:pPr>
              <w:pStyle w:val="Bodyromannumerals"/>
              <w:rPr>
                <w:i/>
                <w:sz w:val="22"/>
              </w:rPr>
            </w:pPr>
            <w:r w:rsidRPr="00FA076A">
              <w:rPr>
                <w:i/>
              </w:rPr>
              <w:t>Definition:</w:t>
            </w:r>
          </w:p>
        </w:tc>
        <w:tc>
          <w:tcPr>
            <w:tcW w:w="3757" w:type="pct"/>
            <w:gridSpan w:val="2"/>
            <w:tcBorders>
              <w:left w:val="single" w:sz="4" w:space="0" w:color="FFFFFF" w:themeColor="background1"/>
              <w:bottom w:val="single" w:sz="4" w:space="0" w:color="FFFFFF" w:themeColor="background1"/>
              <w:right w:val="single" w:sz="4" w:space="0" w:color="FFFFFF" w:themeColor="background1"/>
            </w:tcBorders>
          </w:tcPr>
          <w:p w14:paraId="2DAA2747" w14:textId="48303A36" w:rsidR="00940E3A" w:rsidRDefault="00940E3A" w:rsidP="00B03EFD">
            <w:pPr>
              <w:pStyle w:val="Bodynumbercopy"/>
              <w:numPr>
                <w:ilvl w:val="0"/>
                <w:numId w:val="0"/>
              </w:numPr>
              <w:rPr>
                <w:lang w:val="en-GB"/>
              </w:rPr>
            </w:pPr>
            <w:r w:rsidRPr="00FA076A">
              <w:t xml:space="preserve">The total number of zones </w:t>
            </w:r>
            <w:r w:rsidR="002B62D3">
              <w:t>outside of the guideline range for</w:t>
            </w:r>
            <w:r w:rsidR="002B62D3" w:rsidRPr="00FA076A">
              <w:t xml:space="preserve"> </w:t>
            </w:r>
            <w:r w:rsidRPr="00FA076A">
              <w:t xml:space="preserve">hydrogen ion (pH) during the </w:t>
            </w:r>
            <w:r w:rsidR="001A6DF5">
              <w:t>reporting</w:t>
            </w:r>
            <w:r w:rsidRPr="00FA076A">
              <w:t xml:space="preserve"> year.</w:t>
            </w:r>
            <w:r w:rsidR="00664175">
              <w:t xml:space="preserve"> </w:t>
            </w:r>
            <w:r w:rsidR="00664175" w:rsidRPr="00955B8F">
              <w:t>Water distribution zone is defined as an identifiable part of the water supply network</w:t>
            </w:r>
            <w:r w:rsidR="00664175">
              <w:t>. T</w:t>
            </w:r>
            <w:r w:rsidR="00664175" w:rsidRPr="007F29CF">
              <w:t xml:space="preserve">his is in line with </w:t>
            </w:r>
            <w:r w:rsidR="00664175">
              <w:t xml:space="preserve">the </w:t>
            </w:r>
            <w:r w:rsidR="00664175" w:rsidRPr="007F29CF">
              <w:rPr>
                <w:lang w:val="en-GB"/>
              </w:rPr>
              <w:t>Drinking-water Standards for New Zealand 2005 (Revised 2018)</w:t>
            </w:r>
            <w:r w:rsidR="00A279ED">
              <w:rPr>
                <w:lang w:val="en-GB"/>
              </w:rPr>
              <w:t>.</w:t>
            </w:r>
          </w:p>
          <w:p w14:paraId="35137A02" w14:textId="03F1F450" w:rsidR="00940E3A" w:rsidRPr="00B03EFD" w:rsidRDefault="00940E3A" w:rsidP="00B03EFD">
            <w:pPr>
              <w:pStyle w:val="Bodynumbercopy"/>
              <w:numPr>
                <w:ilvl w:val="0"/>
                <w:numId w:val="0"/>
              </w:numPr>
              <w:rPr>
                <w:b/>
                <w:bCs/>
                <w:lang w:val="en-GB"/>
              </w:rPr>
            </w:pPr>
          </w:p>
        </w:tc>
      </w:tr>
      <w:tr w:rsidR="00940E3A" w:rsidRPr="00FA076A" w14:paraId="015F4D59" w14:textId="77777777" w:rsidTr="00F45DB1">
        <w:tc>
          <w:tcPr>
            <w:tcW w:w="12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4F6DDC" w14:textId="77777777" w:rsidR="00940E3A" w:rsidRPr="00FA076A" w:rsidRDefault="00940E3A" w:rsidP="00940E3A">
            <w:pPr>
              <w:pStyle w:val="Bodyromannumerals"/>
              <w:rPr>
                <w:i/>
                <w:sz w:val="22"/>
              </w:rPr>
            </w:pPr>
            <w:r w:rsidRPr="00FA076A">
              <w:rPr>
                <w:i/>
              </w:rPr>
              <w:t>Processing rules:</w:t>
            </w:r>
          </w:p>
        </w:tc>
        <w:tc>
          <w:tcPr>
            <w:tcW w:w="375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367CD1" w14:textId="77777777" w:rsidR="00940E3A" w:rsidRPr="00FA076A" w:rsidRDefault="00940E3A" w:rsidP="00940E3A">
            <w:pPr>
              <w:pStyle w:val="Bodyromannumerals"/>
              <w:rPr>
                <w:sz w:val="22"/>
              </w:rPr>
            </w:pPr>
            <w:r w:rsidRPr="00FA076A">
              <w:t>Input field</w:t>
            </w:r>
          </w:p>
        </w:tc>
      </w:tr>
      <w:tr w:rsidR="00940E3A" w:rsidRPr="00FA076A" w14:paraId="42F71866" w14:textId="77777777" w:rsidTr="00F45DB1">
        <w:tc>
          <w:tcPr>
            <w:tcW w:w="756" w:type="pct"/>
          </w:tcPr>
          <w:p w14:paraId="402706B4" w14:textId="77777777" w:rsidR="00940E3A" w:rsidRPr="00940E3A" w:rsidRDefault="00940E3A" w:rsidP="00940E3A">
            <w:pPr>
              <w:pStyle w:val="Bodyromannumerals"/>
              <w:rPr>
                <w:b/>
                <w:bCs/>
                <w:sz w:val="22"/>
              </w:rPr>
            </w:pPr>
            <w:r w:rsidRPr="00940E3A">
              <w:rPr>
                <w:b/>
                <w:bCs/>
              </w:rPr>
              <w:t>C1.10</w:t>
            </w:r>
          </w:p>
        </w:tc>
        <w:tc>
          <w:tcPr>
            <w:tcW w:w="3689" w:type="pct"/>
            <w:gridSpan w:val="2"/>
          </w:tcPr>
          <w:p w14:paraId="34390A26" w14:textId="7436543C" w:rsidR="00940E3A" w:rsidRPr="00940E3A" w:rsidRDefault="00940E3A" w:rsidP="00940E3A">
            <w:pPr>
              <w:pStyle w:val="Bodyromannumerals"/>
              <w:rPr>
                <w:b/>
                <w:bCs/>
                <w:sz w:val="22"/>
              </w:rPr>
            </w:pPr>
            <w:r w:rsidRPr="00940E3A">
              <w:rPr>
                <w:b/>
                <w:bCs/>
              </w:rPr>
              <w:t xml:space="preserve">Number of </w:t>
            </w:r>
            <w:r w:rsidR="00611632">
              <w:rPr>
                <w:b/>
                <w:bCs/>
              </w:rPr>
              <w:t>distribution</w:t>
            </w:r>
            <w:r w:rsidR="00611632" w:rsidRPr="00940E3A">
              <w:rPr>
                <w:b/>
                <w:bCs/>
              </w:rPr>
              <w:t xml:space="preserve"> </w:t>
            </w:r>
            <w:r w:rsidRPr="00940E3A">
              <w:rPr>
                <w:b/>
                <w:bCs/>
              </w:rPr>
              <w:t xml:space="preserve">zones </w:t>
            </w:r>
            <w:r w:rsidR="003B1CB6">
              <w:rPr>
                <w:b/>
                <w:bCs/>
              </w:rPr>
              <w:t>exceeding the guideline value</w:t>
            </w:r>
            <w:r w:rsidR="003B1CB6" w:rsidRPr="00940E3A">
              <w:rPr>
                <w:b/>
                <w:bCs/>
              </w:rPr>
              <w:t xml:space="preserve"> </w:t>
            </w:r>
            <w:r w:rsidRPr="00940E3A">
              <w:rPr>
                <w:b/>
                <w:bCs/>
              </w:rPr>
              <w:t>for aluminium</w:t>
            </w:r>
          </w:p>
        </w:tc>
        <w:tc>
          <w:tcPr>
            <w:tcW w:w="555" w:type="pct"/>
          </w:tcPr>
          <w:p w14:paraId="0B47222F" w14:textId="77777777" w:rsidR="00940E3A" w:rsidRPr="00940E3A" w:rsidRDefault="00940E3A" w:rsidP="00940E3A">
            <w:pPr>
              <w:pStyle w:val="Bodyromannumerals"/>
              <w:rPr>
                <w:b/>
                <w:bCs/>
                <w:sz w:val="22"/>
              </w:rPr>
            </w:pPr>
            <w:r w:rsidRPr="00940E3A">
              <w:rPr>
                <w:b/>
                <w:bCs/>
              </w:rPr>
              <w:t>Nr.</w:t>
            </w:r>
          </w:p>
        </w:tc>
      </w:tr>
      <w:tr w:rsidR="00940E3A" w:rsidRPr="00FA076A" w14:paraId="01CD3DF4" w14:textId="77777777" w:rsidTr="00F45DB1">
        <w:tc>
          <w:tcPr>
            <w:tcW w:w="1243" w:type="pct"/>
            <w:gridSpan w:val="2"/>
            <w:tcBorders>
              <w:left w:val="single" w:sz="4" w:space="0" w:color="FFFFFF" w:themeColor="background1"/>
              <w:bottom w:val="single" w:sz="4" w:space="0" w:color="FFFFFF" w:themeColor="background1"/>
              <w:right w:val="single" w:sz="4" w:space="0" w:color="FFFFFF" w:themeColor="background1"/>
            </w:tcBorders>
          </w:tcPr>
          <w:p w14:paraId="1C6FEB28" w14:textId="77777777" w:rsidR="00940E3A" w:rsidRPr="00FA076A" w:rsidRDefault="00940E3A" w:rsidP="00940E3A">
            <w:pPr>
              <w:pStyle w:val="Bodyromannumerals"/>
              <w:rPr>
                <w:i/>
                <w:sz w:val="22"/>
              </w:rPr>
            </w:pPr>
            <w:r w:rsidRPr="00FA076A">
              <w:rPr>
                <w:i/>
              </w:rPr>
              <w:t>Definition:</w:t>
            </w:r>
          </w:p>
        </w:tc>
        <w:tc>
          <w:tcPr>
            <w:tcW w:w="3757" w:type="pct"/>
            <w:gridSpan w:val="2"/>
            <w:tcBorders>
              <w:left w:val="single" w:sz="4" w:space="0" w:color="FFFFFF" w:themeColor="background1"/>
              <w:bottom w:val="single" w:sz="4" w:space="0" w:color="FFFFFF" w:themeColor="background1"/>
              <w:right w:val="single" w:sz="4" w:space="0" w:color="FFFFFF" w:themeColor="background1"/>
            </w:tcBorders>
          </w:tcPr>
          <w:p w14:paraId="022DA588" w14:textId="7D3602DA" w:rsidR="00940E3A" w:rsidRDefault="00940E3A" w:rsidP="00B03EFD">
            <w:pPr>
              <w:pStyle w:val="Bodynumbercopy"/>
              <w:numPr>
                <w:ilvl w:val="0"/>
                <w:numId w:val="0"/>
              </w:numPr>
              <w:rPr>
                <w:lang w:val="en-GB"/>
              </w:rPr>
            </w:pPr>
            <w:r w:rsidRPr="00FA076A">
              <w:t xml:space="preserve">The total number of zones reporting aluminium </w:t>
            </w:r>
            <w:r w:rsidR="004A5F88">
              <w:t xml:space="preserve">exceeding the guideline value for aluminium </w:t>
            </w:r>
            <w:r w:rsidRPr="00FA076A">
              <w:t xml:space="preserve">during the </w:t>
            </w:r>
            <w:r w:rsidR="001A6DF5">
              <w:t>reporting</w:t>
            </w:r>
            <w:r w:rsidR="001A6DF5" w:rsidRPr="00FA076A">
              <w:t xml:space="preserve"> </w:t>
            </w:r>
            <w:r w:rsidRPr="00FA076A">
              <w:t>year.</w:t>
            </w:r>
            <w:r w:rsidR="00664175">
              <w:t xml:space="preserve"> </w:t>
            </w:r>
            <w:r w:rsidR="00664175" w:rsidRPr="00955B8F">
              <w:t>Water distribution zone is defined as an identifiable part of the water supply network</w:t>
            </w:r>
            <w:r w:rsidR="00664175">
              <w:t>. T</w:t>
            </w:r>
            <w:r w:rsidR="00664175" w:rsidRPr="007F29CF">
              <w:t xml:space="preserve">his is in line with </w:t>
            </w:r>
            <w:r w:rsidR="00664175">
              <w:t xml:space="preserve">the </w:t>
            </w:r>
            <w:r w:rsidR="00664175" w:rsidRPr="007F29CF">
              <w:rPr>
                <w:lang w:val="en-GB"/>
              </w:rPr>
              <w:t>Drinking-water Standards for New Zealand 2005 (Revised 2018)</w:t>
            </w:r>
            <w:r w:rsidR="00A279ED">
              <w:rPr>
                <w:lang w:val="en-GB"/>
              </w:rPr>
              <w:t>.</w:t>
            </w:r>
          </w:p>
          <w:p w14:paraId="0C9D18CE" w14:textId="25DB313A" w:rsidR="00940E3A" w:rsidRPr="00B03EFD" w:rsidRDefault="00940E3A" w:rsidP="00B03EFD">
            <w:pPr>
              <w:pStyle w:val="Bodynumbercopy"/>
              <w:numPr>
                <w:ilvl w:val="0"/>
                <w:numId w:val="0"/>
              </w:numPr>
              <w:rPr>
                <w:b/>
                <w:bCs/>
                <w:lang w:val="en-GB"/>
              </w:rPr>
            </w:pPr>
          </w:p>
        </w:tc>
      </w:tr>
      <w:tr w:rsidR="00940E3A" w:rsidRPr="00FA076A" w14:paraId="20FE94B6" w14:textId="77777777" w:rsidTr="00F45DB1">
        <w:tc>
          <w:tcPr>
            <w:tcW w:w="12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CE6613" w14:textId="77777777" w:rsidR="00940E3A" w:rsidRPr="00FA076A" w:rsidRDefault="00940E3A" w:rsidP="00940E3A">
            <w:pPr>
              <w:pStyle w:val="Bodyromannumerals"/>
              <w:rPr>
                <w:i/>
                <w:sz w:val="22"/>
              </w:rPr>
            </w:pPr>
            <w:r w:rsidRPr="00FA076A">
              <w:rPr>
                <w:i/>
              </w:rPr>
              <w:t>Processing rules:</w:t>
            </w:r>
          </w:p>
        </w:tc>
        <w:tc>
          <w:tcPr>
            <w:tcW w:w="375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2EB5BB" w14:textId="77777777" w:rsidR="00940E3A" w:rsidRPr="00FA076A" w:rsidRDefault="00940E3A" w:rsidP="00940E3A">
            <w:pPr>
              <w:pStyle w:val="Bodyromannumerals"/>
              <w:rPr>
                <w:sz w:val="22"/>
              </w:rPr>
            </w:pPr>
            <w:r w:rsidRPr="00FA076A">
              <w:t xml:space="preserve">Input field </w:t>
            </w:r>
          </w:p>
        </w:tc>
      </w:tr>
    </w:tbl>
    <w:p w14:paraId="14BC4B95" w14:textId="64FC4FAA" w:rsidR="007B444A" w:rsidRDefault="007B444A"/>
    <w:tbl>
      <w:tblPr>
        <w:tblStyle w:val="TableGrid"/>
        <w:tblW w:w="5000" w:type="pct"/>
        <w:tblLook w:val="04A0" w:firstRow="1" w:lastRow="0" w:firstColumn="1" w:lastColumn="0" w:noHBand="0" w:noVBand="1"/>
      </w:tblPr>
      <w:tblGrid>
        <w:gridCol w:w="1143"/>
        <w:gridCol w:w="736"/>
        <w:gridCol w:w="4840"/>
        <w:gridCol w:w="839"/>
      </w:tblGrid>
      <w:tr w:rsidR="00940E3A" w:rsidRPr="00FA076A" w14:paraId="637DC7F0" w14:textId="77777777" w:rsidTr="00F45DB1">
        <w:tc>
          <w:tcPr>
            <w:tcW w:w="756" w:type="pct"/>
          </w:tcPr>
          <w:p w14:paraId="619BD26C" w14:textId="3D44D56B" w:rsidR="00940E3A" w:rsidRPr="00940E3A" w:rsidRDefault="00940E3A" w:rsidP="00940E3A">
            <w:pPr>
              <w:pStyle w:val="Bodyromannumerals"/>
              <w:rPr>
                <w:b/>
                <w:bCs/>
                <w:sz w:val="22"/>
              </w:rPr>
            </w:pPr>
            <w:r w:rsidRPr="00940E3A">
              <w:rPr>
                <w:b/>
                <w:bCs/>
              </w:rPr>
              <w:t>C1.11</w:t>
            </w:r>
          </w:p>
        </w:tc>
        <w:tc>
          <w:tcPr>
            <w:tcW w:w="3689" w:type="pct"/>
            <w:gridSpan w:val="2"/>
          </w:tcPr>
          <w:p w14:paraId="31E45DF0" w14:textId="6A0984D8" w:rsidR="00940E3A" w:rsidRPr="00940E3A" w:rsidRDefault="00940E3A" w:rsidP="00940E3A">
            <w:pPr>
              <w:pStyle w:val="Bodyromannumerals"/>
              <w:rPr>
                <w:b/>
                <w:bCs/>
                <w:sz w:val="22"/>
              </w:rPr>
            </w:pPr>
            <w:r w:rsidRPr="00940E3A">
              <w:rPr>
                <w:b/>
                <w:bCs/>
              </w:rPr>
              <w:t xml:space="preserve">Number of </w:t>
            </w:r>
            <w:r w:rsidR="00611632">
              <w:rPr>
                <w:b/>
                <w:bCs/>
              </w:rPr>
              <w:t>distribution</w:t>
            </w:r>
            <w:r w:rsidR="00611632" w:rsidRPr="00940E3A">
              <w:rPr>
                <w:b/>
                <w:bCs/>
              </w:rPr>
              <w:t xml:space="preserve"> </w:t>
            </w:r>
            <w:r w:rsidRPr="00940E3A">
              <w:rPr>
                <w:b/>
                <w:bCs/>
              </w:rPr>
              <w:t xml:space="preserve">zones </w:t>
            </w:r>
            <w:r w:rsidR="003B1CB6">
              <w:rPr>
                <w:b/>
                <w:bCs/>
              </w:rPr>
              <w:t>exceeding the guideline value</w:t>
            </w:r>
            <w:r w:rsidR="003B1CB6" w:rsidRPr="00940E3A">
              <w:rPr>
                <w:b/>
                <w:bCs/>
              </w:rPr>
              <w:t xml:space="preserve"> </w:t>
            </w:r>
            <w:r w:rsidRPr="00940E3A">
              <w:rPr>
                <w:b/>
                <w:bCs/>
              </w:rPr>
              <w:t>for iron</w:t>
            </w:r>
          </w:p>
        </w:tc>
        <w:tc>
          <w:tcPr>
            <w:tcW w:w="555" w:type="pct"/>
          </w:tcPr>
          <w:p w14:paraId="20F49ED3" w14:textId="77777777" w:rsidR="00940E3A" w:rsidRPr="00940E3A" w:rsidRDefault="00940E3A" w:rsidP="00940E3A">
            <w:pPr>
              <w:pStyle w:val="Bodyromannumerals"/>
              <w:rPr>
                <w:b/>
                <w:bCs/>
                <w:sz w:val="22"/>
              </w:rPr>
            </w:pPr>
            <w:r w:rsidRPr="00940E3A">
              <w:rPr>
                <w:b/>
                <w:bCs/>
              </w:rPr>
              <w:t>Nr.</w:t>
            </w:r>
          </w:p>
        </w:tc>
      </w:tr>
      <w:tr w:rsidR="00940E3A" w:rsidRPr="00FA076A" w14:paraId="0694B708" w14:textId="77777777" w:rsidTr="00F45DB1">
        <w:tc>
          <w:tcPr>
            <w:tcW w:w="1243" w:type="pct"/>
            <w:gridSpan w:val="2"/>
            <w:tcBorders>
              <w:left w:val="single" w:sz="4" w:space="0" w:color="FFFFFF" w:themeColor="background1"/>
              <w:bottom w:val="single" w:sz="4" w:space="0" w:color="FFFFFF" w:themeColor="background1"/>
              <w:right w:val="single" w:sz="4" w:space="0" w:color="FFFFFF" w:themeColor="background1"/>
            </w:tcBorders>
          </w:tcPr>
          <w:p w14:paraId="6B6C205F" w14:textId="77777777" w:rsidR="00940E3A" w:rsidRPr="00FA076A" w:rsidRDefault="00940E3A" w:rsidP="00940E3A">
            <w:pPr>
              <w:pStyle w:val="Bodyromannumerals"/>
              <w:rPr>
                <w:sz w:val="22"/>
              </w:rPr>
            </w:pPr>
            <w:r w:rsidRPr="00FA076A">
              <w:rPr>
                <w:i/>
              </w:rPr>
              <w:t>Definition:</w:t>
            </w:r>
          </w:p>
        </w:tc>
        <w:tc>
          <w:tcPr>
            <w:tcW w:w="3757" w:type="pct"/>
            <w:gridSpan w:val="2"/>
            <w:tcBorders>
              <w:left w:val="single" w:sz="4" w:space="0" w:color="FFFFFF" w:themeColor="background1"/>
              <w:bottom w:val="single" w:sz="4" w:space="0" w:color="FFFFFF" w:themeColor="background1"/>
              <w:right w:val="single" w:sz="4" w:space="0" w:color="FFFFFF" w:themeColor="background1"/>
            </w:tcBorders>
          </w:tcPr>
          <w:p w14:paraId="217FF4E6" w14:textId="1C187236" w:rsidR="00940E3A" w:rsidRDefault="00940E3A" w:rsidP="00B03EFD">
            <w:pPr>
              <w:pStyle w:val="Bodynumbercopy"/>
              <w:numPr>
                <w:ilvl w:val="0"/>
                <w:numId w:val="0"/>
              </w:numPr>
              <w:rPr>
                <w:lang w:val="en-GB"/>
              </w:rPr>
            </w:pPr>
            <w:r w:rsidRPr="00FA076A">
              <w:t xml:space="preserve">The total number of zones </w:t>
            </w:r>
            <w:r w:rsidR="008D097F">
              <w:t xml:space="preserve">exceeding the guideline value for </w:t>
            </w:r>
            <w:r w:rsidRPr="00FA076A">
              <w:t xml:space="preserve"> iron failures during the </w:t>
            </w:r>
            <w:r w:rsidR="001A6DF5">
              <w:t>reporting</w:t>
            </w:r>
            <w:r w:rsidR="001A6DF5" w:rsidRPr="00FA076A">
              <w:t xml:space="preserve"> </w:t>
            </w:r>
            <w:r w:rsidRPr="00FA076A">
              <w:t>year.</w:t>
            </w:r>
            <w:r w:rsidR="00664175">
              <w:t xml:space="preserve"> </w:t>
            </w:r>
            <w:r w:rsidR="00664175" w:rsidRPr="00955B8F">
              <w:t>Water distribution zone is defined as an identifiable part of the water supply network</w:t>
            </w:r>
            <w:r w:rsidR="00664175">
              <w:t>. T</w:t>
            </w:r>
            <w:r w:rsidR="00664175" w:rsidRPr="007F29CF">
              <w:t xml:space="preserve">his is in line with </w:t>
            </w:r>
            <w:r w:rsidR="00664175">
              <w:t xml:space="preserve">the </w:t>
            </w:r>
            <w:r w:rsidR="00664175" w:rsidRPr="007F29CF">
              <w:rPr>
                <w:lang w:val="en-GB"/>
              </w:rPr>
              <w:t>Drinking-water Standards for New Zealand 2005 (Revised 2018)</w:t>
            </w:r>
            <w:r w:rsidR="00A279ED">
              <w:rPr>
                <w:lang w:val="en-GB"/>
              </w:rPr>
              <w:t>.</w:t>
            </w:r>
          </w:p>
          <w:p w14:paraId="2E22C2B7" w14:textId="0687FD0E" w:rsidR="00940E3A" w:rsidRPr="00B03EFD" w:rsidRDefault="00940E3A" w:rsidP="00B03EFD">
            <w:pPr>
              <w:pStyle w:val="Bodynumbercopy"/>
              <w:numPr>
                <w:ilvl w:val="0"/>
                <w:numId w:val="0"/>
              </w:numPr>
              <w:rPr>
                <w:b/>
                <w:bCs/>
                <w:lang w:val="en-GB"/>
              </w:rPr>
            </w:pPr>
          </w:p>
        </w:tc>
      </w:tr>
      <w:tr w:rsidR="00940E3A" w:rsidRPr="00FA076A" w14:paraId="6FF4340E" w14:textId="77777777" w:rsidTr="00F45DB1">
        <w:tc>
          <w:tcPr>
            <w:tcW w:w="12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3E6B80" w14:textId="77777777" w:rsidR="00940E3A" w:rsidRPr="00FA076A" w:rsidRDefault="00940E3A" w:rsidP="00940E3A">
            <w:pPr>
              <w:pStyle w:val="Bodyromannumerals"/>
              <w:rPr>
                <w:i/>
                <w:sz w:val="22"/>
              </w:rPr>
            </w:pPr>
            <w:r w:rsidRPr="00FA076A">
              <w:rPr>
                <w:i/>
              </w:rPr>
              <w:t>Processing rules:</w:t>
            </w:r>
          </w:p>
        </w:tc>
        <w:tc>
          <w:tcPr>
            <w:tcW w:w="375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AECCD0" w14:textId="77777777" w:rsidR="00940E3A" w:rsidRPr="00FA076A" w:rsidRDefault="00940E3A" w:rsidP="00940E3A">
            <w:pPr>
              <w:pStyle w:val="Bodyromannumerals"/>
              <w:rPr>
                <w:sz w:val="22"/>
              </w:rPr>
            </w:pPr>
            <w:r w:rsidRPr="00FA076A">
              <w:t>Input field</w:t>
            </w:r>
          </w:p>
        </w:tc>
      </w:tr>
      <w:tr w:rsidR="00940E3A" w:rsidRPr="00FA076A" w14:paraId="292BE98F" w14:textId="77777777" w:rsidTr="00F45DB1">
        <w:tc>
          <w:tcPr>
            <w:tcW w:w="756" w:type="pct"/>
          </w:tcPr>
          <w:p w14:paraId="067DFDE4" w14:textId="77777777" w:rsidR="00940E3A" w:rsidRPr="00940E3A" w:rsidRDefault="00940E3A" w:rsidP="00940E3A">
            <w:pPr>
              <w:pStyle w:val="Bodyromannumerals"/>
              <w:rPr>
                <w:b/>
                <w:bCs/>
                <w:sz w:val="22"/>
              </w:rPr>
            </w:pPr>
            <w:r w:rsidRPr="00940E3A">
              <w:rPr>
                <w:b/>
                <w:bCs/>
              </w:rPr>
              <w:t>C1.12</w:t>
            </w:r>
          </w:p>
        </w:tc>
        <w:tc>
          <w:tcPr>
            <w:tcW w:w="3689" w:type="pct"/>
            <w:gridSpan w:val="2"/>
          </w:tcPr>
          <w:p w14:paraId="2A81D099" w14:textId="3C2995EE" w:rsidR="00940E3A" w:rsidRPr="00940E3A" w:rsidRDefault="00940E3A" w:rsidP="00940E3A">
            <w:pPr>
              <w:pStyle w:val="Bodyromannumerals"/>
              <w:rPr>
                <w:b/>
                <w:bCs/>
                <w:sz w:val="22"/>
              </w:rPr>
            </w:pPr>
            <w:r w:rsidRPr="00940E3A">
              <w:rPr>
                <w:b/>
                <w:bCs/>
              </w:rPr>
              <w:t xml:space="preserve">Number of </w:t>
            </w:r>
            <w:r w:rsidR="00611632">
              <w:rPr>
                <w:b/>
                <w:bCs/>
              </w:rPr>
              <w:t>distribution</w:t>
            </w:r>
            <w:r w:rsidR="00611632" w:rsidRPr="00940E3A">
              <w:rPr>
                <w:b/>
                <w:bCs/>
              </w:rPr>
              <w:t xml:space="preserve"> </w:t>
            </w:r>
            <w:r w:rsidRPr="00940E3A">
              <w:rPr>
                <w:b/>
                <w:bCs/>
              </w:rPr>
              <w:t xml:space="preserve">zones </w:t>
            </w:r>
            <w:r w:rsidR="008D097F">
              <w:rPr>
                <w:b/>
                <w:bCs/>
              </w:rPr>
              <w:t xml:space="preserve">exceeding the guideline value </w:t>
            </w:r>
            <w:r w:rsidRPr="00940E3A">
              <w:rPr>
                <w:b/>
                <w:bCs/>
              </w:rPr>
              <w:t>for manganese</w:t>
            </w:r>
          </w:p>
        </w:tc>
        <w:tc>
          <w:tcPr>
            <w:tcW w:w="555" w:type="pct"/>
          </w:tcPr>
          <w:p w14:paraId="512C3CF8" w14:textId="77777777" w:rsidR="00940E3A" w:rsidRPr="00940E3A" w:rsidRDefault="00940E3A" w:rsidP="00940E3A">
            <w:pPr>
              <w:pStyle w:val="Bodyromannumerals"/>
              <w:rPr>
                <w:b/>
                <w:bCs/>
                <w:sz w:val="22"/>
              </w:rPr>
            </w:pPr>
            <w:r w:rsidRPr="00940E3A">
              <w:rPr>
                <w:b/>
                <w:bCs/>
              </w:rPr>
              <w:t>Nr.</w:t>
            </w:r>
          </w:p>
        </w:tc>
      </w:tr>
      <w:tr w:rsidR="00940E3A" w:rsidRPr="00FA076A" w14:paraId="5C6B289D" w14:textId="77777777" w:rsidTr="00F45DB1">
        <w:tc>
          <w:tcPr>
            <w:tcW w:w="1243" w:type="pct"/>
            <w:gridSpan w:val="2"/>
            <w:tcBorders>
              <w:left w:val="single" w:sz="4" w:space="0" w:color="FFFFFF" w:themeColor="background1"/>
              <w:bottom w:val="single" w:sz="4" w:space="0" w:color="FFFFFF" w:themeColor="background1"/>
              <w:right w:val="single" w:sz="4" w:space="0" w:color="FFFFFF" w:themeColor="background1"/>
            </w:tcBorders>
          </w:tcPr>
          <w:p w14:paraId="14ABE945" w14:textId="77777777" w:rsidR="00940E3A" w:rsidRPr="00FA076A" w:rsidRDefault="00940E3A" w:rsidP="00940E3A">
            <w:pPr>
              <w:pStyle w:val="Bodyromannumerals"/>
              <w:rPr>
                <w:i/>
                <w:sz w:val="22"/>
              </w:rPr>
            </w:pPr>
            <w:r w:rsidRPr="00FA076A">
              <w:rPr>
                <w:i/>
              </w:rPr>
              <w:t>Definition:</w:t>
            </w:r>
          </w:p>
        </w:tc>
        <w:tc>
          <w:tcPr>
            <w:tcW w:w="3757" w:type="pct"/>
            <w:gridSpan w:val="2"/>
            <w:tcBorders>
              <w:left w:val="single" w:sz="4" w:space="0" w:color="FFFFFF" w:themeColor="background1"/>
              <w:bottom w:val="single" w:sz="4" w:space="0" w:color="FFFFFF" w:themeColor="background1"/>
              <w:right w:val="single" w:sz="4" w:space="0" w:color="FFFFFF" w:themeColor="background1"/>
            </w:tcBorders>
          </w:tcPr>
          <w:p w14:paraId="4FEA95DE" w14:textId="70E255C2" w:rsidR="00940E3A" w:rsidRDefault="00940E3A" w:rsidP="00B03EFD">
            <w:pPr>
              <w:pStyle w:val="Bodynumbercopy"/>
              <w:numPr>
                <w:ilvl w:val="0"/>
                <w:numId w:val="0"/>
              </w:numPr>
              <w:rPr>
                <w:lang w:val="en-GB"/>
              </w:rPr>
            </w:pPr>
            <w:r w:rsidRPr="00FA076A">
              <w:t xml:space="preserve">The total number of zones </w:t>
            </w:r>
            <w:r w:rsidR="008D097F">
              <w:t xml:space="preserve">exceeding the guideline value for </w:t>
            </w:r>
            <w:r w:rsidRPr="00FA076A">
              <w:t xml:space="preserve"> manganese failures during the </w:t>
            </w:r>
            <w:r w:rsidR="001A6DF5">
              <w:t>reporting</w:t>
            </w:r>
            <w:r w:rsidR="001A6DF5" w:rsidRPr="00FA076A">
              <w:t xml:space="preserve"> </w:t>
            </w:r>
            <w:r w:rsidRPr="00FA076A">
              <w:t>year.</w:t>
            </w:r>
            <w:r w:rsidR="00664175">
              <w:t xml:space="preserve"> </w:t>
            </w:r>
            <w:r w:rsidR="00664175" w:rsidRPr="00955B8F">
              <w:t>Water distribution zone is defined as an identifiable part of the water supply network</w:t>
            </w:r>
            <w:r w:rsidR="00664175">
              <w:t>. T</w:t>
            </w:r>
            <w:r w:rsidR="00664175" w:rsidRPr="007F29CF">
              <w:t xml:space="preserve">his is in line with </w:t>
            </w:r>
            <w:r w:rsidR="00664175">
              <w:t xml:space="preserve">the </w:t>
            </w:r>
            <w:r w:rsidR="00664175" w:rsidRPr="007F29CF">
              <w:rPr>
                <w:lang w:val="en-GB"/>
              </w:rPr>
              <w:t>Drinking-water Standards for New Zealand 2005 (Revised 2018)</w:t>
            </w:r>
            <w:r w:rsidR="00A279ED">
              <w:rPr>
                <w:lang w:val="en-GB"/>
              </w:rPr>
              <w:t>.</w:t>
            </w:r>
          </w:p>
          <w:p w14:paraId="2220B923" w14:textId="35655A3A" w:rsidR="00940E3A" w:rsidRPr="00B03EFD" w:rsidRDefault="00940E3A" w:rsidP="00B03EFD">
            <w:pPr>
              <w:pStyle w:val="Bodynumbercopy"/>
              <w:numPr>
                <w:ilvl w:val="0"/>
                <w:numId w:val="0"/>
              </w:numPr>
              <w:rPr>
                <w:b/>
                <w:bCs/>
                <w:lang w:val="en-GB"/>
              </w:rPr>
            </w:pPr>
          </w:p>
        </w:tc>
      </w:tr>
      <w:tr w:rsidR="00940E3A" w:rsidRPr="00FA076A" w14:paraId="32F03B69" w14:textId="77777777" w:rsidTr="00F45DB1">
        <w:tc>
          <w:tcPr>
            <w:tcW w:w="12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01F205" w14:textId="77777777" w:rsidR="00940E3A" w:rsidRPr="00FA076A" w:rsidRDefault="00940E3A" w:rsidP="00940E3A">
            <w:pPr>
              <w:pStyle w:val="Bodyromannumerals"/>
              <w:rPr>
                <w:i/>
                <w:sz w:val="22"/>
              </w:rPr>
            </w:pPr>
            <w:r w:rsidRPr="00FA076A">
              <w:rPr>
                <w:i/>
              </w:rPr>
              <w:t>Processing rules:</w:t>
            </w:r>
          </w:p>
        </w:tc>
        <w:tc>
          <w:tcPr>
            <w:tcW w:w="375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AE5B44" w14:textId="77777777" w:rsidR="00940E3A" w:rsidRPr="00FA076A" w:rsidRDefault="00940E3A" w:rsidP="00940E3A">
            <w:pPr>
              <w:pStyle w:val="Bodyromannumerals"/>
              <w:rPr>
                <w:sz w:val="22"/>
              </w:rPr>
            </w:pPr>
            <w:r w:rsidRPr="00FA076A">
              <w:t>Input field</w:t>
            </w:r>
          </w:p>
        </w:tc>
      </w:tr>
      <w:tr w:rsidR="00940E3A" w:rsidRPr="00FA076A" w14:paraId="037C58F8" w14:textId="77777777" w:rsidTr="00F45DB1">
        <w:tc>
          <w:tcPr>
            <w:tcW w:w="756" w:type="pct"/>
          </w:tcPr>
          <w:p w14:paraId="452400B6" w14:textId="77777777" w:rsidR="00940E3A" w:rsidRPr="00940E3A" w:rsidRDefault="00940E3A" w:rsidP="00940E3A">
            <w:pPr>
              <w:pStyle w:val="Bodyromannumerals"/>
              <w:rPr>
                <w:b/>
                <w:bCs/>
                <w:sz w:val="22"/>
              </w:rPr>
            </w:pPr>
            <w:r w:rsidRPr="00940E3A">
              <w:rPr>
                <w:b/>
                <w:bCs/>
              </w:rPr>
              <w:t>C1.13</w:t>
            </w:r>
          </w:p>
        </w:tc>
        <w:tc>
          <w:tcPr>
            <w:tcW w:w="3689" w:type="pct"/>
            <w:gridSpan w:val="2"/>
          </w:tcPr>
          <w:p w14:paraId="113C3098" w14:textId="2D8B536B" w:rsidR="00940E3A" w:rsidRPr="00940E3A" w:rsidRDefault="00940E3A" w:rsidP="00940E3A">
            <w:pPr>
              <w:pStyle w:val="Bodyromannumerals"/>
              <w:rPr>
                <w:b/>
                <w:bCs/>
                <w:sz w:val="22"/>
              </w:rPr>
            </w:pPr>
            <w:r w:rsidRPr="00940E3A">
              <w:rPr>
                <w:b/>
                <w:bCs/>
              </w:rPr>
              <w:t xml:space="preserve">Number of </w:t>
            </w:r>
            <w:r w:rsidR="00611632">
              <w:rPr>
                <w:b/>
                <w:bCs/>
              </w:rPr>
              <w:t>distribution</w:t>
            </w:r>
            <w:r w:rsidR="00611632" w:rsidRPr="00940E3A">
              <w:rPr>
                <w:b/>
                <w:bCs/>
              </w:rPr>
              <w:t xml:space="preserve"> </w:t>
            </w:r>
            <w:r w:rsidRPr="00940E3A">
              <w:rPr>
                <w:b/>
                <w:bCs/>
              </w:rPr>
              <w:t xml:space="preserve">zones </w:t>
            </w:r>
            <w:r w:rsidR="008828E0">
              <w:rPr>
                <w:b/>
                <w:bCs/>
              </w:rPr>
              <w:t>exceeding the maximum acceptable value</w:t>
            </w:r>
            <w:r w:rsidRPr="00940E3A">
              <w:rPr>
                <w:b/>
                <w:bCs/>
              </w:rPr>
              <w:t xml:space="preserve"> for lead</w:t>
            </w:r>
          </w:p>
        </w:tc>
        <w:tc>
          <w:tcPr>
            <w:tcW w:w="555" w:type="pct"/>
          </w:tcPr>
          <w:p w14:paraId="4D20EEF7" w14:textId="77777777" w:rsidR="00940E3A" w:rsidRPr="00940E3A" w:rsidRDefault="00940E3A" w:rsidP="00940E3A">
            <w:pPr>
              <w:pStyle w:val="Bodyromannumerals"/>
              <w:rPr>
                <w:b/>
                <w:bCs/>
                <w:sz w:val="22"/>
              </w:rPr>
            </w:pPr>
            <w:r w:rsidRPr="00940E3A">
              <w:rPr>
                <w:b/>
                <w:bCs/>
              </w:rPr>
              <w:t>Nr.</w:t>
            </w:r>
          </w:p>
        </w:tc>
      </w:tr>
      <w:tr w:rsidR="00940E3A" w:rsidRPr="00FA076A" w14:paraId="2FB17C0D" w14:textId="77777777" w:rsidTr="00F45DB1">
        <w:tc>
          <w:tcPr>
            <w:tcW w:w="1243" w:type="pct"/>
            <w:gridSpan w:val="2"/>
            <w:tcBorders>
              <w:left w:val="single" w:sz="4" w:space="0" w:color="FFFFFF" w:themeColor="background1"/>
              <w:bottom w:val="single" w:sz="4" w:space="0" w:color="FFFFFF" w:themeColor="background1"/>
              <w:right w:val="single" w:sz="4" w:space="0" w:color="FFFFFF" w:themeColor="background1"/>
            </w:tcBorders>
          </w:tcPr>
          <w:p w14:paraId="546DD066" w14:textId="77777777" w:rsidR="00940E3A" w:rsidRPr="00FA076A" w:rsidRDefault="00940E3A" w:rsidP="00940E3A">
            <w:pPr>
              <w:pStyle w:val="Bodyromannumerals"/>
              <w:rPr>
                <w:i/>
                <w:sz w:val="22"/>
              </w:rPr>
            </w:pPr>
            <w:r w:rsidRPr="00FA076A">
              <w:rPr>
                <w:i/>
              </w:rPr>
              <w:t>Definition:</w:t>
            </w:r>
          </w:p>
        </w:tc>
        <w:tc>
          <w:tcPr>
            <w:tcW w:w="3757" w:type="pct"/>
            <w:gridSpan w:val="2"/>
            <w:tcBorders>
              <w:left w:val="single" w:sz="4" w:space="0" w:color="FFFFFF" w:themeColor="background1"/>
              <w:bottom w:val="single" w:sz="4" w:space="0" w:color="FFFFFF" w:themeColor="background1"/>
              <w:right w:val="single" w:sz="4" w:space="0" w:color="FFFFFF" w:themeColor="background1"/>
            </w:tcBorders>
          </w:tcPr>
          <w:p w14:paraId="4975E47F" w14:textId="03563BE8" w:rsidR="00940E3A" w:rsidRDefault="00940E3A" w:rsidP="00B03EFD">
            <w:pPr>
              <w:pStyle w:val="Bodynumbercopy"/>
              <w:numPr>
                <w:ilvl w:val="0"/>
                <w:numId w:val="0"/>
              </w:numPr>
              <w:rPr>
                <w:lang w:val="en-GB"/>
              </w:rPr>
            </w:pPr>
            <w:r w:rsidRPr="00FA076A">
              <w:t xml:space="preserve">The total number of zones </w:t>
            </w:r>
            <w:r w:rsidR="008828E0">
              <w:t>exceeding the maximum acceptable value (MAV) for</w:t>
            </w:r>
            <w:r w:rsidR="008828E0" w:rsidRPr="00FA076A">
              <w:t xml:space="preserve"> </w:t>
            </w:r>
            <w:r w:rsidRPr="00FA076A">
              <w:t xml:space="preserve">lead during the </w:t>
            </w:r>
            <w:r w:rsidR="00CB595A">
              <w:t>reporting</w:t>
            </w:r>
            <w:r w:rsidR="00CB595A" w:rsidRPr="00FA076A">
              <w:t xml:space="preserve"> </w:t>
            </w:r>
            <w:r w:rsidRPr="00FA076A">
              <w:t>year.</w:t>
            </w:r>
            <w:r w:rsidR="00664175">
              <w:t xml:space="preserve"> </w:t>
            </w:r>
            <w:r w:rsidR="00664175" w:rsidRPr="00955B8F">
              <w:t>Water distribution zone is defined as an identifiable part of the water supply network</w:t>
            </w:r>
            <w:r w:rsidR="00664175">
              <w:t>. T</w:t>
            </w:r>
            <w:r w:rsidR="00664175" w:rsidRPr="007F29CF">
              <w:t xml:space="preserve">his is in line with </w:t>
            </w:r>
            <w:r w:rsidR="00664175">
              <w:t xml:space="preserve">the </w:t>
            </w:r>
            <w:r w:rsidR="00664175" w:rsidRPr="007F29CF">
              <w:rPr>
                <w:lang w:val="en-GB"/>
              </w:rPr>
              <w:t>Drinking-water Standards for New Zealand 2005 (Revised 2018)</w:t>
            </w:r>
            <w:r w:rsidR="00770229">
              <w:rPr>
                <w:lang w:val="en-GB"/>
              </w:rPr>
              <w:t>.</w:t>
            </w:r>
          </w:p>
          <w:p w14:paraId="13E0BCA3" w14:textId="23B16840" w:rsidR="00940E3A" w:rsidRPr="00B03EFD" w:rsidRDefault="00940E3A" w:rsidP="00B03EFD">
            <w:pPr>
              <w:pStyle w:val="Bodynumbercopy"/>
              <w:numPr>
                <w:ilvl w:val="0"/>
                <w:numId w:val="0"/>
              </w:numPr>
              <w:rPr>
                <w:b/>
                <w:bCs/>
                <w:lang w:val="en-GB"/>
              </w:rPr>
            </w:pPr>
          </w:p>
        </w:tc>
      </w:tr>
      <w:tr w:rsidR="00940E3A" w:rsidRPr="00FA076A" w14:paraId="678DDC9F" w14:textId="77777777" w:rsidTr="00F45DB1">
        <w:tc>
          <w:tcPr>
            <w:tcW w:w="12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F0D976" w14:textId="77777777" w:rsidR="00940E3A" w:rsidRPr="00FA076A" w:rsidRDefault="00940E3A" w:rsidP="00940E3A">
            <w:pPr>
              <w:pStyle w:val="Bodyromannumerals"/>
              <w:rPr>
                <w:i/>
                <w:sz w:val="22"/>
              </w:rPr>
            </w:pPr>
            <w:r w:rsidRPr="00FA076A">
              <w:rPr>
                <w:i/>
              </w:rPr>
              <w:t>Processing rules:</w:t>
            </w:r>
          </w:p>
        </w:tc>
        <w:tc>
          <w:tcPr>
            <w:tcW w:w="375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D35C6F" w14:textId="77777777" w:rsidR="00940E3A" w:rsidRPr="00FA076A" w:rsidRDefault="00940E3A" w:rsidP="00940E3A">
            <w:pPr>
              <w:pStyle w:val="Bodyromannumerals"/>
              <w:rPr>
                <w:sz w:val="22"/>
              </w:rPr>
            </w:pPr>
            <w:r w:rsidRPr="00FA076A">
              <w:t>Input field</w:t>
            </w:r>
          </w:p>
        </w:tc>
      </w:tr>
      <w:tr w:rsidR="00940E3A" w:rsidRPr="00FA076A" w14:paraId="51163029" w14:textId="77777777" w:rsidTr="00F45DB1">
        <w:tc>
          <w:tcPr>
            <w:tcW w:w="756" w:type="pct"/>
          </w:tcPr>
          <w:p w14:paraId="4855B8D8" w14:textId="77777777" w:rsidR="00940E3A" w:rsidRPr="00940E3A" w:rsidRDefault="00940E3A" w:rsidP="00940E3A">
            <w:pPr>
              <w:pStyle w:val="Bodyromannumerals"/>
              <w:rPr>
                <w:b/>
                <w:bCs/>
                <w:sz w:val="22"/>
              </w:rPr>
            </w:pPr>
            <w:r w:rsidRPr="00940E3A">
              <w:rPr>
                <w:b/>
                <w:bCs/>
              </w:rPr>
              <w:t>C1.14</w:t>
            </w:r>
          </w:p>
        </w:tc>
        <w:tc>
          <w:tcPr>
            <w:tcW w:w="3689" w:type="pct"/>
            <w:gridSpan w:val="2"/>
          </w:tcPr>
          <w:p w14:paraId="1BA124B1" w14:textId="40B1B37A" w:rsidR="00940E3A" w:rsidRPr="00940E3A" w:rsidRDefault="00940E3A" w:rsidP="00940E3A">
            <w:pPr>
              <w:pStyle w:val="Bodyromannumerals"/>
              <w:rPr>
                <w:b/>
                <w:bCs/>
                <w:sz w:val="22"/>
              </w:rPr>
            </w:pPr>
            <w:r w:rsidRPr="00940E3A">
              <w:rPr>
                <w:b/>
                <w:bCs/>
              </w:rPr>
              <w:t xml:space="preserve">Number of </w:t>
            </w:r>
            <w:r w:rsidR="00611632">
              <w:rPr>
                <w:b/>
                <w:bCs/>
              </w:rPr>
              <w:t>distribution</w:t>
            </w:r>
            <w:r w:rsidR="00611632" w:rsidRPr="00940E3A">
              <w:rPr>
                <w:b/>
                <w:bCs/>
              </w:rPr>
              <w:t xml:space="preserve"> </w:t>
            </w:r>
            <w:r w:rsidRPr="00940E3A">
              <w:rPr>
                <w:b/>
                <w:bCs/>
              </w:rPr>
              <w:t xml:space="preserve">zones </w:t>
            </w:r>
            <w:r w:rsidR="008828E0">
              <w:rPr>
                <w:b/>
                <w:bCs/>
              </w:rPr>
              <w:t>exceeding the maximum acceptable value</w:t>
            </w:r>
            <w:r w:rsidR="008828E0" w:rsidRPr="00940E3A">
              <w:rPr>
                <w:b/>
                <w:bCs/>
              </w:rPr>
              <w:t xml:space="preserve"> </w:t>
            </w:r>
            <w:r w:rsidRPr="00940E3A">
              <w:rPr>
                <w:b/>
                <w:bCs/>
              </w:rPr>
              <w:t>for trihalomethanes</w:t>
            </w:r>
          </w:p>
        </w:tc>
        <w:tc>
          <w:tcPr>
            <w:tcW w:w="555" w:type="pct"/>
          </w:tcPr>
          <w:p w14:paraId="10095533" w14:textId="77777777" w:rsidR="00940E3A" w:rsidRPr="00940E3A" w:rsidRDefault="00940E3A" w:rsidP="00940E3A">
            <w:pPr>
              <w:pStyle w:val="Bodyromannumerals"/>
              <w:rPr>
                <w:b/>
                <w:bCs/>
                <w:sz w:val="22"/>
              </w:rPr>
            </w:pPr>
            <w:r w:rsidRPr="00940E3A">
              <w:rPr>
                <w:b/>
                <w:bCs/>
              </w:rPr>
              <w:t>Nr.</w:t>
            </w:r>
          </w:p>
        </w:tc>
      </w:tr>
      <w:tr w:rsidR="00940E3A" w:rsidRPr="00FA076A" w14:paraId="4ACB28B1" w14:textId="77777777" w:rsidTr="00F45DB1">
        <w:tc>
          <w:tcPr>
            <w:tcW w:w="1243" w:type="pct"/>
            <w:gridSpan w:val="2"/>
            <w:tcBorders>
              <w:left w:val="single" w:sz="4" w:space="0" w:color="FFFFFF" w:themeColor="background1"/>
              <w:bottom w:val="single" w:sz="4" w:space="0" w:color="FFFFFF" w:themeColor="background1"/>
              <w:right w:val="single" w:sz="4" w:space="0" w:color="FFFFFF" w:themeColor="background1"/>
            </w:tcBorders>
          </w:tcPr>
          <w:p w14:paraId="5B427C4B" w14:textId="77777777" w:rsidR="00940E3A" w:rsidRPr="00FA076A" w:rsidRDefault="00940E3A" w:rsidP="00940E3A">
            <w:pPr>
              <w:pStyle w:val="Bodyromannumerals"/>
              <w:rPr>
                <w:i/>
                <w:sz w:val="22"/>
              </w:rPr>
            </w:pPr>
            <w:r w:rsidRPr="00FA076A">
              <w:rPr>
                <w:i/>
              </w:rPr>
              <w:t>Definition:</w:t>
            </w:r>
          </w:p>
        </w:tc>
        <w:tc>
          <w:tcPr>
            <w:tcW w:w="3757" w:type="pct"/>
            <w:gridSpan w:val="2"/>
            <w:tcBorders>
              <w:left w:val="single" w:sz="4" w:space="0" w:color="FFFFFF" w:themeColor="background1"/>
              <w:bottom w:val="single" w:sz="4" w:space="0" w:color="FFFFFF" w:themeColor="background1"/>
              <w:right w:val="single" w:sz="4" w:space="0" w:color="FFFFFF" w:themeColor="background1"/>
            </w:tcBorders>
          </w:tcPr>
          <w:p w14:paraId="5BF0C858" w14:textId="301800DF" w:rsidR="00940E3A" w:rsidRDefault="00940E3A" w:rsidP="00B03EFD">
            <w:pPr>
              <w:pStyle w:val="Bodynumbercopy"/>
              <w:numPr>
                <w:ilvl w:val="0"/>
                <w:numId w:val="0"/>
              </w:numPr>
              <w:rPr>
                <w:lang w:val="en-GB"/>
              </w:rPr>
            </w:pPr>
            <w:r w:rsidRPr="00FA076A">
              <w:t xml:space="preserve">The total number of zones </w:t>
            </w:r>
            <w:r w:rsidR="008828E0">
              <w:t xml:space="preserve">exceeding the maximum acceptable value (MAV) for </w:t>
            </w:r>
            <w:r w:rsidRPr="00FA076A">
              <w:t xml:space="preserve">trihalomethanes during the </w:t>
            </w:r>
            <w:r w:rsidR="00CB595A">
              <w:t>reporting</w:t>
            </w:r>
            <w:r w:rsidR="00CB595A" w:rsidRPr="00FA076A">
              <w:t xml:space="preserve"> </w:t>
            </w:r>
            <w:r w:rsidRPr="00FA076A">
              <w:t>year.</w:t>
            </w:r>
            <w:r w:rsidR="00664175">
              <w:t xml:space="preserve"> </w:t>
            </w:r>
            <w:r w:rsidR="00664175" w:rsidRPr="00955B8F">
              <w:t>Water distribution zone is defined as an identifiable part of the water supply network</w:t>
            </w:r>
            <w:r w:rsidR="00664175">
              <w:t>. T</w:t>
            </w:r>
            <w:r w:rsidR="00664175" w:rsidRPr="007F29CF">
              <w:t xml:space="preserve">his is in line with </w:t>
            </w:r>
            <w:r w:rsidR="00664175">
              <w:t xml:space="preserve">the </w:t>
            </w:r>
            <w:r w:rsidR="00664175" w:rsidRPr="007F29CF">
              <w:rPr>
                <w:lang w:val="en-GB"/>
              </w:rPr>
              <w:t>Drinking-water Standards for New Zealand 2005 (Revised 2018)</w:t>
            </w:r>
            <w:r w:rsidR="00A86B64">
              <w:rPr>
                <w:lang w:val="en-GB"/>
              </w:rPr>
              <w:t>.</w:t>
            </w:r>
          </w:p>
          <w:p w14:paraId="20A73C90" w14:textId="5684E6C8" w:rsidR="00940E3A" w:rsidRPr="00B03EFD" w:rsidRDefault="00940E3A" w:rsidP="00B03EFD">
            <w:pPr>
              <w:pStyle w:val="Bodynumbercopy"/>
              <w:numPr>
                <w:ilvl w:val="0"/>
                <w:numId w:val="0"/>
              </w:numPr>
              <w:rPr>
                <w:b/>
                <w:bCs/>
                <w:lang w:val="en-GB"/>
              </w:rPr>
            </w:pPr>
          </w:p>
        </w:tc>
      </w:tr>
      <w:tr w:rsidR="00940E3A" w:rsidRPr="00FA076A" w14:paraId="5343D71E" w14:textId="77777777" w:rsidTr="00F45DB1">
        <w:tc>
          <w:tcPr>
            <w:tcW w:w="12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E4F9F8" w14:textId="77777777" w:rsidR="00940E3A" w:rsidRPr="00FA076A" w:rsidRDefault="00940E3A" w:rsidP="00940E3A">
            <w:pPr>
              <w:pStyle w:val="Bodyromannumerals"/>
              <w:rPr>
                <w:i/>
                <w:sz w:val="22"/>
              </w:rPr>
            </w:pPr>
            <w:r w:rsidRPr="00FA076A">
              <w:rPr>
                <w:i/>
              </w:rPr>
              <w:t>Processing rules:</w:t>
            </w:r>
          </w:p>
        </w:tc>
        <w:tc>
          <w:tcPr>
            <w:tcW w:w="375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69FF8" w14:textId="77777777" w:rsidR="00940E3A" w:rsidRPr="00FA076A" w:rsidRDefault="00940E3A" w:rsidP="00940E3A">
            <w:pPr>
              <w:pStyle w:val="Bodyromannumerals"/>
              <w:rPr>
                <w:sz w:val="22"/>
              </w:rPr>
            </w:pPr>
            <w:r w:rsidRPr="00FA076A">
              <w:t>Input field</w:t>
            </w:r>
          </w:p>
        </w:tc>
      </w:tr>
    </w:tbl>
    <w:p w14:paraId="694E834A" w14:textId="43967553" w:rsidR="007B444A" w:rsidRDefault="007B444A"/>
    <w:p w14:paraId="05B93885" w14:textId="77777777" w:rsidR="008A7980" w:rsidRDefault="008A7980">
      <w:r>
        <w:br w:type="page"/>
      </w:r>
    </w:p>
    <w:tbl>
      <w:tblPr>
        <w:tblStyle w:val="TableGrid"/>
        <w:tblW w:w="5000" w:type="pct"/>
        <w:tblLook w:val="04A0" w:firstRow="1" w:lastRow="0" w:firstColumn="1" w:lastColumn="0" w:noHBand="0" w:noVBand="1"/>
      </w:tblPr>
      <w:tblGrid>
        <w:gridCol w:w="1143"/>
        <w:gridCol w:w="736"/>
        <w:gridCol w:w="4840"/>
        <w:gridCol w:w="839"/>
      </w:tblGrid>
      <w:tr w:rsidR="00940E3A" w:rsidRPr="00FA076A" w14:paraId="34CC7865" w14:textId="77777777" w:rsidTr="00F45DB1">
        <w:tc>
          <w:tcPr>
            <w:tcW w:w="756" w:type="pct"/>
          </w:tcPr>
          <w:p w14:paraId="6CA0748F" w14:textId="458B228C" w:rsidR="00940E3A" w:rsidRPr="00940E3A" w:rsidRDefault="00940E3A" w:rsidP="00940E3A">
            <w:pPr>
              <w:pStyle w:val="Bodyromannumerals"/>
              <w:rPr>
                <w:b/>
                <w:bCs/>
                <w:sz w:val="22"/>
              </w:rPr>
            </w:pPr>
            <w:r w:rsidRPr="00940E3A">
              <w:rPr>
                <w:b/>
                <w:bCs/>
              </w:rPr>
              <w:t>C1.15</w:t>
            </w:r>
          </w:p>
        </w:tc>
        <w:tc>
          <w:tcPr>
            <w:tcW w:w="3689" w:type="pct"/>
            <w:gridSpan w:val="2"/>
          </w:tcPr>
          <w:p w14:paraId="62A489E8" w14:textId="7E1FD5DA" w:rsidR="00940E3A" w:rsidRPr="00940E3A" w:rsidRDefault="00940E3A" w:rsidP="00940E3A">
            <w:pPr>
              <w:pStyle w:val="Bodyromannumerals"/>
              <w:rPr>
                <w:b/>
                <w:bCs/>
                <w:sz w:val="22"/>
              </w:rPr>
            </w:pPr>
            <w:r w:rsidRPr="00940E3A">
              <w:rPr>
                <w:b/>
                <w:bCs/>
              </w:rPr>
              <w:t xml:space="preserve">Number of </w:t>
            </w:r>
            <w:r w:rsidR="00611632">
              <w:rPr>
                <w:b/>
                <w:bCs/>
              </w:rPr>
              <w:t>distribution</w:t>
            </w:r>
            <w:r w:rsidR="00611632" w:rsidRPr="00940E3A">
              <w:rPr>
                <w:b/>
                <w:bCs/>
              </w:rPr>
              <w:t xml:space="preserve"> </w:t>
            </w:r>
            <w:r w:rsidRPr="00940E3A">
              <w:rPr>
                <w:b/>
                <w:bCs/>
              </w:rPr>
              <w:t xml:space="preserve">zones </w:t>
            </w:r>
            <w:r w:rsidR="003B4480">
              <w:rPr>
                <w:b/>
                <w:bCs/>
              </w:rPr>
              <w:t xml:space="preserve">exceeding another maximum acceptable or guideline value for all </w:t>
            </w:r>
            <w:r w:rsidRPr="00940E3A">
              <w:rPr>
                <w:b/>
                <w:bCs/>
              </w:rPr>
              <w:t>other parameters</w:t>
            </w:r>
          </w:p>
        </w:tc>
        <w:tc>
          <w:tcPr>
            <w:tcW w:w="555" w:type="pct"/>
          </w:tcPr>
          <w:p w14:paraId="5D4B8224" w14:textId="77777777" w:rsidR="00940E3A" w:rsidRPr="00940E3A" w:rsidRDefault="00940E3A" w:rsidP="00940E3A">
            <w:pPr>
              <w:pStyle w:val="Bodyromannumerals"/>
              <w:rPr>
                <w:b/>
                <w:bCs/>
                <w:sz w:val="22"/>
              </w:rPr>
            </w:pPr>
            <w:r w:rsidRPr="00940E3A">
              <w:rPr>
                <w:b/>
                <w:bCs/>
              </w:rPr>
              <w:t>Nr.</w:t>
            </w:r>
          </w:p>
        </w:tc>
      </w:tr>
      <w:tr w:rsidR="00940E3A" w:rsidRPr="00FA076A" w14:paraId="6C63AFF8" w14:textId="77777777" w:rsidTr="00F45DB1">
        <w:tc>
          <w:tcPr>
            <w:tcW w:w="1243" w:type="pct"/>
            <w:gridSpan w:val="2"/>
            <w:tcBorders>
              <w:left w:val="single" w:sz="4" w:space="0" w:color="FFFFFF" w:themeColor="background1"/>
              <w:bottom w:val="single" w:sz="4" w:space="0" w:color="FFFFFF" w:themeColor="background1"/>
              <w:right w:val="single" w:sz="4" w:space="0" w:color="FFFFFF" w:themeColor="background1"/>
            </w:tcBorders>
          </w:tcPr>
          <w:p w14:paraId="233381F3" w14:textId="77777777" w:rsidR="00940E3A" w:rsidRPr="00FA076A" w:rsidRDefault="00940E3A" w:rsidP="00940E3A">
            <w:pPr>
              <w:pStyle w:val="Bodyromannumerals"/>
              <w:rPr>
                <w:i/>
                <w:sz w:val="22"/>
              </w:rPr>
            </w:pPr>
            <w:r w:rsidRPr="00FA076A">
              <w:rPr>
                <w:i/>
              </w:rPr>
              <w:t>Definition:</w:t>
            </w:r>
          </w:p>
        </w:tc>
        <w:tc>
          <w:tcPr>
            <w:tcW w:w="3757" w:type="pct"/>
            <w:gridSpan w:val="2"/>
            <w:tcBorders>
              <w:left w:val="single" w:sz="4" w:space="0" w:color="FFFFFF" w:themeColor="background1"/>
              <w:bottom w:val="single" w:sz="4" w:space="0" w:color="FFFFFF" w:themeColor="background1"/>
              <w:right w:val="single" w:sz="4" w:space="0" w:color="FFFFFF" w:themeColor="background1"/>
            </w:tcBorders>
          </w:tcPr>
          <w:p w14:paraId="0A0D1728" w14:textId="77777777" w:rsidR="00940E3A" w:rsidRPr="00FA076A" w:rsidRDefault="00940E3A" w:rsidP="00940E3A">
            <w:pPr>
              <w:pStyle w:val="Bodyromannumerals"/>
              <w:rPr>
                <w:sz w:val="22"/>
              </w:rPr>
            </w:pPr>
            <w:r w:rsidRPr="00FA076A">
              <w:t>The total number of zones reporting failures other than those listed in C1.5 – C1.14 above</w:t>
            </w:r>
          </w:p>
          <w:p w14:paraId="41DDB93F" w14:textId="4115A076" w:rsidR="00940E3A" w:rsidRDefault="00940E3A" w:rsidP="00940E3A">
            <w:pPr>
              <w:pStyle w:val="Bodyromannumerals"/>
            </w:pPr>
            <w:r w:rsidRPr="00FA076A">
              <w:t xml:space="preserve">The parameters which have failed should be listed per zone in the commentary.  This is to show </w:t>
            </w:r>
            <w:r w:rsidR="00AC0176">
              <w:t xml:space="preserve">any </w:t>
            </w:r>
            <w:proofErr w:type="spellStart"/>
            <w:r w:rsidR="00AC0176">
              <w:t>determinand</w:t>
            </w:r>
            <w:proofErr w:type="spellEnd"/>
            <w:r w:rsidR="00AC0176">
              <w:t xml:space="preserve"> in maximum acceptable values (MAVs) or guideline values of DWSNZ</w:t>
            </w:r>
            <w:r w:rsidRPr="00FA076A">
              <w:t>.</w:t>
            </w:r>
            <w:r w:rsidR="009C03F1">
              <w:t xml:space="preserve"> </w:t>
            </w:r>
          </w:p>
          <w:p w14:paraId="07D6CF99" w14:textId="27C1CE08" w:rsidR="00664175" w:rsidRDefault="00664175" w:rsidP="00B03EFD">
            <w:pPr>
              <w:pStyle w:val="Bodynumbercopy"/>
              <w:numPr>
                <w:ilvl w:val="0"/>
                <w:numId w:val="0"/>
              </w:numPr>
              <w:rPr>
                <w:lang w:val="en-GB"/>
              </w:rPr>
            </w:pPr>
            <w:r w:rsidRPr="00955B8F">
              <w:t>Water distribution zone is defined as an identifiable part of the water supply network</w:t>
            </w:r>
            <w:r>
              <w:t>. T</w:t>
            </w:r>
            <w:r w:rsidRPr="007F29CF">
              <w:t xml:space="preserve">his is in line with </w:t>
            </w:r>
            <w:r>
              <w:t xml:space="preserve">the </w:t>
            </w:r>
            <w:r w:rsidRPr="007F29CF">
              <w:rPr>
                <w:lang w:val="en-GB"/>
              </w:rPr>
              <w:t>Drinking-water Standards for New Zealand 2005 (Revised 2018)</w:t>
            </w:r>
            <w:r w:rsidR="00C46223">
              <w:rPr>
                <w:lang w:val="en-GB"/>
              </w:rPr>
              <w:t>.</w:t>
            </w:r>
          </w:p>
          <w:p w14:paraId="333DFEC6" w14:textId="2F5386F4" w:rsidR="00664175" w:rsidRPr="00B03EFD" w:rsidRDefault="00664175" w:rsidP="00B03EFD">
            <w:pPr>
              <w:pStyle w:val="Bodynumbercopy"/>
              <w:numPr>
                <w:ilvl w:val="0"/>
                <w:numId w:val="0"/>
              </w:numPr>
              <w:rPr>
                <w:b/>
                <w:bCs/>
                <w:lang w:val="en-GB"/>
              </w:rPr>
            </w:pPr>
          </w:p>
        </w:tc>
      </w:tr>
      <w:tr w:rsidR="00940E3A" w:rsidRPr="00FA076A" w14:paraId="531BC317" w14:textId="77777777" w:rsidTr="00F45DB1">
        <w:tc>
          <w:tcPr>
            <w:tcW w:w="12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2A638" w14:textId="77777777" w:rsidR="00940E3A" w:rsidRPr="00FA076A" w:rsidRDefault="00940E3A" w:rsidP="00940E3A">
            <w:pPr>
              <w:pStyle w:val="Bodyromannumerals"/>
              <w:rPr>
                <w:i/>
                <w:sz w:val="22"/>
              </w:rPr>
            </w:pPr>
            <w:r w:rsidRPr="00FA076A">
              <w:rPr>
                <w:i/>
              </w:rPr>
              <w:t>Processing rules:</w:t>
            </w:r>
          </w:p>
        </w:tc>
        <w:tc>
          <w:tcPr>
            <w:tcW w:w="375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8F8631" w14:textId="77777777" w:rsidR="00940E3A" w:rsidRPr="00FA076A" w:rsidRDefault="00940E3A" w:rsidP="00940E3A">
            <w:pPr>
              <w:pStyle w:val="Bodyromannumerals"/>
              <w:rPr>
                <w:sz w:val="22"/>
              </w:rPr>
            </w:pPr>
            <w:r w:rsidRPr="00FA076A">
              <w:t>Input field</w:t>
            </w:r>
          </w:p>
        </w:tc>
      </w:tr>
    </w:tbl>
    <w:p w14:paraId="6B183985" w14:textId="6515E176" w:rsidR="00940E3A" w:rsidRPr="008456AD" w:rsidRDefault="00940E3A" w:rsidP="00940E3A">
      <w:pPr>
        <w:pStyle w:val="Sectionsub-heading"/>
      </w:pPr>
      <w:r w:rsidRPr="008456AD">
        <w:t xml:space="preserve">BLOCK 3: SAMPLES TAKEN FROM WATER LEAVING THE </w:t>
      </w:r>
      <w:r w:rsidR="00051E92">
        <w:t>WATER TREATMENT PLANTS</w:t>
      </w:r>
      <w:r w:rsidR="00886ADF">
        <w:t xml:space="preserve"> (WTPs)</w:t>
      </w:r>
    </w:p>
    <w:tbl>
      <w:tblPr>
        <w:tblStyle w:val="TableGrid"/>
        <w:tblW w:w="5000" w:type="pct"/>
        <w:tblLook w:val="04A0" w:firstRow="1" w:lastRow="0" w:firstColumn="1" w:lastColumn="0" w:noHBand="0" w:noVBand="1"/>
      </w:tblPr>
      <w:tblGrid>
        <w:gridCol w:w="1143"/>
        <w:gridCol w:w="686"/>
        <w:gridCol w:w="50"/>
        <w:gridCol w:w="4840"/>
        <w:gridCol w:w="839"/>
      </w:tblGrid>
      <w:tr w:rsidR="00940E3A" w:rsidRPr="006466B5" w14:paraId="2BACDC7B" w14:textId="77777777" w:rsidTr="00F45DB1">
        <w:tc>
          <w:tcPr>
            <w:tcW w:w="756" w:type="pct"/>
          </w:tcPr>
          <w:p w14:paraId="1B63A04D" w14:textId="77777777" w:rsidR="00940E3A" w:rsidRPr="00940E3A" w:rsidRDefault="00940E3A" w:rsidP="00940E3A">
            <w:pPr>
              <w:pStyle w:val="Bodyromannumerals"/>
              <w:rPr>
                <w:b/>
                <w:bCs/>
              </w:rPr>
            </w:pPr>
            <w:r w:rsidRPr="00940E3A">
              <w:rPr>
                <w:b/>
                <w:bCs/>
              </w:rPr>
              <w:t>C1.16</w:t>
            </w:r>
          </w:p>
        </w:tc>
        <w:tc>
          <w:tcPr>
            <w:tcW w:w="3689" w:type="pct"/>
            <w:gridSpan w:val="3"/>
          </w:tcPr>
          <w:p w14:paraId="58095C8C" w14:textId="34783E2D" w:rsidR="00940E3A" w:rsidRPr="00940E3A" w:rsidRDefault="00940E3A" w:rsidP="00940E3A">
            <w:pPr>
              <w:pStyle w:val="Bodyromannumerals"/>
              <w:rPr>
                <w:b/>
                <w:bCs/>
              </w:rPr>
            </w:pPr>
            <w:r w:rsidRPr="00940E3A">
              <w:rPr>
                <w:b/>
                <w:bCs/>
              </w:rPr>
              <w:t xml:space="preserve">Number of </w:t>
            </w:r>
            <w:r w:rsidR="00F0671A">
              <w:rPr>
                <w:b/>
                <w:bCs/>
              </w:rPr>
              <w:t xml:space="preserve">total </w:t>
            </w:r>
            <w:r w:rsidRPr="00940E3A">
              <w:rPr>
                <w:b/>
                <w:bCs/>
              </w:rPr>
              <w:t>coliform samples taken</w:t>
            </w:r>
          </w:p>
        </w:tc>
        <w:tc>
          <w:tcPr>
            <w:tcW w:w="555" w:type="pct"/>
          </w:tcPr>
          <w:p w14:paraId="7A3057FF" w14:textId="5E862CAC" w:rsidR="00940E3A" w:rsidRPr="00940E3A" w:rsidRDefault="00940E3A" w:rsidP="00940E3A">
            <w:pPr>
              <w:pStyle w:val="Bodyromannumerals"/>
              <w:rPr>
                <w:b/>
                <w:bCs/>
              </w:rPr>
            </w:pPr>
            <w:r>
              <w:rPr>
                <w:b/>
                <w:bCs/>
              </w:rPr>
              <w:t>N</w:t>
            </w:r>
            <w:r w:rsidRPr="00940E3A">
              <w:rPr>
                <w:b/>
                <w:bCs/>
              </w:rPr>
              <w:t>r.</w:t>
            </w:r>
          </w:p>
        </w:tc>
      </w:tr>
      <w:tr w:rsidR="00940E3A" w:rsidRPr="006466B5" w14:paraId="7F4D337B" w14:textId="77777777" w:rsidTr="00F45DB1">
        <w:tc>
          <w:tcPr>
            <w:tcW w:w="1243" w:type="pct"/>
            <w:gridSpan w:val="3"/>
            <w:tcBorders>
              <w:left w:val="single" w:sz="4" w:space="0" w:color="FFFFFF" w:themeColor="background1"/>
              <w:bottom w:val="single" w:sz="4" w:space="0" w:color="FFFFFF" w:themeColor="background1"/>
              <w:right w:val="single" w:sz="4" w:space="0" w:color="FFFFFF" w:themeColor="background1"/>
            </w:tcBorders>
          </w:tcPr>
          <w:p w14:paraId="2193247D" w14:textId="77777777" w:rsidR="00940E3A" w:rsidRPr="006466B5" w:rsidRDefault="00940E3A" w:rsidP="00940E3A">
            <w:pPr>
              <w:pStyle w:val="Bodyromannumerals"/>
              <w:rPr>
                <w:i/>
              </w:rPr>
            </w:pPr>
            <w:r w:rsidRPr="006466B5">
              <w:rPr>
                <w:i/>
              </w:rPr>
              <w:t>Definition:</w:t>
            </w:r>
          </w:p>
        </w:tc>
        <w:tc>
          <w:tcPr>
            <w:tcW w:w="3757" w:type="pct"/>
            <w:gridSpan w:val="2"/>
            <w:tcBorders>
              <w:left w:val="single" w:sz="4" w:space="0" w:color="FFFFFF" w:themeColor="background1"/>
              <w:bottom w:val="single" w:sz="4" w:space="0" w:color="FFFFFF" w:themeColor="background1"/>
              <w:right w:val="single" w:sz="4" w:space="0" w:color="FFFFFF" w:themeColor="background1"/>
            </w:tcBorders>
          </w:tcPr>
          <w:p w14:paraId="64FB4E80" w14:textId="77777777" w:rsidR="00940E3A" w:rsidRDefault="00940E3A" w:rsidP="00940E3A">
            <w:pPr>
              <w:pStyle w:val="Bodyromannumerals"/>
            </w:pPr>
            <w:r w:rsidRPr="006466B5">
              <w:t>The total number of</w:t>
            </w:r>
            <w:r w:rsidR="00DD744C">
              <w:t xml:space="preserve"> total</w:t>
            </w:r>
            <w:r w:rsidRPr="006466B5">
              <w:t xml:space="preserve"> coliform samples taken from water leaving the water treatment </w:t>
            </w:r>
            <w:r w:rsidR="002142E2">
              <w:t>plants</w:t>
            </w:r>
            <w:r w:rsidRPr="006466B5">
              <w:t xml:space="preserve">. </w:t>
            </w:r>
          </w:p>
          <w:p w14:paraId="24EBA607" w14:textId="2347DFFA" w:rsidR="0038087E" w:rsidRPr="006466B5" w:rsidRDefault="0038087E" w:rsidP="007B2C9E">
            <w:pPr>
              <w:pStyle w:val="Bodyromannumerals"/>
            </w:pPr>
            <w:r w:rsidRPr="00D028DC">
              <w:t xml:space="preserve">In Scotland, the </w:t>
            </w:r>
            <w:r w:rsidRPr="00A05578">
              <w:t xml:space="preserve">Drinking Water Quality Regulator will only accept </w:t>
            </w:r>
            <w:r w:rsidR="00970162" w:rsidRPr="007013F6">
              <w:t xml:space="preserve">manual sampling. </w:t>
            </w:r>
            <w:r w:rsidR="00594220" w:rsidRPr="007013F6">
              <w:t>I</w:t>
            </w:r>
            <w:r w:rsidRPr="00D028DC">
              <w:t>n New Zealand, however, we understand that continuous</w:t>
            </w:r>
            <w:r w:rsidRPr="00A05578">
              <w:t xml:space="preserve"> </w:t>
            </w:r>
            <w:r w:rsidR="0026062C" w:rsidRPr="00A05578">
              <w:t xml:space="preserve">monitoring can be used </w:t>
            </w:r>
            <w:r w:rsidR="00BF4374" w:rsidRPr="007013F6">
              <w:t>for some parameters</w:t>
            </w:r>
            <w:r w:rsidR="0026062C" w:rsidRPr="00D028DC">
              <w:t xml:space="preserve">. </w:t>
            </w:r>
            <w:r w:rsidR="00C40BD9" w:rsidRPr="007013F6">
              <w:t xml:space="preserve">For the avoidance of doubt, local authorities should report on the same </w:t>
            </w:r>
            <w:r w:rsidR="00EE7C8A" w:rsidRPr="007013F6">
              <w:t xml:space="preserve">sampling basis that they would use to report </w:t>
            </w:r>
            <w:r w:rsidR="00993E54" w:rsidRPr="007013F6">
              <w:t xml:space="preserve">as part of the </w:t>
            </w:r>
            <w:r w:rsidR="00EB382F" w:rsidRPr="007013F6">
              <w:t>D</w:t>
            </w:r>
            <w:r w:rsidR="00993E54" w:rsidRPr="007013F6">
              <w:t xml:space="preserve">rinking </w:t>
            </w:r>
            <w:r w:rsidR="00EB382F" w:rsidRPr="007013F6">
              <w:t>W</w:t>
            </w:r>
            <w:r w:rsidR="00993E54" w:rsidRPr="007013F6">
              <w:t xml:space="preserve">ater </w:t>
            </w:r>
            <w:r w:rsidR="00EB382F" w:rsidRPr="007013F6">
              <w:t>S</w:t>
            </w:r>
            <w:r w:rsidR="00993E54" w:rsidRPr="007013F6">
              <w:t>tandards New Zealand</w:t>
            </w:r>
            <w:r w:rsidR="005D7CAF" w:rsidRPr="007013F6">
              <w:t xml:space="preserve"> for the relevant parameter</w:t>
            </w:r>
            <w:r w:rsidR="00993E54" w:rsidRPr="007013F6">
              <w:t xml:space="preserve">. </w:t>
            </w:r>
            <w:r w:rsidR="00EE7C8A" w:rsidRPr="007013F6">
              <w:t xml:space="preserve"> </w:t>
            </w:r>
          </w:p>
        </w:tc>
      </w:tr>
      <w:tr w:rsidR="00940E3A" w:rsidRPr="006466B5" w14:paraId="40D3CED3" w14:textId="77777777" w:rsidTr="00F45DB1">
        <w:tc>
          <w:tcPr>
            <w:tcW w:w="124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BCE6D3" w14:textId="77777777" w:rsidR="00940E3A" w:rsidRPr="006466B5" w:rsidRDefault="00940E3A" w:rsidP="00940E3A">
            <w:pPr>
              <w:pStyle w:val="Bodyromannumerals"/>
              <w:rPr>
                <w:i/>
              </w:rPr>
            </w:pPr>
            <w:r w:rsidRPr="006466B5">
              <w:rPr>
                <w:i/>
              </w:rPr>
              <w:t>Processing rules:</w:t>
            </w:r>
          </w:p>
        </w:tc>
        <w:tc>
          <w:tcPr>
            <w:tcW w:w="375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F01149" w14:textId="77777777" w:rsidR="00940E3A" w:rsidRPr="006466B5" w:rsidRDefault="00940E3A" w:rsidP="00940E3A">
            <w:pPr>
              <w:pStyle w:val="Bodyromannumerals"/>
            </w:pPr>
            <w:r w:rsidRPr="006466B5">
              <w:t>Input field</w:t>
            </w:r>
          </w:p>
        </w:tc>
      </w:tr>
      <w:tr w:rsidR="00940E3A" w:rsidRPr="006466B5" w14:paraId="0D80222F" w14:textId="77777777" w:rsidTr="00F45DB1">
        <w:tblPrEx>
          <w:tblLook w:val="0000" w:firstRow="0" w:lastRow="0" w:firstColumn="0" w:lastColumn="0" w:noHBand="0" w:noVBand="0"/>
        </w:tblPrEx>
        <w:tc>
          <w:tcPr>
            <w:tcW w:w="756" w:type="pct"/>
          </w:tcPr>
          <w:p w14:paraId="18B23C10" w14:textId="77777777" w:rsidR="00940E3A" w:rsidRPr="00940E3A" w:rsidRDefault="00940E3A" w:rsidP="00940E3A">
            <w:pPr>
              <w:pStyle w:val="Bodyromannumerals"/>
              <w:rPr>
                <w:b/>
                <w:bCs/>
              </w:rPr>
            </w:pPr>
            <w:r w:rsidRPr="00940E3A">
              <w:rPr>
                <w:b/>
                <w:bCs/>
              </w:rPr>
              <w:t>C1.17</w:t>
            </w:r>
          </w:p>
        </w:tc>
        <w:tc>
          <w:tcPr>
            <w:tcW w:w="3689" w:type="pct"/>
            <w:gridSpan w:val="3"/>
          </w:tcPr>
          <w:p w14:paraId="08B6E943" w14:textId="20D249E0" w:rsidR="00940E3A" w:rsidRPr="00940E3A" w:rsidRDefault="00940E3A" w:rsidP="00940E3A">
            <w:pPr>
              <w:pStyle w:val="Bodyromannumerals"/>
              <w:rPr>
                <w:b/>
                <w:bCs/>
                <w:bdr w:val="single" w:sz="4" w:space="0" w:color="auto"/>
              </w:rPr>
            </w:pPr>
            <w:r w:rsidRPr="00940E3A">
              <w:rPr>
                <w:b/>
                <w:bCs/>
              </w:rPr>
              <w:t xml:space="preserve">Number of samples </w:t>
            </w:r>
            <w:r w:rsidR="005A4811">
              <w:rPr>
                <w:b/>
                <w:bCs/>
              </w:rPr>
              <w:t xml:space="preserve">that exceeded the compliance value for total coliforms </w:t>
            </w:r>
          </w:p>
        </w:tc>
        <w:tc>
          <w:tcPr>
            <w:tcW w:w="555" w:type="pct"/>
          </w:tcPr>
          <w:p w14:paraId="6C1F72B3" w14:textId="3A985957" w:rsidR="00940E3A" w:rsidRPr="00940E3A" w:rsidRDefault="00F177D0" w:rsidP="00940E3A">
            <w:pPr>
              <w:pStyle w:val="Bodyromannumerals"/>
              <w:rPr>
                <w:b/>
                <w:bCs/>
                <w:bdr w:val="single" w:sz="4" w:space="0" w:color="auto"/>
              </w:rPr>
            </w:pPr>
            <w:r>
              <w:rPr>
                <w:b/>
                <w:bCs/>
              </w:rPr>
              <w:t>N</w:t>
            </w:r>
            <w:r w:rsidRPr="00940E3A">
              <w:rPr>
                <w:b/>
                <w:bCs/>
              </w:rPr>
              <w:t>r.</w:t>
            </w:r>
          </w:p>
        </w:tc>
      </w:tr>
      <w:tr w:rsidR="00940E3A" w:rsidRPr="006466B5" w14:paraId="3B154056" w14:textId="77777777" w:rsidTr="008030FA">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07AC20F2" w14:textId="77777777" w:rsidR="00940E3A" w:rsidRPr="006466B5" w:rsidRDefault="00940E3A" w:rsidP="00940E3A">
            <w:pPr>
              <w:pStyle w:val="Bodyromannumerals"/>
            </w:pPr>
            <w:r w:rsidRPr="006466B5">
              <w:t>Definition:</w:t>
            </w:r>
          </w:p>
        </w:tc>
        <w:tc>
          <w:tcPr>
            <w:tcW w:w="3790" w:type="pct"/>
            <w:gridSpan w:val="3"/>
            <w:tcBorders>
              <w:left w:val="single" w:sz="4" w:space="0" w:color="FFFFFF" w:themeColor="background1"/>
              <w:bottom w:val="single" w:sz="4" w:space="0" w:color="FFFFFF" w:themeColor="background1"/>
              <w:right w:val="single" w:sz="4" w:space="0" w:color="FFFFFF" w:themeColor="background1"/>
            </w:tcBorders>
          </w:tcPr>
          <w:p w14:paraId="4507A07E" w14:textId="2D16FFC3" w:rsidR="00DD744C" w:rsidRPr="00A05578" w:rsidRDefault="00940E3A" w:rsidP="00940E3A">
            <w:pPr>
              <w:pStyle w:val="Bodyromannumerals"/>
              <w:rPr>
                <w:rFonts w:eastAsia="Calibri"/>
                <w:color w:val="000000" w:themeColor="text1"/>
              </w:rPr>
            </w:pPr>
            <w:r w:rsidRPr="00FA076A">
              <w:t xml:space="preserve">The total number of </w:t>
            </w:r>
            <w:r w:rsidR="005A4811">
              <w:t>samples in C1.16 that exceeded the compliance value for total coliforms.</w:t>
            </w:r>
            <w:r w:rsidRPr="00FA076A">
              <w:t xml:space="preserve"> </w:t>
            </w:r>
          </w:p>
          <w:p w14:paraId="71789C68" w14:textId="612C8C24" w:rsidR="00CB3A33" w:rsidRPr="006466B5" w:rsidRDefault="00DD744C" w:rsidP="00940E3A">
            <w:pPr>
              <w:pStyle w:val="Bodyromannumerals"/>
            </w:pPr>
            <w:r w:rsidRPr="00A05578">
              <w:rPr>
                <w:color w:val="44546A"/>
                <w:lang w:val="en-GB"/>
              </w:rPr>
              <w:t xml:space="preserve">For the avoidance of </w:t>
            </w:r>
            <w:r w:rsidRPr="00A05578">
              <w:t>doubt, this line should include tr</w:t>
            </w:r>
            <w:r w:rsidRPr="006076E4">
              <w:t>ansgressions.</w:t>
            </w:r>
          </w:p>
        </w:tc>
      </w:tr>
      <w:tr w:rsidR="00940E3A" w:rsidRPr="006466B5" w14:paraId="718FEAF3" w14:textId="77777777" w:rsidTr="008030FA">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51F524" w14:textId="77777777" w:rsidR="00940E3A" w:rsidRPr="006466B5" w:rsidRDefault="00940E3A" w:rsidP="00940E3A">
            <w:pPr>
              <w:pStyle w:val="Bodyromannumerals"/>
            </w:pPr>
            <w:r w:rsidRPr="006466B5">
              <w:t>Processing rules:</w:t>
            </w:r>
          </w:p>
        </w:tc>
        <w:tc>
          <w:tcPr>
            <w:tcW w:w="379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62E03" w14:textId="77777777" w:rsidR="00940E3A" w:rsidRPr="006466B5" w:rsidRDefault="00940E3A" w:rsidP="00940E3A">
            <w:pPr>
              <w:pStyle w:val="Bodyromannumerals"/>
            </w:pPr>
            <w:r w:rsidRPr="006466B5">
              <w:t>Input field</w:t>
            </w:r>
          </w:p>
        </w:tc>
      </w:tr>
    </w:tbl>
    <w:p w14:paraId="005412B6" w14:textId="77777777" w:rsidR="00940E3A" w:rsidRPr="006466B5" w:rsidRDefault="00940E3A" w:rsidP="00F45DB1">
      <w:pPr>
        <w:pStyle w:val="Header"/>
        <w:jc w:val="left"/>
        <w:rPr>
          <w:rFonts w:cs="Calibri"/>
        </w:rPr>
      </w:pPr>
    </w:p>
    <w:p w14:paraId="476025E5" w14:textId="77777777" w:rsidR="008A7980" w:rsidRDefault="008A798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890"/>
        <w:gridCol w:w="839"/>
      </w:tblGrid>
      <w:tr w:rsidR="00940E3A" w:rsidRPr="006466B5" w14:paraId="6B1F27D1" w14:textId="77777777" w:rsidTr="00285384">
        <w:tc>
          <w:tcPr>
            <w:tcW w:w="756" w:type="pct"/>
          </w:tcPr>
          <w:p w14:paraId="345E71B0" w14:textId="0ABE7376" w:rsidR="00940E3A" w:rsidRPr="00F177D0" w:rsidRDefault="00940E3A" w:rsidP="00F177D0">
            <w:pPr>
              <w:pStyle w:val="Bodyromannumerals"/>
              <w:rPr>
                <w:b/>
                <w:bCs/>
              </w:rPr>
            </w:pPr>
            <w:r w:rsidRPr="00F177D0">
              <w:rPr>
                <w:b/>
                <w:bCs/>
              </w:rPr>
              <w:t>C1.18</w:t>
            </w:r>
          </w:p>
        </w:tc>
        <w:tc>
          <w:tcPr>
            <w:tcW w:w="3689" w:type="pct"/>
            <w:gridSpan w:val="2"/>
          </w:tcPr>
          <w:p w14:paraId="263C45CC" w14:textId="5AAECE69" w:rsidR="00940E3A" w:rsidRPr="00F177D0" w:rsidRDefault="00940E3A" w:rsidP="00F177D0">
            <w:pPr>
              <w:pStyle w:val="Bodyromannumerals"/>
              <w:rPr>
                <w:b/>
                <w:bCs/>
                <w:bdr w:val="single" w:sz="4" w:space="0" w:color="auto"/>
              </w:rPr>
            </w:pPr>
            <w:r w:rsidRPr="00F177D0">
              <w:rPr>
                <w:b/>
                <w:bCs/>
              </w:rPr>
              <w:t xml:space="preserve">Number of samples </w:t>
            </w:r>
            <w:r w:rsidR="00FE6F28">
              <w:rPr>
                <w:b/>
                <w:bCs/>
              </w:rPr>
              <w:t xml:space="preserve">that exceeded the </w:t>
            </w:r>
            <w:r w:rsidR="00200856">
              <w:rPr>
                <w:b/>
                <w:bCs/>
              </w:rPr>
              <w:t>compliance value for</w:t>
            </w:r>
            <w:r w:rsidR="00FE6F28" w:rsidRPr="00F177D0">
              <w:rPr>
                <w:b/>
                <w:bCs/>
              </w:rPr>
              <w:t xml:space="preserve"> </w:t>
            </w:r>
            <w:r w:rsidRPr="00F177D0">
              <w:rPr>
                <w:b/>
                <w:bCs/>
              </w:rPr>
              <w:t>faecal coliforms</w:t>
            </w:r>
          </w:p>
        </w:tc>
        <w:tc>
          <w:tcPr>
            <w:tcW w:w="555" w:type="pct"/>
          </w:tcPr>
          <w:p w14:paraId="714E7D05" w14:textId="2EF18EEC" w:rsidR="00940E3A" w:rsidRPr="00F177D0" w:rsidRDefault="00F177D0" w:rsidP="00F177D0">
            <w:pPr>
              <w:pStyle w:val="Bodyromannumerals"/>
              <w:rPr>
                <w:b/>
                <w:bCs/>
                <w:bdr w:val="single" w:sz="4" w:space="0" w:color="auto"/>
              </w:rPr>
            </w:pPr>
            <w:r>
              <w:rPr>
                <w:b/>
                <w:bCs/>
              </w:rPr>
              <w:t>N</w:t>
            </w:r>
            <w:r w:rsidRPr="00940E3A">
              <w:rPr>
                <w:b/>
                <w:bCs/>
              </w:rPr>
              <w:t>r.</w:t>
            </w:r>
          </w:p>
        </w:tc>
      </w:tr>
      <w:tr w:rsidR="00940E3A" w:rsidRPr="006466B5" w14:paraId="0A783738"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254778A2" w14:textId="77777777" w:rsidR="00940E3A" w:rsidRPr="006466B5" w:rsidRDefault="00940E3A" w:rsidP="00F177D0">
            <w:pPr>
              <w:pStyle w:val="Bodyromannumerals"/>
              <w:rPr>
                <w:i/>
                <w:sz w:val="22"/>
              </w:rPr>
            </w:pPr>
            <w:r w:rsidRPr="006466B5">
              <w:rPr>
                <w:i/>
                <w:sz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36F8AADF" w14:textId="7F316829" w:rsidR="00940E3A" w:rsidRPr="0001435F" w:rsidRDefault="00940E3A" w:rsidP="00F177D0">
            <w:pPr>
              <w:pStyle w:val="Bodyromannumerals"/>
            </w:pPr>
            <w:r w:rsidRPr="0001435F">
              <w:t xml:space="preserve">The total number of faecal coliform samples taken from water leaving the treatment </w:t>
            </w:r>
            <w:r w:rsidR="002142E2" w:rsidRPr="0001435F">
              <w:t>plants</w:t>
            </w:r>
            <w:r w:rsidRPr="0001435F">
              <w:t xml:space="preserve"> </w:t>
            </w:r>
            <w:r w:rsidR="00C61013">
              <w:t>that exceeded the compliance value for fae</w:t>
            </w:r>
            <w:r w:rsidR="00E42141">
              <w:t>cal coliforms.</w:t>
            </w:r>
            <w:r w:rsidRPr="0001435F">
              <w:t xml:space="preserve"> </w:t>
            </w:r>
          </w:p>
          <w:p w14:paraId="586F5307" w14:textId="5C2F206E" w:rsidR="00AF513A" w:rsidRPr="00A05578" w:rsidRDefault="00AF513A" w:rsidP="00F177D0">
            <w:pPr>
              <w:pStyle w:val="Bodyromannumerals"/>
            </w:pPr>
            <w:r w:rsidRPr="007013F6">
              <w:t>In Scotland, the Drinking Water Quality Regulator will only accept manual sampling. In New Zealand, however, we understand that continuous monitoring can be used for some parameters. For the avoidance of doubt, local authorities should report on the same sampling basis that they would use to report as part of the Drinking Water Standards</w:t>
            </w:r>
            <w:r w:rsidR="0048080A">
              <w:t xml:space="preserve"> for</w:t>
            </w:r>
            <w:r w:rsidRPr="007013F6">
              <w:t xml:space="preserve"> New Zealand for the relevant parameter.  </w:t>
            </w:r>
          </w:p>
          <w:p w14:paraId="41EBB47F" w14:textId="41D12A74" w:rsidR="00940E3A" w:rsidRPr="006466B5" w:rsidRDefault="00AF513A" w:rsidP="00F177D0">
            <w:pPr>
              <w:pStyle w:val="Bodyromannumerals"/>
              <w:rPr>
                <w:sz w:val="22"/>
              </w:rPr>
            </w:pPr>
            <w:r w:rsidRPr="007013F6">
              <w:rPr>
                <w:color w:val="44546A"/>
                <w:lang w:val="en-GB"/>
              </w:rPr>
              <w:t xml:space="preserve">For the avoidance of </w:t>
            </w:r>
            <w:r w:rsidRPr="007013F6">
              <w:t>doubt, this line should include transgressions.</w:t>
            </w:r>
          </w:p>
        </w:tc>
      </w:tr>
      <w:tr w:rsidR="00940E3A" w:rsidRPr="006466B5" w14:paraId="5C863189"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EB12F8" w14:textId="77777777" w:rsidR="00940E3A" w:rsidRPr="006466B5" w:rsidRDefault="00940E3A" w:rsidP="00F177D0">
            <w:pPr>
              <w:pStyle w:val="Bodyromannumerals"/>
              <w:rPr>
                <w:i/>
                <w:sz w:val="22"/>
              </w:rPr>
            </w:pPr>
            <w:r w:rsidRPr="006466B5">
              <w:rPr>
                <w:i/>
                <w:sz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4393B5" w14:textId="77777777" w:rsidR="00940E3A" w:rsidRPr="006466B5" w:rsidRDefault="00940E3A" w:rsidP="00F177D0">
            <w:pPr>
              <w:pStyle w:val="Bodyromannumerals"/>
              <w:rPr>
                <w:sz w:val="22"/>
              </w:rPr>
            </w:pPr>
            <w:r w:rsidRPr="006466B5">
              <w:rPr>
                <w:sz w:val="22"/>
              </w:rPr>
              <w:t>Input field</w:t>
            </w:r>
          </w:p>
        </w:tc>
      </w:tr>
      <w:tr w:rsidR="00940E3A" w:rsidRPr="006466B5" w14:paraId="1755FF11" w14:textId="77777777" w:rsidTr="00285384">
        <w:tc>
          <w:tcPr>
            <w:tcW w:w="756" w:type="pct"/>
          </w:tcPr>
          <w:p w14:paraId="23274A1C" w14:textId="77777777" w:rsidR="00940E3A" w:rsidRPr="00F177D0" w:rsidRDefault="00940E3A" w:rsidP="00F177D0">
            <w:pPr>
              <w:pStyle w:val="Bodyromannumerals"/>
              <w:rPr>
                <w:b/>
                <w:bCs/>
              </w:rPr>
            </w:pPr>
            <w:r w:rsidRPr="00F177D0">
              <w:rPr>
                <w:b/>
                <w:bCs/>
              </w:rPr>
              <w:t>C1.19</w:t>
            </w:r>
          </w:p>
        </w:tc>
        <w:tc>
          <w:tcPr>
            <w:tcW w:w="3689" w:type="pct"/>
            <w:gridSpan w:val="2"/>
          </w:tcPr>
          <w:p w14:paraId="3552D8E2" w14:textId="539E805F" w:rsidR="00940E3A" w:rsidRPr="00F177D0" w:rsidRDefault="00940E3A" w:rsidP="00F177D0">
            <w:pPr>
              <w:pStyle w:val="Bodyromannumerals"/>
              <w:rPr>
                <w:b/>
                <w:bCs/>
                <w:bdr w:val="single" w:sz="4" w:space="0" w:color="auto"/>
              </w:rPr>
            </w:pPr>
            <w:r w:rsidRPr="00F177D0">
              <w:rPr>
                <w:b/>
                <w:bCs/>
              </w:rPr>
              <w:t>Number of WT</w:t>
            </w:r>
            <w:r w:rsidR="00B116D9">
              <w:rPr>
                <w:b/>
                <w:bCs/>
              </w:rPr>
              <w:t>P</w:t>
            </w:r>
            <w:r w:rsidRPr="00F177D0">
              <w:rPr>
                <w:b/>
                <w:bCs/>
              </w:rPr>
              <w:t xml:space="preserve">s </w:t>
            </w:r>
            <w:r w:rsidR="00722C86">
              <w:rPr>
                <w:b/>
                <w:bCs/>
              </w:rPr>
              <w:t xml:space="preserve">not meeting parasitic protozoa compliance criteria in DWSNZ </w:t>
            </w:r>
          </w:p>
        </w:tc>
        <w:tc>
          <w:tcPr>
            <w:tcW w:w="555" w:type="pct"/>
          </w:tcPr>
          <w:p w14:paraId="46571F3B" w14:textId="44C89AAD" w:rsidR="00940E3A" w:rsidRPr="00F177D0" w:rsidRDefault="00F177D0" w:rsidP="00F177D0">
            <w:pPr>
              <w:pStyle w:val="Bodyromannumerals"/>
              <w:rPr>
                <w:b/>
                <w:bCs/>
                <w:bdr w:val="single" w:sz="4" w:space="0" w:color="auto"/>
              </w:rPr>
            </w:pPr>
            <w:r>
              <w:rPr>
                <w:b/>
                <w:bCs/>
              </w:rPr>
              <w:t>N</w:t>
            </w:r>
            <w:r w:rsidRPr="00940E3A">
              <w:rPr>
                <w:b/>
                <w:bCs/>
              </w:rPr>
              <w:t>r.</w:t>
            </w:r>
          </w:p>
        </w:tc>
      </w:tr>
      <w:tr w:rsidR="00940E3A" w:rsidRPr="006466B5" w14:paraId="6A50CE2A"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5926E07A" w14:textId="77777777" w:rsidR="00940E3A" w:rsidRPr="006466B5" w:rsidRDefault="00940E3A" w:rsidP="00F177D0">
            <w:pPr>
              <w:pStyle w:val="Bodyromannumerals"/>
              <w:rPr>
                <w:i/>
                <w:sz w:val="22"/>
              </w:rPr>
            </w:pPr>
            <w:r w:rsidRPr="006466B5">
              <w:rPr>
                <w:i/>
                <w:sz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5F855371" w14:textId="2575DAD1" w:rsidR="00940E3A" w:rsidRPr="00886ADF" w:rsidRDefault="00940E3A" w:rsidP="00F177D0">
            <w:pPr>
              <w:pStyle w:val="Bodyromannumerals"/>
            </w:pPr>
            <w:r w:rsidRPr="00886ADF">
              <w:t>The total number of WT</w:t>
            </w:r>
            <w:r w:rsidR="004600E1" w:rsidRPr="00886ADF">
              <w:t>P</w:t>
            </w:r>
            <w:r w:rsidRPr="00886ADF">
              <w:t xml:space="preserve">s </w:t>
            </w:r>
            <w:r w:rsidR="00643054" w:rsidRPr="00886ADF">
              <w:t>not meeting parasitic protozoa compliance criteria in DWSNZ</w:t>
            </w:r>
            <w:r w:rsidRPr="00886ADF">
              <w:t xml:space="preserve"> during the </w:t>
            </w:r>
            <w:r w:rsidR="00830438" w:rsidRPr="00886ADF">
              <w:t xml:space="preserve">reporting </w:t>
            </w:r>
            <w:r w:rsidRPr="00886ADF">
              <w:t>year</w:t>
            </w:r>
            <w:r w:rsidR="009A00CA" w:rsidRPr="00886ADF">
              <w:t>.</w:t>
            </w:r>
          </w:p>
          <w:p w14:paraId="18DEFD88" w14:textId="77777777" w:rsidR="00EA6B0F" w:rsidRPr="00A05578" w:rsidRDefault="00EA6B0F" w:rsidP="00EA6B0F">
            <w:pPr>
              <w:pStyle w:val="Bodyromannumerals"/>
            </w:pPr>
            <w:r w:rsidRPr="006076E4">
              <w:t xml:space="preserve">For the avoidance of doubt, </w:t>
            </w:r>
            <w:r w:rsidRPr="00720BC6">
              <w:t xml:space="preserve">a </w:t>
            </w:r>
            <w:r w:rsidRPr="005E14EA">
              <w:t xml:space="preserve">single failure in a </w:t>
            </w:r>
            <w:r w:rsidRPr="00747745">
              <w:t>WTP</w:t>
            </w:r>
            <w:r w:rsidRPr="00A05578">
              <w:t xml:space="preserve"> would mean that the WTP would be non-compliant</w:t>
            </w:r>
          </w:p>
          <w:p w14:paraId="20855E69" w14:textId="30DFD3D6" w:rsidR="004E0736" w:rsidRPr="00A05578" w:rsidRDefault="004E0736" w:rsidP="00EA6B0F">
            <w:pPr>
              <w:pStyle w:val="Bodyromannumerals"/>
              <w:rPr>
                <w:sz w:val="22"/>
                <w:szCs w:val="22"/>
              </w:rPr>
            </w:pPr>
            <w:r w:rsidRPr="007013F6">
              <w:t>This line should include transgressions.</w:t>
            </w:r>
          </w:p>
          <w:p w14:paraId="437E9617" w14:textId="3DB0F7F7" w:rsidR="00940E3A" w:rsidRPr="006466B5" w:rsidRDefault="00940E3A" w:rsidP="00F177D0">
            <w:pPr>
              <w:pStyle w:val="Bodyromannumerals"/>
              <w:rPr>
                <w:sz w:val="22"/>
              </w:rPr>
            </w:pPr>
          </w:p>
        </w:tc>
      </w:tr>
      <w:tr w:rsidR="00940E3A" w:rsidRPr="006466B5" w14:paraId="35BAD953"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020AFB" w14:textId="77777777" w:rsidR="00940E3A" w:rsidRPr="006466B5" w:rsidRDefault="00940E3A" w:rsidP="00F177D0">
            <w:pPr>
              <w:pStyle w:val="Bodyromannumerals"/>
              <w:rPr>
                <w:i/>
                <w:sz w:val="22"/>
              </w:rPr>
            </w:pPr>
            <w:r w:rsidRPr="006466B5">
              <w:rPr>
                <w:i/>
                <w:sz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6C2457" w14:textId="77777777" w:rsidR="00940E3A" w:rsidRPr="006466B5" w:rsidRDefault="00940E3A" w:rsidP="00F177D0">
            <w:pPr>
              <w:pStyle w:val="Bodyromannumerals"/>
              <w:rPr>
                <w:sz w:val="22"/>
              </w:rPr>
            </w:pPr>
            <w:r w:rsidRPr="006466B5">
              <w:rPr>
                <w:sz w:val="22"/>
              </w:rPr>
              <w:t>Input field</w:t>
            </w:r>
          </w:p>
        </w:tc>
      </w:tr>
    </w:tbl>
    <w:p w14:paraId="5C301613" w14:textId="39762BD2" w:rsidR="00940E3A" w:rsidRPr="008456AD" w:rsidRDefault="00940E3A" w:rsidP="00933373">
      <w:pPr>
        <w:pStyle w:val="Sectionsub-heading"/>
      </w:pPr>
      <w:r w:rsidRPr="008456AD">
        <w:t>BLOCK 4: WT</w:t>
      </w:r>
      <w:r w:rsidR="007B1037">
        <w:t>P</w:t>
      </w:r>
      <w:r w:rsidRPr="008456AD">
        <w:t>s/SERVICE RESERVOIRS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890"/>
        <w:gridCol w:w="839"/>
      </w:tblGrid>
      <w:tr w:rsidR="00940E3A" w:rsidRPr="006466B5" w14:paraId="5A11B127" w14:textId="77777777" w:rsidTr="00285384">
        <w:tc>
          <w:tcPr>
            <w:tcW w:w="756" w:type="pct"/>
          </w:tcPr>
          <w:p w14:paraId="3BCBB756" w14:textId="77777777" w:rsidR="00940E3A" w:rsidRPr="00933373" w:rsidRDefault="00940E3A" w:rsidP="00933373">
            <w:pPr>
              <w:pStyle w:val="Bodyromannumerals"/>
              <w:rPr>
                <w:b/>
                <w:bCs/>
                <w:szCs w:val="22"/>
              </w:rPr>
            </w:pPr>
            <w:r w:rsidRPr="00933373">
              <w:rPr>
                <w:b/>
                <w:bCs/>
              </w:rPr>
              <w:t>C1.20</w:t>
            </w:r>
          </w:p>
        </w:tc>
        <w:tc>
          <w:tcPr>
            <w:tcW w:w="3689" w:type="pct"/>
            <w:gridSpan w:val="2"/>
          </w:tcPr>
          <w:p w14:paraId="11452F51" w14:textId="77777777" w:rsidR="00940E3A" w:rsidRPr="00933373" w:rsidRDefault="00940E3A" w:rsidP="00933373">
            <w:pPr>
              <w:pStyle w:val="Bodyromannumerals"/>
              <w:rPr>
                <w:b/>
                <w:bCs/>
                <w:szCs w:val="22"/>
                <w:bdr w:val="single" w:sz="4" w:space="0" w:color="auto"/>
              </w:rPr>
            </w:pPr>
            <w:r w:rsidRPr="00933373">
              <w:rPr>
                <w:b/>
                <w:bCs/>
                <w:szCs w:val="22"/>
              </w:rPr>
              <w:t>Number of untreated supplies</w:t>
            </w:r>
          </w:p>
        </w:tc>
        <w:tc>
          <w:tcPr>
            <w:tcW w:w="555" w:type="pct"/>
          </w:tcPr>
          <w:p w14:paraId="2634FE6F" w14:textId="382F1807" w:rsidR="00940E3A" w:rsidRPr="00933373" w:rsidRDefault="00F177D0" w:rsidP="00933373">
            <w:pPr>
              <w:pStyle w:val="Bodyromannumerals"/>
              <w:rPr>
                <w:b/>
                <w:bCs/>
                <w:szCs w:val="22"/>
                <w:bdr w:val="single" w:sz="4" w:space="0" w:color="auto"/>
              </w:rPr>
            </w:pPr>
            <w:r w:rsidRPr="00933373">
              <w:rPr>
                <w:b/>
                <w:bCs/>
              </w:rPr>
              <w:t>Nr.</w:t>
            </w:r>
          </w:p>
        </w:tc>
      </w:tr>
      <w:tr w:rsidR="00940E3A" w:rsidRPr="006466B5" w14:paraId="0C29B88C"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73C61449" w14:textId="77777777" w:rsidR="00940E3A" w:rsidRPr="006466B5" w:rsidRDefault="00940E3A" w:rsidP="00933373">
            <w:pPr>
              <w:pStyle w:val="Bodyromannumerals"/>
              <w:rPr>
                <w:i/>
                <w:sz w:val="22"/>
                <w:szCs w:val="22"/>
              </w:rPr>
            </w:pPr>
            <w:r w:rsidRPr="006466B5">
              <w:rPr>
                <w:i/>
                <w:sz w:val="22"/>
                <w:szCs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11051CAC" w14:textId="2046CF2B" w:rsidR="00940E3A" w:rsidRPr="006466B5" w:rsidRDefault="00940E3A" w:rsidP="00933373">
            <w:pPr>
              <w:pStyle w:val="Bodyromannumerals"/>
              <w:rPr>
                <w:sz w:val="22"/>
                <w:szCs w:val="22"/>
              </w:rPr>
            </w:pPr>
            <w:r w:rsidRPr="007D2817">
              <w:rPr>
                <w:sz w:val="22"/>
                <w:szCs w:val="22"/>
              </w:rPr>
              <w:t>The total number of untreated water supplies</w:t>
            </w:r>
            <w:r w:rsidR="009A00CA">
              <w:rPr>
                <w:sz w:val="22"/>
                <w:szCs w:val="22"/>
              </w:rPr>
              <w:t>.</w:t>
            </w:r>
          </w:p>
        </w:tc>
      </w:tr>
      <w:tr w:rsidR="00940E3A" w:rsidRPr="006466B5" w14:paraId="20555BB1"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997FF8" w14:textId="77777777" w:rsidR="00940E3A" w:rsidRPr="006466B5" w:rsidRDefault="00940E3A" w:rsidP="00933373">
            <w:pPr>
              <w:pStyle w:val="Bodyromannumerals"/>
              <w:rPr>
                <w:i/>
                <w:sz w:val="22"/>
                <w:szCs w:val="22"/>
              </w:rPr>
            </w:pPr>
            <w:r w:rsidRPr="006466B5">
              <w:rPr>
                <w:i/>
                <w:sz w:val="22"/>
                <w:szCs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CF0DE9" w14:textId="77777777" w:rsidR="00940E3A" w:rsidRPr="006466B5" w:rsidRDefault="00940E3A" w:rsidP="00933373">
            <w:pPr>
              <w:pStyle w:val="Bodyromannumerals"/>
              <w:rPr>
                <w:sz w:val="22"/>
                <w:szCs w:val="22"/>
              </w:rPr>
            </w:pPr>
            <w:r w:rsidRPr="006466B5">
              <w:rPr>
                <w:sz w:val="22"/>
                <w:szCs w:val="22"/>
              </w:rPr>
              <w:t>Input field</w:t>
            </w:r>
          </w:p>
        </w:tc>
      </w:tr>
      <w:tr w:rsidR="00940E3A" w:rsidRPr="006466B5" w14:paraId="4BC13984" w14:textId="77777777" w:rsidTr="00285384">
        <w:tc>
          <w:tcPr>
            <w:tcW w:w="756" w:type="pct"/>
          </w:tcPr>
          <w:p w14:paraId="05AB6A0C" w14:textId="77777777" w:rsidR="00940E3A" w:rsidRPr="00933373" w:rsidRDefault="00940E3A" w:rsidP="00933373">
            <w:pPr>
              <w:pStyle w:val="Bodyromannumerals"/>
              <w:rPr>
                <w:b/>
                <w:bCs/>
                <w:szCs w:val="22"/>
              </w:rPr>
            </w:pPr>
            <w:r w:rsidRPr="00933373">
              <w:rPr>
                <w:b/>
                <w:bCs/>
              </w:rPr>
              <w:t>C1.21</w:t>
            </w:r>
          </w:p>
        </w:tc>
        <w:tc>
          <w:tcPr>
            <w:tcW w:w="3689" w:type="pct"/>
            <w:gridSpan w:val="2"/>
          </w:tcPr>
          <w:p w14:paraId="1C10128C" w14:textId="71523F2D" w:rsidR="00940E3A" w:rsidRPr="00933373" w:rsidRDefault="00940E3A" w:rsidP="00933373">
            <w:pPr>
              <w:pStyle w:val="Bodyromannumerals"/>
              <w:rPr>
                <w:b/>
                <w:bCs/>
                <w:szCs w:val="22"/>
                <w:bdr w:val="single" w:sz="4" w:space="0" w:color="auto"/>
              </w:rPr>
            </w:pPr>
            <w:r w:rsidRPr="00933373">
              <w:rPr>
                <w:b/>
                <w:bCs/>
                <w:szCs w:val="22"/>
              </w:rPr>
              <w:t>Number of WT</w:t>
            </w:r>
            <w:r w:rsidR="00C57941">
              <w:rPr>
                <w:b/>
                <w:bCs/>
                <w:szCs w:val="22"/>
              </w:rPr>
              <w:t>P</w:t>
            </w:r>
            <w:r w:rsidRPr="00933373">
              <w:rPr>
                <w:b/>
                <w:bCs/>
                <w:szCs w:val="22"/>
              </w:rPr>
              <w:t xml:space="preserve">s subject to temporary </w:t>
            </w:r>
            <w:r w:rsidR="003A7D7B">
              <w:rPr>
                <w:b/>
                <w:bCs/>
                <w:szCs w:val="22"/>
              </w:rPr>
              <w:t>exemptions f</w:t>
            </w:r>
            <w:r w:rsidR="00A53E65">
              <w:rPr>
                <w:b/>
                <w:bCs/>
                <w:szCs w:val="22"/>
              </w:rPr>
              <w:t>or non-compliance</w:t>
            </w:r>
          </w:p>
        </w:tc>
        <w:tc>
          <w:tcPr>
            <w:tcW w:w="555" w:type="pct"/>
          </w:tcPr>
          <w:p w14:paraId="2FA44393" w14:textId="4A1D5A57" w:rsidR="00940E3A" w:rsidRPr="00933373" w:rsidRDefault="00F177D0" w:rsidP="00933373">
            <w:pPr>
              <w:pStyle w:val="Bodyromannumerals"/>
              <w:rPr>
                <w:b/>
                <w:bCs/>
                <w:szCs w:val="22"/>
                <w:bdr w:val="single" w:sz="4" w:space="0" w:color="auto"/>
              </w:rPr>
            </w:pPr>
            <w:r w:rsidRPr="00933373">
              <w:rPr>
                <w:b/>
                <w:bCs/>
              </w:rPr>
              <w:t>Nr.</w:t>
            </w:r>
          </w:p>
        </w:tc>
      </w:tr>
      <w:tr w:rsidR="00940E3A" w:rsidRPr="006466B5" w14:paraId="400F1842"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4EC851FF" w14:textId="77777777" w:rsidR="00940E3A" w:rsidRPr="006466B5" w:rsidRDefault="00940E3A" w:rsidP="00933373">
            <w:pPr>
              <w:pStyle w:val="Bodyromannumerals"/>
              <w:rPr>
                <w:i/>
                <w:sz w:val="22"/>
                <w:szCs w:val="22"/>
              </w:rPr>
            </w:pPr>
            <w:r w:rsidRPr="006466B5">
              <w:rPr>
                <w:i/>
                <w:sz w:val="22"/>
                <w:szCs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75FE83B1" w14:textId="7B4EA0F2" w:rsidR="00940E3A" w:rsidRPr="006466B5" w:rsidRDefault="00940E3A" w:rsidP="00933373">
            <w:pPr>
              <w:pStyle w:val="Bodyromannumerals"/>
              <w:rPr>
                <w:sz w:val="22"/>
                <w:szCs w:val="22"/>
              </w:rPr>
            </w:pPr>
            <w:r w:rsidRPr="007D2817">
              <w:rPr>
                <w:sz w:val="22"/>
                <w:szCs w:val="22"/>
              </w:rPr>
              <w:t xml:space="preserve">The total number of water treatment </w:t>
            </w:r>
            <w:r w:rsidR="002142E2">
              <w:rPr>
                <w:sz w:val="22"/>
                <w:szCs w:val="22"/>
              </w:rPr>
              <w:t>plants</w:t>
            </w:r>
            <w:r w:rsidRPr="007D2817">
              <w:rPr>
                <w:sz w:val="22"/>
                <w:szCs w:val="22"/>
              </w:rPr>
              <w:t xml:space="preserve"> where one or more water quality parameters is subject to temporary </w:t>
            </w:r>
            <w:r w:rsidR="0048080A">
              <w:rPr>
                <w:sz w:val="22"/>
                <w:szCs w:val="22"/>
              </w:rPr>
              <w:t>exemptions for non-compliance</w:t>
            </w:r>
            <w:r w:rsidRPr="007D2817">
              <w:rPr>
                <w:sz w:val="22"/>
                <w:szCs w:val="22"/>
              </w:rPr>
              <w:t>.</w:t>
            </w:r>
          </w:p>
        </w:tc>
      </w:tr>
      <w:tr w:rsidR="00940E3A" w:rsidRPr="006466B5" w14:paraId="4A4112D1"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2278AA" w14:textId="77777777" w:rsidR="00940E3A" w:rsidRPr="006466B5" w:rsidRDefault="00940E3A" w:rsidP="00933373">
            <w:pPr>
              <w:pStyle w:val="Bodyromannumerals"/>
              <w:rPr>
                <w:i/>
                <w:sz w:val="22"/>
                <w:szCs w:val="22"/>
              </w:rPr>
            </w:pPr>
            <w:r w:rsidRPr="006466B5">
              <w:rPr>
                <w:i/>
                <w:sz w:val="22"/>
                <w:szCs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7BDFAF" w14:textId="77777777" w:rsidR="00940E3A" w:rsidRPr="006466B5" w:rsidRDefault="00940E3A" w:rsidP="00933373">
            <w:pPr>
              <w:pStyle w:val="Bodyromannumerals"/>
              <w:rPr>
                <w:sz w:val="22"/>
                <w:szCs w:val="22"/>
              </w:rPr>
            </w:pPr>
            <w:r w:rsidRPr="006466B5">
              <w:rPr>
                <w:sz w:val="22"/>
                <w:szCs w:val="22"/>
              </w:rPr>
              <w:t>Input field</w:t>
            </w:r>
          </w:p>
        </w:tc>
      </w:tr>
    </w:tbl>
    <w:p w14:paraId="1EDBF400" w14:textId="77777777" w:rsidR="008A7980" w:rsidRDefault="008A798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890"/>
        <w:gridCol w:w="839"/>
      </w:tblGrid>
      <w:tr w:rsidR="00940E3A" w:rsidRPr="006466B5" w14:paraId="2393DF87" w14:textId="77777777" w:rsidTr="00285384">
        <w:tc>
          <w:tcPr>
            <w:tcW w:w="756" w:type="pct"/>
          </w:tcPr>
          <w:p w14:paraId="3D7BB863" w14:textId="4E9AAC97" w:rsidR="00940E3A" w:rsidRPr="00933373" w:rsidRDefault="00940E3A" w:rsidP="00933373">
            <w:pPr>
              <w:pStyle w:val="Bodyromannumerals"/>
              <w:rPr>
                <w:b/>
                <w:bCs/>
                <w:szCs w:val="22"/>
              </w:rPr>
            </w:pPr>
            <w:r w:rsidRPr="00933373">
              <w:rPr>
                <w:b/>
                <w:bCs/>
              </w:rPr>
              <w:t>C1.22</w:t>
            </w:r>
          </w:p>
        </w:tc>
        <w:tc>
          <w:tcPr>
            <w:tcW w:w="3689" w:type="pct"/>
            <w:gridSpan w:val="2"/>
          </w:tcPr>
          <w:p w14:paraId="4E5D8D59" w14:textId="7EC5E1CC" w:rsidR="00940E3A" w:rsidRPr="00933373" w:rsidRDefault="00940E3A" w:rsidP="00933373">
            <w:pPr>
              <w:pStyle w:val="Bodyromannumerals"/>
              <w:rPr>
                <w:b/>
                <w:bCs/>
                <w:szCs w:val="22"/>
                <w:bdr w:val="single" w:sz="4" w:space="0" w:color="auto"/>
              </w:rPr>
            </w:pPr>
            <w:r w:rsidRPr="00933373">
              <w:rPr>
                <w:b/>
                <w:bCs/>
                <w:szCs w:val="22"/>
              </w:rPr>
              <w:t xml:space="preserve">Number of service reservoirs tested for </w:t>
            </w:r>
            <w:r w:rsidR="002F0321">
              <w:rPr>
                <w:b/>
                <w:bCs/>
                <w:szCs w:val="22"/>
              </w:rPr>
              <w:t xml:space="preserve">total </w:t>
            </w:r>
            <w:r w:rsidRPr="00933373">
              <w:rPr>
                <w:b/>
                <w:bCs/>
                <w:szCs w:val="22"/>
              </w:rPr>
              <w:t>coliforms</w:t>
            </w:r>
          </w:p>
        </w:tc>
        <w:tc>
          <w:tcPr>
            <w:tcW w:w="555" w:type="pct"/>
          </w:tcPr>
          <w:p w14:paraId="760471EF" w14:textId="4F1F4ECB" w:rsidR="00940E3A" w:rsidRPr="00933373" w:rsidRDefault="00F177D0" w:rsidP="00933373">
            <w:pPr>
              <w:pStyle w:val="Bodyromannumerals"/>
              <w:rPr>
                <w:b/>
                <w:bCs/>
                <w:szCs w:val="22"/>
                <w:bdr w:val="single" w:sz="4" w:space="0" w:color="auto"/>
              </w:rPr>
            </w:pPr>
            <w:r w:rsidRPr="00933373">
              <w:rPr>
                <w:b/>
                <w:bCs/>
              </w:rPr>
              <w:t>Nr.</w:t>
            </w:r>
          </w:p>
        </w:tc>
      </w:tr>
      <w:tr w:rsidR="00940E3A" w:rsidRPr="006466B5" w14:paraId="1187B7D6"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7AF301B3" w14:textId="77777777" w:rsidR="00940E3A" w:rsidRPr="0048080A" w:rsidRDefault="00940E3A" w:rsidP="00933373">
            <w:pPr>
              <w:pStyle w:val="Bodyromannumerals"/>
              <w:rPr>
                <w:i/>
                <w:sz w:val="22"/>
                <w:szCs w:val="22"/>
              </w:rPr>
            </w:pPr>
            <w:r w:rsidRPr="0048080A">
              <w:rPr>
                <w:i/>
                <w:sz w:val="22"/>
                <w:szCs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2F599501" w14:textId="77777777" w:rsidR="00940E3A" w:rsidRPr="00747745" w:rsidRDefault="00940E3A" w:rsidP="00933373">
            <w:pPr>
              <w:pStyle w:val="Bodyromannumerals"/>
              <w:rPr>
                <w:sz w:val="22"/>
                <w:szCs w:val="22"/>
              </w:rPr>
            </w:pPr>
            <w:r w:rsidRPr="006076E4">
              <w:rPr>
                <w:sz w:val="22"/>
                <w:szCs w:val="22"/>
              </w:rPr>
              <w:t xml:space="preserve">The total number of service reservoirs where tests for </w:t>
            </w:r>
            <w:r w:rsidRPr="005E14EA">
              <w:rPr>
                <w:sz w:val="22"/>
                <w:szCs w:val="22"/>
              </w:rPr>
              <w:t>coliforms have been carried out during the reporting year.</w:t>
            </w:r>
          </w:p>
          <w:p w14:paraId="5795310E" w14:textId="2CF06072" w:rsidR="00940E3A" w:rsidRPr="0048080A" w:rsidRDefault="004C6036" w:rsidP="00933373">
            <w:pPr>
              <w:pStyle w:val="Bodyromannumerals"/>
              <w:rPr>
                <w:sz w:val="22"/>
                <w:szCs w:val="22"/>
              </w:rPr>
            </w:pPr>
            <w:r w:rsidRPr="007013F6">
              <w:t xml:space="preserve">In Scotland, the Drinking Water Quality Regulator will only accept manual sampling. In New Zealand, however, we understand that continuous monitoring can be used for some parameters. For the avoidance of doubt, local authorities should report on the same sampling basis that they would use to report as part of the Drinking Water Standards </w:t>
            </w:r>
            <w:r w:rsidR="0048080A" w:rsidRPr="0048080A">
              <w:t xml:space="preserve">for </w:t>
            </w:r>
            <w:r w:rsidRPr="007013F6">
              <w:t xml:space="preserve">New Zealand for the relevant parameter.  </w:t>
            </w:r>
          </w:p>
        </w:tc>
      </w:tr>
      <w:tr w:rsidR="00940E3A" w:rsidRPr="006466B5" w14:paraId="23EA4D55"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A446BD" w14:textId="77777777" w:rsidR="00940E3A" w:rsidRPr="006076E4" w:rsidRDefault="00940E3A" w:rsidP="00933373">
            <w:pPr>
              <w:pStyle w:val="Bodyromannumerals"/>
              <w:rPr>
                <w:i/>
                <w:sz w:val="22"/>
                <w:szCs w:val="22"/>
              </w:rPr>
            </w:pPr>
            <w:r w:rsidRPr="0048080A">
              <w:rPr>
                <w:i/>
                <w:sz w:val="22"/>
                <w:szCs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3A8AC4" w14:textId="77777777" w:rsidR="00940E3A" w:rsidRPr="00747745" w:rsidRDefault="00940E3A" w:rsidP="00933373">
            <w:pPr>
              <w:pStyle w:val="Bodyromannumerals"/>
              <w:rPr>
                <w:sz w:val="22"/>
                <w:szCs w:val="22"/>
              </w:rPr>
            </w:pPr>
            <w:r w:rsidRPr="005E14EA">
              <w:rPr>
                <w:sz w:val="22"/>
                <w:szCs w:val="22"/>
              </w:rPr>
              <w:t>Input field</w:t>
            </w:r>
          </w:p>
        </w:tc>
      </w:tr>
      <w:tr w:rsidR="00940E3A" w:rsidRPr="006466B5" w14:paraId="6F35DAE4" w14:textId="77777777" w:rsidTr="00285384">
        <w:tc>
          <w:tcPr>
            <w:tcW w:w="756" w:type="pct"/>
          </w:tcPr>
          <w:p w14:paraId="6EA57E55" w14:textId="77777777" w:rsidR="00940E3A" w:rsidRPr="00933373" w:rsidRDefault="00940E3A" w:rsidP="00933373">
            <w:pPr>
              <w:pStyle w:val="Bodyromannumerals"/>
              <w:rPr>
                <w:b/>
                <w:bCs/>
                <w:szCs w:val="22"/>
              </w:rPr>
            </w:pPr>
            <w:r w:rsidRPr="00933373">
              <w:rPr>
                <w:b/>
                <w:bCs/>
              </w:rPr>
              <w:t>C1.23</w:t>
            </w:r>
          </w:p>
        </w:tc>
        <w:tc>
          <w:tcPr>
            <w:tcW w:w="3689" w:type="pct"/>
            <w:gridSpan w:val="2"/>
          </w:tcPr>
          <w:p w14:paraId="5DEC7585" w14:textId="35584963" w:rsidR="00940E3A" w:rsidRPr="0048080A" w:rsidRDefault="00940E3A" w:rsidP="00933373">
            <w:pPr>
              <w:pStyle w:val="Bodyromannumerals"/>
              <w:rPr>
                <w:b/>
                <w:bCs/>
                <w:szCs w:val="22"/>
                <w:bdr w:val="single" w:sz="4" w:space="0" w:color="auto"/>
              </w:rPr>
            </w:pPr>
            <w:r w:rsidRPr="0048080A">
              <w:rPr>
                <w:b/>
                <w:bCs/>
                <w:szCs w:val="22"/>
              </w:rPr>
              <w:t>Number of service reservoirs having&gt;5% of</w:t>
            </w:r>
            <w:r w:rsidR="002F0321" w:rsidRPr="0048080A">
              <w:rPr>
                <w:b/>
                <w:bCs/>
                <w:szCs w:val="22"/>
              </w:rPr>
              <w:t xml:space="preserve"> total</w:t>
            </w:r>
            <w:r w:rsidRPr="0048080A">
              <w:rPr>
                <w:b/>
                <w:bCs/>
                <w:szCs w:val="22"/>
              </w:rPr>
              <w:t xml:space="preserve"> coliform samples </w:t>
            </w:r>
            <w:r w:rsidR="00B862DC">
              <w:rPr>
                <w:b/>
                <w:bCs/>
                <w:szCs w:val="22"/>
              </w:rPr>
              <w:t>exceed the compliance value</w:t>
            </w:r>
          </w:p>
        </w:tc>
        <w:tc>
          <w:tcPr>
            <w:tcW w:w="555" w:type="pct"/>
          </w:tcPr>
          <w:p w14:paraId="536545DC" w14:textId="5582ACCF" w:rsidR="00940E3A" w:rsidRPr="005E14EA" w:rsidRDefault="00F177D0" w:rsidP="00933373">
            <w:pPr>
              <w:pStyle w:val="Bodyromannumerals"/>
              <w:rPr>
                <w:b/>
                <w:bCs/>
                <w:szCs w:val="22"/>
                <w:bdr w:val="single" w:sz="4" w:space="0" w:color="auto"/>
              </w:rPr>
            </w:pPr>
            <w:r w:rsidRPr="006076E4">
              <w:rPr>
                <w:b/>
              </w:rPr>
              <w:t>Nr.</w:t>
            </w:r>
          </w:p>
        </w:tc>
      </w:tr>
      <w:tr w:rsidR="00940E3A" w:rsidRPr="006466B5" w14:paraId="4BD1FBFD"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001B5218" w14:textId="77777777" w:rsidR="00940E3A" w:rsidRPr="0048080A" w:rsidRDefault="00940E3A" w:rsidP="00933373">
            <w:pPr>
              <w:pStyle w:val="Bodyromannumerals"/>
              <w:rPr>
                <w:i/>
                <w:sz w:val="22"/>
                <w:szCs w:val="22"/>
              </w:rPr>
            </w:pPr>
            <w:r w:rsidRPr="0048080A">
              <w:rPr>
                <w:i/>
                <w:sz w:val="22"/>
                <w:szCs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6E7C4693" w14:textId="17041D0E" w:rsidR="00940E3A" w:rsidRPr="00747745" w:rsidRDefault="00940E3A" w:rsidP="00933373">
            <w:pPr>
              <w:pStyle w:val="Bodyromannumerals"/>
              <w:rPr>
                <w:sz w:val="22"/>
                <w:szCs w:val="22"/>
              </w:rPr>
            </w:pPr>
            <w:r w:rsidRPr="006076E4">
              <w:rPr>
                <w:sz w:val="22"/>
                <w:szCs w:val="22"/>
              </w:rPr>
              <w:t xml:space="preserve">The total number of service reservoirs where more than 5% of </w:t>
            </w:r>
            <w:r w:rsidRPr="005E14EA">
              <w:rPr>
                <w:sz w:val="22"/>
                <w:szCs w:val="22"/>
              </w:rPr>
              <w:t xml:space="preserve">coliform samples </w:t>
            </w:r>
            <w:r w:rsidR="00B862DC">
              <w:rPr>
                <w:sz w:val="22"/>
                <w:szCs w:val="22"/>
              </w:rPr>
              <w:t>exceed the compliance value</w:t>
            </w:r>
            <w:r w:rsidRPr="005E14EA">
              <w:rPr>
                <w:sz w:val="22"/>
                <w:szCs w:val="22"/>
              </w:rPr>
              <w:t>.</w:t>
            </w:r>
          </w:p>
          <w:p w14:paraId="33292089" w14:textId="468F9652" w:rsidR="00940E3A" w:rsidRPr="007013F6" w:rsidRDefault="00403E94" w:rsidP="00933373">
            <w:pPr>
              <w:pStyle w:val="Bodyromannumerals"/>
            </w:pPr>
            <w:r w:rsidRPr="007013F6">
              <w:t xml:space="preserve">In Scotland, the Drinking Water Quality Regulator will only accept manual sampling. In New Zealand, however, we understand that continuous monitoring can be used for some parameters. For the avoidance of doubt, local authorities should report on the same sampling basis that they would use to report as part of the Drinking Water Standards </w:t>
            </w:r>
            <w:r w:rsidR="0048080A" w:rsidRPr="007013F6">
              <w:t xml:space="preserve">for </w:t>
            </w:r>
            <w:r w:rsidRPr="007013F6">
              <w:t xml:space="preserve">New Zealand for the relevant parameter.  </w:t>
            </w:r>
          </w:p>
        </w:tc>
      </w:tr>
      <w:tr w:rsidR="00940E3A" w:rsidRPr="006466B5" w14:paraId="43910F72"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BD076E" w14:textId="77777777" w:rsidR="00940E3A" w:rsidRPr="006466B5" w:rsidRDefault="00940E3A" w:rsidP="00933373">
            <w:pPr>
              <w:pStyle w:val="Bodyromannumerals"/>
              <w:rPr>
                <w:i/>
                <w:sz w:val="22"/>
                <w:szCs w:val="22"/>
              </w:rPr>
            </w:pPr>
            <w:r w:rsidRPr="006466B5">
              <w:rPr>
                <w:i/>
                <w:sz w:val="22"/>
                <w:szCs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D2DDBA" w14:textId="77777777" w:rsidR="00940E3A" w:rsidRPr="006466B5" w:rsidRDefault="00940E3A" w:rsidP="00933373">
            <w:pPr>
              <w:pStyle w:val="Bodyromannumerals"/>
              <w:rPr>
                <w:sz w:val="22"/>
                <w:szCs w:val="22"/>
              </w:rPr>
            </w:pPr>
            <w:r w:rsidRPr="006466B5">
              <w:rPr>
                <w:sz w:val="22"/>
                <w:szCs w:val="22"/>
              </w:rPr>
              <w:t>Input field</w:t>
            </w:r>
          </w:p>
        </w:tc>
      </w:tr>
    </w:tbl>
    <w:p w14:paraId="2F43B788" w14:textId="77777777" w:rsidR="00B93181" w:rsidRDefault="00B93181" w:rsidP="00933373">
      <w:pPr>
        <w:pStyle w:val="Title1"/>
      </w:pPr>
    </w:p>
    <w:p w14:paraId="081F2157" w14:textId="77777777" w:rsidR="00B93181" w:rsidRDefault="00B93181">
      <w:pPr>
        <w:spacing w:after="160" w:line="259" w:lineRule="auto"/>
        <w:rPr>
          <w:rFonts w:ascii="Segoe UI" w:hAnsi="Segoe UI" w:cs="Segoe UI"/>
          <w:b/>
          <w:bCs/>
          <w:color w:val="03B2C4"/>
          <w:sz w:val="36"/>
          <w:szCs w:val="36"/>
        </w:rPr>
      </w:pPr>
      <w:r>
        <w:br w:type="page"/>
      </w:r>
    </w:p>
    <w:p w14:paraId="6A3FC5EE" w14:textId="53E4B5CB" w:rsidR="00940E3A" w:rsidRPr="008456AD" w:rsidRDefault="00920E44" w:rsidP="00933373">
      <w:pPr>
        <w:pStyle w:val="Title1"/>
      </w:pPr>
      <w:r>
        <w:t>TABLE</w:t>
      </w:r>
      <w:r w:rsidR="00940E3A" w:rsidRPr="008456AD">
        <w:t xml:space="preserve"> C2: WATER QUALITY OUTPUTS – ASSET PERFORMANCE</w:t>
      </w:r>
    </w:p>
    <w:p w14:paraId="2B992F60" w14:textId="6339B031" w:rsidR="00940E3A" w:rsidRPr="008456AD" w:rsidRDefault="00940E3A" w:rsidP="2F76CC7E">
      <w:pPr>
        <w:pStyle w:val="Bodynumbercopy"/>
        <w:numPr>
          <w:ilvl w:val="0"/>
          <w:numId w:val="7"/>
        </w:numPr>
        <w:rPr>
          <w:rFonts w:asciiTheme="minorHAnsi" w:eastAsiaTheme="minorEastAsia" w:hAnsiTheme="minorHAnsi" w:cstheme="minorBidi"/>
        </w:rPr>
      </w:pPr>
      <w:r>
        <w:t xml:space="preserve">This table identifies the extent to which water treatment </w:t>
      </w:r>
      <w:r w:rsidR="002142E2">
        <w:t>plants</w:t>
      </w:r>
      <w:r>
        <w:t xml:space="preserve"> are at risk of non-compliance for six key parameters by monitoring the percentage of samples exceeding 50% of the compliance value. This information will assist in the prioritising of capital maintenance expenditure to minimise the risk of non-compliance.  </w:t>
      </w:r>
    </w:p>
    <w:p w14:paraId="62E02A32" w14:textId="6939C39D" w:rsidR="008B0C17" w:rsidRPr="008456AD" w:rsidRDefault="008B0C17" w:rsidP="00D77653">
      <w:pPr>
        <w:pStyle w:val="Bodynumbercopy"/>
        <w:numPr>
          <w:ilvl w:val="0"/>
          <w:numId w:val="7"/>
        </w:numPr>
      </w:pPr>
      <w:r>
        <w:t xml:space="preserve">The </w:t>
      </w:r>
      <w:r w:rsidR="000011BB">
        <w:t>Local</w:t>
      </w:r>
      <w:r>
        <w:t xml:space="preserve"> Authority should </w:t>
      </w:r>
      <w:r w:rsidR="006C4E2C">
        <w:t xml:space="preserve">complete </w:t>
      </w:r>
      <w:r w:rsidR="008E4DD4">
        <w:t>report</w:t>
      </w:r>
      <w:r w:rsidR="00A12A83">
        <w:t xml:space="preserve"> data </w:t>
      </w:r>
      <w:r w:rsidR="008E4DD4">
        <w:t>for the financial year ending 30 June 2020 (</w:t>
      </w:r>
      <w:r w:rsidR="004C7832">
        <w:t>the reporting year – 2020</w:t>
      </w:r>
      <w:r w:rsidR="008E4DD4">
        <w:t>)</w:t>
      </w:r>
      <w:r w:rsidR="004C7832">
        <w:t xml:space="preserve"> </w:t>
      </w:r>
      <w:r w:rsidR="008E4DD4">
        <w:t>and the financial year ending 30 June 2019 (</w:t>
      </w:r>
      <w:r w:rsidR="00C4427B">
        <w:t>the previous reporting year</w:t>
      </w:r>
      <w:r w:rsidR="004C7832">
        <w:t xml:space="preserve"> – 2019</w:t>
      </w:r>
      <w:r w:rsidR="008E4DD4">
        <w:t>).</w:t>
      </w:r>
      <w:r w:rsidR="003244A3">
        <w:t xml:space="preserve"> </w:t>
      </w:r>
    </w:p>
    <w:p w14:paraId="02B85277" w14:textId="2D4EABFF" w:rsidR="007B444A" w:rsidRDefault="007B444A">
      <w:pPr>
        <w:spacing w:after="160" w:line="259" w:lineRule="auto"/>
        <w:rPr>
          <w:rFonts w:ascii="Calibri" w:hAnsi="Calibri" w:cs="Calibri"/>
          <w:b/>
          <w:color w:val="182B46"/>
          <w:sz w:val="26"/>
        </w:rPr>
      </w:pPr>
    </w:p>
    <w:p w14:paraId="6F02D4AA" w14:textId="63F32AA8" w:rsidR="00940E3A" w:rsidRPr="008456AD" w:rsidRDefault="00940E3A" w:rsidP="00933373">
      <w:pPr>
        <w:pStyle w:val="Sectionsub-heading"/>
      </w:pPr>
      <w:r w:rsidRPr="008456AD">
        <w:t>BLOCK 1: COLIFORMS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890"/>
        <w:gridCol w:w="839"/>
      </w:tblGrid>
      <w:tr w:rsidR="00940E3A" w:rsidRPr="006466B5" w14:paraId="1E272ADB" w14:textId="77777777" w:rsidTr="00607E91">
        <w:tc>
          <w:tcPr>
            <w:tcW w:w="756" w:type="pct"/>
          </w:tcPr>
          <w:p w14:paraId="5AA571F8" w14:textId="77777777" w:rsidR="00940E3A" w:rsidRPr="00933373" w:rsidRDefault="00940E3A" w:rsidP="00933373">
            <w:pPr>
              <w:pStyle w:val="Bodyromannumerals"/>
              <w:rPr>
                <w:b/>
                <w:bCs/>
                <w:szCs w:val="22"/>
              </w:rPr>
            </w:pPr>
            <w:r w:rsidRPr="00933373">
              <w:rPr>
                <w:b/>
                <w:bCs/>
              </w:rPr>
              <w:t>C2.1</w:t>
            </w:r>
          </w:p>
        </w:tc>
        <w:tc>
          <w:tcPr>
            <w:tcW w:w="3689" w:type="pct"/>
            <w:gridSpan w:val="2"/>
          </w:tcPr>
          <w:p w14:paraId="18122CCF" w14:textId="12817102" w:rsidR="00940E3A" w:rsidRPr="00933373" w:rsidRDefault="00940E3A" w:rsidP="00933373">
            <w:pPr>
              <w:pStyle w:val="Bodyromannumerals"/>
              <w:rPr>
                <w:b/>
                <w:bCs/>
                <w:szCs w:val="22"/>
                <w:bdr w:val="single" w:sz="4" w:space="0" w:color="auto"/>
              </w:rPr>
            </w:pPr>
            <w:r w:rsidRPr="00933373">
              <w:rPr>
                <w:b/>
                <w:bCs/>
                <w:szCs w:val="22"/>
              </w:rPr>
              <w:t xml:space="preserve">Number of </w:t>
            </w:r>
            <w:r w:rsidR="0041711B" w:rsidRPr="00933373">
              <w:rPr>
                <w:b/>
                <w:bCs/>
                <w:szCs w:val="22"/>
              </w:rPr>
              <w:t>WT</w:t>
            </w:r>
            <w:r w:rsidR="0041711B">
              <w:rPr>
                <w:b/>
                <w:bCs/>
                <w:szCs w:val="22"/>
              </w:rPr>
              <w:t>P</w:t>
            </w:r>
            <w:r w:rsidR="0041711B" w:rsidRPr="00933373">
              <w:rPr>
                <w:b/>
                <w:bCs/>
                <w:szCs w:val="22"/>
              </w:rPr>
              <w:t xml:space="preserve">s </w:t>
            </w:r>
            <w:r w:rsidRPr="00933373">
              <w:rPr>
                <w:b/>
                <w:bCs/>
                <w:szCs w:val="22"/>
              </w:rPr>
              <w:t xml:space="preserve">tested for </w:t>
            </w:r>
            <w:r w:rsidR="007E7C5E">
              <w:rPr>
                <w:b/>
                <w:bCs/>
                <w:szCs w:val="22"/>
              </w:rPr>
              <w:t xml:space="preserve">total </w:t>
            </w:r>
            <w:r w:rsidRPr="00933373">
              <w:rPr>
                <w:b/>
                <w:bCs/>
                <w:szCs w:val="22"/>
              </w:rPr>
              <w:t>coliforms</w:t>
            </w:r>
          </w:p>
        </w:tc>
        <w:tc>
          <w:tcPr>
            <w:tcW w:w="555" w:type="pct"/>
          </w:tcPr>
          <w:p w14:paraId="0C4DC264" w14:textId="5034A153" w:rsidR="00940E3A" w:rsidRPr="00933373" w:rsidRDefault="00933373" w:rsidP="00933373">
            <w:pPr>
              <w:pStyle w:val="Bodyromannumerals"/>
              <w:rPr>
                <w:b/>
                <w:bCs/>
                <w:szCs w:val="22"/>
                <w:bdr w:val="single" w:sz="4" w:space="0" w:color="auto"/>
              </w:rPr>
            </w:pPr>
            <w:r w:rsidRPr="00933373">
              <w:rPr>
                <w:b/>
                <w:bCs/>
              </w:rPr>
              <w:t>Nr.</w:t>
            </w:r>
          </w:p>
        </w:tc>
      </w:tr>
      <w:tr w:rsidR="00940E3A" w:rsidRPr="006466B5" w14:paraId="50905F76"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5FA3D3B2" w14:textId="77777777" w:rsidR="00940E3A" w:rsidRPr="006466B5" w:rsidRDefault="00940E3A" w:rsidP="00933373">
            <w:pPr>
              <w:pStyle w:val="Bodyromannumerals"/>
              <w:rPr>
                <w:i/>
                <w:sz w:val="22"/>
                <w:szCs w:val="22"/>
              </w:rPr>
            </w:pPr>
            <w:r w:rsidRPr="006466B5">
              <w:rPr>
                <w:i/>
                <w:sz w:val="22"/>
                <w:szCs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646EF838" w14:textId="77777777" w:rsidR="00817099" w:rsidRPr="00886ADF" w:rsidRDefault="00940E3A" w:rsidP="00933373">
            <w:pPr>
              <w:pStyle w:val="Bodyromannumerals"/>
            </w:pPr>
            <w:r w:rsidRPr="00886ADF">
              <w:t xml:space="preserve">The total number of water treatment </w:t>
            </w:r>
            <w:r w:rsidR="002142E2" w:rsidRPr="00886ADF">
              <w:t>plants</w:t>
            </w:r>
            <w:r w:rsidRPr="00886ADF">
              <w:t xml:space="preserve"> where the water has been tested for </w:t>
            </w:r>
            <w:r w:rsidR="00B93400" w:rsidRPr="00886ADF">
              <w:t xml:space="preserve">total </w:t>
            </w:r>
            <w:r w:rsidRPr="00886ADF">
              <w:t>coliforms.</w:t>
            </w:r>
          </w:p>
          <w:p w14:paraId="0001B43B" w14:textId="35ADB125" w:rsidR="00780537" w:rsidRPr="00886ADF" w:rsidRDefault="00817099" w:rsidP="00780537">
            <w:pPr>
              <w:pStyle w:val="Bodyromannumerals"/>
            </w:pPr>
            <w:r w:rsidRPr="00886ADF">
              <w:t xml:space="preserve">In Scotland, the Drinking Water Quality Regulator will only accept manual sampling. In New Zealand, however, we understand that continuous monitoring can be used for some parameters. For the avoidance of doubt, local authorities should report on the same sampling basis that they would use to report as part of the Drinking Water Standards </w:t>
            </w:r>
            <w:r w:rsidR="00BB57E9" w:rsidRPr="00886ADF">
              <w:t xml:space="preserve">for </w:t>
            </w:r>
            <w:r w:rsidRPr="00886ADF">
              <w:t xml:space="preserve">New Zealand for the relevant parameter.  </w:t>
            </w:r>
          </w:p>
          <w:p w14:paraId="2AFD4016" w14:textId="3536112F" w:rsidR="00940E3A" w:rsidRPr="00886ADF" w:rsidRDefault="00780537" w:rsidP="00933373">
            <w:pPr>
              <w:pStyle w:val="Bodyromannumerals"/>
            </w:pPr>
            <w:r w:rsidRPr="00886ADF">
              <w:t>This line should include transgressions.</w:t>
            </w:r>
          </w:p>
        </w:tc>
      </w:tr>
      <w:tr w:rsidR="00940E3A" w:rsidRPr="006466B5" w14:paraId="0AC5FF87"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AB190B" w14:textId="77777777" w:rsidR="00940E3A" w:rsidRPr="006466B5" w:rsidRDefault="00940E3A" w:rsidP="00933373">
            <w:pPr>
              <w:pStyle w:val="Bodyromannumerals"/>
              <w:rPr>
                <w:i/>
                <w:sz w:val="22"/>
                <w:szCs w:val="22"/>
              </w:rPr>
            </w:pPr>
            <w:r w:rsidRPr="006466B5">
              <w:rPr>
                <w:i/>
                <w:sz w:val="22"/>
                <w:szCs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EC9968" w14:textId="77777777" w:rsidR="00940E3A" w:rsidRPr="00886ADF" w:rsidRDefault="00940E3A" w:rsidP="00933373">
            <w:pPr>
              <w:pStyle w:val="Bodyromannumerals"/>
            </w:pPr>
            <w:r w:rsidRPr="00886ADF">
              <w:t>Input field</w:t>
            </w:r>
          </w:p>
        </w:tc>
      </w:tr>
      <w:tr w:rsidR="00940E3A" w:rsidRPr="006466B5" w14:paraId="2080D86B" w14:textId="77777777" w:rsidTr="00607E91">
        <w:tc>
          <w:tcPr>
            <w:tcW w:w="756" w:type="pct"/>
          </w:tcPr>
          <w:p w14:paraId="68E8A23A" w14:textId="77777777" w:rsidR="00940E3A" w:rsidRPr="00933373" w:rsidRDefault="00940E3A" w:rsidP="00933373">
            <w:pPr>
              <w:pStyle w:val="Bodyromannumerals"/>
              <w:rPr>
                <w:b/>
                <w:bCs/>
                <w:szCs w:val="22"/>
              </w:rPr>
            </w:pPr>
            <w:r w:rsidRPr="00933373">
              <w:rPr>
                <w:b/>
                <w:bCs/>
              </w:rPr>
              <w:t>C2.2</w:t>
            </w:r>
          </w:p>
        </w:tc>
        <w:tc>
          <w:tcPr>
            <w:tcW w:w="3689" w:type="pct"/>
            <w:gridSpan w:val="2"/>
          </w:tcPr>
          <w:p w14:paraId="3FA47026" w14:textId="0AD90E68" w:rsidR="00940E3A" w:rsidRPr="00933373" w:rsidRDefault="00940E3A" w:rsidP="00933373">
            <w:pPr>
              <w:pStyle w:val="Bodyromannumerals"/>
              <w:rPr>
                <w:b/>
                <w:bCs/>
                <w:szCs w:val="22"/>
                <w:bdr w:val="single" w:sz="4" w:space="0" w:color="auto"/>
              </w:rPr>
            </w:pPr>
            <w:r w:rsidRPr="00933373">
              <w:rPr>
                <w:b/>
                <w:bCs/>
                <w:szCs w:val="22"/>
              </w:rPr>
              <w:t xml:space="preserve">Number of </w:t>
            </w:r>
            <w:r w:rsidR="0041711B" w:rsidRPr="00933373">
              <w:rPr>
                <w:b/>
                <w:bCs/>
                <w:szCs w:val="22"/>
              </w:rPr>
              <w:t>WT</w:t>
            </w:r>
            <w:r w:rsidR="0041711B">
              <w:rPr>
                <w:b/>
                <w:bCs/>
                <w:szCs w:val="22"/>
              </w:rPr>
              <w:t>P</w:t>
            </w:r>
            <w:r w:rsidR="0041711B" w:rsidRPr="00933373">
              <w:rPr>
                <w:b/>
                <w:bCs/>
                <w:szCs w:val="22"/>
              </w:rPr>
              <w:t xml:space="preserve">s </w:t>
            </w:r>
            <w:r w:rsidRPr="00933373">
              <w:rPr>
                <w:b/>
                <w:bCs/>
                <w:szCs w:val="22"/>
              </w:rPr>
              <w:t>where any samples exceed the compliance value</w:t>
            </w:r>
          </w:p>
        </w:tc>
        <w:tc>
          <w:tcPr>
            <w:tcW w:w="555" w:type="pct"/>
          </w:tcPr>
          <w:p w14:paraId="226F3CEB" w14:textId="25EF40E4" w:rsidR="00940E3A" w:rsidRPr="00933373" w:rsidRDefault="00933373" w:rsidP="00933373">
            <w:pPr>
              <w:pStyle w:val="Bodyromannumerals"/>
              <w:rPr>
                <w:b/>
                <w:bCs/>
                <w:szCs w:val="22"/>
                <w:bdr w:val="single" w:sz="4" w:space="0" w:color="auto"/>
              </w:rPr>
            </w:pPr>
            <w:r w:rsidRPr="00933373">
              <w:rPr>
                <w:b/>
                <w:bCs/>
              </w:rPr>
              <w:t>Nr.</w:t>
            </w:r>
          </w:p>
        </w:tc>
      </w:tr>
      <w:tr w:rsidR="00940E3A" w:rsidRPr="006466B5" w14:paraId="2DF1B0AE"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09FB3A92" w14:textId="77777777" w:rsidR="00940E3A" w:rsidRPr="006466B5" w:rsidRDefault="00940E3A" w:rsidP="00933373">
            <w:pPr>
              <w:pStyle w:val="Bodyromannumerals"/>
              <w:rPr>
                <w:i/>
                <w:sz w:val="22"/>
                <w:szCs w:val="22"/>
              </w:rPr>
            </w:pPr>
            <w:r w:rsidRPr="006466B5">
              <w:rPr>
                <w:i/>
                <w:sz w:val="22"/>
                <w:szCs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02AAB563" w14:textId="37979CE8" w:rsidR="000F6F9A" w:rsidRPr="00886ADF" w:rsidRDefault="00940E3A" w:rsidP="00933373">
            <w:pPr>
              <w:pStyle w:val="Bodyromannumerals"/>
            </w:pPr>
            <w:r w:rsidRPr="00886ADF">
              <w:t xml:space="preserve">The total number of water treatment </w:t>
            </w:r>
            <w:r w:rsidR="002142E2" w:rsidRPr="00886ADF">
              <w:t>plants</w:t>
            </w:r>
            <w:r w:rsidRPr="00886ADF">
              <w:t xml:space="preserve"> </w:t>
            </w:r>
            <w:r w:rsidR="00BE444A" w:rsidRPr="00886ADF">
              <w:t>that exceed the compliance value for total coliforms</w:t>
            </w:r>
            <w:r w:rsidRPr="00886ADF">
              <w:t>.</w:t>
            </w:r>
          </w:p>
          <w:p w14:paraId="25630558" w14:textId="04779F67" w:rsidR="008D6B28" w:rsidRPr="00886ADF" w:rsidRDefault="008D6B28" w:rsidP="00933373">
            <w:pPr>
              <w:pStyle w:val="Bodyromannumerals"/>
            </w:pPr>
            <w:r w:rsidRPr="00886ADF">
              <w:t xml:space="preserve">For the avoidance of doubt, a WTP </w:t>
            </w:r>
            <w:r w:rsidR="00BE444A" w:rsidRPr="00886ADF">
              <w:t xml:space="preserve">exceeding the compliance value for one sample </w:t>
            </w:r>
            <w:r w:rsidRPr="00886ADF">
              <w:t>would mean that the WTP would be non-compliant</w:t>
            </w:r>
            <w:r w:rsidR="00BE444A" w:rsidRPr="00886ADF">
              <w:t>.</w:t>
            </w:r>
          </w:p>
          <w:p w14:paraId="0602A146" w14:textId="2C48DF49" w:rsidR="00940E3A" w:rsidRPr="00886ADF" w:rsidRDefault="00BB57E9" w:rsidP="00933373">
            <w:pPr>
              <w:pStyle w:val="Bodyromannumerals"/>
            </w:pPr>
            <w:r w:rsidRPr="00886ADF">
              <w:t xml:space="preserve"> </w:t>
            </w:r>
          </w:p>
        </w:tc>
      </w:tr>
      <w:tr w:rsidR="00940E3A" w:rsidRPr="006466B5" w14:paraId="3C0278A2"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13CA2B" w14:textId="77777777" w:rsidR="00940E3A" w:rsidRPr="006466B5" w:rsidRDefault="00940E3A" w:rsidP="00933373">
            <w:pPr>
              <w:pStyle w:val="Bodyromannumerals"/>
              <w:rPr>
                <w:i/>
                <w:sz w:val="22"/>
                <w:szCs w:val="22"/>
              </w:rPr>
            </w:pPr>
            <w:r w:rsidRPr="006466B5">
              <w:rPr>
                <w:i/>
                <w:sz w:val="22"/>
                <w:szCs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3FADFD" w14:textId="77777777" w:rsidR="00940E3A" w:rsidRPr="00886ADF" w:rsidRDefault="00940E3A" w:rsidP="00933373">
            <w:pPr>
              <w:pStyle w:val="Bodyromannumerals"/>
            </w:pPr>
            <w:r w:rsidRPr="00886ADF">
              <w:t>Input field</w:t>
            </w:r>
          </w:p>
        </w:tc>
      </w:tr>
    </w:tbl>
    <w:p w14:paraId="1858D0F3" w14:textId="77777777" w:rsidR="00F0345D" w:rsidRDefault="00F0345D" w:rsidP="00F45DB1">
      <w:pPr>
        <w:pStyle w:val="Sectionsub-heading"/>
      </w:pPr>
      <w:r>
        <w:br w:type="page"/>
      </w:r>
    </w:p>
    <w:p w14:paraId="45DAC1C2" w14:textId="18F55F61" w:rsidR="00940E3A" w:rsidRPr="008456AD" w:rsidRDefault="00940E3A" w:rsidP="00F45DB1">
      <w:pPr>
        <w:pStyle w:val="Sectionsub-heading"/>
      </w:pPr>
      <w:r w:rsidRPr="008456AD">
        <w:t>BLOCK 2: TRIHALOMETHANES (THMs)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890"/>
        <w:gridCol w:w="839"/>
      </w:tblGrid>
      <w:tr w:rsidR="00940E3A" w:rsidRPr="006466B5" w14:paraId="50DFD997" w14:textId="77777777" w:rsidTr="00607E91">
        <w:tc>
          <w:tcPr>
            <w:tcW w:w="756" w:type="pct"/>
          </w:tcPr>
          <w:p w14:paraId="74480052" w14:textId="77777777" w:rsidR="00940E3A" w:rsidRPr="00933373" w:rsidRDefault="00940E3A" w:rsidP="00933373">
            <w:pPr>
              <w:pStyle w:val="Bodyromannumerals"/>
              <w:rPr>
                <w:b/>
                <w:bCs/>
                <w:szCs w:val="22"/>
              </w:rPr>
            </w:pPr>
            <w:r w:rsidRPr="00933373">
              <w:rPr>
                <w:b/>
                <w:bCs/>
              </w:rPr>
              <w:t>C2.3</w:t>
            </w:r>
          </w:p>
        </w:tc>
        <w:tc>
          <w:tcPr>
            <w:tcW w:w="3689" w:type="pct"/>
            <w:gridSpan w:val="2"/>
          </w:tcPr>
          <w:p w14:paraId="0941499F" w14:textId="440A537E" w:rsidR="00940E3A" w:rsidRPr="00933373" w:rsidRDefault="00940E3A" w:rsidP="00933373">
            <w:pPr>
              <w:pStyle w:val="Bodyromannumerals"/>
              <w:rPr>
                <w:b/>
                <w:bCs/>
                <w:szCs w:val="22"/>
                <w:bdr w:val="single" w:sz="4" w:space="0" w:color="auto"/>
              </w:rPr>
            </w:pPr>
            <w:r w:rsidRPr="00933373">
              <w:rPr>
                <w:b/>
                <w:bCs/>
                <w:szCs w:val="22"/>
              </w:rPr>
              <w:t xml:space="preserve">Number of </w:t>
            </w:r>
            <w:r w:rsidR="002844C2">
              <w:rPr>
                <w:b/>
                <w:bCs/>
                <w:szCs w:val="22"/>
              </w:rPr>
              <w:t>d</w:t>
            </w:r>
            <w:r w:rsidR="00A945C0">
              <w:rPr>
                <w:b/>
                <w:bCs/>
                <w:szCs w:val="22"/>
              </w:rPr>
              <w:t xml:space="preserve">istribution </w:t>
            </w:r>
            <w:r w:rsidR="002844C2">
              <w:rPr>
                <w:b/>
                <w:bCs/>
                <w:szCs w:val="22"/>
              </w:rPr>
              <w:t>zones</w:t>
            </w:r>
            <w:r w:rsidR="0041711B" w:rsidRPr="00933373">
              <w:rPr>
                <w:b/>
                <w:bCs/>
                <w:szCs w:val="22"/>
              </w:rPr>
              <w:t xml:space="preserve"> </w:t>
            </w:r>
            <w:r w:rsidRPr="00933373">
              <w:rPr>
                <w:b/>
                <w:bCs/>
                <w:szCs w:val="22"/>
              </w:rPr>
              <w:t>tested for THMs</w:t>
            </w:r>
          </w:p>
        </w:tc>
        <w:tc>
          <w:tcPr>
            <w:tcW w:w="555" w:type="pct"/>
          </w:tcPr>
          <w:p w14:paraId="28B207BE" w14:textId="1B858400" w:rsidR="00940E3A" w:rsidRPr="00933373" w:rsidRDefault="00933373" w:rsidP="00933373">
            <w:pPr>
              <w:pStyle w:val="Bodyromannumerals"/>
              <w:rPr>
                <w:b/>
                <w:bCs/>
                <w:szCs w:val="22"/>
                <w:bdr w:val="single" w:sz="4" w:space="0" w:color="auto"/>
              </w:rPr>
            </w:pPr>
            <w:r w:rsidRPr="00933373">
              <w:rPr>
                <w:b/>
                <w:bCs/>
              </w:rPr>
              <w:t>Nr.</w:t>
            </w:r>
          </w:p>
        </w:tc>
      </w:tr>
      <w:tr w:rsidR="00940E3A" w:rsidRPr="006466B5" w14:paraId="4D0A5D5C"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36AB6054" w14:textId="77777777" w:rsidR="00940E3A" w:rsidRPr="006466B5" w:rsidRDefault="00940E3A" w:rsidP="00933373">
            <w:pPr>
              <w:pStyle w:val="Bodyromannumerals"/>
              <w:rPr>
                <w:i/>
                <w:sz w:val="22"/>
                <w:szCs w:val="22"/>
              </w:rPr>
            </w:pPr>
            <w:r w:rsidRPr="006466B5">
              <w:rPr>
                <w:i/>
                <w:sz w:val="22"/>
                <w:szCs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679B54A0" w14:textId="255C20DD" w:rsidR="00940E3A" w:rsidRPr="006466B5" w:rsidRDefault="00940E3A" w:rsidP="00933373">
            <w:pPr>
              <w:pStyle w:val="Bodyromannumerals"/>
              <w:rPr>
                <w:sz w:val="22"/>
                <w:szCs w:val="22"/>
              </w:rPr>
            </w:pPr>
            <w:r w:rsidRPr="00C95312">
              <w:rPr>
                <w:sz w:val="22"/>
                <w:szCs w:val="22"/>
              </w:rPr>
              <w:t xml:space="preserve">The total number of </w:t>
            </w:r>
            <w:r w:rsidR="009F5AF7">
              <w:rPr>
                <w:sz w:val="22"/>
                <w:szCs w:val="22"/>
              </w:rPr>
              <w:t>distribution zones</w:t>
            </w:r>
            <w:r w:rsidRPr="00C95312">
              <w:rPr>
                <w:sz w:val="22"/>
                <w:szCs w:val="22"/>
              </w:rPr>
              <w:t xml:space="preserve"> where the water has been tested for trihalomethanes.</w:t>
            </w:r>
          </w:p>
        </w:tc>
      </w:tr>
      <w:tr w:rsidR="00940E3A" w:rsidRPr="006466B5" w14:paraId="6E257A05"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AC6718" w14:textId="77777777" w:rsidR="00940E3A" w:rsidRPr="006466B5" w:rsidRDefault="00940E3A" w:rsidP="00933373">
            <w:pPr>
              <w:pStyle w:val="Bodyromannumerals"/>
              <w:rPr>
                <w:i/>
                <w:sz w:val="22"/>
                <w:szCs w:val="22"/>
              </w:rPr>
            </w:pPr>
            <w:r w:rsidRPr="006466B5">
              <w:rPr>
                <w:i/>
                <w:sz w:val="22"/>
                <w:szCs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FBC0EF" w14:textId="77777777" w:rsidR="00940E3A" w:rsidRPr="006466B5" w:rsidRDefault="00940E3A" w:rsidP="00933373">
            <w:pPr>
              <w:pStyle w:val="Bodyromannumerals"/>
              <w:rPr>
                <w:sz w:val="22"/>
                <w:szCs w:val="22"/>
              </w:rPr>
            </w:pPr>
            <w:r w:rsidRPr="006466B5">
              <w:rPr>
                <w:sz w:val="22"/>
                <w:szCs w:val="22"/>
              </w:rPr>
              <w:t>Input field</w:t>
            </w:r>
          </w:p>
        </w:tc>
      </w:tr>
    </w:tbl>
    <w:p w14:paraId="31A3C1A4" w14:textId="6CC8D828" w:rsidR="00B93181" w:rsidRDefault="00B931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399"/>
        <w:gridCol w:w="491"/>
        <w:gridCol w:w="839"/>
      </w:tblGrid>
      <w:tr w:rsidR="00940E3A" w:rsidRPr="006466B5" w14:paraId="721DAA05" w14:textId="77777777" w:rsidTr="00607E91">
        <w:tc>
          <w:tcPr>
            <w:tcW w:w="756" w:type="pct"/>
          </w:tcPr>
          <w:p w14:paraId="2EC712EB" w14:textId="24CEEE96" w:rsidR="00940E3A" w:rsidRPr="00933373" w:rsidRDefault="00940E3A" w:rsidP="00933373">
            <w:pPr>
              <w:pStyle w:val="Bodyromannumerals"/>
              <w:rPr>
                <w:b/>
                <w:bCs/>
                <w:szCs w:val="22"/>
              </w:rPr>
            </w:pPr>
            <w:r w:rsidRPr="00933373">
              <w:rPr>
                <w:b/>
                <w:bCs/>
                <w:szCs w:val="22"/>
              </w:rPr>
              <w:t>C2.4</w:t>
            </w:r>
          </w:p>
        </w:tc>
        <w:tc>
          <w:tcPr>
            <w:tcW w:w="3689" w:type="pct"/>
            <w:gridSpan w:val="3"/>
          </w:tcPr>
          <w:p w14:paraId="262D9A03" w14:textId="4C9265E5" w:rsidR="00940E3A" w:rsidRPr="00933373" w:rsidRDefault="00940E3A" w:rsidP="00933373">
            <w:pPr>
              <w:pStyle w:val="Bodyromannumerals"/>
              <w:rPr>
                <w:b/>
                <w:bCs/>
                <w:szCs w:val="22"/>
                <w:bdr w:val="single" w:sz="4" w:space="0" w:color="auto"/>
              </w:rPr>
            </w:pPr>
            <w:r w:rsidRPr="00933373">
              <w:rPr>
                <w:b/>
                <w:bCs/>
                <w:szCs w:val="22"/>
              </w:rPr>
              <w:t xml:space="preserve">Number of </w:t>
            </w:r>
            <w:r w:rsidR="0040782C">
              <w:rPr>
                <w:b/>
                <w:bCs/>
                <w:szCs w:val="22"/>
              </w:rPr>
              <w:t xml:space="preserve">distribution zones </w:t>
            </w:r>
            <w:r w:rsidRPr="00933373">
              <w:rPr>
                <w:b/>
                <w:bCs/>
                <w:szCs w:val="22"/>
              </w:rPr>
              <w:t xml:space="preserve">where&gt;=25% of samples exceed 50% of the </w:t>
            </w:r>
            <w:r w:rsidR="009A117E">
              <w:rPr>
                <w:b/>
                <w:bCs/>
                <w:szCs w:val="22"/>
              </w:rPr>
              <w:t xml:space="preserve">maximum acceptable </w:t>
            </w:r>
            <w:r w:rsidRPr="00933373">
              <w:rPr>
                <w:b/>
                <w:bCs/>
                <w:szCs w:val="22"/>
              </w:rPr>
              <w:t>value</w:t>
            </w:r>
          </w:p>
        </w:tc>
        <w:tc>
          <w:tcPr>
            <w:tcW w:w="555" w:type="pct"/>
          </w:tcPr>
          <w:p w14:paraId="3E7A3A5C" w14:textId="7F5F7968" w:rsidR="00940E3A" w:rsidRPr="00933373" w:rsidRDefault="00933373" w:rsidP="00933373">
            <w:pPr>
              <w:pStyle w:val="Bodyromannumerals"/>
              <w:rPr>
                <w:b/>
                <w:bCs/>
                <w:szCs w:val="22"/>
                <w:bdr w:val="single" w:sz="4" w:space="0" w:color="auto"/>
              </w:rPr>
            </w:pPr>
            <w:r w:rsidRPr="00933373">
              <w:rPr>
                <w:b/>
                <w:bCs/>
              </w:rPr>
              <w:t>Nr.</w:t>
            </w:r>
          </w:p>
        </w:tc>
      </w:tr>
      <w:tr w:rsidR="00940E3A" w:rsidRPr="006466B5" w14:paraId="61E01F91"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77107068" w14:textId="77777777" w:rsidR="00940E3A" w:rsidRPr="006466B5" w:rsidRDefault="00940E3A" w:rsidP="00933373">
            <w:pPr>
              <w:pStyle w:val="Bodyromannumerals"/>
            </w:pPr>
            <w:r w:rsidRPr="006466B5">
              <w:t>Definition:</w:t>
            </w:r>
          </w:p>
        </w:tc>
        <w:tc>
          <w:tcPr>
            <w:tcW w:w="3790" w:type="pct"/>
            <w:gridSpan w:val="3"/>
            <w:tcBorders>
              <w:left w:val="single" w:sz="4" w:space="0" w:color="FFFFFF" w:themeColor="background1"/>
              <w:bottom w:val="single" w:sz="4" w:space="0" w:color="FFFFFF" w:themeColor="background1"/>
              <w:right w:val="single" w:sz="4" w:space="0" w:color="FFFFFF" w:themeColor="background1"/>
            </w:tcBorders>
          </w:tcPr>
          <w:p w14:paraId="2815ABB3" w14:textId="44869B31" w:rsidR="00940E3A" w:rsidRDefault="00940E3A" w:rsidP="00933373">
            <w:pPr>
              <w:pStyle w:val="Bodyromannumerals"/>
            </w:pPr>
            <w:r w:rsidRPr="00C95312">
              <w:t xml:space="preserve">The total number of </w:t>
            </w:r>
            <w:r w:rsidR="0040782C">
              <w:t>distribution zones</w:t>
            </w:r>
            <w:r w:rsidRPr="00C95312">
              <w:t xml:space="preserve"> where greater than or equal to 25% of the samples taken exceed 50% of the THM </w:t>
            </w:r>
            <w:r w:rsidR="009A117E">
              <w:t>maximum acceptable</w:t>
            </w:r>
            <w:r w:rsidR="009A117E" w:rsidRPr="00C95312">
              <w:t xml:space="preserve"> </w:t>
            </w:r>
            <w:r w:rsidRPr="00C95312">
              <w:t>value.</w:t>
            </w:r>
          </w:p>
          <w:p w14:paraId="6268CD5D" w14:textId="681945BB" w:rsidR="00C73BAD" w:rsidRPr="007013F6" w:rsidRDefault="00C73BAD" w:rsidP="00C73BAD">
            <w:pPr>
              <w:pStyle w:val="Bodyromannumerals"/>
            </w:pPr>
            <w:r w:rsidRPr="007013F6">
              <w:t xml:space="preserve">In Scotland, the Drinking Water Quality Regulator will only accept manual sampling. In New Zealand, however, we understand that continuous monitoring can be used for some parameters. For the avoidance of doubt, local authorities should report on the same sampling basis that they would use to report as part of the Drinking Water Standards </w:t>
            </w:r>
            <w:r w:rsidR="00BB57E9" w:rsidRPr="007013F6">
              <w:t xml:space="preserve">for </w:t>
            </w:r>
            <w:r w:rsidRPr="007013F6">
              <w:t xml:space="preserve">New Zealand for the relevant parameter.  </w:t>
            </w:r>
          </w:p>
          <w:p w14:paraId="4CB549E1" w14:textId="699B52BB" w:rsidR="00940E3A" w:rsidRPr="006466B5" w:rsidRDefault="00C73BAD" w:rsidP="00933373">
            <w:pPr>
              <w:pStyle w:val="Bodyromannumerals"/>
            </w:pPr>
            <w:r w:rsidRPr="007013F6">
              <w:t>This line should include transgressions.</w:t>
            </w:r>
          </w:p>
        </w:tc>
      </w:tr>
      <w:tr w:rsidR="00940E3A" w:rsidRPr="006466B5" w14:paraId="68F2E4E5"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7EDEA" w14:textId="77777777" w:rsidR="00940E3A" w:rsidRPr="006466B5" w:rsidRDefault="00940E3A" w:rsidP="00933373">
            <w:pPr>
              <w:pStyle w:val="Bodyromannumerals"/>
            </w:pPr>
            <w:r w:rsidRPr="006466B5">
              <w:t>Processing rules:</w:t>
            </w:r>
          </w:p>
        </w:tc>
        <w:tc>
          <w:tcPr>
            <w:tcW w:w="379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DF2DF6" w14:textId="77777777" w:rsidR="00940E3A" w:rsidRPr="006466B5" w:rsidRDefault="00940E3A" w:rsidP="00933373">
            <w:pPr>
              <w:pStyle w:val="Bodyromannumerals"/>
            </w:pPr>
            <w:r w:rsidRPr="006466B5">
              <w:t>Input field</w:t>
            </w:r>
          </w:p>
        </w:tc>
      </w:tr>
      <w:tr w:rsidR="00940E3A" w:rsidRPr="006466B5" w14:paraId="3C4399B0" w14:textId="77777777" w:rsidTr="00607E91">
        <w:tc>
          <w:tcPr>
            <w:tcW w:w="756" w:type="pct"/>
          </w:tcPr>
          <w:p w14:paraId="49441DAD" w14:textId="77777777" w:rsidR="00940E3A" w:rsidRPr="00933373" w:rsidRDefault="00940E3A" w:rsidP="00933373">
            <w:pPr>
              <w:pStyle w:val="Bodyromannumerals"/>
              <w:rPr>
                <w:b/>
                <w:bCs/>
              </w:rPr>
            </w:pPr>
            <w:r w:rsidRPr="00933373">
              <w:rPr>
                <w:b/>
                <w:bCs/>
              </w:rPr>
              <w:t>C2.5</w:t>
            </w:r>
          </w:p>
        </w:tc>
        <w:tc>
          <w:tcPr>
            <w:tcW w:w="3364" w:type="pct"/>
            <w:gridSpan w:val="2"/>
          </w:tcPr>
          <w:p w14:paraId="553352AF" w14:textId="0F864425" w:rsidR="00940E3A" w:rsidRPr="00933373" w:rsidRDefault="00940E3A" w:rsidP="00933373">
            <w:pPr>
              <w:pStyle w:val="Bodyromannumerals"/>
              <w:rPr>
                <w:b/>
                <w:bCs/>
                <w:bdr w:val="single" w:sz="4" w:space="0" w:color="auto"/>
              </w:rPr>
            </w:pPr>
            <w:r w:rsidRPr="00933373">
              <w:rPr>
                <w:b/>
                <w:bCs/>
              </w:rPr>
              <w:t>N</w:t>
            </w:r>
            <w:r w:rsidR="00ED1947">
              <w:rPr>
                <w:b/>
                <w:bCs/>
              </w:rPr>
              <w:t>umber</w:t>
            </w:r>
            <w:r w:rsidRPr="00933373">
              <w:rPr>
                <w:b/>
                <w:bCs/>
              </w:rPr>
              <w:t xml:space="preserve"> of </w:t>
            </w:r>
            <w:r w:rsidR="002844C2">
              <w:rPr>
                <w:b/>
                <w:bCs/>
              </w:rPr>
              <w:t>distribution zones</w:t>
            </w:r>
            <w:r w:rsidR="002844C2" w:rsidRPr="00933373">
              <w:rPr>
                <w:b/>
                <w:bCs/>
              </w:rPr>
              <w:t xml:space="preserve"> </w:t>
            </w:r>
            <w:r w:rsidRPr="00933373">
              <w:rPr>
                <w:b/>
                <w:bCs/>
              </w:rPr>
              <w:t xml:space="preserve">where between 10 to 25% of samples exceed 50% of the </w:t>
            </w:r>
            <w:r w:rsidR="00F7042B">
              <w:rPr>
                <w:b/>
                <w:bCs/>
              </w:rPr>
              <w:t xml:space="preserve">maximum acceptable </w:t>
            </w:r>
            <w:r w:rsidRPr="00933373">
              <w:rPr>
                <w:b/>
                <w:bCs/>
              </w:rPr>
              <w:t>value</w:t>
            </w:r>
          </w:p>
        </w:tc>
        <w:tc>
          <w:tcPr>
            <w:tcW w:w="880" w:type="pct"/>
            <w:gridSpan w:val="2"/>
          </w:tcPr>
          <w:p w14:paraId="2CF7DF70" w14:textId="76C74542" w:rsidR="00940E3A" w:rsidRPr="00933373" w:rsidRDefault="00933373" w:rsidP="00933373">
            <w:pPr>
              <w:pStyle w:val="Bodyromannumerals"/>
              <w:rPr>
                <w:b/>
                <w:bCs/>
                <w:bdr w:val="single" w:sz="4" w:space="0" w:color="auto"/>
              </w:rPr>
            </w:pPr>
            <w:r w:rsidRPr="00933373">
              <w:rPr>
                <w:b/>
                <w:bCs/>
              </w:rPr>
              <w:t>Nr.</w:t>
            </w:r>
          </w:p>
        </w:tc>
      </w:tr>
      <w:tr w:rsidR="00940E3A" w:rsidRPr="006466B5" w14:paraId="15FC6F34"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086BD227" w14:textId="77777777" w:rsidR="00940E3A" w:rsidRPr="004906C1" w:rsidRDefault="00940E3A" w:rsidP="00933373">
            <w:pPr>
              <w:pStyle w:val="Bodyromannumerals"/>
              <w:rPr>
                <w:i/>
                <w:iCs/>
              </w:rPr>
            </w:pPr>
            <w:r w:rsidRPr="004906C1">
              <w:rPr>
                <w:i/>
                <w:iCs/>
              </w:rPr>
              <w:t>Definition:</w:t>
            </w:r>
          </w:p>
        </w:tc>
        <w:tc>
          <w:tcPr>
            <w:tcW w:w="3790" w:type="pct"/>
            <w:gridSpan w:val="3"/>
            <w:tcBorders>
              <w:left w:val="single" w:sz="4" w:space="0" w:color="FFFFFF" w:themeColor="background1"/>
              <w:bottom w:val="single" w:sz="4" w:space="0" w:color="FFFFFF" w:themeColor="background1"/>
              <w:right w:val="single" w:sz="4" w:space="0" w:color="FFFFFF" w:themeColor="background1"/>
            </w:tcBorders>
          </w:tcPr>
          <w:p w14:paraId="5DA85403" w14:textId="3EE42CC4" w:rsidR="00940E3A" w:rsidRPr="00BB57E9" w:rsidRDefault="00940E3A" w:rsidP="00933373">
            <w:pPr>
              <w:pStyle w:val="Bodyromannumerals"/>
            </w:pPr>
            <w:r w:rsidRPr="00C95312">
              <w:t xml:space="preserve">The total number of </w:t>
            </w:r>
            <w:r w:rsidR="009F5AF7">
              <w:t>distribution zones</w:t>
            </w:r>
            <w:r w:rsidRPr="00C95312">
              <w:t xml:space="preserve"> where between 10 and 25% of samples taken exceed </w:t>
            </w:r>
            <w:r w:rsidRPr="00BB57E9">
              <w:t xml:space="preserve">50% of the THM </w:t>
            </w:r>
            <w:r w:rsidR="009A117E" w:rsidRPr="00BB57E9">
              <w:t xml:space="preserve">maximum acceptable </w:t>
            </w:r>
            <w:r w:rsidRPr="00BB57E9">
              <w:t>value</w:t>
            </w:r>
            <w:r w:rsidR="004906C1" w:rsidRPr="00BB57E9">
              <w:t>.</w:t>
            </w:r>
          </w:p>
          <w:p w14:paraId="1DABEB15" w14:textId="77777777" w:rsidR="00C73BAD" w:rsidRPr="007013F6" w:rsidRDefault="00C73BAD" w:rsidP="00C73BAD">
            <w:pPr>
              <w:pStyle w:val="Bodyromannumerals"/>
            </w:pPr>
            <w:r w:rsidRPr="007013F6">
              <w:t xml:space="preserve">In Scotland, the Drinking Water Quality Regulator will only accept manual sampling. In New Zealand, however, we understand that continuous monitoring can be used for some parameters. For the avoidance of doubt, local authorities should report on the same sampling basis that they would use to report as part of the Drinking Water Standards New Zealand for the relevant parameter.  </w:t>
            </w:r>
          </w:p>
          <w:p w14:paraId="2B69D426" w14:textId="67663EFF" w:rsidR="00940E3A" w:rsidRPr="006466B5" w:rsidRDefault="00C73BAD" w:rsidP="00933373">
            <w:pPr>
              <w:pStyle w:val="Bodyromannumerals"/>
            </w:pPr>
            <w:r w:rsidRPr="007013F6">
              <w:t>This line should include transgressions.</w:t>
            </w:r>
          </w:p>
        </w:tc>
      </w:tr>
      <w:tr w:rsidR="00940E3A" w:rsidRPr="006466B5" w14:paraId="21404A07"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42D69D" w14:textId="77777777" w:rsidR="00940E3A" w:rsidRPr="004906C1" w:rsidRDefault="00940E3A" w:rsidP="00933373">
            <w:pPr>
              <w:pStyle w:val="Bodyromannumerals"/>
              <w:rPr>
                <w:i/>
                <w:iCs/>
              </w:rPr>
            </w:pPr>
            <w:r w:rsidRPr="004906C1">
              <w:rPr>
                <w:i/>
                <w:iCs/>
              </w:rPr>
              <w:t>Processing rules:</w:t>
            </w:r>
          </w:p>
        </w:tc>
        <w:tc>
          <w:tcPr>
            <w:tcW w:w="379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300BC4" w14:textId="77777777" w:rsidR="00940E3A" w:rsidRPr="006466B5" w:rsidRDefault="00940E3A" w:rsidP="00933373">
            <w:pPr>
              <w:pStyle w:val="Bodyromannumerals"/>
            </w:pPr>
            <w:r w:rsidRPr="006466B5">
              <w:t>Input field</w:t>
            </w:r>
          </w:p>
        </w:tc>
      </w:tr>
    </w:tbl>
    <w:p w14:paraId="62E858F8" w14:textId="3E29219D" w:rsidR="007B444A" w:rsidRDefault="007B444A"/>
    <w:p w14:paraId="19685BEF" w14:textId="77777777" w:rsidR="00F2362C" w:rsidRDefault="00F2362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399"/>
        <w:gridCol w:w="1330"/>
      </w:tblGrid>
      <w:tr w:rsidR="00940E3A" w:rsidRPr="006466B5" w14:paraId="6544B570" w14:textId="77777777" w:rsidTr="00607E91">
        <w:tc>
          <w:tcPr>
            <w:tcW w:w="756" w:type="pct"/>
          </w:tcPr>
          <w:p w14:paraId="3A64B0B5" w14:textId="70521E7C" w:rsidR="00940E3A" w:rsidRPr="00933373" w:rsidRDefault="00940E3A" w:rsidP="00933373">
            <w:pPr>
              <w:pStyle w:val="Bodyromannumerals"/>
              <w:rPr>
                <w:b/>
                <w:bCs/>
              </w:rPr>
            </w:pPr>
            <w:r w:rsidRPr="00933373">
              <w:rPr>
                <w:b/>
                <w:bCs/>
              </w:rPr>
              <w:t>C2.6</w:t>
            </w:r>
          </w:p>
        </w:tc>
        <w:tc>
          <w:tcPr>
            <w:tcW w:w="3364" w:type="pct"/>
            <w:gridSpan w:val="2"/>
          </w:tcPr>
          <w:p w14:paraId="43DBD224" w14:textId="4A8E10EA" w:rsidR="00940E3A" w:rsidRPr="00933373" w:rsidRDefault="00940E3A" w:rsidP="00933373">
            <w:pPr>
              <w:pStyle w:val="Bodyromannumerals"/>
              <w:rPr>
                <w:b/>
                <w:bCs/>
                <w:bdr w:val="single" w:sz="4" w:space="0" w:color="auto"/>
              </w:rPr>
            </w:pPr>
            <w:r w:rsidRPr="00933373">
              <w:rPr>
                <w:b/>
                <w:bCs/>
              </w:rPr>
              <w:t xml:space="preserve">Number of </w:t>
            </w:r>
            <w:r w:rsidR="001013A5">
              <w:rPr>
                <w:b/>
                <w:bCs/>
              </w:rPr>
              <w:t>distribution</w:t>
            </w:r>
            <w:r w:rsidR="001013A5" w:rsidRPr="00933373">
              <w:rPr>
                <w:b/>
                <w:bCs/>
              </w:rPr>
              <w:t xml:space="preserve"> </w:t>
            </w:r>
            <w:r w:rsidR="009F5AF7">
              <w:rPr>
                <w:b/>
                <w:bCs/>
              </w:rPr>
              <w:t xml:space="preserve">zones </w:t>
            </w:r>
            <w:r w:rsidRPr="00933373">
              <w:rPr>
                <w:b/>
                <w:bCs/>
              </w:rPr>
              <w:t>where &lt;10% of samples exceed 50% of the</w:t>
            </w:r>
            <w:r w:rsidR="00F7042B">
              <w:rPr>
                <w:b/>
                <w:bCs/>
              </w:rPr>
              <w:t xml:space="preserve"> maximum acceptable</w:t>
            </w:r>
            <w:r w:rsidRPr="00933373">
              <w:rPr>
                <w:b/>
                <w:bCs/>
              </w:rPr>
              <w:t xml:space="preserve"> value</w:t>
            </w:r>
          </w:p>
        </w:tc>
        <w:tc>
          <w:tcPr>
            <w:tcW w:w="880" w:type="pct"/>
          </w:tcPr>
          <w:p w14:paraId="6319865E" w14:textId="325266AA" w:rsidR="00940E3A" w:rsidRPr="00933373" w:rsidRDefault="00933373" w:rsidP="00933373">
            <w:pPr>
              <w:pStyle w:val="Bodyromannumerals"/>
              <w:rPr>
                <w:b/>
                <w:bCs/>
                <w:bdr w:val="single" w:sz="4" w:space="0" w:color="auto"/>
              </w:rPr>
            </w:pPr>
            <w:r w:rsidRPr="00933373">
              <w:rPr>
                <w:b/>
                <w:bCs/>
              </w:rPr>
              <w:t>Nr.</w:t>
            </w:r>
          </w:p>
        </w:tc>
      </w:tr>
      <w:tr w:rsidR="00940E3A" w:rsidRPr="006466B5" w14:paraId="07C70903"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17F17C1B" w14:textId="77777777" w:rsidR="00940E3A" w:rsidRPr="004906C1" w:rsidRDefault="00940E3A" w:rsidP="00933373">
            <w:pPr>
              <w:pStyle w:val="Bodyromannumerals"/>
              <w:rPr>
                <w:i/>
                <w:iCs/>
              </w:rPr>
            </w:pPr>
            <w:r w:rsidRPr="004906C1">
              <w:rPr>
                <w:i/>
                <w:iCs/>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2A4BD0DC" w14:textId="67135F33" w:rsidR="00940E3A" w:rsidRPr="00BB57E9" w:rsidRDefault="00940E3A" w:rsidP="00933373">
            <w:pPr>
              <w:pStyle w:val="Bodyromannumerals"/>
            </w:pPr>
            <w:r w:rsidRPr="00C95312">
              <w:t xml:space="preserve">The total number of </w:t>
            </w:r>
            <w:r w:rsidR="009F5AF7">
              <w:t>distribution zones</w:t>
            </w:r>
            <w:r w:rsidRPr="00C95312">
              <w:t xml:space="preserve"> where less than 10% of the samples taken exceed 50% </w:t>
            </w:r>
            <w:r w:rsidRPr="00BB57E9">
              <w:t xml:space="preserve">of the </w:t>
            </w:r>
            <w:r w:rsidR="00F24BE5">
              <w:t xml:space="preserve">THM </w:t>
            </w:r>
            <w:r w:rsidR="009A117E" w:rsidRPr="00BB57E9">
              <w:t xml:space="preserve">maximum acceptable </w:t>
            </w:r>
            <w:r w:rsidRPr="00BB57E9">
              <w:t>value.</w:t>
            </w:r>
          </w:p>
          <w:p w14:paraId="39984D4E" w14:textId="77777777" w:rsidR="00C73BAD" w:rsidRPr="007013F6" w:rsidRDefault="00C73BAD" w:rsidP="00C73BAD">
            <w:pPr>
              <w:pStyle w:val="Bodyromannumerals"/>
            </w:pPr>
            <w:r w:rsidRPr="007013F6">
              <w:t xml:space="preserve">In Scotland, the Drinking Water Quality Regulator will only accept manual sampling. In New Zealand, however, we understand that continuous monitoring can be used for some parameters. For the avoidance of doubt, local authorities should report on the same sampling basis that they would use to report as part of the Drinking Water Standards New Zealand for the relevant parameter.  </w:t>
            </w:r>
          </w:p>
          <w:p w14:paraId="2632D94C" w14:textId="22DA8AD2" w:rsidR="00940E3A" w:rsidRPr="006466B5" w:rsidRDefault="00C73BAD" w:rsidP="00933373">
            <w:pPr>
              <w:pStyle w:val="Bodyromannumerals"/>
            </w:pPr>
            <w:r w:rsidRPr="007013F6">
              <w:t>This line should include transgressions.</w:t>
            </w:r>
          </w:p>
        </w:tc>
      </w:tr>
      <w:tr w:rsidR="00940E3A" w:rsidRPr="006466B5" w14:paraId="7CB3F65F"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B167BE" w14:textId="77777777" w:rsidR="00940E3A" w:rsidRPr="004906C1" w:rsidRDefault="00940E3A" w:rsidP="00933373">
            <w:pPr>
              <w:pStyle w:val="Bodyromannumerals"/>
              <w:rPr>
                <w:i/>
                <w:iCs/>
              </w:rPr>
            </w:pPr>
            <w:r w:rsidRPr="004906C1">
              <w:rPr>
                <w:i/>
                <w:iCs/>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E5D1F2" w14:textId="77777777" w:rsidR="00940E3A" w:rsidRPr="006466B5" w:rsidRDefault="00940E3A" w:rsidP="00933373">
            <w:pPr>
              <w:pStyle w:val="Bodyromannumerals"/>
            </w:pPr>
            <w:r w:rsidRPr="006466B5">
              <w:t>Input field</w:t>
            </w:r>
          </w:p>
        </w:tc>
      </w:tr>
    </w:tbl>
    <w:p w14:paraId="1EFF82F7" w14:textId="77777777" w:rsidR="00940E3A" w:rsidRPr="008456AD" w:rsidRDefault="00940E3A" w:rsidP="00933373">
      <w:pPr>
        <w:pStyle w:val="Sectionsub-heading"/>
      </w:pPr>
      <w:r w:rsidRPr="008456AD">
        <w:t>BLOCK 3: TURBIDITY</w:t>
      </w:r>
    </w:p>
    <w:p w14:paraId="4B4FF94C" w14:textId="77777777" w:rsidR="00940E3A" w:rsidRPr="006466B5" w:rsidRDefault="00940E3A" w:rsidP="00940E3A">
      <w:pPr>
        <w:pStyle w:val="Heade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399"/>
        <w:gridCol w:w="1330"/>
      </w:tblGrid>
      <w:tr w:rsidR="00940E3A" w:rsidRPr="006466B5" w14:paraId="4B9F69D2" w14:textId="77777777" w:rsidTr="00607E91">
        <w:tc>
          <w:tcPr>
            <w:tcW w:w="756" w:type="pct"/>
          </w:tcPr>
          <w:p w14:paraId="561BC1F5" w14:textId="77777777" w:rsidR="00940E3A" w:rsidRPr="00933373" w:rsidRDefault="00940E3A" w:rsidP="00933373">
            <w:pPr>
              <w:pStyle w:val="Bodyromannumerals"/>
              <w:rPr>
                <w:b/>
                <w:bCs/>
              </w:rPr>
            </w:pPr>
            <w:r w:rsidRPr="00933373">
              <w:rPr>
                <w:b/>
                <w:bCs/>
              </w:rPr>
              <w:t>C2.7</w:t>
            </w:r>
          </w:p>
        </w:tc>
        <w:tc>
          <w:tcPr>
            <w:tcW w:w="3364" w:type="pct"/>
            <w:gridSpan w:val="2"/>
          </w:tcPr>
          <w:p w14:paraId="01ECBCAF" w14:textId="46B6A44F" w:rsidR="00940E3A" w:rsidRPr="00933373" w:rsidRDefault="00940E3A" w:rsidP="00933373">
            <w:pPr>
              <w:pStyle w:val="Bodyromannumerals"/>
              <w:rPr>
                <w:b/>
                <w:bCs/>
                <w:sz w:val="22"/>
                <w:bdr w:val="single" w:sz="4" w:space="0" w:color="auto"/>
              </w:rPr>
            </w:pPr>
            <w:r w:rsidRPr="00933373">
              <w:rPr>
                <w:b/>
                <w:bCs/>
                <w:sz w:val="22"/>
              </w:rPr>
              <w:t xml:space="preserve">Number of </w:t>
            </w:r>
            <w:r w:rsidR="009F5AF7" w:rsidRPr="00933373">
              <w:rPr>
                <w:b/>
                <w:bCs/>
                <w:sz w:val="22"/>
              </w:rPr>
              <w:t>WT</w:t>
            </w:r>
            <w:r w:rsidR="009F5AF7">
              <w:rPr>
                <w:b/>
                <w:bCs/>
                <w:sz w:val="22"/>
              </w:rPr>
              <w:t>P</w:t>
            </w:r>
            <w:r w:rsidR="009F5AF7" w:rsidRPr="00933373">
              <w:rPr>
                <w:b/>
                <w:bCs/>
                <w:sz w:val="22"/>
              </w:rPr>
              <w:t xml:space="preserve">s </w:t>
            </w:r>
            <w:r w:rsidRPr="00933373">
              <w:rPr>
                <w:b/>
                <w:bCs/>
                <w:sz w:val="22"/>
              </w:rPr>
              <w:t>tested for turbidity</w:t>
            </w:r>
          </w:p>
        </w:tc>
        <w:tc>
          <w:tcPr>
            <w:tcW w:w="880" w:type="pct"/>
          </w:tcPr>
          <w:p w14:paraId="720F2F88" w14:textId="19EC218F" w:rsidR="00940E3A" w:rsidRPr="00933373" w:rsidRDefault="00933373" w:rsidP="00933373">
            <w:pPr>
              <w:pStyle w:val="Bodyromannumerals"/>
              <w:rPr>
                <w:b/>
                <w:bCs/>
                <w:bdr w:val="single" w:sz="4" w:space="0" w:color="auto"/>
              </w:rPr>
            </w:pPr>
            <w:r w:rsidRPr="00933373">
              <w:rPr>
                <w:b/>
                <w:bCs/>
              </w:rPr>
              <w:t>Nr.</w:t>
            </w:r>
          </w:p>
        </w:tc>
      </w:tr>
      <w:tr w:rsidR="00940E3A" w:rsidRPr="006466B5" w14:paraId="337C41E2"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3DAB7FF8" w14:textId="77777777" w:rsidR="00940E3A" w:rsidRPr="006466B5" w:rsidRDefault="00940E3A" w:rsidP="00933373">
            <w:pPr>
              <w:pStyle w:val="Bodyromannumerals"/>
              <w:rPr>
                <w:i/>
                <w:sz w:val="22"/>
              </w:rPr>
            </w:pPr>
            <w:r w:rsidRPr="006466B5">
              <w:rPr>
                <w:i/>
                <w:sz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3CABE10A" w14:textId="77777777" w:rsidR="00940E3A" w:rsidRDefault="00940E3A" w:rsidP="00933373">
            <w:pPr>
              <w:pStyle w:val="Bodyromannumerals"/>
              <w:rPr>
                <w:sz w:val="22"/>
              </w:rPr>
            </w:pPr>
            <w:r w:rsidRPr="00C95312">
              <w:rPr>
                <w:sz w:val="22"/>
              </w:rPr>
              <w:t xml:space="preserve">The total number of water treatment </w:t>
            </w:r>
            <w:r w:rsidR="002142E2">
              <w:rPr>
                <w:sz w:val="22"/>
              </w:rPr>
              <w:t>plants</w:t>
            </w:r>
            <w:r w:rsidRPr="00C95312">
              <w:rPr>
                <w:sz w:val="22"/>
              </w:rPr>
              <w:t xml:space="preserve"> where the water has been tested for turbidity.</w:t>
            </w:r>
          </w:p>
          <w:p w14:paraId="77592F66" w14:textId="4DA13645" w:rsidR="00940E3A" w:rsidRPr="006466B5" w:rsidRDefault="00940E3A" w:rsidP="00933373">
            <w:pPr>
              <w:pStyle w:val="Bodyromannumerals"/>
              <w:rPr>
                <w:sz w:val="22"/>
              </w:rPr>
            </w:pPr>
          </w:p>
        </w:tc>
      </w:tr>
      <w:tr w:rsidR="00940E3A" w:rsidRPr="006466B5" w14:paraId="076CBB69"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F84F3F" w14:textId="77777777" w:rsidR="00940E3A" w:rsidRPr="006466B5" w:rsidRDefault="00940E3A" w:rsidP="00933373">
            <w:pPr>
              <w:pStyle w:val="Bodyromannumerals"/>
              <w:rPr>
                <w:i/>
                <w:sz w:val="22"/>
              </w:rPr>
            </w:pPr>
            <w:r w:rsidRPr="006466B5">
              <w:rPr>
                <w:i/>
                <w:sz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04FD0E" w14:textId="77777777" w:rsidR="00940E3A" w:rsidRPr="006466B5" w:rsidRDefault="00940E3A" w:rsidP="00933373">
            <w:pPr>
              <w:pStyle w:val="Bodyromannumerals"/>
              <w:rPr>
                <w:sz w:val="22"/>
              </w:rPr>
            </w:pPr>
            <w:r w:rsidRPr="006466B5">
              <w:rPr>
                <w:sz w:val="22"/>
              </w:rPr>
              <w:t>Input field</w:t>
            </w:r>
          </w:p>
        </w:tc>
      </w:tr>
      <w:tr w:rsidR="00940E3A" w:rsidRPr="006466B5" w14:paraId="6C25F7E9" w14:textId="77777777" w:rsidTr="00607E91">
        <w:tc>
          <w:tcPr>
            <w:tcW w:w="756" w:type="pct"/>
          </w:tcPr>
          <w:p w14:paraId="715E5CE5" w14:textId="77777777" w:rsidR="00940E3A" w:rsidRPr="00933373" w:rsidRDefault="00940E3A" w:rsidP="00933373">
            <w:pPr>
              <w:pStyle w:val="Bodyromannumerals"/>
              <w:rPr>
                <w:b/>
                <w:bCs/>
              </w:rPr>
            </w:pPr>
            <w:r w:rsidRPr="00933373">
              <w:rPr>
                <w:b/>
                <w:bCs/>
              </w:rPr>
              <w:t>C2.8</w:t>
            </w:r>
          </w:p>
        </w:tc>
        <w:tc>
          <w:tcPr>
            <w:tcW w:w="3364" w:type="pct"/>
            <w:gridSpan w:val="2"/>
          </w:tcPr>
          <w:p w14:paraId="4C1EAE68" w14:textId="204A1420" w:rsidR="00940E3A" w:rsidRPr="00933373" w:rsidRDefault="00940E3A" w:rsidP="00933373">
            <w:pPr>
              <w:pStyle w:val="Bodyromannumerals"/>
              <w:rPr>
                <w:b/>
                <w:bCs/>
                <w:bdr w:val="single" w:sz="4" w:space="0" w:color="auto"/>
              </w:rPr>
            </w:pPr>
            <w:r w:rsidRPr="00933373">
              <w:rPr>
                <w:b/>
                <w:bCs/>
              </w:rPr>
              <w:t xml:space="preserve">Number of </w:t>
            </w:r>
            <w:r w:rsidR="009F5AF7" w:rsidRPr="00933373">
              <w:rPr>
                <w:b/>
                <w:bCs/>
              </w:rPr>
              <w:t>WT</w:t>
            </w:r>
            <w:r w:rsidR="009F5AF7">
              <w:rPr>
                <w:b/>
                <w:bCs/>
              </w:rPr>
              <w:t>P</w:t>
            </w:r>
            <w:r w:rsidR="009F5AF7" w:rsidRPr="00933373">
              <w:rPr>
                <w:b/>
                <w:bCs/>
              </w:rPr>
              <w:t xml:space="preserve">s </w:t>
            </w:r>
            <w:r w:rsidRPr="00933373">
              <w:rPr>
                <w:b/>
                <w:bCs/>
              </w:rPr>
              <w:t xml:space="preserve">where&gt;=25% of samples exceed 50% of the </w:t>
            </w:r>
            <w:r w:rsidR="000D0A77">
              <w:rPr>
                <w:b/>
                <w:bCs/>
              </w:rPr>
              <w:t>guideline</w:t>
            </w:r>
            <w:r w:rsidR="000D0A77" w:rsidRPr="00933373">
              <w:rPr>
                <w:b/>
                <w:bCs/>
              </w:rPr>
              <w:t xml:space="preserve"> </w:t>
            </w:r>
            <w:r w:rsidRPr="00933373">
              <w:rPr>
                <w:b/>
                <w:bCs/>
              </w:rPr>
              <w:t>value</w:t>
            </w:r>
          </w:p>
        </w:tc>
        <w:tc>
          <w:tcPr>
            <w:tcW w:w="880" w:type="pct"/>
          </w:tcPr>
          <w:p w14:paraId="5015B74D" w14:textId="576DD346" w:rsidR="00940E3A" w:rsidRPr="00933373" w:rsidRDefault="00933373" w:rsidP="00933373">
            <w:pPr>
              <w:pStyle w:val="Bodyromannumerals"/>
              <w:rPr>
                <w:b/>
                <w:bCs/>
                <w:bdr w:val="single" w:sz="4" w:space="0" w:color="auto"/>
              </w:rPr>
            </w:pPr>
            <w:r w:rsidRPr="00933373">
              <w:rPr>
                <w:b/>
                <w:bCs/>
              </w:rPr>
              <w:t>Nr.</w:t>
            </w:r>
          </w:p>
        </w:tc>
      </w:tr>
      <w:tr w:rsidR="00940E3A" w:rsidRPr="006466B5" w14:paraId="3F4CE976" w14:textId="77777777" w:rsidTr="007013F6">
        <w:trPr>
          <w:trHeight w:val="910"/>
        </w:trPr>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07A497EA" w14:textId="77777777" w:rsidR="00940E3A" w:rsidRPr="006466B5" w:rsidRDefault="00940E3A" w:rsidP="00933373">
            <w:pPr>
              <w:pStyle w:val="Bodyromannumerals"/>
              <w:rPr>
                <w:i/>
                <w:sz w:val="22"/>
              </w:rPr>
            </w:pPr>
            <w:r w:rsidRPr="006466B5">
              <w:rPr>
                <w:i/>
                <w:sz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0167ECE6" w14:textId="54F2D96E" w:rsidR="00940E3A" w:rsidRPr="00155D58" w:rsidRDefault="00940E3A" w:rsidP="00933373">
            <w:pPr>
              <w:pStyle w:val="Bodyromannumerals"/>
              <w:rPr>
                <w:sz w:val="22"/>
              </w:rPr>
            </w:pPr>
            <w:r w:rsidRPr="00C95312">
              <w:rPr>
                <w:sz w:val="22"/>
              </w:rPr>
              <w:t xml:space="preserve">The total number of water treatment </w:t>
            </w:r>
            <w:r w:rsidR="002142E2">
              <w:rPr>
                <w:sz w:val="22"/>
              </w:rPr>
              <w:t>plants</w:t>
            </w:r>
            <w:r w:rsidRPr="00C95312">
              <w:rPr>
                <w:sz w:val="22"/>
              </w:rPr>
              <w:t xml:space="preserve"> where the greater than or equal to 25% of the samples taken exceed </w:t>
            </w:r>
            <w:r w:rsidRPr="00155D58">
              <w:rPr>
                <w:sz w:val="22"/>
              </w:rPr>
              <w:t xml:space="preserve">50% of the turbidity </w:t>
            </w:r>
            <w:r w:rsidR="001E747B" w:rsidRPr="00155D58">
              <w:rPr>
                <w:sz w:val="22"/>
              </w:rPr>
              <w:t xml:space="preserve">guideline </w:t>
            </w:r>
            <w:r w:rsidRPr="00155D58">
              <w:rPr>
                <w:sz w:val="22"/>
              </w:rPr>
              <w:t>value.</w:t>
            </w:r>
          </w:p>
          <w:p w14:paraId="0AF7E3AA" w14:textId="3552490B" w:rsidR="00780537" w:rsidRPr="007013F6" w:rsidRDefault="00780537" w:rsidP="00780537">
            <w:pPr>
              <w:pStyle w:val="Bodyromannumerals"/>
            </w:pPr>
            <w:r w:rsidRPr="007013F6">
              <w:t>In Scotland, the Drinking Water Quality Regulator will only accept manual sampling. In New Zealand, however, we understand that continuous monitoring can be used for some parameters. For the avoidance of doubt, local authorities should report on the same sampling basis that they would use to report as part of the Drinking Water Standards</w:t>
            </w:r>
            <w:r w:rsidR="00155D58" w:rsidRPr="007013F6">
              <w:t xml:space="preserve"> for</w:t>
            </w:r>
            <w:r w:rsidRPr="007013F6">
              <w:t xml:space="preserve"> New Zealand for the relevant parameter.  </w:t>
            </w:r>
          </w:p>
          <w:p w14:paraId="50649FA2" w14:textId="62E59566" w:rsidR="00940E3A" w:rsidRPr="006466B5" w:rsidRDefault="00780537" w:rsidP="00933373">
            <w:pPr>
              <w:pStyle w:val="Bodyromannumerals"/>
              <w:rPr>
                <w:sz w:val="22"/>
              </w:rPr>
            </w:pPr>
            <w:r w:rsidRPr="007013F6">
              <w:t>This line should include transgressions.</w:t>
            </w:r>
          </w:p>
        </w:tc>
      </w:tr>
      <w:tr w:rsidR="00940E3A" w:rsidRPr="006466B5" w14:paraId="196715AC"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A52505" w14:textId="77777777" w:rsidR="00940E3A" w:rsidRPr="006466B5" w:rsidRDefault="00940E3A" w:rsidP="00933373">
            <w:pPr>
              <w:pStyle w:val="Bodyromannumerals"/>
              <w:rPr>
                <w:i/>
                <w:sz w:val="22"/>
              </w:rPr>
            </w:pPr>
            <w:r w:rsidRPr="006466B5">
              <w:rPr>
                <w:i/>
                <w:sz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89D96D" w14:textId="77777777" w:rsidR="00940E3A" w:rsidRPr="006466B5" w:rsidRDefault="00940E3A" w:rsidP="00933373">
            <w:pPr>
              <w:pStyle w:val="Bodyromannumerals"/>
              <w:rPr>
                <w:sz w:val="22"/>
              </w:rPr>
            </w:pPr>
            <w:r w:rsidRPr="006466B5">
              <w:rPr>
                <w:sz w:val="22"/>
              </w:rPr>
              <w:t>Input field</w:t>
            </w:r>
          </w:p>
        </w:tc>
      </w:tr>
    </w:tbl>
    <w:p w14:paraId="11A58BB3" w14:textId="77777777" w:rsidR="00F2362C" w:rsidRDefault="00F2362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399"/>
        <w:gridCol w:w="1330"/>
      </w:tblGrid>
      <w:tr w:rsidR="00940E3A" w:rsidRPr="006466B5" w14:paraId="0AB97D02" w14:textId="77777777" w:rsidTr="00607E91">
        <w:tc>
          <w:tcPr>
            <w:tcW w:w="756" w:type="pct"/>
          </w:tcPr>
          <w:p w14:paraId="22B7309E" w14:textId="539B8E0E" w:rsidR="00940E3A" w:rsidRPr="00933373" w:rsidRDefault="00940E3A" w:rsidP="00933373">
            <w:pPr>
              <w:pStyle w:val="Bodyromannumerals"/>
              <w:rPr>
                <w:b/>
                <w:bCs/>
              </w:rPr>
            </w:pPr>
            <w:r w:rsidRPr="00933373">
              <w:rPr>
                <w:b/>
                <w:bCs/>
              </w:rPr>
              <w:t>C2.9</w:t>
            </w:r>
          </w:p>
        </w:tc>
        <w:tc>
          <w:tcPr>
            <w:tcW w:w="3364" w:type="pct"/>
            <w:gridSpan w:val="2"/>
          </w:tcPr>
          <w:p w14:paraId="68D0DBA9" w14:textId="46178E32" w:rsidR="00940E3A" w:rsidRPr="00933373" w:rsidRDefault="00940E3A" w:rsidP="00933373">
            <w:pPr>
              <w:pStyle w:val="Bodyromannumerals"/>
              <w:rPr>
                <w:b/>
                <w:bCs/>
                <w:bdr w:val="single" w:sz="4" w:space="0" w:color="auto"/>
              </w:rPr>
            </w:pPr>
            <w:r w:rsidRPr="00933373">
              <w:rPr>
                <w:b/>
                <w:bCs/>
              </w:rPr>
              <w:t>N</w:t>
            </w:r>
            <w:r w:rsidR="007A1ED5">
              <w:rPr>
                <w:b/>
                <w:bCs/>
              </w:rPr>
              <w:t>umber</w:t>
            </w:r>
            <w:r w:rsidRPr="00933373">
              <w:rPr>
                <w:b/>
                <w:bCs/>
              </w:rPr>
              <w:t xml:space="preserve"> of </w:t>
            </w:r>
            <w:r w:rsidR="009A117E" w:rsidRPr="00933373">
              <w:rPr>
                <w:b/>
                <w:bCs/>
              </w:rPr>
              <w:t>WT</w:t>
            </w:r>
            <w:r w:rsidR="009A117E">
              <w:rPr>
                <w:b/>
                <w:bCs/>
              </w:rPr>
              <w:t>P</w:t>
            </w:r>
            <w:r w:rsidR="009A117E" w:rsidRPr="00933373">
              <w:rPr>
                <w:b/>
                <w:bCs/>
              </w:rPr>
              <w:t xml:space="preserve">s </w:t>
            </w:r>
            <w:r w:rsidRPr="00933373">
              <w:rPr>
                <w:b/>
                <w:bCs/>
              </w:rPr>
              <w:t xml:space="preserve">where between 10 to 25% of samples exceed 50% of the </w:t>
            </w:r>
            <w:r w:rsidR="001E747B">
              <w:rPr>
                <w:b/>
                <w:bCs/>
              </w:rPr>
              <w:t>guideline</w:t>
            </w:r>
            <w:r w:rsidRPr="00933373">
              <w:rPr>
                <w:b/>
                <w:bCs/>
              </w:rPr>
              <w:t xml:space="preserve"> value</w:t>
            </w:r>
          </w:p>
        </w:tc>
        <w:tc>
          <w:tcPr>
            <w:tcW w:w="880" w:type="pct"/>
          </w:tcPr>
          <w:p w14:paraId="2F87E06D" w14:textId="12C4F47D" w:rsidR="00940E3A" w:rsidRPr="00933373" w:rsidRDefault="00933373" w:rsidP="00933373">
            <w:pPr>
              <w:pStyle w:val="Bodyromannumerals"/>
              <w:rPr>
                <w:b/>
                <w:bCs/>
                <w:bdr w:val="single" w:sz="4" w:space="0" w:color="auto"/>
              </w:rPr>
            </w:pPr>
            <w:r w:rsidRPr="00933373">
              <w:rPr>
                <w:b/>
                <w:bCs/>
              </w:rPr>
              <w:t>Nr.</w:t>
            </w:r>
          </w:p>
        </w:tc>
      </w:tr>
      <w:tr w:rsidR="00940E3A" w:rsidRPr="006466B5" w14:paraId="51D776E8"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08FD6D2D" w14:textId="77777777" w:rsidR="00940E3A" w:rsidRPr="00155D58" w:rsidRDefault="00940E3A" w:rsidP="00933373">
            <w:pPr>
              <w:pStyle w:val="Bodyromannumerals"/>
              <w:rPr>
                <w:i/>
                <w:sz w:val="22"/>
              </w:rPr>
            </w:pPr>
            <w:r w:rsidRPr="00155D58">
              <w:rPr>
                <w:i/>
                <w:sz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260F2C10" w14:textId="10B6E3D1" w:rsidR="00940E3A" w:rsidRPr="00155D58" w:rsidRDefault="00940E3A" w:rsidP="00933373">
            <w:pPr>
              <w:pStyle w:val="Bodyromannumerals"/>
              <w:rPr>
                <w:sz w:val="22"/>
              </w:rPr>
            </w:pPr>
            <w:r w:rsidRPr="00155D58">
              <w:rPr>
                <w:sz w:val="22"/>
              </w:rPr>
              <w:t xml:space="preserve">The total number of water treatment </w:t>
            </w:r>
            <w:r w:rsidR="002142E2" w:rsidRPr="00155D58">
              <w:rPr>
                <w:sz w:val="22"/>
              </w:rPr>
              <w:t>plants</w:t>
            </w:r>
            <w:r w:rsidRPr="00155D58">
              <w:rPr>
                <w:sz w:val="22"/>
              </w:rPr>
              <w:t xml:space="preserve"> where between 10 and 25% of samples taken exceed 50% of the turbidity </w:t>
            </w:r>
            <w:r w:rsidR="001E747B" w:rsidRPr="00155D58">
              <w:rPr>
                <w:sz w:val="22"/>
              </w:rPr>
              <w:t xml:space="preserve">guideline </w:t>
            </w:r>
            <w:r w:rsidRPr="00155D58">
              <w:rPr>
                <w:sz w:val="22"/>
              </w:rPr>
              <w:t>value.</w:t>
            </w:r>
          </w:p>
          <w:p w14:paraId="2F1A2FD0" w14:textId="131F3106" w:rsidR="00780537" w:rsidRPr="007013F6" w:rsidRDefault="00780537" w:rsidP="00780537">
            <w:pPr>
              <w:pStyle w:val="Bodyromannumerals"/>
            </w:pPr>
            <w:r w:rsidRPr="007013F6">
              <w:t xml:space="preserve">In Scotland, the Drinking Water Quality Regulator will only accept manual sampling. In New Zealand, however, we understand that continuous monitoring can be used for some parameters. For the avoidance of doubt, local authorities should report on the same sampling basis that they would use to report as part of the Drinking Water Standards </w:t>
            </w:r>
            <w:r w:rsidR="00155D58" w:rsidRPr="007013F6">
              <w:t xml:space="preserve">for </w:t>
            </w:r>
            <w:r w:rsidRPr="007013F6">
              <w:t xml:space="preserve">New Zealand for the relevant parameter.  </w:t>
            </w:r>
          </w:p>
          <w:p w14:paraId="7D521AB4" w14:textId="1AA91BC7" w:rsidR="00940E3A" w:rsidRPr="00155D58" w:rsidRDefault="00780537" w:rsidP="00933373">
            <w:pPr>
              <w:pStyle w:val="Bodyromannumerals"/>
              <w:rPr>
                <w:sz w:val="22"/>
              </w:rPr>
            </w:pPr>
            <w:r w:rsidRPr="007013F6">
              <w:t>This line should include transgressions.</w:t>
            </w:r>
          </w:p>
        </w:tc>
      </w:tr>
      <w:tr w:rsidR="00940E3A" w:rsidRPr="006466B5" w14:paraId="584937F7"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F98483" w14:textId="77777777" w:rsidR="00940E3A" w:rsidRPr="006466B5" w:rsidRDefault="00940E3A" w:rsidP="00933373">
            <w:pPr>
              <w:pStyle w:val="Bodyromannumerals"/>
              <w:rPr>
                <w:i/>
                <w:sz w:val="22"/>
              </w:rPr>
            </w:pPr>
            <w:r w:rsidRPr="006466B5">
              <w:rPr>
                <w:i/>
                <w:sz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5D7472" w14:textId="77777777" w:rsidR="00940E3A" w:rsidRPr="006466B5" w:rsidRDefault="00940E3A" w:rsidP="00933373">
            <w:pPr>
              <w:pStyle w:val="Bodyromannumerals"/>
              <w:rPr>
                <w:sz w:val="22"/>
              </w:rPr>
            </w:pPr>
            <w:r w:rsidRPr="006466B5">
              <w:rPr>
                <w:sz w:val="22"/>
              </w:rPr>
              <w:t>Input field</w:t>
            </w:r>
          </w:p>
        </w:tc>
      </w:tr>
      <w:tr w:rsidR="00940E3A" w:rsidRPr="006466B5" w14:paraId="6E84B8C6" w14:textId="77777777" w:rsidTr="00607E91">
        <w:tc>
          <w:tcPr>
            <w:tcW w:w="756" w:type="pct"/>
          </w:tcPr>
          <w:p w14:paraId="0BF4F6FE" w14:textId="77777777" w:rsidR="00940E3A" w:rsidRPr="00933373" w:rsidRDefault="00940E3A" w:rsidP="00933373">
            <w:pPr>
              <w:pStyle w:val="Bodyromannumerals"/>
              <w:rPr>
                <w:b/>
                <w:bCs/>
              </w:rPr>
            </w:pPr>
            <w:r w:rsidRPr="00933373">
              <w:rPr>
                <w:b/>
                <w:bCs/>
              </w:rPr>
              <w:t>C2.10</w:t>
            </w:r>
          </w:p>
        </w:tc>
        <w:tc>
          <w:tcPr>
            <w:tcW w:w="3364" w:type="pct"/>
            <w:gridSpan w:val="2"/>
          </w:tcPr>
          <w:p w14:paraId="4FB43634" w14:textId="09F90E0C" w:rsidR="00940E3A" w:rsidRPr="00933373" w:rsidRDefault="00940E3A" w:rsidP="00933373">
            <w:pPr>
              <w:pStyle w:val="Bodyromannumerals"/>
              <w:rPr>
                <w:b/>
                <w:bCs/>
                <w:bdr w:val="single" w:sz="4" w:space="0" w:color="auto"/>
              </w:rPr>
            </w:pPr>
            <w:r w:rsidRPr="00933373">
              <w:rPr>
                <w:b/>
                <w:bCs/>
              </w:rPr>
              <w:t xml:space="preserve">Number of </w:t>
            </w:r>
            <w:r w:rsidR="009A117E" w:rsidRPr="00933373">
              <w:rPr>
                <w:b/>
                <w:bCs/>
              </w:rPr>
              <w:t>WT</w:t>
            </w:r>
            <w:r w:rsidR="009A117E">
              <w:rPr>
                <w:b/>
                <w:bCs/>
              </w:rPr>
              <w:t>P</w:t>
            </w:r>
            <w:r w:rsidR="009A117E" w:rsidRPr="00933373">
              <w:rPr>
                <w:b/>
                <w:bCs/>
              </w:rPr>
              <w:t xml:space="preserve">s </w:t>
            </w:r>
            <w:r w:rsidRPr="00933373">
              <w:rPr>
                <w:b/>
                <w:bCs/>
              </w:rPr>
              <w:t xml:space="preserve">where &lt;10% of samples exceed 50% of the </w:t>
            </w:r>
            <w:r w:rsidR="001E747B">
              <w:rPr>
                <w:b/>
                <w:bCs/>
              </w:rPr>
              <w:t>guideline</w:t>
            </w:r>
            <w:r w:rsidRPr="00933373">
              <w:rPr>
                <w:b/>
                <w:bCs/>
              </w:rPr>
              <w:t xml:space="preserve"> value</w:t>
            </w:r>
          </w:p>
        </w:tc>
        <w:tc>
          <w:tcPr>
            <w:tcW w:w="880" w:type="pct"/>
          </w:tcPr>
          <w:p w14:paraId="4F90511E" w14:textId="51C0B41C" w:rsidR="00940E3A" w:rsidRPr="00933373" w:rsidRDefault="00933373" w:rsidP="00933373">
            <w:pPr>
              <w:pStyle w:val="Bodyromannumerals"/>
              <w:rPr>
                <w:b/>
                <w:bCs/>
                <w:bdr w:val="single" w:sz="4" w:space="0" w:color="auto"/>
              </w:rPr>
            </w:pPr>
            <w:r w:rsidRPr="00933373">
              <w:rPr>
                <w:b/>
                <w:bCs/>
              </w:rPr>
              <w:t>Nr.</w:t>
            </w:r>
          </w:p>
        </w:tc>
      </w:tr>
      <w:tr w:rsidR="00940E3A" w:rsidRPr="006466B5" w14:paraId="55786D28"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74B16BB4" w14:textId="77777777" w:rsidR="00940E3A" w:rsidRPr="006466B5" w:rsidRDefault="00940E3A" w:rsidP="00933373">
            <w:pPr>
              <w:pStyle w:val="Bodyromannumerals"/>
              <w:rPr>
                <w:i/>
                <w:sz w:val="22"/>
              </w:rPr>
            </w:pPr>
            <w:r w:rsidRPr="006466B5">
              <w:rPr>
                <w:i/>
                <w:sz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30CEF327" w14:textId="329C9A55" w:rsidR="00940E3A" w:rsidRPr="0001621B" w:rsidRDefault="00940E3A" w:rsidP="00933373">
            <w:pPr>
              <w:pStyle w:val="Bodyromannumerals"/>
              <w:rPr>
                <w:sz w:val="22"/>
              </w:rPr>
            </w:pPr>
            <w:r w:rsidRPr="0001621B">
              <w:rPr>
                <w:sz w:val="22"/>
              </w:rPr>
              <w:t xml:space="preserve">The total number of </w:t>
            </w:r>
            <w:r w:rsidR="002142E2" w:rsidRPr="0001621B">
              <w:rPr>
                <w:sz w:val="22"/>
              </w:rPr>
              <w:t>water treatment plants</w:t>
            </w:r>
            <w:r w:rsidRPr="0001621B">
              <w:rPr>
                <w:sz w:val="22"/>
              </w:rPr>
              <w:t xml:space="preserve"> where less than 10% of the samples taken exceed 50% of the turbidity </w:t>
            </w:r>
            <w:r w:rsidR="001E747B" w:rsidRPr="0001621B">
              <w:rPr>
                <w:sz w:val="22"/>
              </w:rPr>
              <w:t>guideline</w:t>
            </w:r>
            <w:r w:rsidRPr="0001621B">
              <w:rPr>
                <w:sz w:val="22"/>
              </w:rPr>
              <w:t xml:space="preserve"> value.</w:t>
            </w:r>
          </w:p>
          <w:p w14:paraId="0E52E155" w14:textId="738B06A6" w:rsidR="00780537" w:rsidRPr="0001621B" w:rsidRDefault="00780537" w:rsidP="00780537">
            <w:pPr>
              <w:pStyle w:val="Bodyromannumerals"/>
            </w:pPr>
            <w:r w:rsidRPr="0001621B">
              <w:t xml:space="preserve">In Scotland, the Drinking Water Quality Regulator will only accept manual sampling. In New Zealand, however, we understand that continuous monitoring can be used for some parameters. For the avoidance of doubt, local authorities should report on the same sampling basis that they would use to report as part of the Drinking Water Standards </w:t>
            </w:r>
            <w:r w:rsidR="00155D58" w:rsidRPr="0001621B">
              <w:t xml:space="preserve">for </w:t>
            </w:r>
            <w:r w:rsidRPr="0001621B">
              <w:t xml:space="preserve">New Zealand for the relevant parameter.  </w:t>
            </w:r>
          </w:p>
          <w:p w14:paraId="557DC842" w14:textId="1C9B3C45" w:rsidR="00940E3A" w:rsidRPr="0001621B" w:rsidRDefault="00780537" w:rsidP="00933373">
            <w:pPr>
              <w:pStyle w:val="Bodyromannumerals"/>
              <w:rPr>
                <w:sz w:val="22"/>
              </w:rPr>
            </w:pPr>
            <w:r w:rsidRPr="0001621B">
              <w:t>This line should include transgressions.</w:t>
            </w:r>
          </w:p>
        </w:tc>
      </w:tr>
      <w:tr w:rsidR="00940E3A" w:rsidRPr="006466B5" w14:paraId="0B8C348F"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0087ED" w14:textId="77777777" w:rsidR="00940E3A" w:rsidRPr="006466B5" w:rsidRDefault="00940E3A" w:rsidP="00933373">
            <w:pPr>
              <w:pStyle w:val="Bodyromannumerals"/>
              <w:rPr>
                <w:i/>
                <w:sz w:val="22"/>
              </w:rPr>
            </w:pPr>
            <w:r w:rsidRPr="006466B5">
              <w:rPr>
                <w:i/>
                <w:sz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6B5442" w14:textId="77777777" w:rsidR="00940E3A" w:rsidRPr="006466B5" w:rsidRDefault="00940E3A" w:rsidP="00933373">
            <w:pPr>
              <w:pStyle w:val="Bodyromannumerals"/>
              <w:rPr>
                <w:sz w:val="22"/>
              </w:rPr>
            </w:pPr>
            <w:r w:rsidRPr="006466B5">
              <w:rPr>
                <w:sz w:val="22"/>
              </w:rPr>
              <w:t>Input field</w:t>
            </w:r>
          </w:p>
        </w:tc>
      </w:tr>
    </w:tbl>
    <w:p w14:paraId="72C0A7BB" w14:textId="77777777" w:rsidR="00F2362C" w:rsidRDefault="00F2362C" w:rsidP="00933373">
      <w:pPr>
        <w:pStyle w:val="Sectionsub-heading"/>
      </w:pPr>
      <w:r>
        <w:br w:type="page"/>
      </w:r>
    </w:p>
    <w:p w14:paraId="66D558CA" w14:textId="20E455EA" w:rsidR="00940E3A" w:rsidRPr="008456AD" w:rsidRDefault="00940E3A" w:rsidP="00933373">
      <w:pPr>
        <w:pStyle w:val="Sectionsub-heading"/>
      </w:pPr>
      <w:r w:rsidRPr="008456AD">
        <w:t>BLOCK 4: ALUMINIUM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399"/>
        <w:gridCol w:w="1330"/>
      </w:tblGrid>
      <w:tr w:rsidR="00940E3A" w:rsidRPr="006466B5" w14:paraId="106A832A" w14:textId="77777777" w:rsidTr="00B93181">
        <w:trPr>
          <w:trHeight w:val="447"/>
        </w:trPr>
        <w:tc>
          <w:tcPr>
            <w:tcW w:w="756" w:type="pct"/>
          </w:tcPr>
          <w:p w14:paraId="21BC3904" w14:textId="77777777" w:rsidR="00940E3A" w:rsidRPr="00933373" w:rsidRDefault="00940E3A" w:rsidP="00933373">
            <w:pPr>
              <w:pStyle w:val="Bodyromannumerals"/>
              <w:rPr>
                <w:b/>
                <w:bCs/>
              </w:rPr>
            </w:pPr>
            <w:r w:rsidRPr="00933373">
              <w:rPr>
                <w:b/>
                <w:bCs/>
              </w:rPr>
              <w:t>C2.11</w:t>
            </w:r>
          </w:p>
        </w:tc>
        <w:tc>
          <w:tcPr>
            <w:tcW w:w="3364" w:type="pct"/>
            <w:gridSpan w:val="2"/>
          </w:tcPr>
          <w:p w14:paraId="4CE41D0D" w14:textId="3CD97CA8" w:rsidR="00940E3A" w:rsidRPr="00933373" w:rsidRDefault="00940E3A" w:rsidP="00933373">
            <w:pPr>
              <w:pStyle w:val="Bodyromannumerals"/>
              <w:rPr>
                <w:b/>
                <w:bCs/>
                <w:sz w:val="22"/>
                <w:bdr w:val="single" w:sz="4" w:space="0" w:color="auto"/>
              </w:rPr>
            </w:pPr>
            <w:r w:rsidRPr="00933373">
              <w:rPr>
                <w:b/>
                <w:bCs/>
                <w:sz w:val="22"/>
              </w:rPr>
              <w:t>Number of WT</w:t>
            </w:r>
            <w:r w:rsidR="00902761">
              <w:rPr>
                <w:b/>
                <w:bCs/>
                <w:sz w:val="22"/>
              </w:rPr>
              <w:t>P</w:t>
            </w:r>
            <w:r w:rsidRPr="00933373">
              <w:rPr>
                <w:b/>
                <w:bCs/>
                <w:sz w:val="22"/>
              </w:rPr>
              <w:t>s tested for aluminium</w:t>
            </w:r>
          </w:p>
        </w:tc>
        <w:tc>
          <w:tcPr>
            <w:tcW w:w="880" w:type="pct"/>
          </w:tcPr>
          <w:p w14:paraId="663B6A51" w14:textId="6FCD3AA0" w:rsidR="00940E3A" w:rsidRPr="00933373" w:rsidRDefault="00933373" w:rsidP="00933373">
            <w:pPr>
              <w:pStyle w:val="Bodyromannumerals"/>
              <w:rPr>
                <w:b/>
                <w:bCs/>
                <w:bdr w:val="single" w:sz="4" w:space="0" w:color="auto"/>
              </w:rPr>
            </w:pPr>
            <w:r w:rsidRPr="00933373">
              <w:rPr>
                <w:b/>
                <w:bCs/>
              </w:rPr>
              <w:t>Nr.</w:t>
            </w:r>
          </w:p>
        </w:tc>
      </w:tr>
      <w:tr w:rsidR="00940E3A" w:rsidRPr="006466B5" w14:paraId="1C3B227A"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61369EA6" w14:textId="77777777" w:rsidR="00940E3A" w:rsidRPr="006466B5" w:rsidRDefault="00940E3A" w:rsidP="00933373">
            <w:pPr>
              <w:pStyle w:val="Bodyromannumerals"/>
              <w:rPr>
                <w:i/>
                <w:sz w:val="22"/>
              </w:rPr>
            </w:pPr>
            <w:r w:rsidRPr="006466B5">
              <w:rPr>
                <w:i/>
                <w:sz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07712F95" w14:textId="1BC30D7B" w:rsidR="00940E3A" w:rsidRPr="006466B5" w:rsidRDefault="00940E3A" w:rsidP="00933373">
            <w:pPr>
              <w:pStyle w:val="Bodyromannumerals"/>
              <w:rPr>
                <w:sz w:val="22"/>
              </w:rPr>
            </w:pPr>
            <w:r w:rsidRPr="00C7083D">
              <w:rPr>
                <w:sz w:val="22"/>
              </w:rPr>
              <w:t xml:space="preserve">The total number of </w:t>
            </w:r>
            <w:r w:rsidR="002142E2">
              <w:rPr>
                <w:sz w:val="22"/>
              </w:rPr>
              <w:t>water treatment plants</w:t>
            </w:r>
            <w:r w:rsidRPr="00C7083D">
              <w:rPr>
                <w:sz w:val="22"/>
              </w:rPr>
              <w:t xml:space="preserve"> where the water has been tested for aluminium</w:t>
            </w:r>
            <w:r w:rsidR="004E5966">
              <w:rPr>
                <w:sz w:val="22"/>
              </w:rPr>
              <w:t>.</w:t>
            </w:r>
          </w:p>
        </w:tc>
      </w:tr>
      <w:tr w:rsidR="00940E3A" w:rsidRPr="006466B5" w14:paraId="1C2BBDEC"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65067" w14:textId="77777777" w:rsidR="00940E3A" w:rsidRPr="006466B5" w:rsidRDefault="00940E3A" w:rsidP="00933373">
            <w:pPr>
              <w:pStyle w:val="Bodyromannumerals"/>
              <w:rPr>
                <w:i/>
                <w:sz w:val="22"/>
              </w:rPr>
            </w:pPr>
            <w:r w:rsidRPr="006466B5">
              <w:rPr>
                <w:i/>
                <w:sz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674E18" w14:textId="77777777" w:rsidR="00940E3A" w:rsidRPr="006466B5" w:rsidRDefault="00940E3A" w:rsidP="00933373">
            <w:pPr>
              <w:pStyle w:val="Bodyromannumerals"/>
              <w:rPr>
                <w:sz w:val="22"/>
              </w:rPr>
            </w:pPr>
            <w:r w:rsidRPr="006466B5">
              <w:rPr>
                <w:sz w:val="22"/>
              </w:rPr>
              <w:t>Input field</w:t>
            </w:r>
          </w:p>
        </w:tc>
      </w:tr>
      <w:tr w:rsidR="00940E3A" w:rsidRPr="006466B5" w14:paraId="51ED1E0C" w14:textId="77777777" w:rsidTr="00B93181">
        <w:tc>
          <w:tcPr>
            <w:tcW w:w="756" w:type="pct"/>
          </w:tcPr>
          <w:p w14:paraId="5521B9FC" w14:textId="77777777" w:rsidR="00940E3A" w:rsidRPr="00933373" w:rsidRDefault="00940E3A" w:rsidP="00933373">
            <w:pPr>
              <w:pStyle w:val="Bodyromannumerals"/>
              <w:rPr>
                <w:b/>
                <w:bCs/>
              </w:rPr>
            </w:pPr>
            <w:r w:rsidRPr="00933373">
              <w:rPr>
                <w:b/>
                <w:bCs/>
              </w:rPr>
              <w:t>C2.12</w:t>
            </w:r>
          </w:p>
        </w:tc>
        <w:tc>
          <w:tcPr>
            <w:tcW w:w="3364" w:type="pct"/>
            <w:gridSpan w:val="2"/>
          </w:tcPr>
          <w:p w14:paraId="09E8DBAE" w14:textId="0FE97349" w:rsidR="00940E3A" w:rsidRPr="00933373" w:rsidRDefault="00940E3A" w:rsidP="00933373">
            <w:pPr>
              <w:pStyle w:val="Bodyromannumerals"/>
              <w:rPr>
                <w:b/>
                <w:bCs/>
                <w:bdr w:val="single" w:sz="4" w:space="0" w:color="auto"/>
              </w:rPr>
            </w:pPr>
            <w:r w:rsidRPr="00933373">
              <w:rPr>
                <w:b/>
                <w:bCs/>
              </w:rPr>
              <w:t>Number of WT</w:t>
            </w:r>
            <w:r w:rsidR="00902761">
              <w:rPr>
                <w:b/>
                <w:bCs/>
              </w:rPr>
              <w:t>P</w:t>
            </w:r>
            <w:r w:rsidRPr="00933373">
              <w:rPr>
                <w:b/>
                <w:bCs/>
              </w:rPr>
              <w:t xml:space="preserve">s where&gt;=25% of samples exceed 50% of the </w:t>
            </w:r>
            <w:r w:rsidR="002108F9">
              <w:rPr>
                <w:b/>
                <w:bCs/>
              </w:rPr>
              <w:t>guideline</w:t>
            </w:r>
            <w:r w:rsidR="002108F9" w:rsidRPr="00933373">
              <w:rPr>
                <w:b/>
                <w:bCs/>
              </w:rPr>
              <w:t xml:space="preserve"> </w:t>
            </w:r>
            <w:r w:rsidRPr="00933373">
              <w:rPr>
                <w:b/>
                <w:bCs/>
              </w:rPr>
              <w:t>value</w:t>
            </w:r>
          </w:p>
        </w:tc>
        <w:tc>
          <w:tcPr>
            <w:tcW w:w="880" w:type="pct"/>
          </w:tcPr>
          <w:p w14:paraId="4540619A" w14:textId="0414E13C" w:rsidR="00940E3A" w:rsidRPr="006466B5" w:rsidRDefault="00933373" w:rsidP="00933373">
            <w:pPr>
              <w:pStyle w:val="Bodyromannumerals"/>
              <w:rPr>
                <w:bdr w:val="single" w:sz="4" w:space="0" w:color="auto"/>
              </w:rPr>
            </w:pPr>
            <w:r w:rsidRPr="00933373">
              <w:rPr>
                <w:b/>
                <w:bCs/>
              </w:rPr>
              <w:t>Nr.</w:t>
            </w:r>
          </w:p>
        </w:tc>
      </w:tr>
      <w:tr w:rsidR="00940E3A" w:rsidRPr="006466B5" w14:paraId="3839D70E"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10A688AE" w14:textId="77777777" w:rsidR="00940E3A" w:rsidRPr="006466B5" w:rsidRDefault="00940E3A" w:rsidP="00933373">
            <w:pPr>
              <w:pStyle w:val="Bodyromannumerals"/>
              <w:rPr>
                <w:i/>
                <w:sz w:val="22"/>
              </w:rPr>
            </w:pPr>
            <w:r w:rsidRPr="006466B5">
              <w:rPr>
                <w:i/>
                <w:sz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04ABC8A3" w14:textId="09F8733E" w:rsidR="00940E3A" w:rsidRPr="00155D58" w:rsidRDefault="00940E3A" w:rsidP="00933373">
            <w:pPr>
              <w:pStyle w:val="Bodyromannumerals"/>
              <w:rPr>
                <w:sz w:val="22"/>
              </w:rPr>
            </w:pPr>
            <w:r w:rsidRPr="00C7083D">
              <w:rPr>
                <w:sz w:val="22"/>
              </w:rPr>
              <w:t xml:space="preserve">The total number of </w:t>
            </w:r>
            <w:r w:rsidR="002142E2">
              <w:rPr>
                <w:sz w:val="22"/>
              </w:rPr>
              <w:t>water treatment plants</w:t>
            </w:r>
            <w:r w:rsidRPr="00C7083D">
              <w:rPr>
                <w:sz w:val="22"/>
              </w:rPr>
              <w:t xml:space="preserve"> where greater than or equal to 25% of the samples taken exceed 50% of </w:t>
            </w:r>
            <w:r w:rsidRPr="00155D58">
              <w:rPr>
                <w:sz w:val="22"/>
              </w:rPr>
              <w:t xml:space="preserve">the aluminium </w:t>
            </w:r>
            <w:r w:rsidR="002108F9" w:rsidRPr="00155D58">
              <w:rPr>
                <w:sz w:val="22"/>
              </w:rPr>
              <w:t xml:space="preserve">guideline </w:t>
            </w:r>
            <w:r w:rsidRPr="00155D58">
              <w:rPr>
                <w:sz w:val="22"/>
              </w:rPr>
              <w:t>value</w:t>
            </w:r>
            <w:r w:rsidR="004E5966" w:rsidRPr="00155D58">
              <w:rPr>
                <w:sz w:val="22"/>
              </w:rPr>
              <w:t>.</w:t>
            </w:r>
          </w:p>
          <w:p w14:paraId="4D3CC4F2" w14:textId="3652013D" w:rsidR="00780537" w:rsidRPr="007013F6" w:rsidRDefault="00780537" w:rsidP="00780537">
            <w:pPr>
              <w:pStyle w:val="Bodyromannumerals"/>
            </w:pPr>
            <w:r w:rsidRPr="007013F6">
              <w:t>In Scotland, the Drinking Water Quality Regulator will only accept manual sampling. In New Zealand, however, we understand that continuous monitoring can be used for some parameters. For the avoidance of doubt, local authorities should report on the same sampling basis that they would use to report as part of the Drinking Water Standards</w:t>
            </w:r>
            <w:r w:rsidR="00155D58" w:rsidRPr="007013F6">
              <w:t xml:space="preserve"> for</w:t>
            </w:r>
            <w:r w:rsidRPr="007013F6">
              <w:t xml:space="preserve"> New Zealand for the relevant parameter.  </w:t>
            </w:r>
          </w:p>
          <w:p w14:paraId="5FD63847" w14:textId="2F5C4671" w:rsidR="00940E3A" w:rsidRPr="006466B5" w:rsidRDefault="00780537" w:rsidP="00933373">
            <w:pPr>
              <w:pStyle w:val="Bodyromannumerals"/>
              <w:rPr>
                <w:sz w:val="22"/>
              </w:rPr>
            </w:pPr>
            <w:r w:rsidRPr="007013F6">
              <w:t>This line should include transgressions.</w:t>
            </w:r>
          </w:p>
        </w:tc>
      </w:tr>
      <w:tr w:rsidR="00940E3A" w:rsidRPr="006466B5" w14:paraId="0964EB9F"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FC1712" w14:textId="77777777" w:rsidR="00940E3A" w:rsidRPr="006466B5" w:rsidRDefault="00940E3A" w:rsidP="00933373">
            <w:pPr>
              <w:pStyle w:val="Bodyromannumerals"/>
              <w:rPr>
                <w:i/>
                <w:sz w:val="22"/>
              </w:rPr>
            </w:pPr>
            <w:r w:rsidRPr="006466B5">
              <w:rPr>
                <w:i/>
                <w:sz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0DBEFD" w14:textId="77777777" w:rsidR="00940E3A" w:rsidRPr="006466B5" w:rsidRDefault="00940E3A" w:rsidP="00933373">
            <w:pPr>
              <w:pStyle w:val="Bodyromannumerals"/>
              <w:rPr>
                <w:sz w:val="22"/>
              </w:rPr>
            </w:pPr>
            <w:r w:rsidRPr="006466B5">
              <w:rPr>
                <w:sz w:val="22"/>
              </w:rPr>
              <w:t>Input field</w:t>
            </w:r>
          </w:p>
        </w:tc>
      </w:tr>
      <w:tr w:rsidR="00940E3A" w:rsidRPr="006466B5" w14:paraId="2817972E" w14:textId="77777777" w:rsidTr="00B93181">
        <w:tc>
          <w:tcPr>
            <w:tcW w:w="756" w:type="pct"/>
          </w:tcPr>
          <w:p w14:paraId="7FAFE20A" w14:textId="77777777" w:rsidR="00940E3A" w:rsidRPr="00933373" w:rsidRDefault="00940E3A" w:rsidP="00933373">
            <w:pPr>
              <w:pStyle w:val="Bodyromannumerals"/>
              <w:rPr>
                <w:b/>
                <w:bCs/>
              </w:rPr>
            </w:pPr>
            <w:r w:rsidRPr="00933373">
              <w:rPr>
                <w:b/>
                <w:bCs/>
              </w:rPr>
              <w:t>C2.13</w:t>
            </w:r>
          </w:p>
        </w:tc>
        <w:tc>
          <w:tcPr>
            <w:tcW w:w="3364" w:type="pct"/>
            <w:gridSpan w:val="2"/>
          </w:tcPr>
          <w:p w14:paraId="197F8B14" w14:textId="296A3C24" w:rsidR="00940E3A" w:rsidRPr="00933373" w:rsidRDefault="00940E3A" w:rsidP="00933373">
            <w:pPr>
              <w:pStyle w:val="Bodyromannumerals"/>
              <w:rPr>
                <w:b/>
                <w:bCs/>
                <w:bdr w:val="single" w:sz="4" w:space="0" w:color="auto"/>
              </w:rPr>
            </w:pPr>
            <w:r w:rsidRPr="00933373">
              <w:rPr>
                <w:b/>
                <w:bCs/>
              </w:rPr>
              <w:t>N</w:t>
            </w:r>
            <w:r w:rsidR="00BD14EC">
              <w:rPr>
                <w:b/>
                <w:bCs/>
              </w:rPr>
              <w:t>umber</w:t>
            </w:r>
            <w:r w:rsidRPr="00933373">
              <w:rPr>
                <w:b/>
                <w:bCs/>
              </w:rPr>
              <w:t xml:space="preserve"> of WT</w:t>
            </w:r>
            <w:r w:rsidR="00902761">
              <w:rPr>
                <w:b/>
                <w:bCs/>
              </w:rPr>
              <w:t>P</w:t>
            </w:r>
            <w:r w:rsidRPr="00933373">
              <w:rPr>
                <w:b/>
                <w:bCs/>
              </w:rPr>
              <w:t xml:space="preserve">s where between 10 to 25% of samples exceed 50% of the </w:t>
            </w:r>
            <w:r w:rsidR="002108F9">
              <w:rPr>
                <w:b/>
                <w:bCs/>
              </w:rPr>
              <w:t>guideline</w:t>
            </w:r>
            <w:r w:rsidR="002108F9" w:rsidRPr="00933373">
              <w:rPr>
                <w:b/>
                <w:bCs/>
              </w:rPr>
              <w:t xml:space="preserve"> </w:t>
            </w:r>
            <w:r w:rsidRPr="00933373">
              <w:rPr>
                <w:b/>
                <w:bCs/>
              </w:rPr>
              <w:t>value</w:t>
            </w:r>
          </w:p>
        </w:tc>
        <w:tc>
          <w:tcPr>
            <w:tcW w:w="880" w:type="pct"/>
          </w:tcPr>
          <w:p w14:paraId="4D07320A" w14:textId="291655B7" w:rsidR="00940E3A" w:rsidRPr="006466B5" w:rsidRDefault="00933373" w:rsidP="00933373">
            <w:pPr>
              <w:pStyle w:val="Bodyromannumerals"/>
              <w:rPr>
                <w:bdr w:val="single" w:sz="4" w:space="0" w:color="auto"/>
              </w:rPr>
            </w:pPr>
            <w:r w:rsidRPr="00933373">
              <w:rPr>
                <w:b/>
                <w:bCs/>
              </w:rPr>
              <w:t>Nr.</w:t>
            </w:r>
          </w:p>
        </w:tc>
      </w:tr>
      <w:tr w:rsidR="00940E3A" w:rsidRPr="006466B5" w14:paraId="697ABA4A"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2C0F889E" w14:textId="77777777" w:rsidR="00940E3A" w:rsidRPr="006466B5" w:rsidRDefault="00940E3A" w:rsidP="00933373">
            <w:pPr>
              <w:pStyle w:val="Bodyromannumerals"/>
              <w:rPr>
                <w:i/>
                <w:sz w:val="22"/>
              </w:rPr>
            </w:pPr>
            <w:r w:rsidRPr="006466B5">
              <w:rPr>
                <w:i/>
                <w:sz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632C621A" w14:textId="77777777" w:rsidR="00940E3A" w:rsidRPr="006076E4" w:rsidRDefault="00940E3A" w:rsidP="00933373">
            <w:pPr>
              <w:pStyle w:val="Bodyromannumerals"/>
              <w:rPr>
                <w:sz w:val="22"/>
              </w:rPr>
            </w:pPr>
            <w:r w:rsidRPr="00C7083D">
              <w:rPr>
                <w:sz w:val="22"/>
              </w:rPr>
              <w:t xml:space="preserve">The total number of </w:t>
            </w:r>
            <w:r w:rsidR="002142E2">
              <w:rPr>
                <w:sz w:val="22"/>
              </w:rPr>
              <w:t>water treatment plants</w:t>
            </w:r>
            <w:r w:rsidRPr="00C7083D">
              <w:rPr>
                <w:sz w:val="22"/>
              </w:rPr>
              <w:t xml:space="preserve"> where between 10 and 25% of samples taken exceed 50% of the </w:t>
            </w:r>
            <w:r w:rsidRPr="00155D58">
              <w:rPr>
                <w:sz w:val="22"/>
              </w:rPr>
              <w:t>aluminium compliance value.</w:t>
            </w:r>
          </w:p>
          <w:p w14:paraId="38BC7934" w14:textId="3D356826" w:rsidR="00780537" w:rsidRPr="007013F6" w:rsidRDefault="00780537" w:rsidP="00780537">
            <w:pPr>
              <w:pStyle w:val="Bodyromannumerals"/>
            </w:pPr>
            <w:r w:rsidRPr="007013F6">
              <w:t xml:space="preserve">In Scotland, the Drinking Water Quality Regulator will only accept manual sampling. In New Zealand, however, we understand that continuous monitoring can be used for some parameters. For the avoidance of doubt, local authorities should report on the same sampling basis that they would use to report as part of the Drinking Water Standards </w:t>
            </w:r>
            <w:r w:rsidR="00155D58" w:rsidRPr="007013F6">
              <w:t xml:space="preserve">for </w:t>
            </w:r>
            <w:r w:rsidRPr="007013F6">
              <w:t xml:space="preserve">New Zealand for the relevant parameter.  </w:t>
            </w:r>
          </w:p>
          <w:p w14:paraId="6AF8E51F" w14:textId="3182A01A" w:rsidR="00940E3A" w:rsidRPr="006466B5" w:rsidRDefault="00780537" w:rsidP="00933373">
            <w:pPr>
              <w:pStyle w:val="Bodyromannumerals"/>
              <w:rPr>
                <w:sz w:val="22"/>
              </w:rPr>
            </w:pPr>
            <w:r w:rsidRPr="007013F6">
              <w:t>This line should include transgressions.</w:t>
            </w:r>
          </w:p>
        </w:tc>
      </w:tr>
      <w:tr w:rsidR="00940E3A" w:rsidRPr="006466B5" w14:paraId="4B660193"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49959B" w14:textId="77777777" w:rsidR="00940E3A" w:rsidRPr="006466B5" w:rsidRDefault="00940E3A" w:rsidP="00933373">
            <w:pPr>
              <w:pStyle w:val="Bodyromannumerals"/>
              <w:rPr>
                <w:i/>
                <w:sz w:val="22"/>
              </w:rPr>
            </w:pPr>
            <w:r w:rsidRPr="006466B5">
              <w:rPr>
                <w:i/>
                <w:sz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FD244A" w14:textId="77777777" w:rsidR="00940E3A" w:rsidRPr="006466B5" w:rsidRDefault="00940E3A" w:rsidP="00933373">
            <w:pPr>
              <w:pStyle w:val="Bodyromannumerals"/>
              <w:rPr>
                <w:sz w:val="22"/>
              </w:rPr>
            </w:pPr>
            <w:r w:rsidRPr="006466B5">
              <w:rPr>
                <w:sz w:val="22"/>
              </w:rPr>
              <w:t>Input field</w:t>
            </w:r>
          </w:p>
        </w:tc>
      </w:tr>
    </w:tbl>
    <w:p w14:paraId="79B5FA28" w14:textId="70195F94" w:rsidR="00B93181" w:rsidRDefault="00B93181"/>
    <w:p w14:paraId="79076FF3" w14:textId="77777777" w:rsidR="00F2362C" w:rsidRDefault="00F2362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399"/>
        <w:gridCol w:w="1330"/>
      </w:tblGrid>
      <w:tr w:rsidR="00940E3A" w:rsidRPr="006466B5" w14:paraId="6FC1433C" w14:textId="77777777" w:rsidTr="00B93181">
        <w:tc>
          <w:tcPr>
            <w:tcW w:w="756" w:type="pct"/>
          </w:tcPr>
          <w:p w14:paraId="23574450" w14:textId="63EF93D6" w:rsidR="00940E3A" w:rsidRPr="00933373" w:rsidRDefault="00940E3A" w:rsidP="00933373">
            <w:pPr>
              <w:pStyle w:val="Bodyromannumerals"/>
              <w:rPr>
                <w:b/>
                <w:bCs/>
              </w:rPr>
            </w:pPr>
            <w:r w:rsidRPr="00933373">
              <w:rPr>
                <w:b/>
                <w:bCs/>
              </w:rPr>
              <w:t>C2.14</w:t>
            </w:r>
          </w:p>
        </w:tc>
        <w:tc>
          <w:tcPr>
            <w:tcW w:w="3364" w:type="pct"/>
            <w:gridSpan w:val="2"/>
          </w:tcPr>
          <w:p w14:paraId="65E477B8" w14:textId="1398D790" w:rsidR="00940E3A" w:rsidRPr="00933373" w:rsidRDefault="00940E3A" w:rsidP="00933373">
            <w:pPr>
              <w:pStyle w:val="Bodyromannumerals"/>
              <w:rPr>
                <w:b/>
                <w:bCs/>
                <w:bdr w:val="single" w:sz="4" w:space="0" w:color="auto"/>
              </w:rPr>
            </w:pPr>
            <w:r w:rsidRPr="00933373">
              <w:rPr>
                <w:b/>
                <w:bCs/>
              </w:rPr>
              <w:t>Number of WT</w:t>
            </w:r>
            <w:r w:rsidR="00902761">
              <w:rPr>
                <w:b/>
                <w:bCs/>
              </w:rPr>
              <w:t>P</w:t>
            </w:r>
            <w:r w:rsidRPr="00933373">
              <w:rPr>
                <w:b/>
                <w:bCs/>
              </w:rPr>
              <w:t xml:space="preserve">s where &lt;10% of samples exceed 50% of the </w:t>
            </w:r>
            <w:r w:rsidR="002108F9">
              <w:rPr>
                <w:b/>
                <w:bCs/>
              </w:rPr>
              <w:t>guideline</w:t>
            </w:r>
            <w:r w:rsidR="002108F9" w:rsidRPr="00933373">
              <w:rPr>
                <w:b/>
                <w:bCs/>
              </w:rPr>
              <w:t xml:space="preserve"> </w:t>
            </w:r>
            <w:r w:rsidRPr="00933373">
              <w:rPr>
                <w:b/>
                <w:bCs/>
              </w:rPr>
              <w:t>value</w:t>
            </w:r>
          </w:p>
        </w:tc>
        <w:tc>
          <w:tcPr>
            <w:tcW w:w="880" w:type="pct"/>
          </w:tcPr>
          <w:p w14:paraId="08D1B2B3" w14:textId="18D65B19" w:rsidR="00940E3A" w:rsidRPr="006466B5" w:rsidRDefault="00933373" w:rsidP="00933373">
            <w:pPr>
              <w:pStyle w:val="Bodyromannumerals"/>
              <w:rPr>
                <w:bdr w:val="single" w:sz="4" w:space="0" w:color="auto"/>
              </w:rPr>
            </w:pPr>
            <w:r w:rsidRPr="00933373">
              <w:rPr>
                <w:b/>
                <w:bCs/>
              </w:rPr>
              <w:t>Nr.</w:t>
            </w:r>
          </w:p>
        </w:tc>
      </w:tr>
      <w:tr w:rsidR="00940E3A" w:rsidRPr="006466B5" w14:paraId="31B148D0"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643D3634" w14:textId="77777777" w:rsidR="00940E3A" w:rsidRPr="006466B5" w:rsidRDefault="00940E3A" w:rsidP="00933373">
            <w:pPr>
              <w:pStyle w:val="Bodyromannumerals"/>
              <w:rPr>
                <w:i/>
                <w:sz w:val="22"/>
              </w:rPr>
            </w:pPr>
            <w:r w:rsidRPr="006466B5">
              <w:rPr>
                <w:i/>
                <w:sz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7AC4A5F4" w14:textId="699258F8" w:rsidR="00940E3A" w:rsidRPr="00747745" w:rsidRDefault="00940E3A" w:rsidP="00933373">
            <w:pPr>
              <w:pStyle w:val="Bodyromannumerals"/>
              <w:rPr>
                <w:sz w:val="22"/>
              </w:rPr>
            </w:pPr>
            <w:r w:rsidRPr="00C7083D">
              <w:rPr>
                <w:sz w:val="22"/>
              </w:rPr>
              <w:t xml:space="preserve">The total number of </w:t>
            </w:r>
            <w:r w:rsidR="002142E2">
              <w:rPr>
                <w:sz w:val="22"/>
              </w:rPr>
              <w:t>water treatment plants</w:t>
            </w:r>
            <w:r w:rsidRPr="00C7083D">
              <w:rPr>
                <w:sz w:val="22"/>
              </w:rPr>
              <w:t xml:space="preserve"> where less than 10% of the samples taken exceed 50% of the aluminium </w:t>
            </w:r>
            <w:r w:rsidR="00E61052" w:rsidRPr="00155D58">
              <w:rPr>
                <w:sz w:val="22"/>
              </w:rPr>
              <w:t>guideline</w:t>
            </w:r>
            <w:r w:rsidR="00E61052" w:rsidRPr="006076E4">
              <w:rPr>
                <w:sz w:val="22"/>
              </w:rPr>
              <w:t xml:space="preserve"> </w:t>
            </w:r>
            <w:r w:rsidRPr="005E14EA">
              <w:rPr>
                <w:sz w:val="22"/>
              </w:rPr>
              <w:t>value.</w:t>
            </w:r>
          </w:p>
          <w:p w14:paraId="651F690A" w14:textId="21527661" w:rsidR="00780537" w:rsidRPr="007013F6" w:rsidRDefault="00780537" w:rsidP="00780537">
            <w:pPr>
              <w:pStyle w:val="Bodyromannumerals"/>
            </w:pPr>
            <w:r w:rsidRPr="007013F6">
              <w:t xml:space="preserve">In Scotland, the Drinking Water Quality Regulator will only accept manual sampling. In New Zealand, however, we understand that continuous monitoring can be used for some parameters. For the avoidance of doubt, local authorities should report on the same sampling basis that they would use to report as part of the Drinking Water Standards </w:t>
            </w:r>
            <w:r w:rsidR="00155D58" w:rsidRPr="007013F6">
              <w:t xml:space="preserve">for </w:t>
            </w:r>
            <w:r w:rsidRPr="007013F6">
              <w:t xml:space="preserve">New Zealand for the relevant parameter.  </w:t>
            </w:r>
          </w:p>
          <w:p w14:paraId="1B5547D4" w14:textId="010D97F4" w:rsidR="00940E3A" w:rsidRPr="006466B5" w:rsidRDefault="00780537" w:rsidP="00933373">
            <w:pPr>
              <w:pStyle w:val="Bodyromannumerals"/>
              <w:rPr>
                <w:sz w:val="22"/>
              </w:rPr>
            </w:pPr>
            <w:r w:rsidRPr="007013F6">
              <w:t>This line should include transgressions.</w:t>
            </w:r>
          </w:p>
        </w:tc>
      </w:tr>
      <w:tr w:rsidR="00940E3A" w:rsidRPr="006466B5" w14:paraId="3E623B75"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432143" w14:textId="77777777" w:rsidR="00940E3A" w:rsidRPr="006466B5" w:rsidRDefault="00940E3A" w:rsidP="00933373">
            <w:pPr>
              <w:pStyle w:val="Bodyromannumerals"/>
              <w:rPr>
                <w:i/>
                <w:sz w:val="22"/>
              </w:rPr>
            </w:pPr>
            <w:r w:rsidRPr="006466B5">
              <w:rPr>
                <w:i/>
                <w:sz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5FEF0B" w14:textId="77777777" w:rsidR="00940E3A" w:rsidRPr="006466B5" w:rsidRDefault="00940E3A" w:rsidP="00933373">
            <w:pPr>
              <w:pStyle w:val="Bodyromannumerals"/>
              <w:rPr>
                <w:sz w:val="22"/>
              </w:rPr>
            </w:pPr>
            <w:r w:rsidRPr="006466B5">
              <w:rPr>
                <w:sz w:val="22"/>
              </w:rPr>
              <w:t>Input field</w:t>
            </w:r>
          </w:p>
        </w:tc>
      </w:tr>
    </w:tbl>
    <w:p w14:paraId="4DC78216" w14:textId="77777777" w:rsidR="00A1335A" w:rsidRDefault="00A1335A" w:rsidP="00933373">
      <w:pPr>
        <w:pStyle w:val="Sectionsub-heading"/>
      </w:pPr>
    </w:p>
    <w:p w14:paraId="2E1EF776" w14:textId="77777777" w:rsidR="00A1335A" w:rsidRDefault="00A1335A">
      <w:pPr>
        <w:spacing w:after="160" w:line="259" w:lineRule="auto"/>
        <w:rPr>
          <w:rFonts w:ascii="Calibri" w:hAnsi="Calibri" w:cs="Calibri"/>
          <w:b/>
          <w:color w:val="182B46"/>
          <w:sz w:val="26"/>
        </w:rPr>
      </w:pPr>
      <w:r>
        <w:br w:type="page"/>
      </w:r>
    </w:p>
    <w:p w14:paraId="598FD5C3" w14:textId="79D65244" w:rsidR="00940E3A" w:rsidRPr="006466B5" w:rsidRDefault="00940E3A" w:rsidP="00933373">
      <w:pPr>
        <w:pStyle w:val="Sectionsub-heading"/>
      </w:pPr>
      <w:r w:rsidRPr="006466B5">
        <w:t>BLOCK 5: IRON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399"/>
        <w:gridCol w:w="1330"/>
      </w:tblGrid>
      <w:tr w:rsidR="00940E3A" w:rsidRPr="00933373" w14:paraId="3A0A4250" w14:textId="77777777" w:rsidTr="007B444A">
        <w:trPr>
          <w:trHeight w:val="438"/>
        </w:trPr>
        <w:tc>
          <w:tcPr>
            <w:tcW w:w="756" w:type="pct"/>
          </w:tcPr>
          <w:p w14:paraId="7E088702" w14:textId="77777777" w:rsidR="00940E3A" w:rsidRPr="00933373" w:rsidRDefault="00940E3A" w:rsidP="00933373">
            <w:pPr>
              <w:pStyle w:val="Bodyromannumerals"/>
              <w:rPr>
                <w:b/>
                <w:bCs/>
              </w:rPr>
            </w:pPr>
            <w:r w:rsidRPr="00933373">
              <w:rPr>
                <w:b/>
                <w:bCs/>
              </w:rPr>
              <w:t>C2.15</w:t>
            </w:r>
          </w:p>
        </w:tc>
        <w:tc>
          <w:tcPr>
            <w:tcW w:w="3364" w:type="pct"/>
            <w:gridSpan w:val="2"/>
          </w:tcPr>
          <w:p w14:paraId="28304A85" w14:textId="2E6C21FF" w:rsidR="00940E3A" w:rsidRPr="00933373" w:rsidRDefault="00940E3A" w:rsidP="00933373">
            <w:pPr>
              <w:pStyle w:val="Bodyromannumerals"/>
              <w:rPr>
                <w:b/>
                <w:bCs/>
              </w:rPr>
            </w:pPr>
            <w:r w:rsidRPr="00933373">
              <w:rPr>
                <w:b/>
                <w:bCs/>
              </w:rPr>
              <w:t>Number of WT</w:t>
            </w:r>
            <w:r w:rsidR="00902761">
              <w:rPr>
                <w:b/>
                <w:bCs/>
              </w:rPr>
              <w:t>P</w:t>
            </w:r>
            <w:r w:rsidRPr="00933373">
              <w:rPr>
                <w:b/>
                <w:bCs/>
              </w:rPr>
              <w:t>s tested for iron</w:t>
            </w:r>
          </w:p>
        </w:tc>
        <w:tc>
          <w:tcPr>
            <w:tcW w:w="880" w:type="pct"/>
          </w:tcPr>
          <w:p w14:paraId="5FA78E48" w14:textId="52CB9186" w:rsidR="00940E3A" w:rsidRPr="00933373" w:rsidRDefault="00933373" w:rsidP="00933373">
            <w:pPr>
              <w:pStyle w:val="Bodyromannumerals"/>
              <w:rPr>
                <w:b/>
                <w:bCs/>
              </w:rPr>
            </w:pPr>
            <w:r w:rsidRPr="00933373">
              <w:rPr>
                <w:b/>
                <w:bCs/>
              </w:rPr>
              <w:t>Nr.</w:t>
            </w:r>
          </w:p>
        </w:tc>
      </w:tr>
      <w:tr w:rsidR="00940E3A" w:rsidRPr="006466B5" w14:paraId="24F35C17"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369ECEF4" w14:textId="77777777" w:rsidR="00940E3A" w:rsidRPr="006466B5" w:rsidRDefault="00940E3A" w:rsidP="00933373">
            <w:pPr>
              <w:pStyle w:val="Bodyromannumerals"/>
              <w:rPr>
                <w:i/>
                <w:sz w:val="22"/>
              </w:rPr>
            </w:pPr>
            <w:r w:rsidRPr="006466B5">
              <w:rPr>
                <w:i/>
                <w:sz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057642F5" w14:textId="082139D9" w:rsidR="00940E3A" w:rsidRPr="006466B5" w:rsidRDefault="00940E3A" w:rsidP="00933373">
            <w:pPr>
              <w:pStyle w:val="Bodyromannumerals"/>
              <w:rPr>
                <w:sz w:val="22"/>
              </w:rPr>
            </w:pPr>
            <w:r w:rsidRPr="00C7083D">
              <w:rPr>
                <w:sz w:val="22"/>
              </w:rPr>
              <w:t xml:space="preserve">The total number of </w:t>
            </w:r>
            <w:r w:rsidR="002142E2">
              <w:rPr>
                <w:sz w:val="22"/>
              </w:rPr>
              <w:t>water treatment plants</w:t>
            </w:r>
            <w:r w:rsidRPr="00C7083D">
              <w:rPr>
                <w:sz w:val="22"/>
              </w:rPr>
              <w:t xml:space="preserve"> where the water has been tested for iron.</w:t>
            </w:r>
          </w:p>
        </w:tc>
      </w:tr>
      <w:tr w:rsidR="00940E3A" w:rsidRPr="006466B5" w14:paraId="596C334B"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0A2D7" w14:textId="77777777" w:rsidR="00940E3A" w:rsidRPr="006466B5" w:rsidRDefault="00940E3A" w:rsidP="00933373">
            <w:pPr>
              <w:pStyle w:val="Bodyromannumerals"/>
              <w:rPr>
                <w:i/>
                <w:sz w:val="22"/>
              </w:rPr>
            </w:pPr>
            <w:r w:rsidRPr="006466B5">
              <w:rPr>
                <w:i/>
                <w:sz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13ECB2" w14:textId="77777777" w:rsidR="00940E3A" w:rsidRPr="006466B5" w:rsidRDefault="00940E3A" w:rsidP="00933373">
            <w:pPr>
              <w:pStyle w:val="Bodyromannumerals"/>
              <w:rPr>
                <w:sz w:val="22"/>
              </w:rPr>
            </w:pPr>
            <w:r w:rsidRPr="006466B5">
              <w:rPr>
                <w:sz w:val="22"/>
              </w:rPr>
              <w:t>Input field</w:t>
            </w:r>
          </w:p>
        </w:tc>
      </w:tr>
    </w:tbl>
    <w:p w14:paraId="7908E311" w14:textId="295B5FE4" w:rsidR="007B444A" w:rsidRDefault="007B44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399"/>
        <w:gridCol w:w="1330"/>
      </w:tblGrid>
      <w:tr w:rsidR="00940E3A" w:rsidRPr="006466B5" w14:paraId="178DB91C" w14:textId="77777777" w:rsidTr="007B444A">
        <w:tc>
          <w:tcPr>
            <w:tcW w:w="756" w:type="pct"/>
          </w:tcPr>
          <w:p w14:paraId="26F89ACA" w14:textId="12C3B524" w:rsidR="00940E3A" w:rsidRPr="007B03B2" w:rsidRDefault="00940E3A" w:rsidP="00933373">
            <w:pPr>
              <w:pStyle w:val="Bodyromannumerals"/>
              <w:rPr>
                <w:b/>
                <w:bCs/>
              </w:rPr>
            </w:pPr>
            <w:r w:rsidRPr="007B03B2">
              <w:rPr>
                <w:b/>
                <w:bCs/>
              </w:rPr>
              <w:t>C2.16</w:t>
            </w:r>
          </w:p>
        </w:tc>
        <w:tc>
          <w:tcPr>
            <w:tcW w:w="3364" w:type="pct"/>
            <w:gridSpan w:val="2"/>
          </w:tcPr>
          <w:p w14:paraId="2A57095B" w14:textId="05692C98" w:rsidR="00940E3A" w:rsidRPr="007B03B2" w:rsidRDefault="00940E3A" w:rsidP="00933373">
            <w:pPr>
              <w:pStyle w:val="Bodyromannumerals"/>
              <w:rPr>
                <w:b/>
                <w:bCs/>
                <w:bdr w:val="single" w:sz="4" w:space="0" w:color="auto"/>
              </w:rPr>
            </w:pPr>
            <w:r w:rsidRPr="007B03B2">
              <w:rPr>
                <w:b/>
                <w:bCs/>
              </w:rPr>
              <w:t>Number of WT</w:t>
            </w:r>
            <w:r w:rsidR="00902761">
              <w:rPr>
                <w:b/>
                <w:bCs/>
              </w:rPr>
              <w:t>P</w:t>
            </w:r>
            <w:r w:rsidRPr="007B03B2">
              <w:rPr>
                <w:b/>
                <w:bCs/>
              </w:rPr>
              <w:t xml:space="preserve">s where&gt;=25% of samples exceed 50% of the </w:t>
            </w:r>
            <w:r w:rsidR="00E61052">
              <w:rPr>
                <w:b/>
                <w:bCs/>
              </w:rPr>
              <w:t xml:space="preserve">DWSNZ guideline value for </w:t>
            </w:r>
            <w:r w:rsidR="00070774">
              <w:rPr>
                <w:b/>
                <w:bCs/>
              </w:rPr>
              <w:t xml:space="preserve">aesthetic </w:t>
            </w:r>
            <w:proofErr w:type="spellStart"/>
            <w:r w:rsidR="00070774">
              <w:rPr>
                <w:b/>
                <w:bCs/>
              </w:rPr>
              <w:t>determinands</w:t>
            </w:r>
            <w:proofErr w:type="spellEnd"/>
          </w:p>
        </w:tc>
        <w:tc>
          <w:tcPr>
            <w:tcW w:w="880" w:type="pct"/>
          </w:tcPr>
          <w:p w14:paraId="680EB6F5" w14:textId="4ADF4DC4" w:rsidR="00940E3A" w:rsidRPr="007B03B2" w:rsidRDefault="004A79AD" w:rsidP="00933373">
            <w:pPr>
              <w:pStyle w:val="Bodyromannumerals"/>
              <w:rPr>
                <w:b/>
                <w:bCs/>
                <w:bdr w:val="single" w:sz="4" w:space="0" w:color="auto"/>
              </w:rPr>
            </w:pPr>
            <w:r w:rsidRPr="007B03B2">
              <w:rPr>
                <w:b/>
                <w:bCs/>
              </w:rPr>
              <w:t>Nr.</w:t>
            </w:r>
          </w:p>
        </w:tc>
      </w:tr>
      <w:tr w:rsidR="00940E3A" w:rsidRPr="006466B5" w14:paraId="7C695198"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3303346D" w14:textId="77777777" w:rsidR="00940E3A" w:rsidRPr="006466B5" w:rsidRDefault="00940E3A" w:rsidP="00933373">
            <w:pPr>
              <w:pStyle w:val="Bodyromannumerals"/>
              <w:rPr>
                <w:i/>
                <w:sz w:val="22"/>
              </w:rPr>
            </w:pPr>
            <w:r w:rsidRPr="006466B5">
              <w:rPr>
                <w:i/>
                <w:sz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32913912" w14:textId="1805411D" w:rsidR="00940E3A" w:rsidRPr="005E14EA" w:rsidRDefault="00940E3A" w:rsidP="00933373">
            <w:pPr>
              <w:pStyle w:val="Bodyromannumerals"/>
              <w:rPr>
                <w:sz w:val="22"/>
              </w:rPr>
            </w:pPr>
            <w:r w:rsidRPr="00C7083D">
              <w:rPr>
                <w:sz w:val="22"/>
              </w:rPr>
              <w:t xml:space="preserve">The total number of </w:t>
            </w:r>
            <w:r w:rsidR="002142E2">
              <w:rPr>
                <w:sz w:val="22"/>
              </w:rPr>
              <w:t>water treatment plants</w:t>
            </w:r>
            <w:r w:rsidRPr="00C7083D">
              <w:rPr>
                <w:sz w:val="22"/>
              </w:rPr>
              <w:t xml:space="preserve"> where greater than or equal to 25% of the samples taken exceed 50% of the iron </w:t>
            </w:r>
            <w:r w:rsidR="00580B31">
              <w:rPr>
                <w:sz w:val="22"/>
              </w:rPr>
              <w:t xml:space="preserve">value in the </w:t>
            </w:r>
            <w:r w:rsidR="0068335B">
              <w:rPr>
                <w:sz w:val="22"/>
              </w:rPr>
              <w:t xml:space="preserve">DWSNZ guideline value for </w:t>
            </w:r>
            <w:r w:rsidR="0068335B" w:rsidRPr="006F4310">
              <w:rPr>
                <w:sz w:val="22"/>
              </w:rPr>
              <w:t xml:space="preserve">aesthetic </w:t>
            </w:r>
            <w:proofErr w:type="spellStart"/>
            <w:r w:rsidR="0068335B" w:rsidRPr="006F4310">
              <w:rPr>
                <w:sz w:val="22"/>
              </w:rPr>
              <w:t>determinands</w:t>
            </w:r>
            <w:proofErr w:type="spellEnd"/>
            <w:r w:rsidRPr="006076E4">
              <w:rPr>
                <w:sz w:val="22"/>
              </w:rPr>
              <w:t>.</w:t>
            </w:r>
          </w:p>
          <w:p w14:paraId="08473638" w14:textId="5A8A5E73" w:rsidR="00780537" w:rsidRPr="007013F6" w:rsidRDefault="00780537" w:rsidP="00780537">
            <w:pPr>
              <w:pStyle w:val="Bodyromannumerals"/>
            </w:pPr>
            <w:r w:rsidRPr="007013F6">
              <w:t xml:space="preserve">In Scotland, the Drinking Water Quality Regulator will only accept manual sampling. In New Zealand, however, we understand that continuous monitoring can be used for some parameters. For the avoidance of doubt, local authorities should report on the same sampling basis that they would use to report as part of the Drinking Water Standards </w:t>
            </w:r>
            <w:r w:rsidR="00155D58" w:rsidRPr="007013F6">
              <w:t>for</w:t>
            </w:r>
            <w:r w:rsidR="006F4310" w:rsidRPr="007013F6">
              <w:t xml:space="preserve"> </w:t>
            </w:r>
            <w:r w:rsidRPr="007013F6">
              <w:t xml:space="preserve">New Zealand for the relevant parameter.  </w:t>
            </w:r>
          </w:p>
          <w:p w14:paraId="1CFEF77E" w14:textId="2EF7AB2E" w:rsidR="00940E3A" w:rsidRPr="006466B5" w:rsidRDefault="00780537" w:rsidP="00933373">
            <w:pPr>
              <w:pStyle w:val="Bodyromannumerals"/>
              <w:rPr>
                <w:sz w:val="22"/>
              </w:rPr>
            </w:pPr>
            <w:r w:rsidRPr="007013F6">
              <w:t>This line should include transgressions.</w:t>
            </w:r>
          </w:p>
        </w:tc>
      </w:tr>
      <w:tr w:rsidR="00940E3A" w:rsidRPr="006466B5" w14:paraId="6B0B7093"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6C3697" w14:textId="77777777" w:rsidR="00940E3A" w:rsidRPr="006466B5" w:rsidRDefault="00940E3A" w:rsidP="00933373">
            <w:pPr>
              <w:pStyle w:val="Bodyromannumerals"/>
              <w:rPr>
                <w:i/>
                <w:sz w:val="22"/>
              </w:rPr>
            </w:pPr>
            <w:r w:rsidRPr="006466B5">
              <w:rPr>
                <w:i/>
                <w:sz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774128" w14:textId="77777777" w:rsidR="00940E3A" w:rsidRPr="006466B5" w:rsidRDefault="00940E3A" w:rsidP="00933373">
            <w:pPr>
              <w:pStyle w:val="Bodyromannumerals"/>
              <w:rPr>
                <w:sz w:val="22"/>
              </w:rPr>
            </w:pPr>
            <w:r w:rsidRPr="006466B5">
              <w:rPr>
                <w:sz w:val="22"/>
              </w:rPr>
              <w:t>Input field</w:t>
            </w:r>
          </w:p>
        </w:tc>
      </w:tr>
      <w:tr w:rsidR="00940E3A" w:rsidRPr="006466B5" w14:paraId="189F566D" w14:textId="77777777" w:rsidTr="007B444A">
        <w:tc>
          <w:tcPr>
            <w:tcW w:w="756" w:type="pct"/>
          </w:tcPr>
          <w:p w14:paraId="30EA9776" w14:textId="77777777" w:rsidR="00940E3A" w:rsidRPr="007B03B2" w:rsidRDefault="00940E3A" w:rsidP="00933373">
            <w:pPr>
              <w:pStyle w:val="Bodyromannumerals"/>
              <w:rPr>
                <w:b/>
                <w:bCs/>
              </w:rPr>
            </w:pPr>
            <w:r w:rsidRPr="007B03B2">
              <w:rPr>
                <w:b/>
                <w:bCs/>
              </w:rPr>
              <w:t>C2.17</w:t>
            </w:r>
          </w:p>
        </w:tc>
        <w:tc>
          <w:tcPr>
            <w:tcW w:w="3364" w:type="pct"/>
            <w:gridSpan w:val="2"/>
          </w:tcPr>
          <w:p w14:paraId="32C15E9D" w14:textId="09E9E68A" w:rsidR="00940E3A" w:rsidRPr="007B03B2" w:rsidRDefault="00940E3A" w:rsidP="00933373">
            <w:pPr>
              <w:pStyle w:val="Bodyromannumerals"/>
              <w:rPr>
                <w:b/>
                <w:bCs/>
                <w:bdr w:val="single" w:sz="4" w:space="0" w:color="auto"/>
              </w:rPr>
            </w:pPr>
            <w:r w:rsidRPr="007B03B2">
              <w:rPr>
                <w:b/>
                <w:bCs/>
              </w:rPr>
              <w:t>N</w:t>
            </w:r>
            <w:r w:rsidR="00B06681">
              <w:rPr>
                <w:b/>
                <w:bCs/>
              </w:rPr>
              <w:t>umber</w:t>
            </w:r>
            <w:r w:rsidRPr="007B03B2">
              <w:rPr>
                <w:b/>
                <w:bCs/>
              </w:rPr>
              <w:t xml:space="preserve"> of WT</w:t>
            </w:r>
            <w:r w:rsidR="00902761">
              <w:rPr>
                <w:b/>
                <w:bCs/>
              </w:rPr>
              <w:t>P</w:t>
            </w:r>
            <w:r w:rsidRPr="007B03B2">
              <w:rPr>
                <w:b/>
                <w:bCs/>
              </w:rPr>
              <w:t xml:space="preserve">s where between 10 to 25% of samples exceed 50% of the </w:t>
            </w:r>
            <w:r w:rsidR="00070774">
              <w:rPr>
                <w:b/>
                <w:bCs/>
              </w:rPr>
              <w:t xml:space="preserve">DWSNZ guideline value for aesthetic </w:t>
            </w:r>
            <w:proofErr w:type="spellStart"/>
            <w:r w:rsidR="00070774">
              <w:rPr>
                <w:b/>
                <w:bCs/>
              </w:rPr>
              <w:t>determinands</w:t>
            </w:r>
            <w:proofErr w:type="spellEnd"/>
          </w:p>
        </w:tc>
        <w:tc>
          <w:tcPr>
            <w:tcW w:w="880" w:type="pct"/>
          </w:tcPr>
          <w:p w14:paraId="3F577138" w14:textId="5424B765" w:rsidR="00940E3A" w:rsidRPr="006466B5" w:rsidRDefault="004A79AD" w:rsidP="00933373">
            <w:pPr>
              <w:pStyle w:val="Bodyromannumerals"/>
              <w:rPr>
                <w:bdr w:val="single" w:sz="4" w:space="0" w:color="auto"/>
              </w:rPr>
            </w:pPr>
            <w:r w:rsidRPr="00933373">
              <w:rPr>
                <w:b/>
                <w:bCs/>
              </w:rPr>
              <w:t>Nr.</w:t>
            </w:r>
          </w:p>
        </w:tc>
      </w:tr>
      <w:tr w:rsidR="00940E3A" w:rsidRPr="006466B5" w14:paraId="5E7A69EE"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33C34859" w14:textId="77777777" w:rsidR="00940E3A" w:rsidRPr="006466B5" w:rsidRDefault="00940E3A" w:rsidP="00933373">
            <w:pPr>
              <w:pStyle w:val="Bodyromannumerals"/>
              <w:rPr>
                <w:i/>
                <w:sz w:val="22"/>
              </w:rPr>
            </w:pPr>
            <w:r w:rsidRPr="006466B5">
              <w:rPr>
                <w:i/>
                <w:sz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6E7ECD98" w14:textId="0CCF2276" w:rsidR="00940E3A" w:rsidRPr="006F4310" w:rsidRDefault="00940E3A" w:rsidP="00933373">
            <w:pPr>
              <w:pStyle w:val="Bodyromannumerals"/>
              <w:rPr>
                <w:sz w:val="22"/>
              </w:rPr>
            </w:pPr>
            <w:r w:rsidRPr="00C7083D">
              <w:rPr>
                <w:sz w:val="22"/>
              </w:rPr>
              <w:t xml:space="preserve">The total number of </w:t>
            </w:r>
            <w:r w:rsidR="002142E2">
              <w:rPr>
                <w:sz w:val="22"/>
              </w:rPr>
              <w:t>water treatment plants</w:t>
            </w:r>
            <w:r w:rsidRPr="00C7083D">
              <w:rPr>
                <w:sz w:val="22"/>
              </w:rPr>
              <w:t xml:space="preserve"> where between 10 and 25% of samples taken exceed 50% of the iron </w:t>
            </w:r>
            <w:r w:rsidR="00580B31">
              <w:rPr>
                <w:sz w:val="22"/>
              </w:rPr>
              <w:t xml:space="preserve">value in the DWSNZ guideline value for aesthetic </w:t>
            </w:r>
            <w:proofErr w:type="spellStart"/>
            <w:r w:rsidR="00580B31" w:rsidRPr="006F4310">
              <w:rPr>
                <w:sz w:val="22"/>
              </w:rPr>
              <w:t>determinands</w:t>
            </w:r>
            <w:proofErr w:type="spellEnd"/>
            <w:r w:rsidRPr="006F4310">
              <w:rPr>
                <w:sz w:val="22"/>
              </w:rPr>
              <w:t>.</w:t>
            </w:r>
          </w:p>
          <w:p w14:paraId="11A22407" w14:textId="1F571829" w:rsidR="00780537" w:rsidRPr="007013F6" w:rsidRDefault="00780537" w:rsidP="00780537">
            <w:pPr>
              <w:pStyle w:val="Bodyromannumerals"/>
            </w:pPr>
            <w:r w:rsidRPr="007013F6">
              <w:t xml:space="preserve">In Scotland, the Drinking Water Quality Regulator will only accept manual sampling. In New Zealand, however, we understand that continuous monitoring can be used for some parameters. For the avoidance of doubt, local authorities should report on the same sampling basis that they would use to report as part of the Drinking Water Standards </w:t>
            </w:r>
            <w:r w:rsidR="006F4310" w:rsidRPr="007013F6">
              <w:t xml:space="preserve">for </w:t>
            </w:r>
            <w:r w:rsidRPr="007013F6">
              <w:t xml:space="preserve">New Zealand for the relevant parameter.  </w:t>
            </w:r>
          </w:p>
          <w:p w14:paraId="65BB5360" w14:textId="144CD1EC" w:rsidR="00940E3A" w:rsidRPr="006466B5" w:rsidRDefault="00780537" w:rsidP="00933373">
            <w:pPr>
              <w:pStyle w:val="Bodyromannumerals"/>
              <w:rPr>
                <w:sz w:val="22"/>
              </w:rPr>
            </w:pPr>
            <w:r w:rsidRPr="007013F6">
              <w:t>This line should include transgressions.</w:t>
            </w:r>
          </w:p>
        </w:tc>
      </w:tr>
      <w:tr w:rsidR="00940E3A" w:rsidRPr="006466B5" w14:paraId="220B2702"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3ECA6C" w14:textId="77777777" w:rsidR="00940E3A" w:rsidRPr="006466B5" w:rsidRDefault="00940E3A" w:rsidP="00933373">
            <w:pPr>
              <w:pStyle w:val="Bodyromannumerals"/>
              <w:rPr>
                <w:i/>
                <w:sz w:val="22"/>
              </w:rPr>
            </w:pPr>
            <w:r w:rsidRPr="006466B5">
              <w:rPr>
                <w:i/>
                <w:sz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E8477C" w14:textId="77777777" w:rsidR="00940E3A" w:rsidRPr="006466B5" w:rsidRDefault="00940E3A" w:rsidP="00933373">
            <w:pPr>
              <w:pStyle w:val="Bodyromannumerals"/>
              <w:rPr>
                <w:sz w:val="22"/>
              </w:rPr>
            </w:pPr>
            <w:r w:rsidRPr="006466B5">
              <w:rPr>
                <w:sz w:val="22"/>
              </w:rPr>
              <w:t>Input field</w:t>
            </w:r>
          </w:p>
        </w:tc>
      </w:tr>
      <w:tr w:rsidR="00940E3A" w:rsidRPr="006466B5" w14:paraId="5F54E509" w14:textId="77777777" w:rsidTr="007B444A">
        <w:tc>
          <w:tcPr>
            <w:tcW w:w="756" w:type="pct"/>
          </w:tcPr>
          <w:p w14:paraId="20E42BBB" w14:textId="77777777" w:rsidR="00940E3A" w:rsidRPr="007B03B2" w:rsidRDefault="00940E3A" w:rsidP="00933373">
            <w:pPr>
              <w:pStyle w:val="Bodyromannumerals"/>
              <w:rPr>
                <w:b/>
                <w:bCs/>
              </w:rPr>
            </w:pPr>
            <w:r w:rsidRPr="007B03B2">
              <w:rPr>
                <w:b/>
                <w:bCs/>
              </w:rPr>
              <w:t>C2.18</w:t>
            </w:r>
          </w:p>
        </w:tc>
        <w:tc>
          <w:tcPr>
            <w:tcW w:w="3364" w:type="pct"/>
            <w:gridSpan w:val="2"/>
          </w:tcPr>
          <w:p w14:paraId="6C6E5AA8" w14:textId="1C738CCB" w:rsidR="00940E3A" w:rsidRPr="007B03B2" w:rsidRDefault="00940E3A" w:rsidP="00933373">
            <w:pPr>
              <w:pStyle w:val="Bodyromannumerals"/>
              <w:rPr>
                <w:b/>
                <w:bCs/>
                <w:bdr w:val="single" w:sz="4" w:space="0" w:color="auto"/>
              </w:rPr>
            </w:pPr>
            <w:r w:rsidRPr="007B03B2">
              <w:rPr>
                <w:b/>
                <w:bCs/>
              </w:rPr>
              <w:t>Number of WT</w:t>
            </w:r>
            <w:r w:rsidR="00902761">
              <w:rPr>
                <w:b/>
                <w:bCs/>
              </w:rPr>
              <w:t>P</w:t>
            </w:r>
            <w:r w:rsidRPr="007B03B2">
              <w:rPr>
                <w:b/>
                <w:bCs/>
              </w:rPr>
              <w:t xml:space="preserve">s where &lt;10% of samples exceed 50% of the </w:t>
            </w:r>
            <w:r w:rsidR="00070774">
              <w:rPr>
                <w:b/>
                <w:bCs/>
              </w:rPr>
              <w:t xml:space="preserve">DWSNZ guideline value for aesthetic </w:t>
            </w:r>
            <w:proofErr w:type="spellStart"/>
            <w:r w:rsidR="00070774">
              <w:rPr>
                <w:b/>
                <w:bCs/>
              </w:rPr>
              <w:t>determinands</w:t>
            </w:r>
            <w:proofErr w:type="spellEnd"/>
          </w:p>
        </w:tc>
        <w:tc>
          <w:tcPr>
            <w:tcW w:w="880" w:type="pct"/>
          </w:tcPr>
          <w:p w14:paraId="6098C1EF" w14:textId="50DBEB7E" w:rsidR="00940E3A" w:rsidRPr="006466B5" w:rsidRDefault="004A79AD" w:rsidP="00933373">
            <w:pPr>
              <w:pStyle w:val="Bodyromannumerals"/>
              <w:rPr>
                <w:bdr w:val="single" w:sz="4" w:space="0" w:color="auto"/>
              </w:rPr>
            </w:pPr>
            <w:r w:rsidRPr="00933373">
              <w:rPr>
                <w:b/>
                <w:bCs/>
              </w:rPr>
              <w:t>Nr.</w:t>
            </w:r>
          </w:p>
        </w:tc>
      </w:tr>
      <w:tr w:rsidR="00940E3A" w:rsidRPr="006466B5" w14:paraId="04CAC169"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56E363BC" w14:textId="77777777" w:rsidR="00940E3A" w:rsidRPr="006466B5" w:rsidRDefault="00940E3A" w:rsidP="00933373">
            <w:pPr>
              <w:pStyle w:val="Bodyromannumerals"/>
              <w:rPr>
                <w:i/>
                <w:sz w:val="22"/>
              </w:rPr>
            </w:pPr>
            <w:r w:rsidRPr="006466B5">
              <w:rPr>
                <w:i/>
                <w:sz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63BACBFE" w14:textId="5DCD5151" w:rsidR="00940E3A" w:rsidRPr="006F4310" w:rsidRDefault="00940E3A" w:rsidP="00933373">
            <w:pPr>
              <w:pStyle w:val="Bodyromannumerals"/>
              <w:rPr>
                <w:sz w:val="22"/>
              </w:rPr>
            </w:pPr>
            <w:r w:rsidRPr="00C7083D">
              <w:rPr>
                <w:sz w:val="22"/>
              </w:rPr>
              <w:t xml:space="preserve">The total number of </w:t>
            </w:r>
            <w:r w:rsidR="002142E2">
              <w:rPr>
                <w:sz w:val="22"/>
              </w:rPr>
              <w:t>water treatment plants</w:t>
            </w:r>
            <w:r w:rsidRPr="00C7083D">
              <w:rPr>
                <w:sz w:val="22"/>
              </w:rPr>
              <w:t xml:space="preserve"> where less than 10</w:t>
            </w:r>
            <w:r w:rsidRPr="006F4310">
              <w:rPr>
                <w:sz w:val="22"/>
              </w:rPr>
              <w:t>% of the samples taken e</w:t>
            </w:r>
            <w:r w:rsidRPr="006076E4">
              <w:rPr>
                <w:sz w:val="22"/>
              </w:rPr>
              <w:t xml:space="preserve">xceed 50% of the iron </w:t>
            </w:r>
            <w:r w:rsidR="00580B31" w:rsidRPr="005E14EA">
              <w:rPr>
                <w:sz w:val="22"/>
              </w:rPr>
              <w:t xml:space="preserve">value in the DWSNZ guideline value for aesthetic </w:t>
            </w:r>
            <w:proofErr w:type="spellStart"/>
            <w:r w:rsidR="00580B31" w:rsidRPr="005E14EA">
              <w:rPr>
                <w:sz w:val="22"/>
              </w:rPr>
              <w:t>determinands</w:t>
            </w:r>
            <w:proofErr w:type="spellEnd"/>
            <w:r w:rsidRPr="006F4310">
              <w:rPr>
                <w:sz w:val="22"/>
              </w:rPr>
              <w:t>.</w:t>
            </w:r>
          </w:p>
          <w:p w14:paraId="1030A9DD" w14:textId="2FD1A84C" w:rsidR="00254739" w:rsidRPr="007013F6" w:rsidRDefault="00254739" w:rsidP="00254739">
            <w:pPr>
              <w:pStyle w:val="Bodyromannumerals"/>
            </w:pPr>
            <w:r w:rsidRPr="007013F6">
              <w:t>In Scotland, the Drinking Water Quality Regulator will only accept manual sampling. In New Zealand, however, we understand that continuous monitoring can be used for some parameters. For the avoidance of doubt, local authorities should report on the same sampling basis that they would use to report as part of the Drinking Water Standards</w:t>
            </w:r>
            <w:r w:rsidR="006F4310" w:rsidRPr="007013F6">
              <w:t xml:space="preserve"> for</w:t>
            </w:r>
            <w:r w:rsidRPr="007013F6">
              <w:t xml:space="preserve"> New Zealand for the relevant parameter.  </w:t>
            </w:r>
          </w:p>
          <w:p w14:paraId="6C75F87D" w14:textId="35F14DEA" w:rsidR="00940E3A" w:rsidRPr="006466B5" w:rsidRDefault="00254739" w:rsidP="00933373">
            <w:pPr>
              <w:pStyle w:val="Bodyromannumerals"/>
              <w:rPr>
                <w:sz w:val="22"/>
              </w:rPr>
            </w:pPr>
            <w:r w:rsidRPr="007013F6">
              <w:t>This line should include transgressions.</w:t>
            </w:r>
          </w:p>
        </w:tc>
      </w:tr>
      <w:tr w:rsidR="00940E3A" w:rsidRPr="006466B5" w14:paraId="086CE48C"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6A7F21" w14:textId="77777777" w:rsidR="00940E3A" w:rsidRPr="006466B5" w:rsidRDefault="00940E3A" w:rsidP="00933373">
            <w:pPr>
              <w:pStyle w:val="Bodyromannumerals"/>
              <w:rPr>
                <w:i/>
                <w:sz w:val="22"/>
              </w:rPr>
            </w:pPr>
            <w:r w:rsidRPr="006466B5">
              <w:rPr>
                <w:i/>
                <w:sz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9C18B7" w14:textId="77777777" w:rsidR="00940E3A" w:rsidRPr="006466B5" w:rsidRDefault="00940E3A" w:rsidP="00933373">
            <w:pPr>
              <w:pStyle w:val="Bodyromannumerals"/>
              <w:rPr>
                <w:sz w:val="22"/>
              </w:rPr>
            </w:pPr>
            <w:r w:rsidRPr="006466B5">
              <w:rPr>
                <w:sz w:val="22"/>
              </w:rPr>
              <w:t>Input field</w:t>
            </w:r>
          </w:p>
        </w:tc>
      </w:tr>
    </w:tbl>
    <w:p w14:paraId="27E64822" w14:textId="329EAB8E" w:rsidR="00B93181" w:rsidRDefault="00B93181">
      <w:pPr>
        <w:spacing w:after="160" w:line="259" w:lineRule="auto"/>
        <w:rPr>
          <w:rFonts w:ascii="Calibri" w:hAnsi="Calibri" w:cs="Calibri"/>
          <w:b/>
          <w:color w:val="182B46"/>
          <w:sz w:val="26"/>
        </w:rPr>
      </w:pPr>
    </w:p>
    <w:p w14:paraId="54888DF3" w14:textId="42D95D8A" w:rsidR="00940E3A" w:rsidRPr="006466B5" w:rsidRDefault="00940E3A" w:rsidP="007B03B2">
      <w:pPr>
        <w:pStyle w:val="Sectionsub-heading"/>
      </w:pPr>
      <w:r w:rsidRPr="006466B5">
        <w:t>BLOCK 6: MANGANESE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399"/>
        <w:gridCol w:w="1330"/>
      </w:tblGrid>
      <w:tr w:rsidR="00940E3A" w:rsidRPr="001D1117" w14:paraId="1959B71B" w14:textId="77777777" w:rsidTr="00C37C94">
        <w:trPr>
          <w:trHeight w:val="380"/>
        </w:trPr>
        <w:tc>
          <w:tcPr>
            <w:tcW w:w="756" w:type="pct"/>
          </w:tcPr>
          <w:p w14:paraId="15BA7ADF" w14:textId="77777777" w:rsidR="00940E3A" w:rsidRPr="001D1117" w:rsidRDefault="00940E3A" w:rsidP="001D1117">
            <w:pPr>
              <w:pStyle w:val="Bodyromannumerals"/>
              <w:rPr>
                <w:b/>
                <w:bCs/>
              </w:rPr>
            </w:pPr>
            <w:r w:rsidRPr="001D1117">
              <w:rPr>
                <w:b/>
                <w:bCs/>
              </w:rPr>
              <w:t>C2.19</w:t>
            </w:r>
          </w:p>
        </w:tc>
        <w:tc>
          <w:tcPr>
            <w:tcW w:w="3364" w:type="pct"/>
            <w:gridSpan w:val="2"/>
          </w:tcPr>
          <w:p w14:paraId="2E087D74" w14:textId="0C283CC2" w:rsidR="00940E3A" w:rsidRPr="001D1117" w:rsidRDefault="00940E3A" w:rsidP="001D1117">
            <w:pPr>
              <w:pStyle w:val="Bodyromannumerals"/>
              <w:rPr>
                <w:b/>
                <w:bCs/>
              </w:rPr>
            </w:pPr>
            <w:r w:rsidRPr="001D1117">
              <w:rPr>
                <w:b/>
                <w:bCs/>
              </w:rPr>
              <w:t>Number of WT</w:t>
            </w:r>
            <w:r w:rsidR="00902761">
              <w:rPr>
                <w:b/>
                <w:bCs/>
              </w:rPr>
              <w:t>P</w:t>
            </w:r>
            <w:r w:rsidRPr="001D1117">
              <w:rPr>
                <w:b/>
                <w:bCs/>
              </w:rPr>
              <w:t>s tested for manganese</w:t>
            </w:r>
          </w:p>
        </w:tc>
        <w:tc>
          <w:tcPr>
            <w:tcW w:w="881" w:type="pct"/>
          </w:tcPr>
          <w:p w14:paraId="16C186B6" w14:textId="58AC154F" w:rsidR="00940E3A" w:rsidRPr="001D1117" w:rsidRDefault="004A79AD" w:rsidP="001D1117">
            <w:pPr>
              <w:pStyle w:val="Bodyromannumerals"/>
              <w:rPr>
                <w:b/>
                <w:bCs/>
              </w:rPr>
            </w:pPr>
            <w:r w:rsidRPr="001D1117">
              <w:rPr>
                <w:b/>
                <w:bCs/>
              </w:rPr>
              <w:t>Nr.</w:t>
            </w:r>
          </w:p>
        </w:tc>
      </w:tr>
      <w:tr w:rsidR="00940E3A" w:rsidRPr="001D1117" w14:paraId="4CD91B8B"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21D2491F" w14:textId="77777777" w:rsidR="00940E3A" w:rsidRPr="00EE01EE" w:rsidRDefault="00940E3A" w:rsidP="001D1117">
            <w:pPr>
              <w:pStyle w:val="Bodyromannumerals"/>
              <w:rPr>
                <w:i/>
                <w:iCs/>
              </w:rPr>
            </w:pPr>
            <w:r w:rsidRPr="00EE01EE">
              <w:rPr>
                <w:i/>
                <w:iCs/>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1B4BFA96" w14:textId="53CC4E81" w:rsidR="00940E3A" w:rsidRPr="001D1117" w:rsidRDefault="00940E3A" w:rsidP="001D1117">
            <w:pPr>
              <w:pStyle w:val="Bodyromannumerals"/>
            </w:pPr>
            <w:r w:rsidRPr="001D1117">
              <w:t xml:space="preserve">The total number of </w:t>
            </w:r>
            <w:r w:rsidR="002142E2">
              <w:t>water treatment plants</w:t>
            </w:r>
            <w:r w:rsidRPr="001D1117">
              <w:t xml:space="preserve"> where the water has been tested for manganese</w:t>
            </w:r>
            <w:r w:rsidR="00EE01EE">
              <w:t>.</w:t>
            </w:r>
          </w:p>
        </w:tc>
      </w:tr>
      <w:tr w:rsidR="00940E3A" w:rsidRPr="006466B5" w14:paraId="357F4610"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026F2D" w14:textId="77777777" w:rsidR="00940E3A" w:rsidRPr="00EE01EE" w:rsidRDefault="00940E3A" w:rsidP="001D1117">
            <w:pPr>
              <w:pStyle w:val="Bodyromannumerals"/>
              <w:rPr>
                <w:i/>
                <w:iCs/>
              </w:rPr>
            </w:pPr>
            <w:r w:rsidRPr="00EE01EE">
              <w:rPr>
                <w:i/>
                <w:iCs/>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6FD65B" w14:textId="77777777" w:rsidR="00940E3A" w:rsidRPr="001D1117" w:rsidRDefault="00940E3A" w:rsidP="001D1117">
            <w:pPr>
              <w:pStyle w:val="Bodyromannumerals"/>
            </w:pPr>
            <w:r w:rsidRPr="001D1117">
              <w:t>Input field</w:t>
            </w:r>
          </w:p>
        </w:tc>
      </w:tr>
      <w:tr w:rsidR="00940E3A" w:rsidRPr="001D1117" w14:paraId="39490832" w14:textId="77777777" w:rsidTr="00C37C94">
        <w:tc>
          <w:tcPr>
            <w:tcW w:w="756" w:type="pct"/>
          </w:tcPr>
          <w:p w14:paraId="6EAFA7F4" w14:textId="77777777" w:rsidR="00940E3A" w:rsidRPr="001D1117" w:rsidRDefault="00940E3A" w:rsidP="001D1117">
            <w:pPr>
              <w:pStyle w:val="Bodyromannumerals"/>
              <w:rPr>
                <w:b/>
                <w:bCs/>
              </w:rPr>
            </w:pPr>
            <w:r w:rsidRPr="001D1117">
              <w:rPr>
                <w:b/>
                <w:bCs/>
              </w:rPr>
              <w:t>C2.20</w:t>
            </w:r>
          </w:p>
        </w:tc>
        <w:tc>
          <w:tcPr>
            <w:tcW w:w="3364" w:type="pct"/>
            <w:gridSpan w:val="2"/>
          </w:tcPr>
          <w:p w14:paraId="63CB3B2B" w14:textId="4972D780" w:rsidR="00940E3A" w:rsidRPr="001D1117" w:rsidRDefault="00940E3A" w:rsidP="001D1117">
            <w:pPr>
              <w:pStyle w:val="Bodyromannumerals"/>
              <w:rPr>
                <w:b/>
                <w:bCs/>
              </w:rPr>
            </w:pPr>
            <w:r w:rsidRPr="001D1117">
              <w:rPr>
                <w:b/>
                <w:bCs/>
              </w:rPr>
              <w:t>Number of WT</w:t>
            </w:r>
            <w:r w:rsidR="00902761">
              <w:rPr>
                <w:b/>
                <w:bCs/>
              </w:rPr>
              <w:t>P</w:t>
            </w:r>
            <w:r w:rsidRPr="001D1117">
              <w:rPr>
                <w:b/>
                <w:bCs/>
              </w:rPr>
              <w:t xml:space="preserve">s where&gt;=25% of samples exceed 50% of the </w:t>
            </w:r>
            <w:r w:rsidR="00526403">
              <w:rPr>
                <w:b/>
                <w:bCs/>
              </w:rPr>
              <w:t>DWSNZ maximum acceptable</w:t>
            </w:r>
            <w:r w:rsidR="00526403" w:rsidRPr="001D1117">
              <w:rPr>
                <w:b/>
                <w:bCs/>
              </w:rPr>
              <w:t xml:space="preserve"> </w:t>
            </w:r>
            <w:r w:rsidRPr="001D1117">
              <w:rPr>
                <w:b/>
                <w:bCs/>
              </w:rPr>
              <w:t>value</w:t>
            </w:r>
          </w:p>
        </w:tc>
        <w:tc>
          <w:tcPr>
            <w:tcW w:w="881" w:type="pct"/>
          </w:tcPr>
          <w:p w14:paraId="06A9C075" w14:textId="7A37AD47" w:rsidR="00940E3A" w:rsidRPr="001D1117" w:rsidRDefault="001D1117" w:rsidP="001D1117">
            <w:pPr>
              <w:pStyle w:val="Bodyromannumerals"/>
              <w:rPr>
                <w:b/>
                <w:bCs/>
              </w:rPr>
            </w:pPr>
            <w:r w:rsidRPr="001D1117">
              <w:rPr>
                <w:b/>
                <w:bCs/>
              </w:rPr>
              <w:t>Nr.</w:t>
            </w:r>
          </w:p>
        </w:tc>
      </w:tr>
      <w:tr w:rsidR="00940E3A" w:rsidRPr="001D1117" w14:paraId="06EE508F"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41CC28C7" w14:textId="77777777" w:rsidR="00940E3A" w:rsidRPr="00EE01EE" w:rsidRDefault="00940E3A" w:rsidP="001D1117">
            <w:pPr>
              <w:pStyle w:val="Bodyromannumerals"/>
              <w:rPr>
                <w:i/>
                <w:iCs/>
              </w:rPr>
            </w:pPr>
            <w:r w:rsidRPr="00EE01EE">
              <w:rPr>
                <w:i/>
                <w:iCs/>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10DB9DA0" w14:textId="671AAEC5" w:rsidR="00940E3A" w:rsidRPr="006F4310" w:rsidRDefault="00940E3A" w:rsidP="001D1117">
            <w:pPr>
              <w:pStyle w:val="Bodyromannumerals"/>
            </w:pPr>
            <w:r w:rsidRPr="001D1117">
              <w:t xml:space="preserve">The total number of </w:t>
            </w:r>
            <w:r w:rsidR="002142E2">
              <w:t>water treatment plants</w:t>
            </w:r>
            <w:r w:rsidRPr="001D1117">
              <w:t xml:space="preserve"> where greater than or equal to 25% of the </w:t>
            </w:r>
            <w:r w:rsidRPr="006F4310">
              <w:t xml:space="preserve">samples taken exceed 50% of the </w:t>
            </w:r>
            <w:r w:rsidR="00526403" w:rsidRPr="00B918CA">
              <w:t xml:space="preserve">maximum acceptable value for </w:t>
            </w:r>
            <w:r w:rsidRPr="006076E4">
              <w:t xml:space="preserve">manganese </w:t>
            </w:r>
            <w:r w:rsidR="00526403" w:rsidRPr="006F4310">
              <w:t xml:space="preserve">as set out in the </w:t>
            </w:r>
            <w:r w:rsidR="003A6545" w:rsidRPr="006F4310">
              <w:t>Drinking Water Standards New Zealand</w:t>
            </w:r>
            <w:r w:rsidRPr="006F4310">
              <w:t>.</w:t>
            </w:r>
          </w:p>
          <w:p w14:paraId="543AC104" w14:textId="6EA2CB1F" w:rsidR="00254739" w:rsidRPr="007013F6" w:rsidRDefault="00254739" w:rsidP="00254739">
            <w:pPr>
              <w:pStyle w:val="Bodyromannumerals"/>
            </w:pPr>
            <w:r w:rsidRPr="007013F6">
              <w:t>In Scotland, the Drinking Water Quality Regulator will only accept manual sampling. In New Zealand, however, we understand that continuous monitoring can be used for some parameters. For the avoidance of doubt, local authorities should report on the same sampling basis that they would use to report as part of the Drinking Water Standards</w:t>
            </w:r>
            <w:r w:rsidR="006F4310" w:rsidRPr="007013F6">
              <w:t xml:space="preserve"> for</w:t>
            </w:r>
            <w:r w:rsidRPr="007013F6">
              <w:t xml:space="preserve"> New Zealand for the relevant parameter.  </w:t>
            </w:r>
          </w:p>
          <w:p w14:paraId="50452020" w14:textId="6D0B91A3" w:rsidR="00940E3A" w:rsidRPr="001D1117" w:rsidRDefault="00254739" w:rsidP="001D1117">
            <w:pPr>
              <w:pStyle w:val="Bodyromannumerals"/>
            </w:pPr>
            <w:r w:rsidRPr="007013F6">
              <w:t>This line should include transgressions.</w:t>
            </w:r>
          </w:p>
        </w:tc>
      </w:tr>
      <w:tr w:rsidR="00940E3A" w:rsidRPr="001D1117" w14:paraId="5C4CED02"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9524C2" w14:textId="77777777" w:rsidR="00940E3A" w:rsidRPr="00EE01EE" w:rsidRDefault="00940E3A" w:rsidP="001D1117">
            <w:pPr>
              <w:pStyle w:val="Bodyromannumerals"/>
              <w:rPr>
                <w:i/>
                <w:iCs/>
              </w:rPr>
            </w:pPr>
            <w:r w:rsidRPr="00EE01EE">
              <w:rPr>
                <w:i/>
                <w:iCs/>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B02A21" w14:textId="77777777" w:rsidR="00940E3A" w:rsidRPr="001D1117" w:rsidRDefault="00940E3A" w:rsidP="001D1117">
            <w:pPr>
              <w:pStyle w:val="Bodyromannumerals"/>
            </w:pPr>
            <w:r w:rsidRPr="001D1117">
              <w:t>Input field</w:t>
            </w:r>
          </w:p>
        </w:tc>
      </w:tr>
      <w:tr w:rsidR="00940E3A" w:rsidRPr="006466B5" w14:paraId="291C694F" w14:textId="77777777" w:rsidTr="00C37C94">
        <w:tc>
          <w:tcPr>
            <w:tcW w:w="756" w:type="pct"/>
          </w:tcPr>
          <w:p w14:paraId="0E2D4856" w14:textId="77777777" w:rsidR="00940E3A" w:rsidRPr="001D1117" w:rsidRDefault="00940E3A" w:rsidP="001D1117">
            <w:pPr>
              <w:pStyle w:val="Bodyromannumerals"/>
              <w:rPr>
                <w:b/>
                <w:bCs/>
              </w:rPr>
            </w:pPr>
            <w:r w:rsidRPr="001D1117">
              <w:rPr>
                <w:b/>
                <w:bCs/>
              </w:rPr>
              <w:t>C2.21</w:t>
            </w:r>
          </w:p>
        </w:tc>
        <w:tc>
          <w:tcPr>
            <w:tcW w:w="3364" w:type="pct"/>
            <w:gridSpan w:val="2"/>
          </w:tcPr>
          <w:p w14:paraId="7A3CC037" w14:textId="51C752C5" w:rsidR="00940E3A" w:rsidRPr="001D1117" w:rsidRDefault="00015BF1" w:rsidP="001D1117">
            <w:pPr>
              <w:pStyle w:val="Bodyromannumerals"/>
              <w:rPr>
                <w:b/>
                <w:bCs/>
              </w:rPr>
            </w:pPr>
            <w:r>
              <w:rPr>
                <w:b/>
                <w:bCs/>
              </w:rPr>
              <w:t>Number</w:t>
            </w:r>
            <w:r w:rsidR="00940E3A" w:rsidRPr="001D1117">
              <w:rPr>
                <w:b/>
                <w:bCs/>
              </w:rPr>
              <w:t xml:space="preserve"> of WT</w:t>
            </w:r>
            <w:r w:rsidR="002B2187">
              <w:rPr>
                <w:b/>
                <w:bCs/>
              </w:rPr>
              <w:t>P</w:t>
            </w:r>
            <w:r w:rsidR="00940E3A" w:rsidRPr="001D1117">
              <w:rPr>
                <w:b/>
                <w:bCs/>
              </w:rPr>
              <w:t xml:space="preserve">s where between 10 to 25% of samples exceed 50% of the </w:t>
            </w:r>
            <w:r w:rsidR="00EE269C">
              <w:rPr>
                <w:b/>
                <w:bCs/>
              </w:rPr>
              <w:t>DWSNZ maximum acceptable</w:t>
            </w:r>
            <w:r w:rsidR="00940E3A" w:rsidRPr="001D1117">
              <w:rPr>
                <w:b/>
                <w:bCs/>
              </w:rPr>
              <w:t xml:space="preserve"> value</w:t>
            </w:r>
          </w:p>
        </w:tc>
        <w:tc>
          <w:tcPr>
            <w:tcW w:w="881" w:type="pct"/>
          </w:tcPr>
          <w:p w14:paraId="07A6E7EF" w14:textId="6F4BDA4D" w:rsidR="00940E3A" w:rsidRPr="001D1117" w:rsidRDefault="001D1117" w:rsidP="001D1117">
            <w:pPr>
              <w:pStyle w:val="Bodyromannumerals"/>
              <w:rPr>
                <w:b/>
                <w:bCs/>
              </w:rPr>
            </w:pPr>
            <w:r w:rsidRPr="001D1117">
              <w:rPr>
                <w:b/>
                <w:bCs/>
              </w:rPr>
              <w:t>Nr.</w:t>
            </w:r>
          </w:p>
        </w:tc>
      </w:tr>
      <w:tr w:rsidR="00940E3A" w:rsidRPr="006466B5" w14:paraId="2B4D7FE2"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4200B8FE" w14:textId="77777777" w:rsidR="00940E3A" w:rsidRPr="00EE01EE" w:rsidRDefault="00940E3A" w:rsidP="001D1117">
            <w:pPr>
              <w:pStyle w:val="Bodyromannumerals"/>
              <w:rPr>
                <w:i/>
                <w:iCs/>
              </w:rPr>
            </w:pPr>
            <w:r w:rsidRPr="00EE01EE">
              <w:rPr>
                <w:i/>
                <w:iCs/>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7278BCA4" w14:textId="48F34C5E" w:rsidR="00940E3A" w:rsidRPr="006F4310" w:rsidRDefault="00940E3A" w:rsidP="001D1117">
            <w:pPr>
              <w:pStyle w:val="Bodyromannumerals"/>
            </w:pPr>
            <w:r w:rsidRPr="001D1117">
              <w:t xml:space="preserve">The total number of </w:t>
            </w:r>
            <w:r w:rsidR="002142E2">
              <w:t>water treatment plants</w:t>
            </w:r>
            <w:r w:rsidRPr="001D1117">
              <w:t xml:space="preserve"> where between 10 and 25% of samples taken exceed 50% of the </w:t>
            </w:r>
            <w:r w:rsidR="003A6545">
              <w:t xml:space="preserve">maximum acceptable value for </w:t>
            </w:r>
            <w:r w:rsidR="003A6545" w:rsidRPr="001D1117">
              <w:t xml:space="preserve">manganese </w:t>
            </w:r>
            <w:r w:rsidR="003A6545">
              <w:t xml:space="preserve">as set out in the Drinking Water Standards New </w:t>
            </w:r>
            <w:r w:rsidR="003A6545" w:rsidRPr="006F4310">
              <w:t>Zealand</w:t>
            </w:r>
            <w:r w:rsidRPr="006F4310">
              <w:t>.</w:t>
            </w:r>
          </w:p>
          <w:p w14:paraId="1CE9E2A1" w14:textId="196CAAB1" w:rsidR="00254739" w:rsidRPr="007013F6" w:rsidRDefault="00254739" w:rsidP="00254739">
            <w:pPr>
              <w:pStyle w:val="Bodyromannumerals"/>
            </w:pPr>
            <w:r w:rsidRPr="007013F6">
              <w:t xml:space="preserve">In Scotland, the Drinking Water Quality Regulator will only accept manual sampling. In New Zealand, however, we understand that continuous monitoring can be used for some parameters. For the avoidance of doubt, local authorities should report on the same sampling basis that they would use to report as part of the Drinking Water Standards </w:t>
            </w:r>
            <w:r w:rsidR="006F4310" w:rsidRPr="007013F6">
              <w:t xml:space="preserve">for </w:t>
            </w:r>
            <w:r w:rsidRPr="007013F6">
              <w:t xml:space="preserve">New Zealand for the relevant parameter.  </w:t>
            </w:r>
          </w:p>
          <w:p w14:paraId="30C5B214" w14:textId="53A8087D" w:rsidR="00940E3A" w:rsidRPr="001D1117" w:rsidRDefault="00254739" w:rsidP="001D1117">
            <w:pPr>
              <w:pStyle w:val="Bodyromannumerals"/>
            </w:pPr>
            <w:r w:rsidRPr="007013F6">
              <w:t>This line should include transgressions.</w:t>
            </w:r>
          </w:p>
        </w:tc>
      </w:tr>
      <w:tr w:rsidR="00940E3A" w:rsidRPr="006466B5" w14:paraId="028D6A6A"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2FDA0A" w14:textId="77777777" w:rsidR="00940E3A" w:rsidRPr="00EE01EE" w:rsidRDefault="00940E3A" w:rsidP="001D1117">
            <w:pPr>
              <w:pStyle w:val="Bodyromannumerals"/>
              <w:rPr>
                <w:i/>
                <w:iCs/>
              </w:rPr>
            </w:pPr>
            <w:r w:rsidRPr="00EE01EE">
              <w:rPr>
                <w:i/>
                <w:iCs/>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CCA2C6" w14:textId="77777777" w:rsidR="00940E3A" w:rsidRPr="001D1117" w:rsidRDefault="00940E3A" w:rsidP="001D1117">
            <w:pPr>
              <w:pStyle w:val="Bodyromannumerals"/>
            </w:pPr>
            <w:r w:rsidRPr="001D1117">
              <w:t>Input field</w:t>
            </w:r>
          </w:p>
        </w:tc>
      </w:tr>
      <w:tr w:rsidR="00940E3A" w:rsidRPr="001D1117" w14:paraId="1B115441" w14:textId="77777777" w:rsidTr="00C37C94">
        <w:tc>
          <w:tcPr>
            <w:tcW w:w="756" w:type="pct"/>
          </w:tcPr>
          <w:p w14:paraId="063807E1" w14:textId="77777777" w:rsidR="00940E3A" w:rsidRPr="001D1117" w:rsidRDefault="00940E3A" w:rsidP="001D1117">
            <w:pPr>
              <w:pStyle w:val="Bodyromannumerals"/>
              <w:rPr>
                <w:b/>
                <w:bCs/>
              </w:rPr>
            </w:pPr>
            <w:r w:rsidRPr="001D1117">
              <w:rPr>
                <w:b/>
                <w:bCs/>
              </w:rPr>
              <w:t>C2.22</w:t>
            </w:r>
          </w:p>
        </w:tc>
        <w:tc>
          <w:tcPr>
            <w:tcW w:w="3364" w:type="pct"/>
            <w:gridSpan w:val="2"/>
          </w:tcPr>
          <w:p w14:paraId="2E92EC07" w14:textId="4A04FB23" w:rsidR="00940E3A" w:rsidRPr="001D1117" w:rsidRDefault="00940E3A" w:rsidP="001D1117">
            <w:pPr>
              <w:pStyle w:val="Bodyromannumerals"/>
              <w:rPr>
                <w:b/>
                <w:bCs/>
              </w:rPr>
            </w:pPr>
            <w:r w:rsidRPr="001D1117">
              <w:rPr>
                <w:b/>
                <w:bCs/>
              </w:rPr>
              <w:t>Number of WT</w:t>
            </w:r>
            <w:r w:rsidR="002B2187">
              <w:rPr>
                <w:b/>
                <w:bCs/>
              </w:rPr>
              <w:t>P</w:t>
            </w:r>
            <w:r w:rsidRPr="001D1117">
              <w:rPr>
                <w:b/>
                <w:bCs/>
              </w:rPr>
              <w:t xml:space="preserve">s where &lt;10% of samples exceed 50% of the </w:t>
            </w:r>
            <w:r w:rsidR="00EE269C">
              <w:rPr>
                <w:b/>
                <w:bCs/>
              </w:rPr>
              <w:t>DWSNZ maximum acceptable</w:t>
            </w:r>
            <w:r w:rsidRPr="001D1117">
              <w:rPr>
                <w:b/>
                <w:bCs/>
              </w:rPr>
              <w:t xml:space="preserve"> value</w:t>
            </w:r>
          </w:p>
        </w:tc>
        <w:tc>
          <w:tcPr>
            <w:tcW w:w="881" w:type="pct"/>
          </w:tcPr>
          <w:p w14:paraId="5575963C" w14:textId="75B5B2B4" w:rsidR="00940E3A" w:rsidRPr="001D1117" w:rsidRDefault="001D1117" w:rsidP="001D1117">
            <w:pPr>
              <w:pStyle w:val="Bodyromannumerals"/>
              <w:rPr>
                <w:b/>
                <w:bCs/>
              </w:rPr>
            </w:pPr>
            <w:r w:rsidRPr="001D1117">
              <w:rPr>
                <w:b/>
                <w:bCs/>
              </w:rPr>
              <w:t>Nr.</w:t>
            </w:r>
          </w:p>
        </w:tc>
      </w:tr>
      <w:tr w:rsidR="00940E3A" w:rsidRPr="001D1117" w14:paraId="5BE3A8FB"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02D9F252" w14:textId="77777777" w:rsidR="00940E3A" w:rsidRPr="00EE01EE" w:rsidRDefault="00940E3A" w:rsidP="001D1117">
            <w:pPr>
              <w:pStyle w:val="Bodyromannumerals"/>
              <w:rPr>
                <w:i/>
                <w:iCs/>
              </w:rPr>
            </w:pPr>
            <w:r w:rsidRPr="00EE01EE">
              <w:rPr>
                <w:i/>
                <w:iCs/>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23259598" w14:textId="6DB9A529" w:rsidR="00940E3A" w:rsidRPr="006F4310" w:rsidRDefault="00940E3A" w:rsidP="001D1117">
            <w:pPr>
              <w:pStyle w:val="Bodyromannumerals"/>
            </w:pPr>
            <w:r w:rsidRPr="001D1117">
              <w:t xml:space="preserve">The total number of </w:t>
            </w:r>
            <w:r w:rsidR="002142E2">
              <w:t>water treatment plants</w:t>
            </w:r>
            <w:r w:rsidRPr="001D1117">
              <w:t xml:space="preserve"> where less than 10% of the samples taken exceed 50% of the </w:t>
            </w:r>
            <w:r w:rsidR="003A6545">
              <w:t xml:space="preserve">maximum acceptable value for </w:t>
            </w:r>
            <w:r w:rsidR="003A6545" w:rsidRPr="001D1117">
              <w:t xml:space="preserve">manganese </w:t>
            </w:r>
            <w:r w:rsidR="003A6545">
              <w:t xml:space="preserve">as set out in the Drinking Water Standards New </w:t>
            </w:r>
            <w:r w:rsidR="003A6545" w:rsidRPr="006F4310">
              <w:t>Zealand</w:t>
            </w:r>
            <w:r w:rsidRPr="006F4310">
              <w:t>.</w:t>
            </w:r>
          </w:p>
          <w:p w14:paraId="73E8BBFC" w14:textId="0DAA5B10" w:rsidR="00254739" w:rsidRPr="007013F6" w:rsidRDefault="00254739" w:rsidP="00254739">
            <w:pPr>
              <w:pStyle w:val="Bodyromannumerals"/>
            </w:pPr>
            <w:r w:rsidRPr="007013F6">
              <w:t xml:space="preserve">In Scotland, the Drinking Water Quality Regulator will only accept manual sampling. In New Zealand, however, we understand that continuous monitoring can be used for some parameters. For the avoidance of doubt, local authorities should report on the same sampling basis that they would use to report as part of the Drinking Water Standards </w:t>
            </w:r>
            <w:r w:rsidR="006F4310" w:rsidRPr="007013F6">
              <w:t xml:space="preserve">for </w:t>
            </w:r>
            <w:r w:rsidRPr="007013F6">
              <w:t xml:space="preserve">New Zealand for the relevant parameter.  </w:t>
            </w:r>
          </w:p>
          <w:p w14:paraId="7E31E9CF" w14:textId="4280B599" w:rsidR="00940E3A" w:rsidRPr="001D1117" w:rsidRDefault="00254739" w:rsidP="001D1117">
            <w:pPr>
              <w:pStyle w:val="Bodyromannumerals"/>
            </w:pPr>
            <w:r w:rsidRPr="007013F6">
              <w:t>This line should include transgressions.</w:t>
            </w:r>
          </w:p>
        </w:tc>
      </w:tr>
      <w:tr w:rsidR="00940E3A" w:rsidRPr="001D1117" w14:paraId="33B27A16"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D67CA0" w14:textId="77777777" w:rsidR="00940E3A" w:rsidRPr="00EE01EE" w:rsidRDefault="00940E3A" w:rsidP="001D1117">
            <w:pPr>
              <w:pStyle w:val="Bodyromannumerals"/>
              <w:rPr>
                <w:i/>
                <w:iCs/>
              </w:rPr>
            </w:pPr>
            <w:r w:rsidRPr="00EE01EE">
              <w:rPr>
                <w:i/>
                <w:iCs/>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77DEFE" w14:textId="77777777" w:rsidR="00940E3A" w:rsidRPr="001D1117" w:rsidRDefault="00940E3A" w:rsidP="001D1117">
            <w:pPr>
              <w:pStyle w:val="Bodyromannumerals"/>
            </w:pPr>
            <w:r w:rsidRPr="001D1117">
              <w:t>Input field</w:t>
            </w:r>
          </w:p>
        </w:tc>
      </w:tr>
    </w:tbl>
    <w:p w14:paraId="0E0A5EDE" w14:textId="45F15C79" w:rsidR="008A7980" w:rsidRDefault="008A7980">
      <w:pPr>
        <w:spacing w:after="160" w:line="259" w:lineRule="auto"/>
        <w:rPr>
          <w:rFonts w:ascii="Segoe UI" w:hAnsi="Segoe UI" w:cs="Segoe UI"/>
          <w:b/>
          <w:bCs/>
          <w:color w:val="03B2C4"/>
          <w:sz w:val="36"/>
          <w:szCs w:val="36"/>
        </w:rPr>
      </w:pPr>
      <w:r>
        <w:rPr>
          <w:rFonts w:ascii="Segoe UI" w:hAnsi="Segoe UI" w:cs="Segoe UI"/>
          <w:b/>
          <w:bCs/>
          <w:color w:val="03B2C4"/>
          <w:sz w:val="36"/>
          <w:szCs w:val="36"/>
        </w:rPr>
        <w:br w:type="page"/>
      </w:r>
    </w:p>
    <w:p w14:paraId="333280CA" w14:textId="44128409" w:rsidR="00940E3A" w:rsidRPr="008456AD" w:rsidRDefault="004A36BD" w:rsidP="003D3727">
      <w:pPr>
        <w:pStyle w:val="Title1"/>
      </w:pPr>
      <w:r>
        <w:t xml:space="preserve">TABLE </w:t>
      </w:r>
      <w:r w:rsidR="00940E3A" w:rsidRPr="008456AD">
        <w:t xml:space="preserve">C3: </w:t>
      </w:r>
      <w:r w:rsidR="004E7D1F">
        <w:t>WATER ENHANCEMENT</w:t>
      </w:r>
    </w:p>
    <w:p w14:paraId="2171B9C8" w14:textId="75082DF9" w:rsidR="004E7D1F" w:rsidRDefault="00940E3A" w:rsidP="2F76CC7E">
      <w:pPr>
        <w:pStyle w:val="Bodynumbercopy"/>
        <w:numPr>
          <w:ilvl w:val="0"/>
          <w:numId w:val="6"/>
        </w:numPr>
        <w:rPr>
          <w:rFonts w:asciiTheme="minorHAnsi" w:eastAsiaTheme="minorEastAsia" w:hAnsiTheme="minorHAnsi" w:cstheme="minorBidi"/>
        </w:rPr>
      </w:pPr>
      <w:r>
        <w:t xml:space="preserve">This table identifies the outputs for new water quality obligations </w:t>
      </w:r>
      <w:r w:rsidR="00BD65EB">
        <w:t xml:space="preserve">in relation to </w:t>
      </w:r>
      <w:hyperlink r:id="rId17">
        <w:r w:rsidR="00BD65EB">
          <w:t>Drinking</w:t>
        </w:r>
        <w:r w:rsidR="001155F7">
          <w:t xml:space="preserve"> W</w:t>
        </w:r>
        <w:r w:rsidR="00BD65EB">
          <w:t xml:space="preserve">ater Standards for New Zealand 2005 (Revised 2018) and </w:t>
        </w:r>
        <w:r w:rsidR="00231F04">
          <w:t>30</w:t>
        </w:r>
        <w:r w:rsidR="00C31995">
          <w:t xml:space="preserve"> </w:t>
        </w:r>
        <w:r w:rsidR="00BD65EB">
          <w:t>abstraction and environmental regulations.</w:t>
        </w:r>
      </w:hyperlink>
    </w:p>
    <w:p w14:paraId="337889B5" w14:textId="5D046684" w:rsidR="00940E3A" w:rsidRPr="008456AD" w:rsidRDefault="00940E3A" w:rsidP="004E7D1F">
      <w:pPr>
        <w:pStyle w:val="Sectionsub-heading"/>
      </w:pPr>
      <w:r w:rsidRPr="008456AD">
        <w:t xml:space="preserve">BLOCK 1: DRINKING WATER </w:t>
      </w:r>
      <w:r w:rsidR="00114100">
        <w:t>COMPLIANCE</w:t>
      </w:r>
    </w:p>
    <w:p w14:paraId="3247BBBF" w14:textId="125DD8D1" w:rsidR="00940E3A" w:rsidRPr="001D1117" w:rsidRDefault="00940E3A" w:rsidP="002539E8">
      <w:pPr>
        <w:pStyle w:val="Bodysub-heading2"/>
      </w:pPr>
      <w:r w:rsidRPr="001D1117">
        <w:t xml:space="preserve">Lead </w:t>
      </w:r>
      <w:proofErr w:type="spellStart"/>
      <w:r w:rsidRPr="001D1117">
        <w:t>pcv</w:t>
      </w:r>
      <w:proofErr w:type="spellEnd"/>
      <w:r w:rsidRPr="001D1117">
        <w:t xml:space="preserve"> </w:t>
      </w:r>
      <w:r w:rsidR="00D36034">
        <w:t xml:space="preserve">(maximum level) </w:t>
      </w:r>
      <w:r w:rsidRPr="001D1117">
        <w:t xml:space="preserve">= </w:t>
      </w:r>
      <w:r w:rsidR="00FA3A0E">
        <w:t>0.0</w:t>
      </w:r>
      <w:r w:rsidRPr="001D1117">
        <w:t xml:space="preserve">25 </w:t>
      </w:r>
      <w:r w:rsidR="00FA3A0E">
        <w:t>m</w:t>
      </w:r>
      <w:r w:rsidR="00FA3A0E" w:rsidRPr="001D1117">
        <w:t>g</w:t>
      </w:r>
      <w:r w:rsidRPr="001D1117">
        <w:t>/l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940E3A" w:rsidRPr="001D1117" w14:paraId="6DB618C4" w14:textId="77777777" w:rsidTr="0083276D">
        <w:tc>
          <w:tcPr>
            <w:tcW w:w="756" w:type="pct"/>
          </w:tcPr>
          <w:p w14:paraId="04FA63CF" w14:textId="77777777" w:rsidR="00940E3A" w:rsidRPr="001D1117" w:rsidRDefault="00940E3A" w:rsidP="001D1117">
            <w:pPr>
              <w:pStyle w:val="Bodyromannumerals"/>
              <w:rPr>
                <w:b/>
                <w:bCs/>
              </w:rPr>
            </w:pPr>
            <w:r w:rsidRPr="001D1117">
              <w:rPr>
                <w:b/>
                <w:bCs/>
              </w:rPr>
              <w:t>C3.1</w:t>
            </w:r>
          </w:p>
        </w:tc>
        <w:tc>
          <w:tcPr>
            <w:tcW w:w="3472" w:type="pct"/>
            <w:gridSpan w:val="2"/>
          </w:tcPr>
          <w:p w14:paraId="14D3B260" w14:textId="355382B9" w:rsidR="00940E3A" w:rsidRPr="001D1117" w:rsidRDefault="00940E3A" w:rsidP="001D1117">
            <w:pPr>
              <w:pStyle w:val="Bodyromannumerals"/>
              <w:rPr>
                <w:b/>
                <w:bCs/>
              </w:rPr>
            </w:pPr>
            <w:r w:rsidRPr="001D1117">
              <w:rPr>
                <w:b/>
                <w:bCs/>
              </w:rPr>
              <w:t xml:space="preserve">Total number of water </w:t>
            </w:r>
            <w:r w:rsidR="00091EDF">
              <w:rPr>
                <w:b/>
                <w:bCs/>
              </w:rPr>
              <w:t>distribution</w:t>
            </w:r>
            <w:r w:rsidR="00091EDF" w:rsidRPr="001D1117">
              <w:rPr>
                <w:b/>
                <w:bCs/>
              </w:rPr>
              <w:t xml:space="preserve"> </w:t>
            </w:r>
            <w:r w:rsidRPr="001D1117">
              <w:rPr>
                <w:b/>
                <w:bCs/>
              </w:rPr>
              <w:t>zones subject to</w:t>
            </w:r>
            <w:r w:rsidR="00871B8F">
              <w:rPr>
                <w:b/>
                <w:bCs/>
              </w:rPr>
              <w:t xml:space="preserve"> a lead</w:t>
            </w:r>
            <w:r w:rsidR="00032C8D">
              <w:rPr>
                <w:b/>
                <w:bCs/>
              </w:rPr>
              <w:t xml:space="preserve"> requirement</w:t>
            </w:r>
            <w:r w:rsidR="00871B8F">
              <w:rPr>
                <w:b/>
                <w:bCs/>
              </w:rPr>
              <w:t xml:space="preserve"> </w:t>
            </w:r>
            <w:r w:rsidR="002111EF">
              <w:rPr>
                <w:b/>
                <w:bCs/>
              </w:rPr>
              <w:t xml:space="preserve">of </w:t>
            </w:r>
            <w:r w:rsidR="00FA3A0E">
              <w:rPr>
                <w:b/>
                <w:bCs/>
              </w:rPr>
              <w:t>0.0</w:t>
            </w:r>
            <w:r w:rsidR="002111EF" w:rsidRPr="001515CF">
              <w:rPr>
                <w:b/>
              </w:rPr>
              <w:t xml:space="preserve">25 </w:t>
            </w:r>
            <w:r w:rsidR="00FA3A0E">
              <w:rPr>
                <w:b/>
              </w:rPr>
              <w:t>m</w:t>
            </w:r>
            <w:r w:rsidR="00FA3A0E" w:rsidRPr="001515CF">
              <w:rPr>
                <w:b/>
              </w:rPr>
              <w:t>g</w:t>
            </w:r>
            <w:r w:rsidR="002111EF" w:rsidRPr="001515CF">
              <w:rPr>
                <w:b/>
              </w:rPr>
              <w:t>/l (maximum level)</w:t>
            </w:r>
          </w:p>
        </w:tc>
        <w:tc>
          <w:tcPr>
            <w:tcW w:w="772" w:type="pct"/>
          </w:tcPr>
          <w:p w14:paraId="186ECCDE" w14:textId="640AD81A" w:rsidR="00940E3A" w:rsidRPr="001D1117" w:rsidRDefault="00150DC5" w:rsidP="001D1117">
            <w:pPr>
              <w:pStyle w:val="Bodyromannumerals"/>
              <w:rPr>
                <w:b/>
                <w:bCs/>
              </w:rPr>
            </w:pPr>
            <w:r w:rsidRPr="001D1117">
              <w:rPr>
                <w:b/>
                <w:bCs/>
              </w:rPr>
              <w:t>Nr.</w:t>
            </w:r>
          </w:p>
        </w:tc>
      </w:tr>
      <w:tr w:rsidR="00940E3A" w:rsidRPr="001D1117" w14:paraId="230AA593"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7DE11946" w14:textId="77777777" w:rsidR="00940E3A" w:rsidRPr="00E54A9A" w:rsidRDefault="00940E3A" w:rsidP="001D1117">
            <w:pPr>
              <w:pStyle w:val="Bodyromannumerals"/>
              <w:rPr>
                <w:i/>
                <w:iCs/>
              </w:rPr>
            </w:pPr>
            <w:r w:rsidRPr="00E54A9A">
              <w:rPr>
                <w:i/>
                <w:iCs/>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3F939F38" w14:textId="5FCAC0E8" w:rsidR="00940E3A" w:rsidRPr="001D1117" w:rsidRDefault="00940E3A" w:rsidP="001D1117">
            <w:pPr>
              <w:pStyle w:val="Bodyromannumerals"/>
            </w:pPr>
            <w:r w:rsidRPr="001D1117">
              <w:t xml:space="preserve">The total number of </w:t>
            </w:r>
            <w:r w:rsidR="00F53DC0">
              <w:t>distribution zones</w:t>
            </w:r>
            <w:r w:rsidRPr="001D1117">
              <w:t xml:space="preserve"> subject to a lead </w:t>
            </w:r>
            <w:r w:rsidR="00990B67">
              <w:t>requirement</w:t>
            </w:r>
            <w:r w:rsidRPr="001D1117">
              <w:t xml:space="preserve"> to ensure that the water into the supply does not contain lead at a concentration level greater than </w:t>
            </w:r>
            <w:r w:rsidR="00E92241">
              <w:t>0.0</w:t>
            </w:r>
            <w:r w:rsidRPr="001D1117">
              <w:t xml:space="preserve">25 </w:t>
            </w:r>
            <w:r w:rsidR="00E92241">
              <w:t>m</w:t>
            </w:r>
            <w:r w:rsidR="00E92241" w:rsidRPr="001D1117">
              <w:t>g</w:t>
            </w:r>
            <w:r w:rsidRPr="001D1117">
              <w:t>/l</w:t>
            </w:r>
            <w:r w:rsidR="00E54A9A">
              <w:t>.</w:t>
            </w:r>
          </w:p>
          <w:p w14:paraId="10153FA8" w14:textId="7B24B558" w:rsidR="00940E3A" w:rsidRDefault="00940E3A" w:rsidP="001D1117">
            <w:pPr>
              <w:pStyle w:val="Bodyromannumerals"/>
            </w:pPr>
            <w:r w:rsidRPr="001D1117">
              <w:t xml:space="preserve">Imported bulk supplies covered by such </w:t>
            </w:r>
            <w:r w:rsidR="002C325C">
              <w:t xml:space="preserve">requirements </w:t>
            </w:r>
            <w:r w:rsidRPr="001D1117">
              <w:t>should be included in this figure.</w:t>
            </w:r>
          </w:p>
          <w:p w14:paraId="73351797" w14:textId="24CA8BA0" w:rsidR="00664175" w:rsidRDefault="00664175" w:rsidP="00B03EFD">
            <w:pPr>
              <w:pStyle w:val="Bodynumbercopy"/>
              <w:numPr>
                <w:ilvl w:val="0"/>
                <w:numId w:val="0"/>
              </w:numPr>
              <w:rPr>
                <w:lang w:val="en-GB"/>
              </w:rPr>
            </w:pPr>
            <w:r w:rsidRPr="00955B8F">
              <w:t>Water distribution zone is defined as an identifiable part of the water supply network</w:t>
            </w:r>
            <w:r>
              <w:t>. T</w:t>
            </w:r>
            <w:r w:rsidRPr="007F29CF">
              <w:t xml:space="preserve">his is in line with </w:t>
            </w:r>
            <w:r>
              <w:t xml:space="preserve">the </w:t>
            </w:r>
            <w:r w:rsidRPr="007F29CF">
              <w:rPr>
                <w:lang w:val="en-GB"/>
              </w:rPr>
              <w:t>Drinking-water Standards for New Zealand 2005 (Revised 2018)</w:t>
            </w:r>
            <w:r w:rsidR="00C94AFE">
              <w:rPr>
                <w:lang w:val="en-GB"/>
              </w:rPr>
              <w:t>.</w:t>
            </w:r>
          </w:p>
          <w:p w14:paraId="1D500CE0" w14:textId="031D4E1C" w:rsidR="00664175" w:rsidRPr="00B03EFD" w:rsidRDefault="00664175" w:rsidP="00B03EFD">
            <w:pPr>
              <w:pStyle w:val="Bodynumbercopy"/>
              <w:numPr>
                <w:ilvl w:val="0"/>
                <w:numId w:val="0"/>
              </w:numPr>
              <w:rPr>
                <w:b/>
                <w:bCs/>
                <w:lang w:val="en-GB"/>
              </w:rPr>
            </w:pPr>
          </w:p>
        </w:tc>
      </w:tr>
      <w:tr w:rsidR="00940E3A" w:rsidRPr="001D1117" w14:paraId="6E826CA1"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7EB4B8" w14:textId="77777777" w:rsidR="00940E3A" w:rsidRPr="00E54A9A" w:rsidRDefault="00940E3A" w:rsidP="001D1117">
            <w:pPr>
              <w:pStyle w:val="Bodyromannumerals"/>
              <w:rPr>
                <w:i/>
                <w:iCs/>
              </w:rPr>
            </w:pPr>
            <w:r w:rsidRPr="00E54A9A">
              <w:rPr>
                <w:i/>
                <w:iCs/>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E7D927" w14:textId="77777777" w:rsidR="00940E3A" w:rsidRPr="001D1117" w:rsidRDefault="00940E3A" w:rsidP="001D1117">
            <w:pPr>
              <w:pStyle w:val="Bodyromannumerals"/>
            </w:pPr>
            <w:r w:rsidRPr="001D1117">
              <w:t>Input field</w:t>
            </w:r>
          </w:p>
        </w:tc>
      </w:tr>
      <w:tr w:rsidR="001D1117" w:rsidRPr="006466B5" w14:paraId="2DDB073A" w14:textId="77777777" w:rsidTr="0083276D">
        <w:tc>
          <w:tcPr>
            <w:tcW w:w="756" w:type="pct"/>
          </w:tcPr>
          <w:p w14:paraId="1C8E56EC" w14:textId="77777777" w:rsidR="00940E3A" w:rsidRPr="001D1117" w:rsidRDefault="00940E3A" w:rsidP="001D1117">
            <w:pPr>
              <w:pStyle w:val="Bodyromannumerals"/>
              <w:rPr>
                <w:b/>
                <w:bCs/>
              </w:rPr>
            </w:pPr>
            <w:r w:rsidRPr="001D1117">
              <w:rPr>
                <w:b/>
                <w:bCs/>
              </w:rPr>
              <w:t>C3.2</w:t>
            </w:r>
          </w:p>
        </w:tc>
        <w:tc>
          <w:tcPr>
            <w:tcW w:w="3472" w:type="pct"/>
            <w:gridSpan w:val="2"/>
          </w:tcPr>
          <w:p w14:paraId="1BA96E15" w14:textId="164A2971" w:rsidR="00940E3A" w:rsidRPr="001D1117" w:rsidRDefault="00940E3A" w:rsidP="001D1117">
            <w:pPr>
              <w:pStyle w:val="Bodyromannumerals"/>
              <w:rPr>
                <w:b/>
                <w:bCs/>
                <w:bdr w:val="single" w:sz="4" w:space="0" w:color="auto"/>
              </w:rPr>
            </w:pPr>
            <w:r w:rsidRPr="001D1117">
              <w:rPr>
                <w:b/>
                <w:bCs/>
              </w:rPr>
              <w:t xml:space="preserve">Volume of water delivered subject to </w:t>
            </w:r>
            <w:r w:rsidR="002111EF">
              <w:rPr>
                <w:b/>
                <w:bCs/>
              </w:rPr>
              <w:t xml:space="preserve">a lead requirement of </w:t>
            </w:r>
            <w:r w:rsidR="00E92241">
              <w:rPr>
                <w:b/>
                <w:bCs/>
              </w:rPr>
              <w:t>0.0</w:t>
            </w:r>
            <w:r w:rsidR="002111EF" w:rsidRPr="001515CF">
              <w:rPr>
                <w:b/>
              </w:rPr>
              <w:t xml:space="preserve">25 </w:t>
            </w:r>
            <w:r w:rsidR="00E92241">
              <w:rPr>
                <w:b/>
              </w:rPr>
              <w:t>m</w:t>
            </w:r>
            <w:r w:rsidR="00E92241" w:rsidRPr="001515CF">
              <w:rPr>
                <w:b/>
              </w:rPr>
              <w:t>g</w:t>
            </w:r>
            <w:r w:rsidR="002111EF" w:rsidRPr="001515CF">
              <w:rPr>
                <w:b/>
              </w:rPr>
              <w:t>/l (maximum level)</w:t>
            </w:r>
            <w:r w:rsidR="002111EF">
              <w:t xml:space="preserve"> </w:t>
            </w:r>
          </w:p>
        </w:tc>
        <w:tc>
          <w:tcPr>
            <w:tcW w:w="772" w:type="pct"/>
          </w:tcPr>
          <w:p w14:paraId="4DF0E702" w14:textId="77777777" w:rsidR="00940E3A" w:rsidRPr="001D1117" w:rsidRDefault="00940E3A" w:rsidP="001D1117">
            <w:pPr>
              <w:pStyle w:val="Bodyromannumerals"/>
              <w:rPr>
                <w:b/>
                <w:bCs/>
                <w:bdr w:val="single" w:sz="4" w:space="0" w:color="auto"/>
              </w:rPr>
            </w:pPr>
            <w:proofErr w:type="spellStart"/>
            <w:r w:rsidRPr="001D1117">
              <w:rPr>
                <w:b/>
                <w:bCs/>
              </w:rPr>
              <w:t>Ml</w:t>
            </w:r>
            <w:proofErr w:type="spellEnd"/>
            <w:r w:rsidRPr="001D1117">
              <w:rPr>
                <w:b/>
                <w:bCs/>
              </w:rPr>
              <w:t>/d</w:t>
            </w:r>
          </w:p>
        </w:tc>
      </w:tr>
      <w:tr w:rsidR="00940E3A" w:rsidRPr="006466B5" w14:paraId="342AE428"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46B10B32" w14:textId="77777777" w:rsidR="00940E3A" w:rsidRPr="00E54A9A" w:rsidRDefault="00940E3A" w:rsidP="001D1117">
            <w:pPr>
              <w:pStyle w:val="Bodyromannumerals"/>
              <w:rPr>
                <w:bCs/>
                <w:i/>
                <w:iCs/>
              </w:rPr>
            </w:pPr>
            <w:r w:rsidRPr="00E54A9A">
              <w:rPr>
                <w:bCs/>
                <w:i/>
                <w:iCs/>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11074FD0" w14:textId="3624A068" w:rsidR="00940E3A" w:rsidRDefault="00940E3A" w:rsidP="001D1117">
            <w:pPr>
              <w:pStyle w:val="Bodyromannumerals"/>
            </w:pPr>
            <w:r w:rsidRPr="009D0EE9">
              <w:t xml:space="preserve">The annual average daily flow rate of water entering distribution, which is subject to a lead </w:t>
            </w:r>
            <w:r w:rsidR="002C325C">
              <w:t>requirement</w:t>
            </w:r>
            <w:r w:rsidRPr="009D0EE9">
              <w:t xml:space="preserve">, to reduce the lead concentration in the water supply to a maximum of </w:t>
            </w:r>
            <w:r w:rsidR="00F909D3">
              <w:t>0.0</w:t>
            </w:r>
            <w:r w:rsidRPr="009D0EE9">
              <w:t xml:space="preserve">25 </w:t>
            </w:r>
            <w:r w:rsidR="00F909D3">
              <w:t>m</w:t>
            </w:r>
            <w:r w:rsidR="00F909D3" w:rsidRPr="009D0EE9">
              <w:t>g</w:t>
            </w:r>
            <w:r w:rsidRPr="009D0EE9">
              <w:t>/l.</w:t>
            </w:r>
          </w:p>
          <w:p w14:paraId="608D9F73" w14:textId="3C720DB3" w:rsidR="00940E3A" w:rsidRPr="006466B5" w:rsidRDefault="00940E3A" w:rsidP="001D1117">
            <w:pPr>
              <w:pStyle w:val="Bodyromannumerals"/>
            </w:pPr>
            <w:r w:rsidRPr="009D0EE9">
              <w:t>Imported bulk supplies covered by such</w:t>
            </w:r>
            <w:r w:rsidR="001515CF">
              <w:t xml:space="preserve"> </w:t>
            </w:r>
            <w:r w:rsidR="002C325C">
              <w:t>requirements</w:t>
            </w:r>
            <w:r w:rsidR="00A64F8F">
              <w:t xml:space="preserve"> </w:t>
            </w:r>
            <w:r w:rsidRPr="009D0EE9">
              <w:t>should be included in this figure.</w:t>
            </w:r>
          </w:p>
        </w:tc>
      </w:tr>
      <w:tr w:rsidR="00940E3A" w:rsidRPr="006466B5" w14:paraId="426125FD"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7FA327" w14:textId="77777777" w:rsidR="00940E3A" w:rsidRPr="00E54A9A" w:rsidRDefault="00940E3A" w:rsidP="001D1117">
            <w:pPr>
              <w:pStyle w:val="Bodyromannumerals"/>
              <w:rPr>
                <w:bCs/>
                <w:i/>
                <w:iCs/>
              </w:rPr>
            </w:pPr>
            <w:r w:rsidRPr="00E54A9A">
              <w:rPr>
                <w:bCs/>
                <w:i/>
                <w:iCs/>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A2FA16" w14:textId="77777777" w:rsidR="00940E3A" w:rsidRPr="006466B5" w:rsidRDefault="00940E3A" w:rsidP="001D1117">
            <w:pPr>
              <w:pStyle w:val="Bodyromannumerals"/>
            </w:pPr>
            <w:r w:rsidRPr="006466B5">
              <w:t>Input field</w:t>
            </w:r>
          </w:p>
        </w:tc>
      </w:tr>
      <w:tr w:rsidR="00940E3A" w:rsidRPr="006466B5" w14:paraId="28A7E22C" w14:textId="77777777" w:rsidTr="0083276D">
        <w:tc>
          <w:tcPr>
            <w:tcW w:w="756" w:type="pct"/>
          </w:tcPr>
          <w:p w14:paraId="23FB2877" w14:textId="77777777" w:rsidR="00940E3A" w:rsidRPr="006466B5" w:rsidRDefault="00940E3A" w:rsidP="001D1117">
            <w:pPr>
              <w:pStyle w:val="Bodyromannumerals"/>
              <w:rPr>
                <w:b/>
              </w:rPr>
            </w:pPr>
            <w:r w:rsidRPr="006466B5">
              <w:br w:type="page"/>
            </w:r>
            <w:r w:rsidRPr="006466B5">
              <w:rPr>
                <w:b/>
              </w:rPr>
              <w:t>C3.3</w:t>
            </w:r>
          </w:p>
        </w:tc>
        <w:tc>
          <w:tcPr>
            <w:tcW w:w="3472" w:type="pct"/>
            <w:gridSpan w:val="2"/>
          </w:tcPr>
          <w:p w14:paraId="754C10A1" w14:textId="180E6CDF" w:rsidR="00940E3A" w:rsidRPr="001D1117" w:rsidRDefault="00940E3A" w:rsidP="001D1117">
            <w:pPr>
              <w:pStyle w:val="Bodyromannumerals"/>
              <w:rPr>
                <w:b/>
                <w:bCs/>
                <w:bdr w:val="single" w:sz="4" w:space="0" w:color="auto"/>
              </w:rPr>
            </w:pPr>
            <w:r w:rsidRPr="001D1117">
              <w:rPr>
                <w:b/>
                <w:bCs/>
              </w:rPr>
              <w:t xml:space="preserve">% of water delivered subject to </w:t>
            </w:r>
            <w:r w:rsidR="002111EF">
              <w:rPr>
                <w:b/>
                <w:bCs/>
              </w:rPr>
              <w:t xml:space="preserve">a lead requirement of </w:t>
            </w:r>
            <w:r w:rsidR="00F909D3">
              <w:rPr>
                <w:b/>
                <w:bCs/>
              </w:rPr>
              <w:t>0.0</w:t>
            </w:r>
            <w:r w:rsidR="002111EF" w:rsidRPr="001515CF">
              <w:rPr>
                <w:b/>
              </w:rPr>
              <w:t xml:space="preserve">25 </w:t>
            </w:r>
            <w:r w:rsidR="00F909D3">
              <w:rPr>
                <w:b/>
              </w:rPr>
              <w:t>m</w:t>
            </w:r>
            <w:r w:rsidR="00F909D3" w:rsidRPr="001515CF">
              <w:rPr>
                <w:b/>
              </w:rPr>
              <w:t>g</w:t>
            </w:r>
            <w:r w:rsidR="002111EF" w:rsidRPr="001515CF">
              <w:rPr>
                <w:b/>
              </w:rPr>
              <w:t>/l (maximum level)</w:t>
            </w:r>
          </w:p>
        </w:tc>
        <w:tc>
          <w:tcPr>
            <w:tcW w:w="772" w:type="pct"/>
          </w:tcPr>
          <w:p w14:paraId="0226E18F" w14:textId="77777777" w:rsidR="00940E3A" w:rsidRPr="006466B5" w:rsidRDefault="00940E3A" w:rsidP="001D1117">
            <w:pPr>
              <w:pStyle w:val="Bodyromannumerals"/>
              <w:rPr>
                <w:b/>
                <w:bdr w:val="single" w:sz="4" w:space="0" w:color="auto"/>
              </w:rPr>
            </w:pPr>
            <w:r w:rsidRPr="006466B5">
              <w:rPr>
                <w:b/>
              </w:rPr>
              <w:t xml:space="preserve">% </w:t>
            </w:r>
          </w:p>
        </w:tc>
      </w:tr>
      <w:tr w:rsidR="00940E3A" w:rsidRPr="006466B5" w14:paraId="5F6ADE2A"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4B9C86CE" w14:textId="77777777" w:rsidR="00940E3A" w:rsidRPr="006466B5" w:rsidRDefault="00940E3A" w:rsidP="001D1117">
            <w:pPr>
              <w:pStyle w:val="Bodyromannumerals"/>
              <w:rPr>
                <w:b/>
              </w:rPr>
            </w:pPr>
            <w:r w:rsidRPr="006466B5">
              <w:rPr>
                <w:b/>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4EEC6EFE" w14:textId="585C133A" w:rsidR="00940E3A" w:rsidRPr="006466B5" w:rsidRDefault="00940E3A" w:rsidP="001D1117">
            <w:pPr>
              <w:pStyle w:val="Bodyromannumerals"/>
            </w:pPr>
            <w:r w:rsidRPr="009D0EE9">
              <w:t>The volume of water reported in line C3.2 as a percentage of the total water delivered</w:t>
            </w:r>
            <w:r w:rsidR="00370F12">
              <w:t>.</w:t>
            </w:r>
          </w:p>
        </w:tc>
      </w:tr>
      <w:tr w:rsidR="00940E3A" w:rsidRPr="006466B5" w14:paraId="70811EE4"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D9CD92" w14:textId="77777777" w:rsidR="00940E3A" w:rsidRPr="006466B5" w:rsidRDefault="00940E3A" w:rsidP="001D1117">
            <w:pPr>
              <w:pStyle w:val="Bodyromannumerals"/>
              <w:rPr>
                <w:b/>
              </w:rPr>
            </w:pPr>
            <w:r w:rsidRPr="006466B5">
              <w:rPr>
                <w:b/>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B02B7D" w14:textId="2ACA182C" w:rsidR="00940E3A" w:rsidRPr="006466B5" w:rsidRDefault="00940E3A" w:rsidP="001D1117">
            <w:pPr>
              <w:pStyle w:val="Bodyromannumerals"/>
            </w:pPr>
            <w:r w:rsidRPr="009D0EE9">
              <w:t>Calculated field (C3.2/</w:t>
            </w:r>
            <w:r w:rsidRPr="00937C0C">
              <w:t>A2.</w:t>
            </w:r>
            <w:r w:rsidR="00E21920" w:rsidRPr="00937C0C">
              <w:t>25</w:t>
            </w:r>
            <w:r w:rsidRPr="009D0EE9">
              <w:t>)*100</w:t>
            </w:r>
          </w:p>
        </w:tc>
      </w:tr>
    </w:tbl>
    <w:p w14:paraId="30E37241" w14:textId="77777777" w:rsidR="00D77653" w:rsidRDefault="00D77653" w:rsidP="002539E8">
      <w:pPr>
        <w:pStyle w:val="Bodysub-heading2"/>
      </w:pPr>
    </w:p>
    <w:p w14:paraId="26DAC391" w14:textId="77777777" w:rsidR="00D77653" w:rsidRDefault="00D77653">
      <w:pPr>
        <w:spacing w:after="160" w:line="259" w:lineRule="auto"/>
        <w:rPr>
          <w:rFonts w:ascii="Calibri" w:hAnsi="Calibri" w:cs="Calibri"/>
          <w:color w:val="03B2C4"/>
          <w:sz w:val="22"/>
          <w:szCs w:val="21"/>
        </w:rPr>
      </w:pPr>
      <w:r>
        <w:br w:type="page"/>
      </w:r>
    </w:p>
    <w:p w14:paraId="248B11C8" w14:textId="7029C1AA" w:rsidR="00940E3A" w:rsidRPr="005173D8" w:rsidRDefault="00940E3A" w:rsidP="002539E8">
      <w:pPr>
        <w:pStyle w:val="Bodysub-heading2"/>
      </w:pPr>
      <w:r w:rsidRPr="005173D8">
        <w:t xml:space="preserve">Lead </w:t>
      </w:r>
      <w:proofErr w:type="spellStart"/>
      <w:r w:rsidRPr="005173D8">
        <w:t>pcv</w:t>
      </w:r>
      <w:proofErr w:type="spellEnd"/>
      <w:r w:rsidR="00D36034">
        <w:t xml:space="preserve"> (maximum level)</w:t>
      </w:r>
      <w:r w:rsidRPr="005173D8">
        <w:t xml:space="preserve"> = </w:t>
      </w:r>
      <w:r w:rsidR="00C96FA2">
        <w:t>0.0</w:t>
      </w:r>
      <w:r w:rsidRPr="005173D8">
        <w:t xml:space="preserve">1 </w:t>
      </w:r>
      <w:r w:rsidR="00C96FA2">
        <w:t>m</w:t>
      </w:r>
      <w:r w:rsidRPr="005173D8">
        <w:t>g/l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940E3A" w:rsidRPr="001D1117" w14:paraId="144C2820" w14:textId="77777777" w:rsidTr="0083276D">
        <w:tc>
          <w:tcPr>
            <w:tcW w:w="756" w:type="pct"/>
          </w:tcPr>
          <w:p w14:paraId="0635F05D" w14:textId="77777777" w:rsidR="00940E3A" w:rsidRPr="001D1117" w:rsidRDefault="00940E3A" w:rsidP="001D1117">
            <w:pPr>
              <w:pStyle w:val="Bodyromannumerals"/>
              <w:rPr>
                <w:b/>
                <w:bCs/>
              </w:rPr>
            </w:pPr>
            <w:r w:rsidRPr="001D1117">
              <w:rPr>
                <w:b/>
                <w:bCs/>
              </w:rPr>
              <w:t>C3.4</w:t>
            </w:r>
          </w:p>
        </w:tc>
        <w:tc>
          <w:tcPr>
            <w:tcW w:w="3472" w:type="pct"/>
            <w:gridSpan w:val="2"/>
          </w:tcPr>
          <w:p w14:paraId="5E52D6EE" w14:textId="123623CE" w:rsidR="00940E3A" w:rsidRPr="001D1117" w:rsidRDefault="00940E3A" w:rsidP="001D1117">
            <w:pPr>
              <w:pStyle w:val="Bodyromannumerals"/>
              <w:rPr>
                <w:b/>
                <w:bCs/>
              </w:rPr>
            </w:pPr>
            <w:r w:rsidRPr="001D1117">
              <w:rPr>
                <w:b/>
                <w:bCs/>
              </w:rPr>
              <w:t xml:space="preserve">Total number of water </w:t>
            </w:r>
            <w:r w:rsidR="00091EDF">
              <w:rPr>
                <w:b/>
                <w:bCs/>
              </w:rPr>
              <w:t>distribution</w:t>
            </w:r>
            <w:r w:rsidR="00091EDF" w:rsidRPr="001D1117">
              <w:rPr>
                <w:b/>
                <w:bCs/>
              </w:rPr>
              <w:t xml:space="preserve"> </w:t>
            </w:r>
            <w:r w:rsidRPr="001D1117">
              <w:rPr>
                <w:b/>
                <w:bCs/>
              </w:rPr>
              <w:t xml:space="preserve">zones subject to </w:t>
            </w:r>
            <w:r w:rsidR="00D26CCB">
              <w:rPr>
                <w:b/>
                <w:bCs/>
              </w:rPr>
              <w:t xml:space="preserve">a lead requirement of </w:t>
            </w:r>
            <w:r w:rsidR="00F909D3">
              <w:rPr>
                <w:b/>
                <w:bCs/>
              </w:rPr>
              <w:t>0.0</w:t>
            </w:r>
            <w:r w:rsidR="00D26CCB" w:rsidRPr="00D26CCB">
              <w:rPr>
                <w:b/>
                <w:bCs/>
              </w:rPr>
              <w:t xml:space="preserve">1 </w:t>
            </w:r>
            <w:r w:rsidR="00F909D3">
              <w:rPr>
                <w:b/>
                <w:bCs/>
              </w:rPr>
              <w:t>m</w:t>
            </w:r>
            <w:r w:rsidR="00F909D3" w:rsidRPr="00D26CCB">
              <w:rPr>
                <w:b/>
                <w:bCs/>
              </w:rPr>
              <w:t>g</w:t>
            </w:r>
            <w:r w:rsidR="00D26CCB" w:rsidRPr="00D26CCB">
              <w:rPr>
                <w:b/>
                <w:bCs/>
              </w:rPr>
              <w:t>/l</w:t>
            </w:r>
            <w:r w:rsidR="009F4AFB">
              <w:rPr>
                <w:b/>
                <w:bCs/>
              </w:rPr>
              <w:t xml:space="preserve"> (maximum level) </w:t>
            </w:r>
          </w:p>
        </w:tc>
        <w:tc>
          <w:tcPr>
            <w:tcW w:w="772" w:type="pct"/>
          </w:tcPr>
          <w:p w14:paraId="2B0C5CAD" w14:textId="56D06EFA" w:rsidR="00940E3A" w:rsidRPr="001D1117" w:rsidRDefault="001D1117" w:rsidP="001D1117">
            <w:pPr>
              <w:pStyle w:val="Bodyromannumerals"/>
              <w:rPr>
                <w:b/>
                <w:bCs/>
              </w:rPr>
            </w:pPr>
            <w:r w:rsidRPr="001D1117">
              <w:rPr>
                <w:b/>
                <w:bCs/>
              </w:rPr>
              <w:t>Nr.</w:t>
            </w:r>
          </w:p>
        </w:tc>
      </w:tr>
      <w:tr w:rsidR="00940E3A" w:rsidRPr="001D1117" w14:paraId="6257E15B"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48AC0DD8" w14:textId="77777777" w:rsidR="00940E3A" w:rsidRPr="00320873" w:rsidRDefault="00940E3A" w:rsidP="001D1117">
            <w:pPr>
              <w:pStyle w:val="Bodyromannumerals"/>
              <w:rPr>
                <w:i/>
                <w:iCs/>
              </w:rPr>
            </w:pPr>
            <w:r w:rsidRPr="00320873">
              <w:rPr>
                <w:i/>
                <w:iCs/>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0B9BF67B" w14:textId="557256E5" w:rsidR="00940E3A" w:rsidRPr="001D1117" w:rsidRDefault="00940E3A" w:rsidP="001D1117">
            <w:pPr>
              <w:pStyle w:val="Bodyromannumerals"/>
            </w:pPr>
            <w:r w:rsidRPr="001D1117">
              <w:t xml:space="preserve">The total number of </w:t>
            </w:r>
            <w:r w:rsidR="00F53DC0">
              <w:t>distribution zones</w:t>
            </w:r>
            <w:r w:rsidRPr="001D1117">
              <w:t xml:space="preserve"> subject to a lead </w:t>
            </w:r>
            <w:r w:rsidR="002C325C">
              <w:t xml:space="preserve">requirement </w:t>
            </w:r>
            <w:r w:rsidRPr="001D1117">
              <w:t xml:space="preserve">to ensure that the water into the supply does not contain lead at a concentration level greater than </w:t>
            </w:r>
            <w:r w:rsidR="00180679">
              <w:t>0.0</w:t>
            </w:r>
            <w:r w:rsidRPr="001D1117">
              <w:t xml:space="preserve">1 </w:t>
            </w:r>
            <w:r w:rsidR="00180679">
              <w:t>m</w:t>
            </w:r>
            <w:r w:rsidR="00180679" w:rsidRPr="001D1117">
              <w:t>g</w:t>
            </w:r>
            <w:r w:rsidRPr="001D1117">
              <w:t>/l</w:t>
            </w:r>
            <w:r w:rsidR="00320873">
              <w:t>.</w:t>
            </w:r>
          </w:p>
          <w:p w14:paraId="130D4140" w14:textId="6E7CA3C9" w:rsidR="00940E3A" w:rsidRDefault="00940E3A" w:rsidP="001D1117">
            <w:pPr>
              <w:pStyle w:val="Bodyromannumerals"/>
            </w:pPr>
            <w:r w:rsidRPr="001D1117">
              <w:t xml:space="preserve">Imported bulk supplies covered by such </w:t>
            </w:r>
            <w:r w:rsidR="002C325C">
              <w:t>requirements</w:t>
            </w:r>
            <w:r w:rsidR="00B50D4A">
              <w:t xml:space="preserve"> </w:t>
            </w:r>
            <w:r w:rsidRPr="001D1117">
              <w:t>should be included in this figure</w:t>
            </w:r>
            <w:r w:rsidR="00320873">
              <w:t>.</w:t>
            </w:r>
          </w:p>
          <w:p w14:paraId="2A541F4C" w14:textId="5F5A6D43" w:rsidR="00664175" w:rsidRDefault="00664175" w:rsidP="00B03EFD">
            <w:pPr>
              <w:pStyle w:val="Bodynumbercopy"/>
              <w:numPr>
                <w:ilvl w:val="0"/>
                <w:numId w:val="0"/>
              </w:numPr>
              <w:rPr>
                <w:lang w:val="en-GB"/>
              </w:rPr>
            </w:pPr>
            <w:r w:rsidRPr="00955B8F">
              <w:t>Water distribution zone is defined as an identifiable part of the water supply network</w:t>
            </w:r>
            <w:r>
              <w:t>. T</w:t>
            </w:r>
            <w:r w:rsidRPr="007F29CF">
              <w:t xml:space="preserve">his is in line with </w:t>
            </w:r>
            <w:r>
              <w:t xml:space="preserve">the </w:t>
            </w:r>
            <w:r w:rsidRPr="007F29CF">
              <w:rPr>
                <w:lang w:val="en-GB"/>
              </w:rPr>
              <w:t>Drinking-water Standards for New Zealand 2005 (Revised 2018)</w:t>
            </w:r>
            <w:r w:rsidR="00370F12">
              <w:rPr>
                <w:lang w:val="en-GB"/>
              </w:rPr>
              <w:t>.</w:t>
            </w:r>
          </w:p>
          <w:p w14:paraId="794B8C72" w14:textId="76B2F44B" w:rsidR="00664175" w:rsidRPr="00B03EFD" w:rsidRDefault="00664175" w:rsidP="00B03EFD">
            <w:pPr>
              <w:pStyle w:val="Bodynumbercopy"/>
              <w:numPr>
                <w:ilvl w:val="0"/>
                <w:numId w:val="0"/>
              </w:numPr>
              <w:rPr>
                <w:b/>
                <w:bCs/>
                <w:lang w:val="en-GB"/>
              </w:rPr>
            </w:pPr>
          </w:p>
        </w:tc>
      </w:tr>
      <w:tr w:rsidR="00940E3A" w:rsidRPr="001D1117" w14:paraId="14BF3B78"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6D4848" w14:textId="77777777" w:rsidR="00940E3A" w:rsidRPr="00320873" w:rsidRDefault="00940E3A" w:rsidP="001D1117">
            <w:pPr>
              <w:pStyle w:val="Bodyromannumerals"/>
              <w:rPr>
                <w:i/>
                <w:iCs/>
              </w:rPr>
            </w:pPr>
            <w:r w:rsidRPr="00320873">
              <w:rPr>
                <w:i/>
                <w:iCs/>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7AE565" w14:textId="77777777" w:rsidR="00940E3A" w:rsidRPr="001D1117" w:rsidRDefault="00940E3A" w:rsidP="001D1117">
            <w:pPr>
              <w:pStyle w:val="Bodyromannumerals"/>
            </w:pPr>
            <w:r w:rsidRPr="001D1117">
              <w:t>Input field</w:t>
            </w:r>
          </w:p>
        </w:tc>
      </w:tr>
      <w:tr w:rsidR="00940E3A" w:rsidRPr="001D1117" w14:paraId="0196AD5E" w14:textId="77777777" w:rsidTr="00C8791E">
        <w:tc>
          <w:tcPr>
            <w:tcW w:w="756" w:type="pct"/>
          </w:tcPr>
          <w:p w14:paraId="07593407" w14:textId="77777777" w:rsidR="00940E3A" w:rsidRPr="001D1117" w:rsidRDefault="00940E3A" w:rsidP="001D1117">
            <w:pPr>
              <w:pStyle w:val="Bodyromannumerals"/>
              <w:rPr>
                <w:b/>
                <w:bCs/>
              </w:rPr>
            </w:pPr>
            <w:r w:rsidRPr="001D1117">
              <w:rPr>
                <w:b/>
                <w:bCs/>
              </w:rPr>
              <w:t>C3.5</w:t>
            </w:r>
          </w:p>
        </w:tc>
        <w:tc>
          <w:tcPr>
            <w:tcW w:w="3472" w:type="pct"/>
            <w:gridSpan w:val="2"/>
          </w:tcPr>
          <w:p w14:paraId="042DA453" w14:textId="67D69393" w:rsidR="00940E3A" w:rsidRPr="001D1117" w:rsidRDefault="00940E3A" w:rsidP="001D1117">
            <w:pPr>
              <w:pStyle w:val="Bodyromannumerals"/>
              <w:rPr>
                <w:b/>
                <w:bCs/>
              </w:rPr>
            </w:pPr>
            <w:r w:rsidRPr="001D1117">
              <w:rPr>
                <w:b/>
                <w:bCs/>
              </w:rPr>
              <w:t xml:space="preserve">Volume of water delivered subject to </w:t>
            </w:r>
            <w:r w:rsidR="006641C1">
              <w:rPr>
                <w:b/>
                <w:bCs/>
              </w:rPr>
              <w:t xml:space="preserve">a lead requirement of </w:t>
            </w:r>
            <w:r w:rsidR="00180679">
              <w:rPr>
                <w:b/>
                <w:bCs/>
              </w:rPr>
              <w:t>0.0</w:t>
            </w:r>
            <w:r w:rsidR="006641C1" w:rsidRPr="00D26CCB">
              <w:rPr>
                <w:b/>
                <w:bCs/>
              </w:rPr>
              <w:t xml:space="preserve">1 </w:t>
            </w:r>
            <w:r w:rsidR="00180679">
              <w:rPr>
                <w:b/>
                <w:bCs/>
              </w:rPr>
              <w:t>m</w:t>
            </w:r>
            <w:r w:rsidR="006641C1" w:rsidRPr="00D26CCB">
              <w:rPr>
                <w:b/>
                <w:bCs/>
              </w:rPr>
              <w:t>g/l</w:t>
            </w:r>
            <w:r w:rsidR="006641C1">
              <w:rPr>
                <w:b/>
                <w:bCs/>
              </w:rPr>
              <w:t xml:space="preserve"> </w:t>
            </w:r>
            <w:r w:rsidR="009F4AFB">
              <w:rPr>
                <w:b/>
                <w:bCs/>
              </w:rPr>
              <w:t>(maximum level)</w:t>
            </w:r>
            <w:r w:rsidR="006641C1">
              <w:rPr>
                <w:b/>
                <w:bCs/>
              </w:rPr>
              <w:t xml:space="preserve"> </w:t>
            </w:r>
          </w:p>
        </w:tc>
        <w:tc>
          <w:tcPr>
            <w:tcW w:w="772" w:type="pct"/>
          </w:tcPr>
          <w:p w14:paraId="6605A4F8" w14:textId="77777777" w:rsidR="00940E3A" w:rsidRPr="001D1117" w:rsidRDefault="00940E3A" w:rsidP="001D1117">
            <w:pPr>
              <w:pStyle w:val="Bodyromannumerals"/>
              <w:rPr>
                <w:b/>
                <w:bCs/>
              </w:rPr>
            </w:pPr>
            <w:proofErr w:type="spellStart"/>
            <w:r w:rsidRPr="001D1117">
              <w:rPr>
                <w:b/>
                <w:bCs/>
              </w:rPr>
              <w:t>Ml</w:t>
            </w:r>
            <w:proofErr w:type="spellEnd"/>
            <w:r w:rsidRPr="001D1117">
              <w:rPr>
                <w:b/>
                <w:bCs/>
              </w:rPr>
              <w:t>/d</w:t>
            </w:r>
          </w:p>
        </w:tc>
      </w:tr>
      <w:tr w:rsidR="00940E3A" w:rsidRPr="001D1117" w14:paraId="4A31598A"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0C859883" w14:textId="77777777" w:rsidR="00940E3A" w:rsidRPr="00320873" w:rsidRDefault="00940E3A" w:rsidP="001D1117">
            <w:pPr>
              <w:pStyle w:val="Bodyromannumerals"/>
              <w:rPr>
                <w:i/>
                <w:iCs/>
              </w:rPr>
            </w:pPr>
            <w:bookmarkStart w:id="4" w:name="_Hlk52427202"/>
            <w:r w:rsidRPr="00320873">
              <w:rPr>
                <w:i/>
                <w:iCs/>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7C389741" w14:textId="471EF68B" w:rsidR="00940E3A" w:rsidRPr="001D1117" w:rsidRDefault="00940E3A" w:rsidP="001D1117">
            <w:pPr>
              <w:pStyle w:val="Bodyromannumerals"/>
            </w:pPr>
            <w:r w:rsidRPr="001D1117">
              <w:t xml:space="preserve">The annual average daily flow rate of water entering distribution, which is subject to a lead </w:t>
            </w:r>
            <w:r w:rsidR="002C325C">
              <w:t>requirement</w:t>
            </w:r>
            <w:r w:rsidRPr="001D1117">
              <w:t xml:space="preserve"> to reduce the lead concentration in the water supply to a maximum of </w:t>
            </w:r>
            <w:r w:rsidR="00180679">
              <w:t>0.0</w:t>
            </w:r>
            <w:r w:rsidRPr="001D1117">
              <w:t xml:space="preserve">1 </w:t>
            </w:r>
            <w:r w:rsidR="00180679">
              <w:t>m</w:t>
            </w:r>
            <w:r w:rsidRPr="001D1117">
              <w:t>g/l</w:t>
            </w:r>
            <w:r w:rsidR="00320873">
              <w:t>.</w:t>
            </w:r>
          </w:p>
          <w:p w14:paraId="220F90C3" w14:textId="60477346" w:rsidR="00940E3A" w:rsidRPr="001D1117" w:rsidRDefault="00940E3A" w:rsidP="001D1117">
            <w:pPr>
              <w:pStyle w:val="Bodyromannumerals"/>
            </w:pPr>
            <w:r w:rsidRPr="001D1117">
              <w:t xml:space="preserve">Imported bulk supplies covered by such </w:t>
            </w:r>
            <w:r w:rsidR="002C325C">
              <w:t xml:space="preserve">requirements </w:t>
            </w:r>
            <w:r w:rsidRPr="001D1117">
              <w:t>should be included in this figure</w:t>
            </w:r>
            <w:r w:rsidR="00320873">
              <w:t>.</w:t>
            </w:r>
          </w:p>
        </w:tc>
      </w:tr>
      <w:tr w:rsidR="00940E3A" w:rsidRPr="001D1117" w14:paraId="4947E043"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4CEA9" w14:textId="77777777" w:rsidR="00940E3A" w:rsidRPr="00320873" w:rsidRDefault="00940E3A" w:rsidP="001D1117">
            <w:pPr>
              <w:pStyle w:val="Bodyromannumerals"/>
              <w:rPr>
                <w:i/>
                <w:iCs/>
              </w:rPr>
            </w:pPr>
            <w:r w:rsidRPr="00320873">
              <w:rPr>
                <w:i/>
                <w:iCs/>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B906D6" w14:textId="77777777" w:rsidR="00940E3A" w:rsidRPr="001D1117" w:rsidRDefault="00940E3A" w:rsidP="001D1117">
            <w:pPr>
              <w:pStyle w:val="Bodyromannumerals"/>
            </w:pPr>
            <w:r w:rsidRPr="001D1117">
              <w:t>Input field</w:t>
            </w:r>
          </w:p>
        </w:tc>
      </w:tr>
      <w:bookmarkEnd w:id="4"/>
      <w:tr w:rsidR="001D1117" w:rsidRPr="001D1117" w14:paraId="1CF88F10" w14:textId="77777777" w:rsidTr="00C8791E">
        <w:tc>
          <w:tcPr>
            <w:tcW w:w="756" w:type="pct"/>
          </w:tcPr>
          <w:p w14:paraId="65733DBC" w14:textId="77777777" w:rsidR="00940E3A" w:rsidRPr="001D1117" w:rsidRDefault="00940E3A" w:rsidP="001D1117">
            <w:pPr>
              <w:pStyle w:val="Bodyromannumerals"/>
              <w:rPr>
                <w:b/>
                <w:bCs/>
              </w:rPr>
            </w:pPr>
            <w:r w:rsidRPr="001D1117">
              <w:rPr>
                <w:b/>
                <w:bCs/>
              </w:rPr>
              <w:br w:type="page"/>
              <w:t>C3.6</w:t>
            </w:r>
          </w:p>
        </w:tc>
        <w:tc>
          <w:tcPr>
            <w:tcW w:w="3472" w:type="pct"/>
            <w:gridSpan w:val="2"/>
          </w:tcPr>
          <w:p w14:paraId="11143582" w14:textId="01BB620E" w:rsidR="00940E3A" w:rsidRPr="001D1117" w:rsidRDefault="00940E3A" w:rsidP="001D1117">
            <w:pPr>
              <w:pStyle w:val="Bodyromannumerals"/>
              <w:rPr>
                <w:b/>
                <w:bCs/>
              </w:rPr>
            </w:pPr>
            <w:r w:rsidRPr="001D1117">
              <w:rPr>
                <w:b/>
                <w:bCs/>
              </w:rPr>
              <w:t xml:space="preserve">% of water delivered subject to </w:t>
            </w:r>
            <w:r w:rsidR="006641C1">
              <w:rPr>
                <w:b/>
                <w:bCs/>
              </w:rPr>
              <w:t xml:space="preserve">a lead requirement of </w:t>
            </w:r>
            <w:r w:rsidR="00EA29A1">
              <w:rPr>
                <w:b/>
                <w:bCs/>
              </w:rPr>
              <w:t>0.</w:t>
            </w:r>
            <w:r w:rsidR="00206BB9">
              <w:rPr>
                <w:b/>
                <w:bCs/>
              </w:rPr>
              <w:t>0</w:t>
            </w:r>
            <w:r w:rsidR="006641C1" w:rsidRPr="00D26CCB">
              <w:rPr>
                <w:b/>
                <w:bCs/>
              </w:rPr>
              <w:t xml:space="preserve">1 </w:t>
            </w:r>
            <w:r w:rsidR="00EA29A1">
              <w:rPr>
                <w:b/>
                <w:bCs/>
              </w:rPr>
              <w:t>m</w:t>
            </w:r>
            <w:r w:rsidR="006641C1" w:rsidRPr="00D26CCB">
              <w:rPr>
                <w:b/>
                <w:bCs/>
              </w:rPr>
              <w:t>g/l</w:t>
            </w:r>
            <w:r w:rsidRPr="001D1117">
              <w:rPr>
                <w:b/>
                <w:bCs/>
              </w:rPr>
              <w:t xml:space="preserve"> </w:t>
            </w:r>
            <w:r w:rsidR="009F4AFB">
              <w:rPr>
                <w:b/>
                <w:bCs/>
              </w:rPr>
              <w:t>(maximum level)</w:t>
            </w:r>
            <w:r w:rsidRPr="001D1117">
              <w:rPr>
                <w:b/>
                <w:bCs/>
              </w:rPr>
              <w:t xml:space="preserve"> </w:t>
            </w:r>
          </w:p>
        </w:tc>
        <w:tc>
          <w:tcPr>
            <w:tcW w:w="772" w:type="pct"/>
          </w:tcPr>
          <w:p w14:paraId="4F557865" w14:textId="77777777" w:rsidR="00940E3A" w:rsidRPr="001D1117" w:rsidRDefault="00940E3A" w:rsidP="001D1117">
            <w:pPr>
              <w:pStyle w:val="Bodyromannumerals"/>
              <w:rPr>
                <w:b/>
                <w:bCs/>
              </w:rPr>
            </w:pPr>
            <w:r w:rsidRPr="001D1117">
              <w:rPr>
                <w:b/>
                <w:bCs/>
              </w:rPr>
              <w:t xml:space="preserve">% </w:t>
            </w:r>
          </w:p>
        </w:tc>
      </w:tr>
      <w:tr w:rsidR="00940E3A" w:rsidRPr="001D1117" w14:paraId="76678374"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06952086" w14:textId="77777777" w:rsidR="00940E3A" w:rsidRPr="00320873" w:rsidRDefault="00940E3A" w:rsidP="001D1117">
            <w:pPr>
              <w:pStyle w:val="Bodyromannumerals"/>
              <w:rPr>
                <w:i/>
                <w:iCs/>
              </w:rPr>
            </w:pPr>
            <w:r w:rsidRPr="00320873">
              <w:rPr>
                <w:i/>
                <w:iCs/>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220D61A4" w14:textId="222C0FB2" w:rsidR="00940E3A" w:rsidRPr="001D1117" w:rsidRDefault="00940E3A" w:rsidP="001D1117">
            <w:pPr>
              <w:pStyle w:val="Bodyromannumerals"/>
            </w:pPr>
            <w:r w:rsidRPr="001D1117">
              <w:t>The volume of water reported in line C3.5 as a percentage of the total water delivered.</w:t>
            </w:r>
          </w:p>
        </w:tc>
      </w:tr>
      <w:tr w:rsidR="00940E3A" w:rsidRPr="001D1117" w14:paraId="6A8AFE11"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2ADFCA" w14:textId="77777777" w:rsidR="00940E3A" w:rsidRPr="00320873" w:rsidRDefault="00940E3A" w:rsidP="001D1117">
            <w:pPr>
              <w:pStyle w:val="Bodyromannumerals"/>
              <w:rPr>
                <w:i/>
                <w:iCs/>
              </w:rPr>
            </w:pPr>
            <w:r w:rsidRPr="00320873">
              <w:rPr>
                <w:i/>
                <w:iCs/>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D842E5" w14:textId="260E23D5" w:rsidR="00940E3A" w:rsidRPr="001D1117" w:rsidRDefault="00940E3A" w:rsidP="001D1117">
            <w:pPr>
              <w:pStyle w:val="Bodyromannumerals"/>
            </w:pPr>
            <w:r w:rsidRPr="001D1117">
              <w:t>Calculated field (C3.5/A2.</w:t>
            </w:r>
            <w:r w:rsidR="00E21920">
              <w:t>25</w:t>
            </w:r>
            <w:r w:rsidRPr="001D1117">
              <w:t>)*100</w:t>
            </w:r>
          </w:p>
        </w:tc>
      </w:tr>
    </w:tbl>
    <w:p w14:paraId="453E701D" w14:textId="77777777" w:rsidR="00A5419F" w:rsidRDefault="00A5419F" w:rsidP="002539E8">
      <w:pPr>
        <w:pStyle w:val="Bodysub-heading2"/>
      </w:pPr>
      <w:r>
        <w:br w:type="page"/>
      </w:r>
    </w:p>
    <w:p w14:paraId="4A8B1137" w14:textId="67B27BA6" w:rsidR="00940E3A" w:rsidRPr="005173D8" w:rsidRDefault="00940E3A" w:rsidP="002539E8">
      <w:pPr>
        <w:pStyle w:val="Bodysub-heading2"/>
      </w:pPr>
      <w:r w:rsidRPr="002A53ED">
        <w:t xml:space="preserve">Trihalomethane </w:t>
      </w:r>
      <w:r w:rsidR="001A5489">
        <w:t xml:space="preserve">priority 2 </w:t>
      </w:r>
      <w:proofErr w:type="spellStart"/>
      <w:r w:rsidR="001A5489">
        <w:t>determinand</w:t>
      </w:r>
      <w:proofErr w:type="spellEnd"/>
      <w:r w:rsidR="001A5489">
        <w:t xml:space="preserve"> </w:t>
      </w:r>
      <w:r w:rsidR="00D36034">
        <w:t xml:space="preserve">(maximum level) </w:t>
      </w:r>
      <w:r w:rsidRPr="002A53ED">
        <w:t>= final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940E3A" w:rsidRPr="001D1117" w14:paraId="5EB73DB1" w14:textId="77777777" w:rsidTr="00C8791E">
        <w:tc>
          <w:tcPr>
            <w:tcW w:w="756" w:type="pct"/>
          </w:tcPr>
          <w:p w14:paraId="54204292" w14:textId="77777777" w:rsidR="00940E3A" w:rsidRPr="001D1117" w:rsidRDefault="00940E3A" w:rsidP="001D1117">
            <w:pPr>
              <w:pStyle w:val="Bodyromannumerals"/>
              <w:rPr>
                <w:b/>
                <w:bCs/>
              </w:rPr>
            </w:pPr>
            <w:r w:rsidRPr="001D1117">
              <w:rPr>
                <w:b/>
                <w:bCs/>
              </w:rPr>
              <w:t>C3.10</w:t>
            </w:r>
          </w:p>
        </w:tc>
        <w:tc>
          <w:tcPr>
            <w:tcW w:w="3472" w:type="pct"/>
            <w:gridSpan w:val="2"/>
          </w:tcPr>
          <w:p w14:paraId="5F7B6C01" w14:textId="068B6A92" w:rsidR="0023740D" w:rsidRPr="001D1117" w:rsidRDefault="00940E3A" w:rsidP="0023740D">
            <w:pPr>
              <w:pStyle w:val="Bodyromannumerals"/>
            </w:pPr>
            <w:r w:rsidRPr="001D1117">
              <w:rPr>
                <w:b/>
                <w:bCs/>
              </w:rPr>
              <w:t xml:space="preserve">Total number of water </w:t>
            </w:r>
            <w:r w:rsidR="002D3257">
              <w:rPr>
                <w:b/>
                <w:bCs/>
              </w:rPr>
              <w:t>distribution</w:t>
            </w:r>
            <w:r w:rsidR="002D3257" w:rsidRPr="001D1117">
              <w:rPr>
                <w:b/>
                <w:bCs/>
              </w:rPr>
              <w:t xml:space="preserve"> </w:t>
            </w:r>
            <w:r w:rsidRPr="001D1117">
              <w:rPr>
                <w:b/>
                <w:bCs/>
              </w:rPr>
              <w:t xml:space="preserve">zones </w:t>
            </w:r>
            <w:r w:rsidR="00977E1E">
              <w:rPr>
                <w:b/>
                <w:bCs/>
              </w:rPr>
              <w:t xml:space="preserve">that exceed the </w:t>
            </w:r>
            <w:r w:rsidR="001A5489">
              <w:rPr>
                <w:b/>
                <w:bCs/>
              </w:rPr>
              <w:t>DWSNZ maximum acceptable value for THM</w:t>
            </w:r>
          </w:p>
          <w:p w14:paraId="74A6C1D6" w14:textId="56A4C06F" w:rsidR="00940E3A" w:rsidRPr="001D1117" w:rsidRDefault="00D31CD3" w:rsidP="001D1117">
            <w:pPr>
              <w:pStyle w:val="Bodyromannumerals"/>
              <w:rPr>
                <w:b/>
                <w:bCs/>
              </w:rPr>
            </w:pPr>
            <w:r>
              <w:rPr>
                <w:b/>
                <w:bCs/>
              </w:rPr>
              <w:t xml:space="preserve"> </w:t>
            </w:r>
          </w:p>
        </w:tc>
        <w:tc>
          <w:tcPr>
            <w:tcW w:w="772" w:type="pct"/>
          </w:tcPr>
          <w:p w14:paraId="3C67370A" w14:textId="467DE6DC" w:rsidR="00940E3A" w:rsidRPr="001D1117" w:rsidRDefault="001D1117" w:rsidP="001D1117">
            <w:pPr>
              <w:pStyle w:val="Bodyromannumerals"/>
              <w:rPr>
                <w:b/>
                <w:bCs/>
              </w:rPr>
            </w:pPr>
            <w:r w:rsidRPr="001D1117">
              <w:rPr>
                <w:b/>
                <w:bCs/>
              </w:rPr>
              <w:t>Nr.</w:t>
            </w:r>
          </w:p>
        </w:tc>
      </w:tr>
      <w:tr w:rsidR="00940E3A" w:rsidRPr="001D1117" w14:paraId="7B9D344E"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36C69EF2" w14:textId="77777777" w:rsidR="00940E3A" w:rsidRPr="00A264A5" w:rsidRDefault="00940E3A" w:rsidP="001D1117">
            <w:pPr>
              <w:pStyle w:val="Bodyromannumerals"/>
              <w:rPr>
                <w:i/>
                <w:iCs/>
              </w:rPr>
            </w:pPr>
            <w:r w:rsidRPr="00A264A5">
              <w:rPr>
                <w:i/>
                <w:iCs/>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7CCC761D" w14:textId="792F3B41" w:rsidR="00940E3A" w:rsidRPr="001D1117" w:rsidRDefault="00940E3A" w:rsidP="001D1117">
            <w:pPr>
              <w:pStyle w:val="Bodyromannumerals"/>
            </w:pPr>
            <w:r w:rsidRPr="001D1117">
              <w:t xml:space="preserve">The total number of </w:t>
            </w:r>
            <w:r w:rsidR="002D3257">
              <w:t xml:space="preserve">distribution </w:t>
            </w:r>
            <w:r w:rsidR="001D33E9">
              <w:t>zones</w:t>
            </w:r>
            <w:r w:rsidRPr="001D1117">
              <w:t xml:space="preserve"> </w:t>
            </w:r>
            <w:r w:rsidR="00751490" w:rsidRPr="007013F6">
              <w:t>that exceed the DWSNZ maximum acceptable value for THM</w:t>
            </w:r>
            <w:r w:rsidRPr="001D1117">
              <w:t>.</w:t>
            </w:r>
          </w:p>
          <w:p w14:paraId="1FFDD11C" w14:textId="5E218E13" w:rsidR="00940E3A" w:rsidRDefault="00940E3A" w:rsidP="001D1117">
            <w:pPr>
              <w:pStyle w:val="Bodyromannumerals"/>
            </w:pPr>
            <w:r w:rsidRPr="001D1117">
              <w:t xml:space="preserve">Imported bulk supplies covered by such </w:t>
            </w:r>
            <w:r w:rsidR="002C325C">
              <w:t>requirements</w:t>
            </w:r>
            <w:r w:rsidR="00373B2A">
              <w:t xml:space="preserve"> </w:t>
            </w:r>
            <w:r w:rsidRPr="001D1117">
              <w:t>should be included in this figure.</w:t>
            </w:r>
          </w:p>
          <w:p w14:paraId="5AE60744" w14:textId="2B1E9156" w:rsidR="00664175" w:rsidRDefault="00664175" w:rsidP="00B03EFD">
            <w:pPr>
              <w:pStyle w:val="Bodynumbercopy"/>
              <w:numPr>
                <w:ilvl w:val="0"/>
                <w:numId w:val="0"/>
              </w:numPr>
              <w:rPr>
                <w:lang w:val="en-GB"/>
              </w:rPr>
            </w:pPr>
            <w:r w:rsidRPr="00955B8F">
              <w:t>Water distribution zone is defined as an identifiable part of the water supply network</w:t>
            </w:r>
            <w:r>
              <w:t>. T</w:t>
            </w:r>
            <w:r w:rsidRPr="007F29CF">
              <w:t xml:space="preserve">his is in line with </w:t>
            </w:r>
            <w:r>
              <w:t xml:space="preserve">the </w:t>
            </w:r>
            <w:r w:rsidRPr="007F29CF">
              <w:rPr>
                <w:lang w:val="en-GB"/>
              </w:rPr>
              <w:t>Drinking-water Standards for New Zealand 2005 (Revised 2018)</w:t>
            </w:r>
            <w:r w:rsidR="00370F12">
              <w:rPr>
                <w:lang w:val="en-GB"/>
              </w:rPr>
              <w:t>.</w:t>
            </w:r>
          </w:p>
          <w:p w14:paraId="4ADC2C52" w14:textId="509848B5" w:rsidR="00664175" w:rsidRPr="00B03EFD" w:rsidRDefault="00664175" w:rsidP="00B03EFD">
            <w:pPr>
              <w:pStyle w:val="Bodynumbercopy"/>
              <w:numPr>
                <w:ilvl w:val="0"/>
                <w:numId w:val="0"/>
              </w:numPr>
              <w:rPr>
                <w:b/>
                <w:bCs/>
                <w:lang w:val="en-GB"/>
              </w:rPr>
            </w:pPr>
          </w:p>
        </w:tc>
      </w:tr>
      <w:tr w:rsidR="00940E3A" w:rsidRPr="001D1117" w14:paraId="2CF3D973"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EC9177" w14:textId="77777777" w:rsidR="00940E3A" w:rsidRPr="00A264A5" w:rsidRDefault="00940E3A" w:rsidP="001D1117">
            <w:pPr>
              <w:pStyle w:val="Bodyromannumerals"/>
              <w:rPr>
                <w:i/>
                <w:iCs/>
              </w:rPr>
            </w:pPr>
            <w:r w:rsidRPr="00A264A5">
              <w:rPr>
                <w:i/>
                <w:iCs/>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956943" w14:textId="77777777" w:rsidR="00940E3A" w:rsidRPr="001D1117" w:rsidRDefault="00940E3A" w:rsidP="001D1117">
            <w:pPr>
              <w:pStyle w:val="Bodyromannumerals"/>
            </w:pPr>
            <w:r w:rsidRPr="001D1117">
              <w:t>Input field</w:t>
            </w:r>
          </w:p>
        </w:tc>
      </w:tr>
      <w:tr w:rsidR="00940E3A" w:rsidRPr="006466B5" w14:paraId="11C96935" w14:textId="77777777" w:rsidTr="00C8791E">
        <w:tc>
          <w:tcPr>
            <w:tcW w:w="756" w:type="pct"/>
          </w:tcPr>
          <w:p w14:paraId="21E9EDC4" w14:textId="77777777" w:rsidR="00940E3A" w:rsidRPr="001D1117" w:rsidRDefault="00940E3A" w:rsidP="001D1117">
            <w:pPr>
              <w:pStyle w:val="Bodyromannumerals"/>
              <w:rPr>
                <w:b/>
                <w:bCs/>
              </w:rPr>
            </w:pPr>
            <w:r w:rsidRPr="001D1117">
              <w:rPr>
                <w:b/>
                <w:bCs/>
              </w:rPr>
              <w:t>C3.11</w:t>
            </w:r>
          </w:p>
        </w:tc>
        <w:tc>
          <w:tcPr>
            <w:tcW w:w="3472" w:type="pct"/>
            <w:gridSpan w:val="2"/>
          </w:tcPr>
          <w:p w14:paraId="26533BA4" w14:textId="7DFCC36B" w:rsidR="00940E3A" w:rsidRPr="001D1117" w:rsidRDefault="00940E3A" w:rsidP="001D1117">
            <w:pPr>
              <w:pStyle w:val="Bodyromannumerals"/>
              <w:rPr>
                <w:b/>
                <w:bCs/>
              </w:rPr>
            </w:pPr>
            <w:r w:rsidRPr="001D1117">
              <w:rPr>
                <w:b/>
                <w:bCs/>
              </w:rPr>
              <w:t xml:space="preserve">Volume of water delivered </w:t>
            </w:r>
            <w:r w:rsidR="00CB0C9D">
              <w:rPr>
                <w:b/>
                <w:bCs/>
              </w:rPr>
              <w:t>that exceeds the DWSNZ maximum acceptable value for THM</w:t>
            </w:r>
          </w:p>
        </w:tc>
        <w:tc>
          <w:tcPr>
            <w:tcW w:w="772" w:type="pct"/>
          </w:tcPr>
          <w:p w14:paraId="6223C856" w14:textId="77777777" w:rsidR="00940E3A" w:rsidRPr="001D1117" w:rsidRDefault="00940E3A" w:rsidP="001D1117">
            <w:pPr>
              <w:pStyle w:val="Bodyromannumerals"/>
              <w:rPr>
                <w:b/>
                <w:bCs/>
              </w:rPr>
            </w:pPr>
            <w:proofErr w:type="spellStart"/>
            <w:r w:rsidRPr="001D1117">
              <w:rPr>
                <w:b/>
                <w:bCs/>
              </w:rPr>
              <w:t>Ml</w:t>
            </w:r>
            <w:proofErr w:type="spellEnd"/>
            <w:r w:rsidRPr="001D1117">
              <w:rPr>
                <w:b/>
                <w:bCs/>
              </w:rPr>
              <w:t>/d</w:t>
            </w:r>
          </w:p>
        </w:tc>
      </w:tr>
      <w:tr w:rsidR="00940E3A" w:rsidRPr="006466B5" w14:paraId="3F198D23"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76D5C12F" w14:textId="77777777" w:rsidR="00940E3A" w:rsidRPr="00A264A5" w:rsidRDefault="00940E3A" w:rsidP="001D1117">
            <w:pPr>
              <w:pStyle w:val="Bodyromannumerals"/>
              <w:rPr>
                <w:i/>
                <w:iCs/>
              </w:rPr>
            </w:pPr>
            <w:r w:rsidRPr="00A264A5">
              <w:rPr>
                <w:i/>
                <w:iCs/>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01612B5A" w14:textId="4EBA5C98" w:rsidR="00940E3A" w:rsidRPr="001D1117" w:rsidRDefault="00CB0C9D" w:rsidP="001D1117">
            <w:pPr>
              <w:pStyle w:val="Bodyromannumerals"/>
            </w:pPr>
            <w:r>
              <w:t xml:space="preserve">Volume of water delivered </w:t>
            </w:r>
            <w:r w:rsidRPr="00A11CFF">
              <w:t>that exceed</w:t>
            </w:r>
            <w:r>
              <w:t>s</w:t>
            </w:r>
            <w:r w:rsidRPr="00A11CFF">
              <w:t xml:space="preserve"> the DWSNZ maximum acceptable value for THM</w:t>
            </w:r>
            <w:r w:rsidR="00370F12">
              <w:t>.</w:t>
            </w:r>
          </w:p>
          <w:p w14:paraId="07C8D82B" w14:textId="301E2E14" w:rsidR="00940E3A" w:rsidRPr="001D1117" w:rsidRDefault="00940E3A" w:rsidP="001D1117">
            <w:pPr>
              <w:pStyle w:val="Bodyromannumerals"/>
            </w:pPr>
            <w:r w:rsidRPr="001D1117">
              <w:t>Imported bulk supplies covered by such</w:t>
            </w:r>
            <w:r w:rsidR="00373B2A">
              <w:t xml:space="preserve"> </w:t>
            </w:r>
            <w:r w:rsidR="002C325C">
              <w:t xml:space="preserve">requirements </w:t>
            </w:r>
            <w:r w:rsidRPr="001D1117">
              <w:t>should be included in this figure.</w:t>
            </w:r>
          </w:p>
        </w:tc>
      </w:tr>
      <w:tr w:rsidR="00940E3A" w:rsidRPr="006466B5" w14:paraId="1CBF080E"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860CD" w14:textId="77777777" w:rsidR="00940E3A" w:rsidRPr="00A264A5" w:rsidRDefault="00940E3A" w:rsidP="001D1117">
            <w:pPr>
              <w:pStyle w:val="Bodyromannumerals"/>
              <w:rPr>
                <w:i/>
                <w:iCs/>
              </w:rPr>
            </w:pPr>
            <w:r w:rsidRPr="00A264A5">
              <w:rPr>
                <w:i/>
                <w:iCs/>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B67BFA" w14:textId="77777777" w:rsidR="00940E3A" w:rsidRPr="001D1117" w:rsidRDefault="00940E3A" w:rsidP="001D1117">
            <w:pPr>
              <w:pStyle w:val="Bodyromannumerals"/>
            </w:pPr>
            <w:r w:rsidRPr="001D1117">
              <w:t>Input field</w:t>
            </w:r>
          </w:p>
        </w:tc>
      </w:tr>
      <w:tr w:rsidR="00940E3A" w:rsidRPr="001D1117" w14:paraId="791E3FFF" w14:textId="77777777" w:rsidTr="00C8791E">
        <w:tc>
          <w:tcPr>
            <w:tcW w:w="756" w:type="pct"/>
          </w:tcPr>
          <w:p w14:paraId="67A4B994" w14:textId="77777777" w:rsidR="00940E3A" w:rsidRPr="001D1117" w:rsidRDefault="00940E3A" w:rsidP="001D1117">
            <w:pPr>
              <w:pStyle w:val="Bodyromannumerals"/>
              <w:rPr>
                <w:b/>
                <w:bCs/>
              </w:rPr>
            </w:pPr>
            <w:r w:rsidRPr="001D1117">
              <w:rPr>
                <w:b/>
                <w:bCs/>
              </w:rPr>
              <w:t>C3.12</w:t>
            </w:r>
          </w:p>
        </w:tc>
        <w:tc>
          <w:tcPr>
            <w:tcW w:w="3472" w:type="pct"/>
            <w:gridSpan w:val="2"/>
          </w:tcPr>
          <w:p w14:paraId="35706152" w14:textId="1A751059" w:rsidR="00940E3A" w:rsidRPr="001D1117" w:rsidRDefault="00940E3A" w:rsidP="001D1117">
            <w:pPr>
              <w:pStyle w:val="Bodyromannumerals"/>
              <w:rPr>
                <w:b/>
                <w:bCs/>
              </w:rPr>
            </w:pPr>
            <w:r w:rsidRPr="001D1117">
              <w:rPr>
                <w:b/>
                <w:bCs/>
              </w:rPr>
              <w:t xml:space="preserve">% of water delivered </w:t>
            </w:r>
            <w:r w:rsidR="00CB0C9D">
              <w:rPr>
                <w:b/>
                <w:bCs/>
              </w:rPr>
              <w:t>that exceed the DWSNZ maximum acceptable value for THM</w:t>
            </w:r>
          </w:p>
        </w:tc>
        <w:tc>
          <w:tcPr>
            <w:tcW w:w="772" w:type="pct"/>
          </w:tcPr>
          <w:p w14:paraId="3352589D" w14:textId="77777777" w:rsidR="00940E3A" w:rsidRPr="001D1117" w:rsidRDefault="00940E3A" w:rsidP="001D1117">
            <w:pPr>
              <w:pStyle w:val="Bodyromannumerals"/>
              <w:rPr>
                <w:b/>
                <w:bCs/>
              </w:rPr>
            </w:pPr>
            <w:r w:rsidRPr="001D1117">
              <w:rPr>
                <w:b/>
                <w:bCs/>
              </w:rPr>
              <w:t xml:space="preserve">% </w:t>
            </w:r>
          </w:p>
        </w:tc>
      </w:tr>
      <w:tr w:rsidR="00940E3A" w:rsidRPr="001D1117" w14:paraId="62E1B465"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188A05FC" w14:textId="77777777" w:rsidR="00940E3A" w:rsidRPr="00A264A5" w:rsidRDefault="00940E3A" w:rsidP="001D1117">
            <w:pPr>
              <w:pStyle w:val="Bodyromannumerals"/>
              <w:rPr>
                <w:i/>
                <w:iCs/>
              </w:rPr>
            </w:pPr>
            <w:r w:rsidRPr="00A264A5">
              <w:rPr>
                <w:i/>
                <w:iCs/>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02146134" w14:textId="5E7F1094" w:rsidR="00940E3A" w:rsidRPr="001D1117" w:rsidRDefault="00940E3A" w:rsidP="001D1117">
            <w:pPr>
              <w:pStyle w:val="Bodyromannumerals"/>
            </w:pPr>
            <w:r w:rsidRPr="001D1117">
              <w:t>The volume of water reported in line C3.11 as a percentage of the total water delivered</w:t>
            </w:r>
            <w:r w:rsidR="00370F12">
              <w:t>.</w:t>
            </w:r>
          </w:p>
        </w:tc>
      </w:tr>
      <w:tr w:rsidR="00940E3A" w:rsidRPr="001D1117" w14:paraId="462AA9E0"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D282DB" w14:textId="77777777" w:rsidR="00940E3A" w:rsidRPr="00A264A5" w:rsidRDefault="00940E3A" w:rsidP="001D1117">
            <w:pPr>
              <w:pStyle w:val="Bodyromannumerals"/>
              <w:rPr>
                <w:i/>
                <w:iCs/>
              </w:rPr>
            </w:pPr>
            <w:r w:rsidRPr="00A264A5">
              <w:rPr>
                <w:i/>
                <w:iCs/>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F2AEDA" w14:textId="07815FAD" w:rsidR="00940E3A" w:rsidRPr="001D1117" w:rsidRDefault="00E0415B" w:rsidP="001D1117">
            <w:pPr>
              <w:pStyle w:val="Bodyromannumerals"/>
            </w:pPr>
            <w:r>
              <w:t>Calculated</w:t>
            </w:r>
            <w:r w:rsidRPr="001D1117">
              <w:t xml:space="preserve"> </w:t>
            </w:r>
            <w:r w:rsidR="00940E3A" w:rsidRPr="001D1117">
              <w:t>field</w:t>
            </w:r>
            <w:r>
              <w:t xml:space="preserve"> (</w:t>
            </w:r>
            <w:r w:rsidR="00710344">
              <w:t>C3.11</w:t>
            </w:r>
            <w:r w:rsidR="006221DE">
              <w:t>/</w:t>
            </w:r>
            <w:r w:rsidR="00FD6544">
              <w:t>A2.</w:t>
            </w:r>
            <w:r w:rsidR="008604AD">
              <w:t>25</w:t>
            </w:r>
            <w:r w:rsidR="000263B4">
              <w:t>)*100</w:t>
            </w:r>
          </w:p>
        </w:tc>
      </w:tr>
    </w:tbl>
    <w:p w14:paraId="0AC2542F" w14:textId="77777777" w:rsidR="00A5419F" w:rsidRDefault="00A5419F" w:rsidP="002539E8">
      <w:pPr>
        <w:pStyle w:val="Bodysub-heading2"/>
      </w:pPr>
      <w:r>
        <w:br w:type="page"/>
      </w:r>
    </w:p>
    <w:p w14:paraId="6DC3D78E" w14:textId="02A4E3C3" w:rsidR="00940E3A" w:rsidRPr="002A53ED" w:rsidRDefault="00940E3A" w:rsidP="002539E8">
      <w:pPr>
        <w:pStyle w:val="Bodysub-heading2"/>
      </w:pPr>
      <w:r w:rsidRPr="002A53ED">
        <w:t>Other parameters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940E3A" w:rsidRPr="001D1117" w14:paraId="59E9DEC3" w14:textId="77777777" w:rsidTr="2F76CC7E">
        <w:tc>
          <w:tcPr>
            <w:tcW w:w="756" w:type="pct"/>
          </w:tcPr>
          <w:p w14:paraId="0D3152FB" w14:textId="77777777" w:rsidR="00940E3A" w:rsidRPr="001D1117" w:rsidRDefault="00940E3A" w:rsidP="001D1117">
            <w:pPr>
              <w:pStyle w:val="Bodyromannumerals"/>
              <w:rPr>
                <w:b/>
                <w:bCs/>
              </w:rPr>
            </w:pPr>
            <w:r w:rsidRPr="001D1117">
              <w:rPr>
                <w:b/>
                <w:bCs/>
              </w:rPr>
              <w:t>C3.13</w:t>
            </w:r>
          </w:p>
        </w:tc>
        <w:tc>
          <w:tcPr>
            <w:tcW w:w="3472" w:type="pct"/>
            <w:gridSpan w:val="2"/>
          </w:tcPr>
          <w:p w14:paraId="38492C58" w14:textId="31DFA1C4" w:rsidR="00940E3A" w:rsidRPr="001D1117" w:rsidRDefault="00940E3A" w:rsidP="001D1117">
            <w:pPr>
              <w:pStyle w:val="Bodyromannumerals"/>
              <w:rPr>
                <w:b/>
                <w:bCs/>
              </w:rPr>
            </w:pPr>
            <w:r w:rsidRPr="001D1117">
              <w:rPr>
                <w:b/>
                <w:bCs/>
              </w:rPr>
              <w:t xml:space="preserve">Total number of water </w:t>
            </w:r>
            <w:r w:rsidR="000263B4">
              <w:rPr>
                <w:b/>
                <w:bCs/>
              </w:rPr>
              <w:t>distribution</w:t>
            </w:r>
            <w:r w:rsidR="000263B4" w:rsidRPr="001D1117">
              <w:rPr>
                <w:b/>
                <w:bCs/>
              </w:rPr>
              <w:t xml:space="preserve"> </w:t>
            </w:r>
            <w:r w:rsidRPr="001D1117">
              <w:rPr>
                <w:b/>
                <w:bCs/>
              </w:rPr>
              <w:t xml:space="preserve">zones </w:t>
            </w:r>
            <w:r w:rsidR="008B6286">
              <w:rPr>
                <w:b/>
                <w:bCs/>
              </w:rPr>
              <w:t>that exceed any DWSNZ maximum acceptable value for any other parameters</w:t>
            </w:r>
            <w:r w:rsidR="00CE2667">
              <w:rPr>
                <w:b/>
                <w:bCs/>
              </w:rPr>
              <w:t xml:space="preserve"> </w:t>
            </w:r>
          </w:p>
        </w:tc>
        <w:tc>
          <w:tcPr>
            <w:tcW w:w="772" w:type="pct"/>
          </w:tcPr>
          <w:p w14:paraId="6A36F88B" w14:textId="2BE73FC0" w:rsidR="00940E3A" w:rsidRPr="001D1117" w:rsidRDefault="001D1117" w:rsidP="001D1117">
            <w:pPr>
              <w:pStyle w:val="Bodyromannumerals"/>
              <w:rPr>
                <w:b/>
                <w:bCs/>
              </w:rPr>
            </w:pPr>
            <w:r w:rsidRPr="001D1117">
              <w:rPr>
                <w:b/>
                <w:bCs/>
              </w:rPr>
              <w:t>Nr.</w:t>
            </w:r>
          </w:p>
        </w:tc>
      </w:tr>
      <w:tr w:rsidR="00940E3A" w:rsidRPr="001D1117" w14:paraId="0D90F713" w14:textId="77777777" w:rsidTr="2F76CC7E">
        <w:tblPrEx>
          <w:tblLook w:val="04A0" w:firstRow="1" w:lastRow="0" w:firstColumn="1" w:lastColumn="0" w:noHBand="0" w:noVBand="1"/>
        </w:tblPrEx>
        <w:tc>
          <w:tcPr>
            <w:tcW w:w="1210" w:type="pct"/>
            <w:gridSpan w:val="2"/>
            <w:tcBorders>
              <w:left w:val="single" w:sz="4" w:space="0" w:color="FFFFFF" w:themeColor="background2"/>
              <w:bottom w:val="single" w:sz="4" w:space="0" w:color="FFFFFF" w:themeColor="background2"/>
              <w:right w:val="single" w:sz="4" w:space="0" w:color="FFFFFF" w:themeColor="background2"/>
            </w:tcBorders>
          </w:tcPr>
          <w:p w14:paraId="67AE5E62" w14:textId="77777777" w:rsidR="00940E3A" w:rsidRDefault="00940E3A" w:rsidP="001D1117">
            <w:pPr>
              <w:pStyle w:val="Bodyromannumerals"/>
              <w:rPr>
                <w:i/>
                <w:iCs/>
              </w:rPr>
            </w:pPr>
            <w:r w:rsidRPr="00A264A5">
              <w:rPr>
                <w:i/>
                <w:iCs/>
              </w:rPr>
              <w:t>Definition:</w:t>
            </w:r>
          </w:p>
          <w:p w14:paraId="5570D248" w14:textId="77777777" w:rsidR="005E0B58" w:rsidRPr="005E0B58" w:rsidRDefault="005E0B58" w:rsidP="005E0B58"/>
          <w:p w14:paraId="073D7769" w14:textId="77777777" w:rsidR="005E0B58" w:rsidRPr="005E0B58" w:rsidRDefault="005E0B58" w:rsidP="005E0B58"/>
          <w:p w14:paraId="071E9B48" w14:textId="77777777" w:rsidR="005E0B58" w:rsidRPr="005E0B58" w:rsidRDefault="005E0B58" w:rsidP="005E0B58"/>
          <w:p w14:paraId="7C13B8C0" w14:textId="5C1AB1AA" w:rsidR="005E0B58" w:rsidRPr="005E0B58" w:rsidRDefault="005E0B58" w:rsidP="005E0B58"/>
        </w:tc>
        <w:tc>
          <w:tcPr>
            <w:tcW w:w="3790" w:type="pct"/>
            <w:gridSpan w:val="2"/>
            <w:tcBorders>
              <w:left w:val="single" w:sz="4" w:space="0" w:color="FFFFFF" w:themeColor="background2"/>
              <w:bottom w:val="single" w:sz="4" w:space="0" w:color="FFFFFF" w:themeColor="background2"/>
              <w:right w:val="single" w:sz="4" w:space="0" w:color="FFFFFF" w:themeColor="background2"/>
            </w:tcBorders>
          </w:tcPr>
          <w:p w14:paraId="1BA39CC2" w14:textId="04665934" w:rsidR="00940E3A" w:rsidRPr="001D1117" w:rsidRDefault="00940E3A" w:rsidP="001D1117">
            <w:pPr>
              <w:pStyle w:val="Bodyromannumerals"/>
            </w:pPr>
            <w:r w:rsidRPr="001D1117">
              <w:t xml:space="preserve">The total number of </w:t>
            </w:r>
            <w:r w:rsidR="000263B4">
              <w:t>distribution zones</w:t>
            </w:r>
            <w:r w:rsidRPr="001D1117">
              <w:t xml:space="preserve"> </w:t>
            </w:r>
            <w:r w:rsidR="003737C6" w:rsidRPr="007013F6">
              <w:t>that exceed any DWSNZ maximum acceptable value for any other parameters</w:t>
            </w:r>
            <w:r w:rsidRPr="001D1117">
              <w:t>.</w:t>
            </w:r>
          </w:p>
          <w:p w14:paraId="3884A21D" w14:textId="51C25E3E" w:rsidR="00940E3A" w:rsidRDefault="00940E3A" w:rsidP="001D1117">
            <w:pPr>
              <w:pStyle w:val="Bodyromannumerals"/>
            </w:pPr>
            <w:r w:rsidRPr="001D1117">
              <w:t xml:space="preserve">Imported bulk supplies covered by such </w:t>
            </w:r>
            <w:r w:rsidR="002C325C">
              <w:t xml:space="preserve">requirements </w:t>
            </w:r>
            <w:r w:rsidRPr="001D1117">
              <w:t>should be included in this figure.</w:t>
            </w:r>
          </w:p>
          <w:p w14:paraId="5D704601" w14:textId="49BDA639" w:rsidR="007B5400" w:rsidRDefault="007B5400" w:rsidP="00B03EFD">
            <w:pPr>
              <w:pStyle w:val="Bodynumbercopy"/>
              <w:numPr>
                <w:ilvl w:val="0"/>
                <w:numId w:val="0"/>
              </w:numPr>
              <w:rPr>
                <w:lang w:val="en-GB"/>
              </w:rPr>
            </w:pPr>
            <w:r w:rsidRPr="00955B8F">
              <w:t>Water distribution zone is defined as an identifiable part of the water supply network</w:t>
            </w:r>
            <w:r>
              <w:t>. T</w:t>
            </w:r>
            <w:r w:rsidRPr="007F29CF">
              <w:t xml:space="preserve">his is in line with </w:t>
            </w:r>
            <w:r>
              <w:t xml:space="preserve">the </w:t>
            </w:r>
            <w:r w:rsidRPr="007F29CF">
              <w:rPr>
                <w:lang w:val="en-GB"/>
              </w:rPr>
              <w:t>Drinking-water Standards for New Zealand 2005 (Revised 2018)</w:t>
            </w:r>
            <w:r w:rsidR="005A0A64">
              <w:rPr>
                <w:lang w:val="en-GB"/>
              </w:rPr>
              <w:t>.</w:t>
            </w:r>
          </w:p>
          <w:p w14:paraId="6EC16D74" w14:textId="15D82C61" w:rsidR="007B5400" w:rsidRPr="00B03EFD" w:rsidRDefault="007B5400" w:rsidP="00B03EFD">
            <w:pPr>
              <w:pStyle w:val="Bodynumbercopy"/>
              <w:numPr>
                <w:ilvl w:val="0"/>
                <w:numId w:val="0"/>
              </w:numPr>
              <w:rPr>
                <w:b/>
                <w:bCs/>
                <w:lang w:val="en-GB"/>
              </w:rPr>
            </w:pPr>
          </w:p>
        </w:tc>
      </w:tr>
      <w:tr w:rsidR="00940E3A" w:rsidRPr="001D1117" w14:paraId="4875DC8B" w14:textId="77777777" w:rsidTr="2F76CC7E">
        <w:tblPrEx>
          <w:tblLook w:val="04A0" w:firstRow="1" w:lastRow="0" w:firstColumn="1" w:lastColumn="0" w:noHBand="0" w:noVBand="1"/>
        </w:tblPrEx>
        <w:tc>
          <w:tcPr>
            <w:tcW w:w="1210"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D63582A" w14:textId="77777777" w:rsidR="00940E3A" w:rsidRPr="00A264A5" w:rsidRDefault="00940E3A" w:rsidP="001D1117">
            <w:pPr>
              <w:pStyle w:val="Bodyromannumerals"/>
              <w:rPr>
                <w:i/>
                <w:iCs/>
              </w:rPr>
            </w:pPr>
            <w:r w:rsidRPr="00A264A5">
              <w:rPr>
                <w:i/>
                <w:iCs/>
              </w:rPr>
              <w:t>Processing rules:</w:t>
            </w:r>
          </w:p>
        </w:tc>
        <w:tc>
          <w:tcPr>
            <w:tcW w:w="3790"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73A08F1" w14:textId="77777777" w:rsidR="00940E3A" w:rsidRPr="001D1117" w:rsidRDefault="00940E3A" w:rsidP="001D1117">
            <w:pPr>
              <w:pStyle w:val="Bodyromannumerals"/>
            </w:pPr>
            <w:r w:rsidRPr="001D1117">
              <w:t>Input field</w:t>
            </w:r>
          </w:p>
        </w:tc>
      </w:tr>
      <w:tr w:rsidR="00940E3A" w:rsidRPr="001D1117" w14:paraId="3813D330" w14:textId="77777777" w:rsidTr="2F76CC7E">
        <w:tc>
          <w:tcPr>
            <w:tcW w:w="756" w:type="pct"/>
          </w:tcPr>
          <w:p w14:paraId="6C9A95E9" w14:textId="77777777" w:rsidR="00940E3A" w:rsidRPr="001D1117" w:rsidRDefault="00940E3A" w:rsidP="001D1117">
            <w:pPr>
              <w:pStyle w:val="Bodyromannumerals"/>
              <w:rPr>
                <w:b/>
                <w:bCs/>
              </w:rPr>
            </w:pPr>
            <w:r w:rsidRPr="001D1117">
              <w:rPr>
                <w:b/>
                <w:bCs/>
              </w:rPr>
              <w:t>C3.14</w:t>
            </w:r>
          </w:p>
        </w:tc>
        <w:tc>
          <w:tcPr>
            <w:tcW w:w="3472" w:type="pct"/>
            <w:gridSpan w:val="2"/>
          </w:tcPr>
          <w:p w14:paraId="01760E8C" w14:textId="212B39C4" w:rsidR="00940E3A" w:rsidRPr="001D1117" w:rsidRDefault="00940E3A" w:rsidP="001D1117">
            <w:pPr>
              <w:pStyle w:val="Bodyromannumerals"/>
              <w:rPr>
                <w:b/>
                <w:bCs/>
              </w:rPr>
            </w:pPr>
            <w:r w:rsidRPr="001D1117">
              <w:rPr>
                <w:b/>
                <w:bCs/>
              </w:rPr>
              <w:t>Volume of water delivered subject to</w:t>
            </w:r>
            <w:r w:rsidR="00A14C81">
              <w:rPr>
                <w:b/>
                <w:bCs/>
              </w:rPr>
              <w:t xml:space="preserve"> a requirement to ensure that the water supply does not exceed the maximum level for other parameters</w:t>
            </w:r>
          </w:p>
        </w:tc>
        <w:tc>
          <w:tcPr>
            <w:tcW w:w="772" w:type="pct"/>
          </w:tcPr>
          <w:p w14:paraId="2918D0ED" w14:textId="77777777" w:rsidR="00940E3A" w:rsidRPr="001D1117" w:rsidRDefault="00940E3A" w:rsidP="001D1117">
            <w:pPr>
              <w:pStyle w:val="Bodyromannumerals"/>
              <w:rPr>
                <w:b/>
                <w:bCs/>
              </w:rPr>
            </w:pPr>
            <w:proofErr w:type="spellStart"/>
            <w:r w:rsidRPr="001D1117">
              <w:rPr>
                <w:b/>
                <w:bCs/>
              </w:rPr>
              <w:t>Ml</w:t>
            </w:r>
            <w:proofErr w:type="spellEnd"/>
            <w:r w:rsidRPr="001D1117">
              <w:rPr>
                <w:b/>
                <w:bCs/>
              </w:rPr>
              <w:t>/d</w:t>
            </w:r>
          </w:p>
        </w:tc>
      </w:tr>
      <w:tr w:rsidR="00940E3A" w:rsidRPr="001D1117" w14:paraId="566E14F9" w14:textId="77777777" w:rsidTr="2F76CC7E">
        <w:tblPrEx>
          <w:tblLook w:val="04A0" w:firstRow="1" w:lastRow="0" w:firstColumn="1" w:lastColumn="0" w:noHBand="0" w:noVBand="1"/>
        </w:tblPrEx>
        <w:tc>
          <w:tcPr>
            <w:tcW w:w="1210" w:type="pct"/>
            <w:gridSpan w:val="2"/>
            <w:tcBorders>
              <w:left w:val="single" w:sz="4" w:space="0" w:color="FFFFFF" w:themeColor="background2"/>
              <w:bottom w:val="single" w:sz="4" w:space="0" w:color="FFFFFF" w:themeColor="background2"/>
              <w:right w:val="single" w:sz="4" w:space="0" w:color="FFFFFF" w:themeColor="background2"/>
            </w:tcBorders>
          </w:tcPr>
          <w:p w14:paraId="6B99BB87" w14:textId="77777777" w:rsidR="00940E3A" w:rsidRPr="001D1117" w:rsidRDefault="00940E3A" w:rsidP="001D1117">
            <w:pPr>
              <w:pStyle w:val="Bodyromannumerals"/>
            </w:pPr>
            <w:r w:rsidRPr="001D1117">
              <w:t>Definition:</w:t>
            </w:r>
          </w:p>
        </w:tc>
        <w:tc>
          <w:tcPr>
            <w:tcW w:w="3790" w:type="pct"/>
            <w:gridSpan w:val="2"/>
            <w:tcBorders>
              <w:left w:val="single" w:sz="4" w:space="0" w:color="FFFFFF" w:themeColor="background2"/>
              <w:bottom w:val="single" w:sz="4" w:space="0" w:color="FFFFFF" w:themeColor="background2"/>
              <w:right w:val="single" w:sz="4" w:space="0" w:color="FFFFFF" w:themeColor="background2"/>
            </w:tcBorders>
          </w:tcPr>
          <w:p w14:paraId="5021EAE2" w14:textId="7C2AF3AD" w:rsidR="00144279" w:rsidRPr="001D1117" w:rsidRDefault="00940E3A" w:rsidP="00144279">
            <w:pPr>
              <w:pStyle w:val="Bodyromannumerals"/>
            </w:pPr>
            <w:r w:rsidRPr="001D1117">
              <w:t xml:space="preserve">The annual average daily flow rate of water entering distribution, which is subject to </w:t>
            </w:r>
            <w:r w:rsidR="00ED108B">
              <w:t xml:space="preserve">a requirement </w:t>
            </w:r>
            <w:r w:rsidR="009714CF">
              <w:t xml:space="preserve">to </w:t>
            </w:r>
            <w:r w:rsidR="00144279" w:rsidRPr="001D1117">
              <w:t xml:space="preserve">ensure that the water supply does not contain other parameters at a concentration level greater than </w:t>
            </w:r>
            <w:r w:rsidR="00062FFF">
              <w:t>the maximum level</w:t>
            </w:r>
            <w:r w:rsidR="00144279" w:rsidRPr="001D1117">
              <w:t>.</w:t>
            </w:r>
          </w:p>
          <w:p w14:paraId="6312770D" w14:textId="50864B7E" w:rsidR="00940E3A" w:rsidRPr="001D1117" w:rsidRDefault="00940E3A" w:rsidP="001D1117">
            <w:pPr>
              <w:pStyle w:val="Bodyromannumerals"/>
            </w:pPr>
            <w:r w:rsidRPr="001D1117">
              <w:t>Imported bulk supplies covered by such</w:t>
            </w:r>
            <w:r w:rsidR="00373B2A">
              <w:t xml:space="preserve"> </w:t>
            </w:r>
            <w:r w:rsidR="002C325C">
              <w:t xml:space="preserve">requirements </w:t>
            </w:r>
            <w:r w:rsidRPr="001D1117">
              <w:t>should be included in this figure</w:t>
            </w:r>
            <w:r w:rsidR="00E75D78">
              <w:t>.</w:t>
            </w:r>
          </w:p>
        </w:tc>
      </w:tr>
      <w:tr w:rsidR="00940E3A" w:rsidRPr="001D1117" w14:paraId="4647F5B5" w14:textId="77777777" w:rsidTr="2F76CC7E">
        <w:tblPrEx>
          <w:tblLook w:val="04A0" w:firstRow="1" w:lastRow="0" w:firstColumn="1" w:lastColumn="0" w:noHBand="0" w:noVBand="1"/>
        </w:tblPrEx>
        <w:tc>
          <w:tcPr>
            <w:tcW w:w="1210"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582779D5" w14:textId="77777777" w:rsidR="00940E3A" w:rsidRPr="001D1117" w:rsidRDefault="00940E3A" w:rsidP="001D1117">
            <w:pPr>
              <w:pStyle w:val="Bodyromannumerals"/>
            </w:pPr>
            <w:r w:rsidRPr="001D1117">
              <w:t>Processing rules:</w:t>
            </w:r>
          </w:p>
        </w:tc>
        <w:tc>
          <w:tcPr>
            <w:tcW w:w="3790"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D79D75D" w14:textId="77777777" w:rsidR="00940E3A" w:rsidRPr="001D1117" w:rsidRDefault="00940E3A" w:rsidP="001D1117">
            <w:pPr>
              <w:pStyle w:val="Bodyromannumerals"/>
            </w:pPr>
            <w:r w:rsidRPr="001D1117">
              <w:t>Input field</w:t>
            </w:r>
          </w:p>
        </w:tc>
      </w:tr>
      <w:tr w:rsidR="00940E3A" w:rsidRPr="001D1117" w14:paraId="3C8E75A9" w14:textId="77777777" w:rsidTr="2F76CC7E">
        <w:tc>
          <w:tcPr>
            <w:tcW w:w="756" w:type="pct"/>
          </w:tcPr>
          <w:p w14:paraId="51AA0262" w14:textId="0DA98399" w:rsidR="00940E3A" w:rsidRPr="001D1117" w:rsidRDefault="0964677D" w:rsidP="001D1117">
            <w:pPr>
              <w:pStyle w:val="Bodyromannumerals"/>
              <w:rPr>
                <w:b/>
                <w:bCs/>
              </w:rPr>
            </w:pPr>
            <w:r w:rsidRPr="2F76CC7E">
              <w:rPr>
                <w:b/>
                <w:bCs/>
              </w:rPr>
              <w:t>C</w:t>
            </w:r>
            <w:r w:rsidR="00940E3A" w:rsidRPr="2F76CC7E">
              <w:rPr>
                <w:b/>
                <w:bCs/>
              </w:rPr>
              <w:t>3.15</w:t>
            </w:r>
          </w:p>
        </w:tc>
        <w:tc>
          <w:tcPr>
            <w:tcW w:w="3472" w:type="pct"/>
            <w:gridSpan w:val="2"/>
          </w:tcPr>
          <w:p w14:paraId="022A5D72" w14:textId="2CA28592" w:rsidR="00940E3A" w:rsidRPr="001D1117" w:rsidRDefault="00940E3A" w:rsidP="001D1117">
            <w:pPr>
              <w:pStyle w:val="Bodyromannumerals"/>
              <w:rPr>
                <w:b/>
                <w:bCs/>
              </w:rPr>
            </w:pPr>
            <w:r w:rsidRPr="001D1117">
              <w:rPr>
                <w:b/>
                <w:bCs/>
              </w:rPr>
              <w:t xml:space="preserve">% of water delivered subject to </w:t>
            </w:r>
            <w:r w:rsidR="00A14C81">
              <w:rPr>
                <w:b/>
                <w:bCs/>
              </w:rPr>
              <w:t>a requirement to ensure that the water supply does not exceed the maximum level for other parameters</w:t>
            </w:r>
          </w:p>
        </w:tc>
        <w:tc>
          <w:tcPr>
            <w:tcW w:w="772" w:type="pct"/>
          </w:tcPr>
          <w:p w14:paraId="2E4F8AD9" w14:textId="77777777" w:rsidR="00940E3A" w:rsidRPr="001D1117" w:rsidRDefault="00940E3A" w:rsidP="001D1117">
            <w:pPr>
              <w:pStyle w:val="Bodyromannumerals"/>
              <w:rPr>
                <w:b/>
                <w:bCs/>
              </w:rPr>
            </w:pPr>
            <w:r w:rsidRPr="001D1117">
              <w:rPr>
                <w:b/>
                <w:bCs/>
              </w:rPr>
              <w:t xml:space="preserve">% </w:t>
            </w:r>
          </w:p>
        </w:tc>
      </w:tr>
      <w:tr w:rsidR="00940E3A" w:rsidRPr="001D1117" w14:paraId="50DF0D96" w14:textId="77777777" w:rsidTr="2F76CC7E">
        <w:tblPrEx>
          <w:tblLook w:val="04A0" w:firstRow="1" w:lastRow="0" w:firstColumn="1" w:lastColumn="0" w:noHBand="0" w:noVBand="1"/>
        </w:tblPrEx>
        <w:tc>
          <w:tcPr>
            <w:tcW w:w="1210" w:type="pct"/>
            <w:gridSpan w:val="2"/>
            <w:tcBorders>
              <w:left w:val="single" w:sz="4" w:space="0" w:color="FFFFFF" w:themeColor="background2"/>
              <w:bottom w:val="single" w:sz="4" w:space="0" w:color="FFFFFF" w:themeColor="background2"/>
              <w:right w:val="single" w:sz="4" w:space="0" w:color="FFFFFF" w:themeColor="background2"/>
            </w:tcBorders>
          </w:tcPr>
          <w:p w14:paraId="4044A22C" w14:textId="77777777" w:rsidR="00940E3A" w:rsidRPr="00A264A5" w:rsidRDefault="00940E3A" w:rsidP="001D1117">
            <w:pPr>
              <w:pStyle w:val="Bodyromannumerals"/>
              <w:rPr>
                <w:i/>
                <w:iCs/>
              </w:rPr>
            </w:pPr>
            <w:r w:rsidRPr="00A264A5">
              <w:rPr>
                <w:i/>
                <w:iCs/>
              </w:rPr>
              <w:t>Definition:</w:t>
            </w:r>
          </w:p>
        </w:tc>
        <w:tc>
          <w:tcPr>
            <w:tcW w:w="3790" w:type="pct"/>
            <w:gridSpan w:val="2"/>
            <w:tcBorders>
              <w:left w:val="single" w:sz="4" w:space="0" w:color="FFFFFF" w:themeColor="background2"/>
              <w:bottom w:val="single" w:sz="4" w:space="0" w:color="FFFFFF" w:themeColor="background2"/>
              <w:right w:val="single" w:sz="4" w:space="0" w:color="FFFFFF" w:themeColor="background2"/>
            </w:tcBorders>
          </w:tcPr>
          <w:p w14:paraId="240E3A4B" w14:textId="1CC17822" w:rsidR="00940E3A" w:rsidRPr="001D1117" w:rsidRDefault="00940E3A" w:rsidP="001D1117">
            <w:pPr>
              <w:pStyle w:val="Bodyromannumerals"/>
            </w:pPr>
            <w:r w:rsidRPr="001D1117">
              <w:t>The volume of water reported in line C3.14 as a percentage of the total water delivered</w:t>
            </w:r>
            <w:r w:rsidR="00E75D78">
              <w:t>.</w:t>
            </w:r>
          </w:p>
        </w:tc>
      </w:tr>
      <w:tr w:rsidR="00940E3A" w:rsidRPr="001D1117" w14:paraId="6D5D3E9D" w14:textId="77777777" w:rsidTr="2F76CC7E">
        <w:tblPrEx>
          <w:tblLook w:val="04A0" w:firstRow="1" w:lastRow="0" w:firstColumn="1" w:lastColumn="0" w:noHBand="0" w:noVBand="1"/>
        </w:tblPrEx>
        <w:tc>
          <w:tcPr>
            <w:tcW w:w="1210"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8191221" w14:textId="77777777" w:rsidR="00940E3A" w:rsidRPr="00A264A5" w:rsidRDefault="00940E3A" w:rsidP="001D1117">
            <w:pPr>
              <w:pStyle w:val="Bodyromannumerals"/>
              <w:rPr>
                <w:i/>
                <w:iCs/>
              </w:rPr>
            </w:pPr>
            <w:r w:rsidRPr="00A264A5">
              <w:rPr>
                <w:i/>
                <w:iCs/>
              </w:rPr>
              <w:t>Processing rules:</w:t>
            </w:r>
          </w:p>
        </w:tc>
        <w:tc>
          <w:tcPr>
            <w:tcW w:w="3790"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4D93F47" w14:textId="0940134B" w:rsidR="00940E3A" w:rsidRPr="001D1117" w:rsidRDefault="00940E3A" w:rsidP="001D1117">
            <w:pPr>
              <w:pStyle w:val="Bodyromannumerals"/>
            </w:pPr>
            <w:r w:rsidRPr="001D1117">
              <w:t>Calculated field (C3.14/A2.</w:t>
            </w:r>
            <w:r w:rsidR="001C5722">
              <w:t>25</w:t>
            </w:r>
            <w:r w:rsidRPr="001D1117">
              <w:t>)*100</w:t>
            </w:r>
          </w:p>
        </w:tc>
      </w:tr>
    </w:tbl>
    <w:p w14:paraId="2D37F33D" w14:textId="2FE41629" w:rsidR="00940E3A" w:rsidRPr="008456AD" w:rsidRDefault="00940E3A" w:rsidP="001D1117">
      <w:pPr>
        <w:pStyle w:val="Sectionsub-heading"/>
      </w:pPr>
      <w:r w:rsidRPr="008456AD">
        <w:t xml:space="preserve">BLOCK 2: </w:t>
      </w:r>
      <w:r w:rsidR="00D36034">
        <w:t xml:space="preserve"> ABSTRACTION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940E3A" w:rsidRPr="001D1117" w14:paraId="1A86BB76" w14:textId="77777777" w:rsidTr="00C8791E">
        <w:tc>
          <w:tcPr>
            <w:tcW w:w="756" w:type="pct"/>
          </w:tcPr>
          <w:p w14:paraId="567B3BB5" w14:textId="77777777" w:rsidR="00940E3A" w:rsidRPr="001D1117" w:rsidRDefault="00940E3A" w:rsidP="001D1117">
            <w:pPr>
              <w:pStyle w:val="Bodyromannumerals"/>
              <w:rPr>
                <w:b/>
                <w:bCs/>
              </w:rPr>
            </w:pPr>
            <w:r w:rsidRPr="001D1117">
              <w:rPr>
                <w:b/>
                <w:bCs/>
              </w:rPr>
              <w:t>C3.16</w:t>
            </w:r>
          </w:p>
        </w:tc>
        <w:tc>
          <w:tcPr>
            <w:tcW w:w="3472" w:type="pct"/>
            <w:gridSpan w:val="2"/>
          </w:tcPr>
          <w:p w14:paraId="50AE72B5" w14:textId="77777777" w:rsidR="00940E3A" w:rsidRPr="001D1117" w:rsidRDefault="00940E3A" w:rsidP="001D1117">
            <w:pPr>
              <w:pStyle w:val="Bodyromannumerals"/>
              <w:rPr>
                <w:b/>
                <w:bCs/>
              </w:rPr>
            </w:pPr>
            <w:r w:rsidRPr="001D1117">
              <w:rPr>
                <w:b/>
                <w:bCs/>
              </w:rPr>
              <w:t xml:space="preserve"> Total number of river abstractions</w:t>
            </w:r>
          </w:p>
        </w:tc>
        <w:tc>
          <w:tcPr>
            <w:tcW w:w="772" w:type="pct"/>
          </w:tcPr>
          <w:p w14:paraId="4F736F6E" w14:textId="54F645D1" w:rsidR="00940E3A" w:rsidRPr="001D1117" w:rsidRDefault="001D1117" w:rsidP="001D1117">
            <w:pPr>
              <w:pStyle w:val="Bodyromannumerals"/>
              <w:rPr>
                <w:b/>
                <w:bCs/>
              </w:rPr>
            </w:pPr>
            <w:r w:rsidRPr="001D1117">
              <w:rPr>
                <w:b/>
                <w:bCs/>
              </w:rPr>
              <w:t>Nr.</w:t>
            </w:r>
          </w:p>
        </w:tc>
      </w:tr>
      <w:tr w:rsidR="00940E3A" w:rsidRPr="001D1117" w14:paraId="00DFB219"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3DD251F1" w14:textId="77777777" w:rsidR="00940E3A" w:rsidRPr="00A264A5" w:rsidRDefault="00940E3A" w:rsidP="001D1117">
            <w:pPr>
              <w:pStyle w:val="Bodyromannumerals"/>
              <w:rPr>
                <w:i/>
                <w:iCs/>
              </w:rPr>
            </w:pPr>
            <w:r w:rsidRPr="00A264A5">
              <w:rPr>
                <w:i/>
                <w:iCs/>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489E6D9B" w14:textId="286F8AE3" w:rsidR="00940E3A" w:rsidRPr="001D1117" w:rsidRDefault="00940E3A" w:rsidP="001D1117">
            <w:pPr>
              <w:pStyle w:val="Bodyromannumerals"/>
            </w:pPr>
            <w:r w:rsidRPr="001D1117">
              <w:t xml:space="preserve">The total number of river abstractions in the </w:t>
            </w:r>
            <w:r w:rsidR="000011BB">
              <w:t>Local</w:t>
            </w:r>
            <w:r w:rsidR="00E40C2D">
              <w:t xml:space="preserve"> </w:t>
            </w:r>
            <w:r w:rsidRPr="001D1117">
              <w:t>Authority’s area.</w:t>
            </w:r>
          </w:p>
        </w:tc>
      </w:tr>
      <w:tr w:rsidR="00940E3A" w:rsidRPr="001D1117" w14:paraId="71D00639"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C013F1" w14:textId="77777777" w:rsidR="00940E3A" w:rsidRPr="00A264A5" w:rsidRDefault="00940E3A" w:rsidP="001D1117">
            <w:pPr>
              <w:pStyle w:val="Bodyromannumerals"/>
              <w:rPr>
                <w:i/>
                <w:iCs/>
              </w:rPr>
            </w:pPr>
            <w:r w:rsidRPr="00A264A5">
              <w:rPr>
                <w:i/>
                <w:iCs/>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C9DA80" w14:textId="77777777" w:rsidR="00940E3A" w:rsidRPr="001D1117" w:rsidRDefault="00940E3A" w:rsidP="001D1117">
            <w:pPr>
              <w:pStyle w:val="Bodyromannumerals"/>
            </w:pPr>
            <w:r w:rsidRPr="001D1117">
              <w:t>Input field</w:t>
            </w:r>
          </w:p>
        </w:tc>
      </w:tr>
    </w:tbl>
    <w:p w14:paraId="7BE1AC58" w14:textId="634DE2E5" w:rsidR="00940E3A" w:rsidRPr="006466B5" w:rsidRDefault="00F61EFC" w:rsidP="001D1117">
      <w:pPr>
        <w:pStyle w:val="Title1"/>
      </w:pPr>
      <w:r>
        <w:br w:type="page"/>
      </w:r>
      <w:r w:rsidR="00E40C2D">
        <w:t xml:space="preserve">TABLE </w:t>
      </w:r>
      <w:r w:rsidR="00940E3A" w:rsidRPr="006466B5">
        <w:t>C4: WASTEWATER QUALITY OUTPUTS - COMPLIANCE</w:t>
      </w:r>
    </w:p>
    <w:p w14:paraId="1B9DAFC5" w14:textId="2C5788FB" w:rsidR="00940E3A" w:rsidRPr="006466B5" w:rsidRDefault="00940E3A" w:rsidP="00DB739A">
      <w:pPr>
        <w:pStyle w:val="Bodynumbercopy"/>
        <w:numPr>
          <w:ilvl w:val="0"/>
          <w:numId w:val="27"/>
        </w:numPr>
        <w:jc w:val="both"/>
      </w:pPr>
      <w:r w:rsidRPr="006466B5">
        <w:t xml:space="preserve">This table covers wastewater quality compliance for </w:t>
      </w:r>
      <w:r w:rsidR="00A23234">
        <w:t>waste</w:t>
      </w:r>
      <w:r w:rsidR="00083423">
        <w:t>water</w:t>
      </w:r>
      <w:r w:rsidRPr="006466B5">
        <w:t xml:space="preserve"> treatment </w:t>
      </w:r>
      <w:r w:rsidR="00E44E72">
        <w:t>plants</w:t>
      </w:r>
      <w:r w:rsidR="00E44E72" w:rsidRPr="006466B5">
        <w:t xml:space="preserve"> </w:t>
      </w:r>
      <w:r w:rsidRPr="006466B5">
        <w:t xml:space="preserve">discharges and for bathing waters. This table should be completed using </w:t>
      </w:r>
      <w:r w:rsidR="001A69C9">
        <w:t>Minis</w:t>
      </w:r>
      <w:r w:rsidR="003A01ED">
        <w:t>try for the Environment</w:t>
      </w:r>
      <w:r w:rsidRPr="006466B5">
        <w:t xml:space="preserve"> statutory data only.</w:t>
      </w:r>
    </w:p>
    <w:p w14:paraId="0B6CDF87" w14:textId="2661B2A1" w:rsidR="00940E3A" w:rsidRDefault="00940E3A" w:rsidP="00DB739A">
      <w:pPr>
        <w:pStyle w:val="Bodynumbercopy"/>
        <w:jc w:val="both"/>
      </w:pPr>
      <w:r>
        <w:t>The quality related information from these Information Requirements will be used to examine performance with quality standards, the outputs achieved against expenditure and the quality of the water received by customers.</w:t>
      </w:r>
    </w:p>
    <w:p w14:paraId="7F0FCD89" w14:textId="3B5625D2" w:rsidR="00B5056C" w:rsidRDefault="00B5056C" w:rsidP="001D1117">
      <w:pPr>
        <w:pStyle w:val="Bodynumbercopy"/>
      </w:pPr>
      <w:r w:rsidRPr="00DB739A">
        <w:rPr>
          <w:b/>
          <w:bCs/>
        </w:rPr>
        <w:t>Consent types</w:t>
      </w:r>
      <w:r>
        <w:t xml:space="preserve"> are usually split into two distinct categories:</w:t>
      </w:r>
    </w:p>
    <w:p w14:paraId="4B080F53" w14:textId="77777777" w:rsidR="00EE5F62" w:rsidRPr="007365B8" w:rsidRDefault="00B5056C" w:rsidP="006B7020">
      <w:pPr>
        <w:pStyle w:val="Bodynumbercopy"/>
        <w:numPr>
          <w:ilvl w:val="1"/>
          <w:numId w:val="23"/>
        </w:numPr>
      </w:pPr>
      <w:r w:rsidRPr="00DB739A">
        <w:rPr>
          <w:b/>
          <w:bCs/>
        </w:rPr>
        <w:t>Sanitary consents</w:t>
      </w:r>
      <w:r w:rsidR="00CE7E7D" w:rsidRPr="007365B8">
        <w:t xml:space="preserve"> </w:t>
      </w:r>
      <w:r w:rsidR="0011799B" w:rsidRPr="007365B8">
        <w:t>represent</w:t>
      </w:r>
      <w:r w:rsidR="00CE7E7D" w:rsidRPr="007365B8">
        <w:t xml:space="preserve"> </w:t>
      </w:r>
      <w:r w:rsidR="0011799B" w:rsidRPr="007365B8">
        <w:t xml:space="preserve">those </w:t>
      </w:r>
      <w:proofErr w:type="spellStart"/>
      <w:r w:rsidR="0011799B" w:rsidRPr="007365B8">
        <w:t>determinands</w:t>
      </w:r>
      <w:proofErr w:type="spellEnd"/>
      <w:r w:rsidR="0011799B" w:rsidRPr="007365B8">
        <w:t xml:space="preserve"> that are specific to the wastewater treatment process.</w:t>
      </w:r>
      <w:r w:rsidR="00C802CB" w:rsidRPr="007365B8">
        <w:t xml:space="preserve"> For example, t</w:t>
      </w:r>
      <w:r w:rsidR="0011799B" w:rsidRPr="007365B8">
        <w:t xml:space="preserve">hese can include </w:t>
      </w:r>
      <w:r w:rsidR="00C06BAD" w:rsidRPr="007365B8">
        <w:t>the biological oxygen demand (BOD), suspended solids (SS), ammon</w:t>
      </w:r>
      <w:r w:rsidR="00C802CB" w:rsidRPr="007365B8">
        <w:t>ia</w:t>
      </w:r>
      <w:r w:rsidR="00C06BAD" w:rsidRPr="007365B8">
        <w:t>, colour and chemical oxygen demand (COD).</w:t>
      </w:r>
    </w:p>
    <w:p w14:paraId="2E174071" w14:textId="53A317CE" w:rsidR="00B5056C" w:rsidRPr="00DB739A" w:rsidRDefault="00B5056C" w:rsidP="00DB739A">
      <w:pPr>
        <w:pStyle w:val="Bodynumbercopy"/>
        <w:numPr>
          <w:ilvl w:val="1"/>
          <w:numId w:val="23"/>
        </w:numPr>
        <w:rPr>
          <w:b/>
          <w:bCs/>
        </w:rPr>
      </w:pPr>
      <w:r w:rsidRPr="00DB739A">
        <w:rPr>
          <w:b/>
          <w:bCs/>
        </w:rPr>
        <w:t>Non-sanitary consen</w:t>
      </w:r>
      <w:r w:rsidR="001724C6" w:rsidRPr="00DB739A">
        <w:rPr>
          <w:b/>
          <w:bCs/>
        </w:rPr>
        <w:t xml:space="preserve">ts </w:t>
      </w:r>
      <w:r w:rsidR="001724C6" w:rsidRPr="007365B8">
        <w:t xml:space="preserve">usually represent those </w:t>
      </w:r>
      <w:proofErr w:type="spellStart"/>
      <w:r w:rsidR="001724C6" w:rsidRPr="007365B8">
        <w:t>determinands</w:t>
      </w:r>
      <w:proofErr w:type="spellEnd"/>
      <w:r w:rsidR="001724C6" w:rsidRPr="007365B8">
        <w:t xml:space="preserve"> that are not specific to the wastewater treatment process. </w:t>
      </w:r>
      <w:r w:rsidR="00EE650B" w:rsidRPr="00DB739A">
        <w:t xml:space="preserve">For example, these can include </w:t>
      </w:r>
      <w:r w:rsidR="004D2608" w:rsidRPr="00DB739A">
        <w:t xml:space="preserve">agricultural related nutrients </w:t>
      </w:r>
      <w:r w:rsidR="001A7F82" w:rsidRPr="00DB739A">
        <w:t>or any other industrial related substances and metals.</w:t>
      </w:r>
      <w:r w:rsidR="00467E31" w:rsidRPr="00DB739A">
        <w:t xml:space="preserve"> </w:t>
      </w:r>
      <w:r w:rsidR="00AC34AC" w:rsidRPr="00DB739A">
        <w:t>T</w:t>
      </w:r>
      <w:r w:rsidR="00BB086E" w:rsidRPr="00DB739A">
        <w:t xml:space="preserve">rade effluent </w:t>
      </w:r>
      <w:r w:rsidR="00AC34AC" w:rsidRPr="007365B8">
        <w:t xml:space="preserve">discharges into the wastewater network can usually be regarded as the source of non-sanitary </w:t>
      </w:r>
      <w:proofErr w:type="spellStart"/>
      <w:r w:rsidR="00AC34AC" w:rsidRPr="007365B8">
        <w:t>determinands</w:t>
      </w:r>
      <w:proofErr w:type="spellEnd"/>
      <w:r w:rsidR="00AC34AC" w:rsidRPr="007365B8">
        <w:t xml:space="preserve">. </w:t>
      </w:r>
      <w:r w:rsidR="002865F9" w:rsidRPr="007365B8">
        <w:t xml:space="preserve">In the context of New Zealand, this would include consents </w:t>
      </w:r>
      <w:r w:rsidR="00283D50" w:rsidRPr="007365B8">
        <w:t xml:space="preserve">that </w:t>
      </w:r>
      <w:r w:rsidR="0028319B" w:rsidRPr="007365B8">
        <w:t>cover</w:t>
      </w:r>
      <w:r w:rsidR="00DF3A07" w:rsidRPr="007365B8">
        <w:t xml:space="preserve"> chemicals used in agriculture</w:t>
      </w:r>
      <w:r w:rsidR="00942F44" w:rsidRPr="007365B8">
        <w:t xml:space="preserve"> or </w:t>
      </w:r>
      <w:r w:rsidR="00E03C0D" w:rsidRPr="007365B8">
        <w:t>industry.</w:t>
      </w:r>
    </w:p>
    <w:p w14:paraId="0D0E8AB5" w14:textId="584B530B" w:rsidR="00027A8C" w:rsidRPr="007365B8" w:rsidRDefault="00027A8C" w:rsidP="006B7020">
      <w:pPr>
        <w:pStyle w:val="Bodynumbercopy"/>
      </w:pPr>
      <w:r w:rsidRPr="00DB739A">
        <w:rPr>
          <w:b/>
          <w:bCs/>
        </w:rPr>
        <w:t>Consent</w:t>
      </w:r>
      <w:r w:rsidR="00B5056C" w:rsidRPr="00DB739A">
        <w:rPr>
          <w:b/>
          <w:bCs/>
        </w:rPr>
        <w:t xml:space="preserve"> limits</w:t>
      </w:r>
      <w:r w:rsidRPr="007365B8">
        <w:t xml:space="preserve"> </w:t>
      </w:r>
      <w:r w:rsidR="00B5056C" w:rsidRPr="007365B8">
        <w:t>are also</w:t>
      </w:r>
      <w:r w:rsidRPr="007365B8">
        <w:t xml:space="preserve"> usually split into </w:t>
      </w:r>
      <w:r w:rsidR="0004017E" w:rsidRPr="007365B8">
        <w:t>several</w:t>
      </w:r>
      <w:r w:rsidRPr="007365B8">
        <w:t xml:space="preserve"> distinct categories:</w:t>
      </w:r>
    </w:p>
    <w:p w14:paraId="26C445E2" w14:textId="49920786" w:rsidR="007664F3" w:rsidRPr="00DB739A" w:rsidRDefault="00027A8C">
      <w:pPr>
        <w:pStyle w:val="Bodynumbercopy"/>
        <w:numPr>
          <w:ilvl w:val="1"/>
          <w:numId w:val="23"/>
        </w:numPr>
        <w:rPr>
          <w:b/>
          <w:bCs/>
        </w:rPr>
      </w:pPr>
      <w:r w:rsidRPr="00DB739A">
        <w:rPr>
          <w:b/>
          <w:bCs/>
        </w:rPr>
        <w:t>Numeric consents</w:t>
      </w:r>
      <w:r w:rsidR="00F93E1C" w:rsidRPr="00DB739A">
        <w:rPr>
          <w:b/>
          <w:bCs/>
        </w:rPr>
        <w:t xml:space="preserve"> </w:t>
      </w:r>
      <w:r w:rsidR="00F93E1C" w:rsidRPr="007365B8">
        <w:t xml:space="preserve">represent those consents in which </w:t>
      </w:r>
      <w:r w:rsidR="006D27AB" w:rsidRPr="007365B8">
        <w:t xml:space="preserve">a </w:t>
      </w:r>
      <w:r w:rsidR="00F93E1C" w:rsidRPr="007365B8">
        <w:t>numeric</w:t>
      </w:r>
      <w:r w:rsidR="006D27AB" w:rsidRPr="007365B8">
        <w:t xml:space="preserve"> based limit</w:t>
      </w:r>
      <w:r w:rsidR="00F93E1C" w:rsidRPr="007365B8">
        <w:t xml:space="preserve"> </w:t>
      </w:r>
      <w:r w:rsidR="006D27AB" w:rsidRPr="007365B8">
        <w:t>is</w:t>
      </w:r>
      <w:r w:rsidR="00F93E1C" w:rsidRPr="007365B8">
        <w:t xml:space="preserve"> set </w:t>
      </w:r>
      <w:r w:rsidR="003D1600" w:rsidRPr="007365B8">
        <w:t xml:space="preserve">either </w:t>
      </w:r>
      <w:r w:rsidR="00F93E1C" w:rsidRPr="007365B8">
        <w:t>as</w:t>
      </w:r>
      <w:r w:rsidR="003D1600" w:rsidRPr="007365B8">
        <w:t xml:space="preserve"> an</w:t>
      </w:r>
      <w:r w:rsidR="00F93E1C" w:rsidRPr="007365B8">
        <w:t xml:space="preserve"> absolute limit or </w:t>
      </w:r>
      <w:r w:rsidR="003D1600" w:rsidRPr="007365B8">
        <w:t xml:space="preserve">a </w:t>
      </w:r>
      <w:r w:rsidR="00F93E1C" w:rsidRPr="007365B8">
        <w:t>percentile</w:t>
      </w:r>
      <w:r w:rsidR="003D1600" w:rsidRPr="007365B8">
        <w:t>-based limit</w:t>
      </w:r>
      <w:r w:rsidR="008470F6" w:rsidRPr="007365B8">
        <w:t xml:space="preserve"> relating to </w:t>
      </w:r>
      <w:r w:rsidR="00F93E1C" w:rsidRPr="007365B8">
        <w:t xml:space="preserve">the </w:t>
      </w:r>
      <w:r w:rsidR="008470F6" w:rsidRPr="007365B8">
        <w:t xml:space="preserve">concentration, load or </w:t>
      </w:r>
      <w:r w:rsidR="00F93E1C" w:rsidRPr="007365B8">
        <w:t>quality</w:t>
      </w:r>
      <w:r w:rsidR="008470F6" w:rsidRPr="007365B8">
        <w:t xml:space="preserve"> for a specific parameter</w:t>
      </w:r>
      <w:r w:rsidR="00F93E1C" w:rsidRPr="007365B8">
        <w:t>.</w:t>
      </w:r>
      <w:r w:rsidR="00344F8E" w:rsidRPr="00DB739A">
        <w:rPr>
          <w:b/>
          <w:bCs/>
        </w:rPr>
        <w:t xml:space="preserve"> </w:t>
      </w:r>
    </w:p>
    <w:p w14:paraId="7251431C" w14:textId="4472CD26" w:rsidR="00D4789A" w:rsidRPr="007365B8" w:rsidRDefault="00D4789A" w:rsidP="002865F9">
      <w:pPr>
        <w:pStyle w:val="Bodynumbercopy"/>
        <w:numPr>
          <w:ilvl w:val="2"/>
          <w:numId w:val="23"/>
        </w:numPr>
      </w:pPr>
      <w:r w:rsidRPr="007365B8">
        <w:rPr>
          <w:b/>
          <w:bCs/>
        </w:rPr>
        <w:t>A</w:t>
      </w:r>
      <w:r w:rsidR="008F3D02" w:rsidRPr="00DB739A">
        <w:rPr>
          <w:b/>
          <w:bCs/>
        </w:rPr>
        <w:t xml:space="preserve">bsolute </w:t>
      </w:r>
      <w:r w:rsidR="00E37ED8" w:rsidRPr="00DB739A">
        <w:rPr>
          <w:b/>
          <w:bCs/>
        </w:rPr>
        <w:t>limit</w:t>
      </w:r>
      <w:r w:rsidR="00E37ED8" w:rsidRPr="007365B8">
        <w:t xml:space="preserve"> </w:t>
      </w:r>
      <w:r w:rsidR="000D2181" w:rsidRPr="007365B8">
        <w:t>–</w:t>
      </w:r>
      <w:r w:rsidRPr="007365B8">
        <w:t xml:space="preserve"> </w:t>
      </w:r>
      <w:r w:rsidR="000D2181" w:rsidRPr="007365B8">
        <w:t xml:space="preserve">represents a </w:t>
      </w:r>
      <w:r w:rsidR="00E37ED8" w:rsidRPr="007365B8">
        <w:t>numeri</w:t>
      </w:r>
      <w:r w:rsidR="000D2181" w:rsidRPr="007365B8">
        <w:t>c</w:t>
      </w:r>
      <w:r w:rsidR="00E37ED8" w:rsidRPr="007365B8">
        <w:t xml:space="preserve"> standard that</w:t>
      </w:r>
      <w:r w:rsidR="000D2181" w:rsidRPr="007365B8">
        <w:t xml:space="preserve"> Local Authorities should</w:t>
      </w:r>
      <w:r w:rsidR="00E37ED8" w:rsidRPr="007365B8">
        <w:t xml:space="preserve"> never exceed</w:t>
      </w:r>
      <w:r w:rsidRPr="007365B8">
        <w:t>; or</w:t>
      </w:r>
    </w:p>
    <w:p w14:paraId="35C0A93C" w14:textId="6A88E89E" w:rsidR="00027A8C" w:rsidRPr="007365B8" w:rsidRDefault="00D4789A" w:rsidP="00DB739A">
      <w:pPr>
        <w:pStyle w:val="Bodynumbercopy"/>
        <w:numPr>
          <w:ilvl w:val="2"/>
          <w:numId w:val="23"/>
        </w:numPr>
      </w:pPr>
      <w:r w:rsidRPr="007365B8">
        <w:rPr>
          <w:b/>
          <w:bCs/>
        </w:rPr>
        <w:t>P</w:t>
      </w:r>
      <w:r w:rsidR="00F738F3" w:rsidRPr="007365B8">
        <w:rPr>
          <w:b/>
          <w:bCs/>
        </w:rPr>
        <w:t>ercentile-based</w:t>
      </w:r>
      <w:r w:rsidR="00E37ED8" w:rsidRPr="00DB739A">
        <w:rPr>
          <w:b/>
          <w:bCs/>
        </w:rPr>
        <w:t xml:space="preserve"> limit</w:t>
      </w:r>
      <w:r w:rsidR="00B62826" w:rsidRPr="007365B8">
        <w:rPr>
          <w:b/>
          <w:bCs/>
        </w:rPr>
        <w:t xml:space="preserve"> </w:t>
      </w:r>
      <w:r w:rsidR="009133C6" w:rsidRPr="007365B8">
        <w:t>–</w:t>
      </w:r>
      <w:r w:rsidRPr="007365B8">
        <w:t xml:space="preserve"> </w:t>
      </w:r>
      <w:r w:rsidR="009133C6" w:rsidRPr="007365B8">
        <w:t xml:space="preserve">represents a </w:t>
      </w:r>
      <w:r w:rsidR="0042294F" w:rsidRPr="007365B8">
        <w:t xml:space="preserve">numeric standard that </w:t>
      </w:r>
      <w:r w:rsidR="009133C6" w:rsidRPr="007365B8">
        <w:t xml:space="preserve">Local Authorities </w:t>
      </w:r>
      <w:r w:rsidR="0042294F" w:rsidRPr="007365B8">
        <w:t xml:space="preserve">must achieve or </w:t>
      </w:r>
      <w:r w:rsidR="00801081" w:rsidRPr="007365B8">
        <w:t>exceed</w:t>
      </w:r>
      <w:r w:rsidR="0042294F" w:rsidRPr="007365B8">
        <w:t xml:space="preserve"> for a</w:t>
      </w:r>
      <w:r w:rsidR="00801081" w:rsidRPr="007365B8">
        <w:t xml:space="preserve"> </w:t>
      </w:r>
      <w:r w:rsidR="004E51B4" w:rsidRPr="007365B8">
        <w:t xml:space="preserve">minimum </w:t>
      </w:r>
      <w:r w:rsidR="00BF1F57" w:rsidRPr="007365B8">
        <w:t>duration</w:t>
      </w:r>
      <w:r w:rsidR="00E233B9" w:rsidRPr="00DB739A">
        <w:t xml:space="preserve"> of</w:t>
      </w:r>
      <w:r w:rsidR="00B03264" w:rsidRPr="007365B8">
        <w:t xml:space="preserve"> a </w:t>
      </w:r>
      <w:r w:rsidR="00BF1F57" w:rsidRPr="007365B8">
        <w:t xml:space="preserve">clearly </w:t>
      </w:r>
      <w:r w:rsidR="00B03264" w:rsidRPr="007365B8">
        <w:t>specified period</w:t>
      </w:r>
      <w:r w:rsidR="00BF1F57" w:rsidRPr="007365B8">
        <w:t xml:space="preserve"> of time</w:t>
      </w:r>
      <w:r w:rsidR="00B03264" w:rsidRPr="007365B8">
        <w:t xml:space="preserve">. </w:t>
      </w:r>
      <w:r w:rsidRPr="007365B8">
        <w:t xml:space="preserve">For example, </w:t>
      </w:r>
      <w:r w:rsidR="006854DB" w:rsidRPr="007365B8">
        <w:t xml:space="preserve">a </w:t>
      </w:r>
      <w:r w:rsidRPr="007365B8">
        <w:t>95</w:t>
      </w:r>
      <w:r w:rsidR="006854DB" w:rsidRPr="007365B8">
        <w:t xml:space="preserve"> </w:t>
      </w:r>
      <w:r w:rsidRPr="007365B8">
        <w:t xml:space="preserve">percentile limit </w:t>
      </w:r>
      <w:r w:rsidR="006854DB" w:rsidRPr="007365B8">
        <w:t>would be required to</w:t>
      </w:r>
      <w:r w:rsidRPr="007365B8">
        <w:t xml:space="preserve"> be</w:t>
      </w:r>
      <w:r w:rsidR="006854DB" w:rsidRPr="007365B8">
        <w:t xml:space="preserve"> achieved by a Local Authority</w:t>
      </w:r>
      <w:r w:rsidRPr="007365B8">
        <w:t xml:space="preserve"> for at least </w:t>
      </w:r>
      <w:r w:rsidR="007D54EE" w:rsidRPr="007365B8">
        <w:t>80</w:t>
      </w:r>
      <w:r w:rsidRPr="007365B8">
        <w:t xml:space="preserve">% of a </w:t>
      </w:r>
      <w:r w:rsidR="007D54EE" w:rsidRPr="007365B8">
        <w:t>clearly defined period of time</w:t>
      </w:r>
      <w:r w:rsidR="00E37ED8" w:rsidRPr="007365B8">
        <w:t>.</w:t>
      </w:r>
    </w:p>
    <w:p w14:paraId="55941BDE" w14:textId="63F6F81F" w:rsidR="00610B8B" w:rsidRPr="007365B8" w:rsidRDefault="00344F8E">
      <w:pPr>
        <w:pStyle w:val="Bodynumbercopy"/>
        <w:numPr>
          <w:ilvl w:val="1"/>
          <w:numId w:val="23"/>
        </w:numPr>
        <w:rPr>
          <w:b/>
          <w:bCs/>
        </w:rPr>
      </w:pPr>
      <w:r w:rsidRPr="00DB739A">
        <w:rPr>
          <w:b/>
          <w:bCs/>
        </w:rPr>
        <w:t xml:space="preserve">Non-numeric </w:t>
      </w:r>
      <w:r w:rsidR="00610B8B" w:rsidRPr="007365B8">
        <w:rPr>
          <w:b/>
          <w:bCs/>
        </w:rPr>
        <w:t>consents</w:t>
      </w:r>
      <w:r w:rsidR="00B744A7" w:rsidRPr="00DB739A">
        <w:rPr>
          <w:b/>
          <w:bCs/>
        </w:rPr>
        <w:t xml:space="preserve"> </w:t>
      </w:r>
      <w:r w:rsidR="00B744A7" w:rsidRPr="007365B8">
        <w:t>represent those c</w:t>
      </w:r>
      <w:r w:rsidR="00B744A7" w:rsidRPr="00DB739A">
        <w:t xml:space="preserve">onsents </w:t>
      </w:r>
      <w:r w:rsidR="00D97267" w:rsidRPr="007365B8">
        <w:t>without a</w:t>
      </w:r>
      <w:r w:rsidR="00B744A7" w:rsidRPr="00DB739A">
        <w:t xml:space="preserve"> numeric </w:t>
      </w:r>
      <w:r w:rsidR="00D97267" w:rsidRPr="007365B8">
        <w:t xml:space="preserve">based limit </w:t>
      </w:r>
      <w:r w:rsidR="00B744A7" w:rsidRPr="00DB739A">
        <w:t>on</w:t>
      </w:r>
      <w:r w:rsidR="00D97267" w:rsidRPr="007365B8">
        <w:t xml:space="preserve"> the quality of wastewater</w:t>
      </w:r>
      <w:r w:rsidR="00B744A7" w:rsidRPr="00DB739A">
        <w:t xml:space="preserve"> discharge</w:t>
      </w:r>
      <w:r w:rsidR="00D97267" w:rsidRPr="007365B8">
        <w:t xml:space="preserve">s. These </w:t>
      </w:r>
      <w:r w:rsidR="00702F87" w:rsidRPr="007365B8">
        <w:t xml:space="preserve">however </w:t>
      </w:r>
      <w:r w:rsidR="007365B8" w:rsidRPr="007365B8">
        <w:t>can</w:t>
      </w:r>
      <w:r w:rsidR="00D97267" w:rsidRPr="007365B8">
        <w:t xml:space="preserve"> rely on </w:t>
      </w:r>
      <w:r w:rsidR="00275584" w:rsidRPr="007365B8">
        <w:t xml:space="preserve">a </w:t>
      </w:r>
      <w:r w:rsidR="0036741E" w:rsidRPr="007365B8">
        <w:t xml:space="preserve">process related </w:t>
      </w:r>
      <w:r w:rsidR="00275584" w:rsidRPr="007365B8">
        <w:t xml:space="preserve">numeric based parameter </w:t>
      </w:r>
      <w:r w:rsidR="0036741E" w:rsidRPr="007365B8">
        <w:t>such as flow.</w:t>
      </w:r>
      <w:r w:rsidR="00B744A7" w:rsidRPr="00DB739A">
        <w:t xml:space="preserve"> Th</w:t>
      </w:r>
      <w:r w:rsidR="001E717E" w:rsidRPr="007365B8">
        <w:t>ese</w:t>
      </w:r>
      <w:r w:rsidR="00B744A7" w:rsidRPr="00DB739A">
        <w:t xml:space="preserve"> </w:t>
      </w:r>
      <w:r w:rsidR="001E717E" w:rsidRPr="007365B8">
        <w:t>c</w:t>
      </w:r>
      <w:r w:rsidR="00B744A7" w:rsidRPr="00DB739A">
        <w:t>onsent</w:t>
      </w:r>
      <w:r w:rsidR="001E717E" w:rsidRPr="007365B8">
        <w:t>s are usually app</w:t>
      </w:r>
      <w:r w:rsidR="00DE2066" w:rsidRPr="007365B8">
        <w:t>lied to</w:t>
      </w:r>
      <w:r w:rsidR="00B744A7" w:rsidRPr="00DB739A">
        <w:t xml:space="preserve"> </w:t>
      </w:r>
      <w:r w:rsidR="00DE2066" w:rsidRPr="007365B8">
        <w:t xml:space="preserve">Emergency Overflows and </w:t>
      </w:r>
      <w:r w:rsidR="00B744A7" w:rsidRPr="00DB739A">
        <w:t>Combined Sewer Overflows</w:t>
      </w:r>
      <w:r w:rsidR="00DE2066" w:rsidRPr="007365B8">
        <w:t xml:space="preserve"> (CSOs)</w:t>
      </w:r>
      <w:r w:rsidR="00B744A7" w:rsidRPr="00DB739A">
        <w:t>.</w:t>
      </w:r>
    </w:p>
    <w:p w14:paraId="57548655" w14:textId="32D51DB7" w:rsidR="0004017E" w:rsidRPr="007365B8" w:rsidRDefault="00610B8B" w:rsidP="00DB739A">
      <w:pPr>
        <w:pStyle w:val="Bodynumbercopy"/>
        <w:numPr>
          <w:ilvl w:val="1"/>
          <w:numId w:val="23"/>
        </w:numPr>
      </w:pPr>
      <w:r w:rsidRPr="007365B8">
        <w:rPr>
          <w:b/>
          <w:bCs/>
        </w:rPr>
        <w:t>D</w:t>
      </w:r>
      <w:r w:rsidR="00344F8E" w:rsidRPr="00DB739A">
        <w:rPr>
          <w:b/>
          <w:bCs/>
        </w:rPr>
        <w:t>escriptive consents</w:t>
      </w:r>
      <w:r w:rsidR="00EF58BD" w:rsidRPr="007365B8">
        <w:rPr>
          <w:b/>
          <w:bCs/>
        </w:rPr>
        <w:t xml:space="preserve"> </w:t>
      </w:r>
      <w:r w:rsidR="00EF58BD" w:rsidRPr="007365B8">
        <w:t xml:space="preserve">represent </w:t>
      </w:r>
      <w:r w:rsidR="001B16DA" w:rsidRPr="007365B8">
        <w:t xml:space="preserve">qualitative driven consents </w:t>
      </w:r>
      <w:r w:rsidR="00F6096D" w:rsidRPr="007365B8">
        <w:t xml:space="preserve">rather than numerical limits. These consents </w:t>
      </w:r>
      <w:r w:rsidR="001B16DA" w:rsidRPr="007365B8">
        <w:t>can relate to the</w:t>
      </w:r>
      <w:r w:rsidR="00F6096D" w:rsidRPr="007365B8">
        <w:t xml:space="preserve"> required</w:t>
      </w:r>
      <w:r w:rsidR="001B16DA" w:rsidRPr="007365B8">
        <w:t xml:space="preserve"> type of treatment </w:t>
      </w:r>
      <w:r w:rsidR="00F6096D" w:rsidRPr="007365B8">
        <w:t xml:space="preserve">or </w:t>
      </w:r>
      <w:r w:rsidR="005977CE" w:rsidRPr="007365B8">
        <w:t xml:space="preserve">effects of pollution which should be avoided or </w:t>
      </w:r>
      <w:r w:rsidR="00042586" w:rsidRPr="007365B8">
        <w:t xml:space="preserve">reduced, such as odour at a wastewater treatment plant. </w:t>
      </w:r>
    </w:p>
    <w:p w14:paraId="4D6B4C51" w14:textId="5FA4B8E7" w:rsidR="00577F96" w:rsidRPr="007365B8" w:rsidRDefault="00AB50A2" w:rsidP="00DB739A">
      <w:pPr>
        <w:pStyle w:val="Bodynumbercopy"/>
        <w:numPr>
          <w:ilvl w:val="1"/>
          <w:numId w:val="23"/>
        </w:numPr>
      </w:pPr>
      <w:r w:rsidRPr="007365B8">
        <w:rPr>
          <w:b/>
          <w:bCs/>
        </w:rPr>
        <w:t>Single tier consents</w:t>
      </w:r>
      <w:r w:rsidRPr="007365B8">
        <w:t xml:space="preserve"> </w:t>
      </w:r>
      <w:r w:rsidR="00C7068D" w:rsidRPr="007365B8">
        <w:t xml:space="preserve">apply where </w:t>
      </w:r>
      <w:r w:rsidR="00783CAB" w:rsidRPr="007365B8">
        <w:t xml:space="preserve">each sample of the discharge is viewed independent of any other and compliance with the consent is </w:t>
      </w:r>
      <w:r w:rsidR="007F240A" w:rsidRPr="007365B8">
        <w:t xml:space="preserve">assessed on a sample by sample basis. </w:t>
      </w:r>
      <w:r w:rsidR="00937C0C" w:rsidRPr="007365B8">
        <w:t>Therefore,</w:t>
      </w:r>
      <w:r w:rsidR="00192EA5" w:rsidRPr="007365B8">
        <w:t xml:space="preserve"> a sample will either comply with or fail to comply with the numeric consent conditions. </w:t>
      </w:r>
    </w:p>
    <w:p w14:paraId="18F7190B" w14:textId="192F3DA1" w:rsidR="00577F96" w:rsidRPr="00DB739A" w:rsidRDefault="00026F66">
      <w:pPr>
        <w:pStyle w:val="Bodynumbercopy"/>
        <w:rPr>
          <w:b/>
          <w:bCs/>
        </w:rPr>
      </w:pPr>
      <w:r w:rsidRPr="007365B8">
        <w:rPr>
          <w:b/>
          <w:bCs/>
        </w:rPr>
        <w:t>Absolute non-sanitary consents</w:t>
      </w:r>
      <w:r w:rsidRPr="00DB739A">
        <w:rPr>
          <w:b/>
          <w:bCs/>
        </w:rPr>
        <w:t xml:space="preserve"> </w:t>
      </w:r>
      <w:r w:rsidR="00C57288" w:rsidRPr="00340A0C">
        <w:t xml:space="preserve">represent those </w:t>
      </w:r>
      <w:proofErr w:type="spellStart"/>
      <w:r w:rsidR="00C57288" w:rsidRPr="00340A0C">
        <w:t>determinands</w:t>
      </w:r>
      <w:proofErr w:type="spellEnd"/>
      <w:r w:rsidR="00C57288" w:rsidRPr="00340A0C">
        <w:t xml:space="preserve"> that are not specific to the wastewater treatment process. For example, these can include agricultural related nutrients or any other industrial related substances and metals</w:t>
      </w:r>
      <w:r w:rsidR="00577F96" w:rsidRPr="007365B8">
        <w:t>.</w:t>
      </w:r>
      <w:r w:rsidR="0004413E" w:rsidRPr="007365B8">
        <w:t xml:space="preserve"> </w:t>
      </w:r>
      <w:r w:rsidR="00C57288" w:rsidRPr="007365B8">
        <w:t>These c</w:t>
      </w:r>
      <w:r w:rsidR="00577F96" w:rsidRPr="007365B8">
        <w:t>onsent standards are almost always expressed as absolute limits.</w:t>
      </w:r>
      <w:r w:rsidR="005609B5" w:rsidRPr="007365B8">
        <w:t xml:space="preserve"> Absolute limits </w:t>
      </w:r>
      <w:r w:rsidR="005B79B9" w:rsidRPr="00DB739A">
        <w:t>represent a numeric standard that Local Authorities should never exceed</w:t>
      </w:r>
      <w:r w:rsidR="00D9163C" w:rsidRPr="007365B8">
        <w:t>.</w:t>
      </w:r>
      <w:r w:rsidR="00577F96" w:rsidRPr="007365B8">
        <w:t xml:space="preserve"> </w:t>
      </w:r>
      <w:r w:rsidR="00467E31" w:rsidRPr="00340A0C">
        <w:t xml:space="preserve">Trade effluent discharges into the wastewater network can usually be regarded as the source of non-sanitary </w:t>
      </w:r>
      <w:proofErr w:type="spellStart"/>
      <w:r w:rsidR="00467E31" w:rsidRPr="00340A0C">
        <w:t>determinands</w:t>
      </w:r>
      <w:proofErr w:type="spellEnd"/>
      <w:r w:rsidR="00467E31" w:rsidRPr="00340A0C">
        <w:t>.</w:t>
      </w:r>
    </w:p>
    <w:p w14:paraId="6AC7F20A" w14:textId="60CA4AE3" w:rsidR="00940E3A" w:rsidRPr="008456AD" w:rsidRDefault="00940E3A" w:rsidP="001D1117">
      <w:pPr>
        <w:pStyle w:val="Sectionsub-heading"/>
      </w:pPr>
      <w:r w:rsidRPr="008456AD">
        <w:t xml:space="preserve">BLOCK 1: </w:t>
      </w:r>
      <w:r w:rsidR="00A23234">
        <w:t>WASTE</w:t>
      </w:r>
      <w:r w:rsidR="00083423">
        <w:t>WATER</w:t>
      </w:r>
      <w:r w:rsidRPr="008456AD">
        <w:t xml:space="preserve"> TREATMENT </w:t>
      </w:r>
      <w:r w:rsidR="00E44E72">
        <w:t>PLANTS</w:t>
      </w:r>
    </w:p>
    <w:p w14:paraId="139D6C16" w14:textId="04E94D42" w:rsidR="00940E3A" w:rsidRPr="001D1117" w:rsidRDefault="009504BF" w:rsidP="004D2357">
      <w:pPr>
        <w:pStyle w:val="Bodysub-heading2"/>
      </w:pPr>
      <w:r w:rsidRPr="001D1117">
        <w:t>All discharges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940E3A" w:rsidRPr="0058382B" w14:paraId="79525DAE" w14:textId="77777777" w:rsidTr="00C8791E">
        <w:trPr>
          <w:trHeight w:val="473"/>
        </w:trPr>
        <w:tc>
          <w:tcPr>
            <w:tcW w:w="756" w:type="pct"/>
          </w:tcPr>
          <w:p w14:paraId="1948449D" w14:textId="77777777" w:rsidR="00940E3A" w:rsidRPr="001D1117" w:rsidRDefault="00940E3A" w:rsidP="001D1117">
            <w:pPr>
              <w:pStyle w:val="Bodyromannumerals"/>
              <w:rPr>
                <w:b/>
                <w:bCs/>
              </w:rPr>
            </w:pPr>
            <w:r w:rsidRPr="001D1117">
              <w:rPr>
                <w:b/>
                <w:bCs/>
              </w:rPr>
              <w:t>C4.1</w:t>
            </w:r>
          </w:p>
        </w:tc>
        <w:tc>
          <w:tcPr>
            <w:tcW w:w="3472" w:type="pct"/>
            <w:gridSpan w:val="2"/>
          </w:tcPr>
          <w:p w14:paraId="047CEC7E" w14:textId="77777777" w:rsidR="00940E3A" w:rsidRPr="001D1117" w:rsidRDefault="00940E3A" w:rsidP="001D1117">
            <w:pPr>
              <w:pStyle w:val="Bodyromannumerals"/>
              <w:rPr>
                <w:b/>
                <w:bCs/>
              </w:rPr>
            </w:pPr>
            <w:r w:rsidRPr="001D1117">
              <w:rPr>
                <w:b/>
                <w:bCs/>
              </w:rPr>
              <w:t xml:space="preserve"> Total consented discharges at year end</w:t>
            </w:r>
          </w:p>
        </w:tc>
        <w:tc>
          <w:tcPr>
            <w:tcW w:w="772" w:type="pct"/>
          </w:tcPr>
          <w:p w14:paraId="47894CC1" w14:textId="5699F8B2" w:rsidR="00940E3A" w:rsidRPr="001D1117" w:rsidRDefault="001D1117" w:rsidP="001D1117">
            <w:pPr>
              <w:pStyle w:val="Bodyromannumerals"/>
              <w:rPr>
                <w:b/>
                <w:bCs/>
                <w:bdr w:val="single" w:sz="4" w:space="0" w:color="auto"/>
              </w:rPr>
            </w:pPr>
            <w:r w:rsidRPr="001D1117">
              <w:rPr>
                <w:b/>
                <w:bCs/>
              </w:rPr>
              <w:t>Nr.</w:t>
            </w:r>
          </w:p>
        </w:tc>
      </w:tr>
      <w:tr w:rsidR="00940E3A" w:rsidRPr="0058382B" w14:paraId="0170C9AF"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67E0C6AF" w14:textId="77777777" w:rsidR="00940E3A" w:rsidRPr="0058382B" w:rsidRDefault="00940E3A" w:rsidP="001D1117">
            <w:pPr>
              <w:pStyle w:val="Bodyromannumerals"/>
              <w:rPr>
                <w:i/>
              </w:rPr>
            </w:pPr>
            <w:r w:rsidRPr="0058382B">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353305C3" w14:textId="7F4F6D92" w:rsidR="00940E3A" w:rsidRPr="008456AD" w:rsidRDefault="00940E3A" w:rsidP="001D1117">
            <w:pPr>
              <w:pStyle w:val="Bodyromannumerals"/>
            </w:pPr>
            <w:r w:rsidRPr="0058382B">
              <w:t xml:space="preserve">The total number of </w:t>
            </w:r>
            <w:r w:rsidR="00A23234">
              <w:t>waste</w:t>
            </w:r>
            <w:r w:rsidR="00083423">
              <w:t>water</w:t>
            </w:r>
            <w:r w:rsidRPr="0058382B">
              <w:t xml:space="preserve"> treatment </w:t>
            </w:r>
            <w:r w:rsidR="00E44E72">
              <w:t>plants</w:t>
            </w:r>
            <w:r w:rsidR="00E44E72" w:rsidRPr="0058382B">
              <w:t xml:space="preserve"> </w:t>
            </w:r>
            <w:r w:rsidRPr="0058382B">
              <w:t>with numeric consent discharges at the end of year.</w:t>
            </w:r>
          </w:p>
        </w:tc>
      </w:tr>
      <w:tr w:rsidR="00940E3A" w:rsidRPr="0058382B" w14:paraId="673AF31A"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F5E8C2" w14:textId="77777777" w:rsidR="00940E3A" w:rsidRPr="0058382B" w:rsidRDefault="00940E3A" w:rsidP="001D1117">
            <w:pPr>
              <w:pStyle w:val="Bodyromannumerals"/>
              <w:rPr>
                <w:i/>
              </w:rPr>
            </w:pPr>
            <w:r w:rsidRPr="0058382B">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EF3E6F" w14:textId="77777777" w:rsidR="00940E3A" w:rsidRPr="0058382B" w:rsidRDefault="00940E3A" w:rsidP="001D1117">
            <w:pPr>
              <w:pStyle w:val="Bodyromannumerals"/>
            </w:pPr>
            <w:r w:rsidRPr="0058382B">
              <w:t>Input field</w:t>
            </w:r>
          </w:p>
        </w:tc>
      </w:tr>
      <w:tr w:rsidR="00940E3A" w:rsidRPr="0058382B" w14:paraId="3B56DFD2" w14:textId="77777777" w:rsidTr="00C8791E">
        <w:trPr>
          <w:trHeight w:val="506"/>
        </w:trPr>
        <w:tc>
          <w:tcPr>
            <w:tcW w:w="756" w:type="pct"/>
          </w:tcPr>
          <w:p w14:paraId="5B8D10EC" w14:textId="77777777" w:rsidR="00940E3A" w:rsidRPr="001D1117" w:rsidRDefault="00940E3A" w:rsidP="001D1117">
            <w:pPr>
              <w:pStyle w:val="Bodyromannumerals"/>
              <w:rPr>
                <w:b/>
                <w:bCs/>
              </w:rPr>
            </w:pPr>
            <w:r w:rsidRPr="001D1117">
              <w:rPr>
                <w:b/>
                <w:bCs/>
              </w:rPr>
              <w:t>C4.2</w:t>
            </w:r>
          </w:p>
        </w:tc>
        <w:tc>
          <w:tcPr>
            <w:tcW w:w="3472" w:type="pct"/>
            <w:gridSpan w:val="2"/>
          </w:tcPr>
          <w:p w14:paraId="4DCF1DD4" w14:textId="77777777" w:rsidR="00940E3A" w:rsidRPr="001D1117" w:rsidRDefault="00940E3A" w:rsidP="001D1117">
            <w:pPr>
              <w:pStyle w:val="Bodyromannumerals"/>
              <w:rPr>
                <w:b/>
                <w:bCs/>
                <w:bdr w:val="single" w:sz="4" w:space="0" w:color="auto"/>
              </w:rPr>
            </w:pPr>
            <w:r w:rsidRPr="001D1117">
              <w:rPr>
                <w:b/>
                <w:bCs/>
              </w:rPr>
              <w:t xml:space="preserve"> Total discharges sampled in year</w:t>
            </w:r>
          </w:p>
        </w:tc>
        <w:tc>
          <w:tcPr>
            <w:tcW w:w="772" w:type="pct"/>
          </w:tcPr>
          <w:p w14:paraId="1DB81DAB" w14:textId="0C132D3E" w:rsidR="00940E3A" w:rsidRPr="001D1117" w:rsidRDefault="001D1117" w:rsidP="001D1117">
            <w:pPr>
              <w:pStyle w:val="Bodyromannumerals"/>
              <w:rPr>
                <w:b/>
                <w:bCs/>
                <w:bdr w:val="single" w:sz="4" w:space="0" w:color="auto"/>
              </w:rPr>
            </w:pPr>
            <w:r w:rsidRPr="001D1117">
              <w:rPr>
                <w:b/>
                <w:bCs/>
              </w:rPr>
              <w:t>Nr.</w:t>
            </w:r>
          </w:p>
        </w:tc>
      </w:tr>
      <w:tr w:rsidR="00940E3A" w:rsidRPr="0058382B" w14:paraId="67238B4E"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0ED545B2" w14:textId="77777777" w:rsidR="00940E3A" w:rsidRPr="0058382B" w:rsidRDefault="00940E3A" w:rsidP="001D1117">
            <w:pPr>
              <w:pStyle w:val="Bodyromannumerals"/>
              <w:rPr>
                <w:i/>
              </w:rPr>
            </w:pPr>
            <w:r w:rsidRPr="0058382B">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26DF7F4E" w14:textId="5D3D061F" w:rsidR="00940E3A" w:rsidRPr="008456AD" w:rsidRDefault="00940E3A" w:rsidP="001D1117">
            <w:pPr>
              <w:pStyle w:val="Bodyromannumerals"/>
            </w:pPr>
            <w:r w:rsidRPr="0058382B">
              <w:t xml:space="preserve">Total number of discharges sampled </w:t>
            </w:r>
            <w:r w:rsidR="00425510">
              <w:t>for</w:t>
            </w:r>
            <w:r w:rsidRPr="0058382B">
              <w:t xml:space="preserve"> </w:t>
            </w:r>
            <w:r w:rsidR="00422CF4">
              <w:t>the reporting</w:t>
            </w:r>
            <w:r w:rsidRPr="0058382B">
              <w:t xml:space="preserve"> year</w:t>
            </w:r>
            <w:r w:rsidR="00425510">
              <w:t xml:space="preserve"> ending 30 June</w:t>
            </w:r>
            <w:r w:rsidR="0029795A">
              <w:t>.</w:t>
            </w:r>
          </w:p>
        </w:tc>
      </w:tr>
      <w:tr w:rsidR="00940E3A" w:rsidRPr="0058382B" w14:paraId="3E8429D4"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A42379" w14:textId="77777777" w:rsidR="00940E3A" w:rsidRPr="0058382B" w:rsidRDefault="00940E3A" w:rsidP="001D1117">
            <w:pPr>
              <w:pStyle w:val="Bodyromannumerals"/>
              <w:rPr>
                <w:i/>
              </w:rPr>
            </w:pPr>
            <w:r w:rsidRPr="0058382B">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F1C7A1" w14:textId="77777777" w:rsidR="00940E3A" w:rsidRPr="0058382B" w:rsidRDefault="00940E3A" w:rsidP="001D1117">
            <w:pPr>
              <w:pStyle w:val="Bodyromannumerals"/>
            </w:pPr>
            <w:r w:rsidRPr="0058382B">
              <w:t>Input field</w:t>
            </w:r>
          </w:p>
        </w:tc>
      </w:tr>
      <w:tr w:rsidR="00940E3A" w:rsidRPr="0058382B" w14:paraId="1626B399" w14:textId="77777777" w:rsidTr="00C8791E">
        <w:trPr>
          <w:trHeight w:val="471"/>
        </w:trPr>
        <w:tc>
          <w:tcPr>
            <w:tcW w:w="756" w:type="pct"/>
          </w:tcPr>
          <w:p w14:paraId="6F4588A6" w14:textId="77777777" w:rsidR="00940E3A" w:rsidRPr="001D1117" w:rsidRDefault="00940E3A" w:rsidP="001D1117">
            <w:pPr>
              <w:pStyle w:val="Bodyromannumerals"/>
              <w:rPr>
                <w:b/>
                <w:bCs/>
              </w:rPr>
            </w:pPr>
            <w:r w:rsidRPr="001D1117">
              <w:rPr>
                <w:b/>
                <w:bCs/>
              </w:rPr>
              <w:t>C4.3</w:t>
            </w:r>
          </w:p>
        </w:tc>
        <w:tc>
          <w:tcPr>
            <w:tcW w:w="3472" w:type="pct"/>
            <w:gridSpan w:val="2"/>
          </w:tcPr>
          <w:p w14:paraId="599831F4" w14:textId="77777777" w:rsidR="00940E3A" w:rsidRPr="001D1117" w:rsidRDefault="00940E3A" w:rsidP="001D1117">
            <w:pPr>
              <w:pStyle w:val="Bodyromannumerals"/>
              <w:rPr>
                <w:b/>
                <w:bCs/>
                <w:bdr w:val="single" w:sz="4" w:space="0" w:color="auto"/>
              </w:rPr>
            </w:pPr>
            <w:r w:rsidRPr="001D1117">
              <w:rPr>
                <w:b/>
                <w:bCs/>
              </w:rPr>
              <w:t xml:space="preserve"> Number of discharges compliant</w:t>
            </w:r>
          </w:p>
        </w:tc>
        <w:tc>
          <w:tcPr>
            <w:tcW w:w="772" w:type="pct"/>
          </w:tcPr>
          <w:p w14:paraId="3EC13BFA" w14:textId="6BF9ED30" w:rsidR="00940E3A" w:rsidRPr="001D1117" w:rsidRDefault="001D1117" w:rsidP="001D1117">
            <w:pPr>
              <w:pStyle w:val="Bodyromannumerals"/>
              <w:rPr>
                <w:b/>
                <w:bCs/>
                <w:bdr w:val="single" w:sz="4" w:space="0" w:color="auto"/>
              </w:rPr>
            </w:pPr>
            <w:r w:rsidRPr="001D1117">
              <w:rPr>
                <w:b/>
                <w:bCs/>
              </w:rPr>
              <w:t>Nr.</w:t>
            </w:r>
          </w:p>
        </w:tc>
      </w:tr>
      <w:tr w:rsidR="00940E3A" w:rsidRPr="0058382B" w14:paraId="5BF79141"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65C4BCE3" w14:textId="77777777" w:rsidR="00940E3A" w:rsidRPr="0058382B" w:rsidRDefault="00940E3A" w:rsidP="001D1117">
            <w:pPr>
              <w:pStyle w:val="Bodyromannumerals"/>
              <w:rPr>
                <w:i/>
              </w:rPr>
            </w:pPr>
            <w:r w:rsidRPr="0058382B">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478F352B" w14:textId="445C18D6" w:rsidR="00940E3A" w:rsidRPr="008456AD" w:rsidRDefault="00940E3A" w:rsidP="001D1117">
            <w:pPr>
              <w:pStyle w:val="Bodyromannumerals"/>
            </w:pPr>
            <w:r w:rsidRPr="0058382B">
              <w:t xml:space="preserve">Total number of discharges compliant with consent conditions </w:t>
            </w:r>
            <w:r w:rsidR="007E1850">
              <w:t xml:space="preserve">(i.e. </w:t>
            </w:r>
            <w:r w:rsidR="00492EF5">
              <w:t>with reference to the</w:t>
            </w:r>
            <w:r w:rsidR="007E1850">
              <w:t xml:space="preserve"> level within a consent condition) </w:t>
            </w:r>
            <w:r w:rsidR="00425510">
              <w:t>for the</w:t>
            </w:r>
            <w:r w:rsidR="00422CF4">
              <w:t xml:space="preserve"> reporting</w:t>
            </w:r>
            <w:r w:rsidRPr="0058382B">
              <w:t xml:space="preserve"> year</w:t>
            </w:r>
            <w:r w:rsidR="00425510">
              <w:t xml:space="preserve"> ending 30 June</w:t>
            </w:r>
            <w:r w:rsidR="0029795A">
              <w:t>.</w:t>
            </w:r>
          </w:p>
        </w:tc>
      </w:tr>
      <w:tr w:rsidR="00940E3A" w:rsidRPr="0058382B" w14:paraId="281536E2"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8C5443" w14:textId="77777777" w:rsidR="00940E3A" w:rsidRPr="0058382B" w:rsidRDefault="00940E3A" w:rsidP="001D1117">
            <w:pPr>
              <w:pStyle w:val="Bodyromannumerals"/>
              <w:rPr>
                <w:i/>
              </w:rPr>
            </w:pPr>
            <w:r w:rsidRPr="0058382B">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896C86" w14:textId="77777777" w:rsidR="00940E3A" w:rsidRPr="0058382B" w:rsidRDefault="00940E3A" w:rsidP="001D1117">
            <w:pPr>
              <w:pStyle w:val="Bodyromannumerals"/>
            </w:pPr>
            <w:r w:rsidRPr="0058382B">
              <w:t>Input field</w:t>
            </w:r>
          </w:p>
        </w:tc>
      </w:tr>
    </w:tbl>
    <w:p w14:paraId="05E218C3" w14:textId="77777777" w:rsidR="00937C0C" w:rsidRDefault="00937C0C" w:rsidP="004D2357">
      <w:pPr>
        <w:pStyle w:val="Bodysub-heading2"/>
      </w:pPr>
    </w:p>
    <w:p w14:paraId="231FFA0B" w14:textId="77777777" w:rsidR="00937C0C" w:rsidRDefault="00937C0C">
      <w:pPr>
        <w:spacing w:after="160" w:line="259" w:lineRule="auto"/>
        <w:rPr>
          <w:rFonts w:ascii="Calibri" w:hAnsi="Calibri" w:cs="Calibri"/>
          <w:color w:val="03B2C4"/>
          <w:sz w:val="22"/>
          <w:szCs w:val="21"/>
        </w:rPr>
      </w:pPr>
      <w:r>
        <w:br w:type="page"/>
      </w:r>
    </w:p>
    <w:p w14:paraId="5777CED2" w14:textId="56D23A2F" w:rsidR="00940E3A" w:rsidRPr="00104B9D" w:rsidRDefault="009504BF" w:rsidP="004D2357">
      <w:pPr>
        <w:pStyle w:val="Bodysub-heading2"/>
      </w:pPr>
      <w:r w:rsidRPr="00104B9D">
        <w:t>Single tier consents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940E3A" w:rsidRPr="0058382B" w14:paraId="18B90428" w14:textId="77777777" w:rsidTr="00C8791E">
        <w:trPr>
          <w:trHeight w:val="471"/>
        </w:trPr>
        <w:tc>
          <w:tcPr>
            <w:tcW w:w="756" w:type="pct"/>
          </w:tcPr>
          <w:p w14:paraId="2A462B0D" w14:textId="77777777" w:rsidR="00940E3A" w:rsidRPr="0058382B" w:rsidRDefault="00940E3A" w:rsidP="001D1117">
            <w:pPr>
              <w:pStyle w:val="Bodyromannumerals"/>
              <w:rPr>
                <w:b/>
                <w:szCs w:val="22"/>
              </w:rPr>
            </w:pPr>
            <w:r w:rsidRPr="0058382B">
              <w:rPr>
                <w:b/>
                <w:szCs w:val="22"/>
              </w:rPr>
              <w:t>C4.10</w:t>
            </w:r>
          </w:p>
        </w:tc>
        <w:tc>
          <w:tcPr>
            <w:tcW w:w="3472" w:type="pct"/>
            <w:gridSpan w:val="2"/>
          </w:tcPr>
          <w:p w14:paraId="60EE669D" w14:textId="77777777" w:rsidR="00940E3A" w:rsidRPr="001D1117" w:rsidRDefault="00940E3A" w:rsidP="001D1117">
            <w:pPr>
              <w:pStyle w:val="Bodyromannumerals"/>
              <w:rPr>
                <w:b/>
                <w:bCs/>
                <w:sz w:val="22"/>
                <w:szCs w:val="22"/>
                <w:bdr w:val="single" w:sz="4" w:space="0" w:color="auto"/>
              </w:rPr>
            </w:pPr>
            <w:r w:rsidRPr="0058382B">
              <w:rPr>
                <w:sz w:val="22"/>
                <w:szCs w:val="22"/>
              </w:rPr>
              <w:t xml:space="preserve"> </w:t>
            </w:r>
            <w:r w:rsidRPr="001D1117">
              <w:rPr>
                <w:b/>
                <w:bCs/>
                <w:sz w:val="22"/>
                <w:szCs w:val="22"/>
              </w:rPr>
              <w:t>Total consented discharges at year end</w:t>
            </w:r>
          </w:p>
        </w:tc>
        <w:tc>
          <w:tcPr>
            <w:tcW w:w="772" w:type="pct"/>
          </w:tcPr>
          <w:p w14:paraId="34E38D85" w14:textId="1CE6A02C" w:rsidR="00940E3A" w:rsidRPr="0058382B" w:rsidRDefault="001D1117" w:rsidP="001D1117">
            <w:pPr>
              <w:pStyle w:val="Bodyromannumerals"/>
              <w:rPr>
                <w:b/>
                <w:szCs w:val="22"/>
                <w:bdr w:val="single" w:sz="4" w:space="0" w:color="auto"/>
              </w:rPr>
            </w:pPr>
            <w:r>
              <w:rPr>
                <w:b/>
              </w:rPr>
              <w:t>Nr.</w:t>
            </w:r>
          </w:p>
        </w:tc>
      </w:tr>
      <w:tr w:rsidR="00940E3A" w:rsidRPr="0058382B" w14:paraId="3296097E"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0CE12809" w14:textId="77777777" w:rsidR="00940E3A" w:rsidRPr="00104B9D" w:rsidRDefault="00940E3A" w:rsidP="001D1117">
            <w:pPr>
              <w:pStyle w:val="Bodyromannumerals"/>
              <w:rPr>
                <w:bCs/>
                <w:i/>
                <w:sz w:val="22"/>
                <w:szCs w:val="22"/>
              </w:rPr>
            </w:pPr>
            <w:r w:rsidRPr="00104B9D">
              <w:rPr>
                <w:bCs/>
                <w:i/>
                <w:szCs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34C988E8" w14:textId="53FE5D7C" w:rsidR="00940E3A" w:rsidRPr="008456AD" w:rsidRDefault="00940E3A" w:rsidP="001D1117">
            <w:pPr>
              <w:pStyle w:val="Bodyromannumerals"/>
              <w:rPr>
                <w:sz w:val="22"/>
                <w:szCs w:val="22"/>
              </w:rPr>
            </w:pPr>
            <w:r w:rsidRPr="0058382B">
              <w:rPr>
                <w:szCs w:val="22"/>
              </w:rPr>
              <w:t xml:space="preserve">The total number of </w:t>
            </w:r>
            <w:r w:rsidR="00A23234">
              <w:rPr>
                <w:szCs w:val="22"/>
              </w:rPr>
              <w:t>waste</w:t>
            </w:r>
            <w:r w:rsidR="00083423">
              <w:rPr>
                <w:szCs w:val="22"/>
              </w:rPr>
              <w:t>water</w:t>
            </w:r>
            <w:r w:rsidRPr="0058382B">
              <w:rPr>
                <w:szCs w:val="22"/>
              </w:rPr>
              <w:t xml:space="preserve"> treatment </w:t>
            </w:r>
            <w:r w:rsidR="00E44E72">
              <w:rPr>
                <w:szCs w:val="22"/>
              </w:rPr>
              <w:t>plants</w:t>
            </w:r>
            <w:r w:rsidR="00E44E72" w:rsidRPr="0058382B">
              <w:rPr>
                <w:szCs w:val="22"/>
              </w:rPr>
              <w:t xml:space="preserve"> </w:t>
            </w:r>
            <w:r w:rsidRPr="0058382B">
              <w:rPr>
                <w:szCs w:val="22"/>
              </w:rPr>
              <w:t>with numeric consent discharges at the end of</w:t>
            </w:r>
            <w:r w:rsidR="000E7051">
              <w:rPr>
                <w:szCs w:val="22"/>
              </w:rPr>
              <w:t xml:space="preserve"> the reporting</w:t>
            </w:r>
            <w:r w:rsidRPr="0058382B">
              <w:rPr>
                <w:szCs w:val="22"/>
              </w:rPr>
              <w:t xml:space="preserve"> year.</w:t>
            </w:r>
            <w:r w:rsidR="005D30A2">
              <w:rPr>
                <w:szCs w:val="22"/>
              </w:rPr>
              <w:t xml:space="preserve"> </w:t>
            </w:r>
            <w:r w:rsidR="00CB731C">
              <w:rPr>
                <w:szCs w:val="22"/>
              </w:rPr>
              <w:t xml:space="preserve">For the avoidance of doubt, wastewater treatment plants operating under an expired consent </w:t>
            </w:r>
            <w:r w:rsidR="001D7FDE">
              <w:rPr>
                <w:szCs w:val="22"/>
              </w:rPr>
              <w:t>are</w:t>
            </w:r>
            <w:r w:rsidR="00CB731C">
              <w:rPr>
                <w:szCs w:val="22"/>
              </w:rPr>
              <w:t xml:space="preserve"> included. </w:t>
            </w:r>
            <w:r w:rsidR="00491439">
              <w:rPr>
                <w:szCs w:val="22"/>
              </w:rPr>
              <w:t>If this applies</w:t>
            </w:r>
            <w:r w:rsidR="00CB731C">
              <w:rPr>
                <w:szCs w:val="22"/>
              </w:rPr>
              <w:t>, please provide further explanation in the commentary.</w:t>
            </w:r>
            <w:r w:rsidR="00890831">
              <w:rPr>
                <w:szCs w:val="22"/>
              </w:rPr>
              <w:t xml:space="preserve"> </w:t>
            </w:r>
            <w:r w:rsidR="005D30A2">
              <w:rPr>
                <w:szCs w:val="22"/>
              </w:rPr>
              <w:t xml:space="preserve"> </w:t>
            </w:r>
          </w:p>
        </w:tc>
      </w:tr>
      <w:tr w:rsidR="00940E3A" w:rsidRPr="0058382B" w14:paraId="1BDAAB55"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F6FF1D" w14:textId="77777777" w:rsidR="00940E3A" w:rsidRPr="00104B9D" w:rsidRDefault="00940E3A" w:rsidP="001D1117">
            <w:pPr>
              <w:pStyle w:val="Bodyromannumerals"/>
              <w:rPr>
                <w:bCs/>
                <w:i/>
                <w:sz w:val="22"/>
                <w:szCs w:val="22"/>
              </w:rPr>
            </w:pPr>
            <w:r w:rsidRPr="00104B9D">
              <w:rPr>
                <w:bCs/>
                <w:i/>
                <w:szCs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5DB4B" w14:textId="77777777" w:rsidR="00940E3A" w:rsidRPr="0058382B" w:rsidRDefault="00940E3A" w:rsidP="001D1117">
            <w:pPr>
              <w:pStyle w:val="Bodyromannumerals"/>
              <w:rPr>
                <w:sz w:val="22"/>
                <w:szCs w:val="22"/>
              </w:rPr>
            </w:pPr>
            <w:r w:rsidRPr="0058382B">
              <w:rPr>
                <w:szCs w:val="22"/>
              </w:rPr>
              <w:t>Input field</w:t>
            </w:r>
          </w:p>
        </w:tc>
      </w:tr>
      <w:tr w:rsidR="00940E3A" w:rsidRPr="0058382B" w14:paraId="0463A47E" w14:textId="77777777" w:rsidTr="00C8791E">
        <w:trPr>
          <w:trHeight w:val="471"/>
        </w:trPr>
        <w:tc>
          <w:tcPr>
            <w:tcW w:w="756" w:type="pct"/>
          </w:tcPr>
          <w:p w14:paraId="2EEBA29D" w14:textId="77777777" w:rsidR="00940E3A" w:rsidRPr="0058382B" w:rsidRDefault="00940E3A" w:rsidP="001D1117">
            <w:pPr>
              <w:pStyle w:val="Bodyromannumerals"/>
              <w:rPr>
                <w:b/>
                <w:szCs w:val="22"/>
              </w:rPr>
            </w:pPr>
            <w:r w:rsidRPr="0058382B">
              <w:rPr>
                <w:b/>
                <w:szCs w:val="22"/>
              </w:rPr>
              <w:t>C4.11</w:t>
            </w:r>
          </w:p>
        </w:tc>
        <w:tc>
          <w:tcPr>
            <w:tcW w:w="3472" w:type="pct"/>
            <w:gridSpan w:val="2"/>
          </w:tcPr>
          <w:p w14:paraId="20CA267F" w14:textId="77777777" w:rsidR="00940E3A" w:rsidRPr="001D1117" w:rsidRDefault="00940E3A" w:rsidP="001D1117">
            <w:pPr>
              <w:pStyle w:val="Bodyromannumerals"/>
              <w:rPr>
                <w:b/>
                <w:bCs/>
                <w:sz w:val="22"/>
                <w:szCs w:val="22"/>
                <w:bdr w:val="single" w:sz="4" w:space="0" w:color="auto"/>
              </w:rPr>
            </w:pPr>
            <w:r w:rsidRPr="0058382B">
              <w:rPr>
                <w:sz w:val="22"/>
                <w:szCs w:val="22"/>
              </w:rPr>
              <w:t xml:space="preserve"> </w:t>
            </w:r>
            <w:r w:rsidRPr="001D1117">
              <w:rPr>
                <w:b/>
                <w:bCs/>
                <w:sz w:val="22"/>
                <w:szCs w:val="22"/>
              </w:rPr>
              <w:t>Total discharges sampled in year</w:t>
            </w:r>
          </w:p>
        </w:tc>
        <w:tc>
          <w:tcPr>
            <w:tcW w:w="772" w:type="pct"/>
          </w:tcPr>
          <w:p w14:paraId="0633983A" w14:textId="235C80B4" w:rsidR="00940E3A" w:rsidRPr="0058382B" w:rsidRDefault="001D1117" w:rsidP="001D1117">
            <w:pPr>
              <w:pStyle w:val="Bodyromannumerals"/>
              <w:rPr>
                <w:b/>
                <w:szCs w:val="22"/>
                <w:bdr w:val="single" w:sz="4" w:space="0" w:color="auto"/>
              </w:rPr>
            </w:pPr>
            <w:r>
              <w:rPr>
                <w:b/>
              </w:rPr>
              <w:t>Nr.</w:t>
            </w:r>
          </w:p>
        </w:tc>
      </w:tr>
      <w:tr w:rsidR="00940E3A" w:rsidRPr="0058382B" w14:paraId="3369DFE7"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7DAA2AD2" w14:textId="77777777" w:rsidR="00940E3A" w:rsidRPr="0058382B" w:rsidRDefault="00940E3A" w:rsidP="001D1117">
            <w:pPr>
              <w:pStyle w:val="Bodyromannumerals"/>
              <w:rPr>
                <w:sz w:val="22"/>
              </w:rPr>
            </w:pPr>
            <w:r w:rsidRPr="0058382B">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0439AB36" w14:textId="16F256C5" w:rsidR="00940E3A" w:rsidRPr="008456AD" w:rsidRDefault="00940E3A" w:rsidP="001D1117">
            <w:pPr>
              <w:pStyle w:val="Bodyromannumerals"/>
              <w:rPr>
                <w:sz w:val="22"/>
              </w:rPr>
            </w:pPr>
            <w:r w:rsidRPr="0058382B">
              <w:t xml:space="preserve">Total number of discharges sampled </w:t>
            </w:r>
            <w:r w:rsidR="00425510">
              <w:t xml:space="preserve">for </w:t>
            </w:r>
            <w:r w:rsidR="000E7051">
              <w:t>the reporting</w:t>
            </w:r>
            <w:r w:rsidRPr="0058382B">
              <w:t xml:space="preserve"> year</w:t>
            </w:r>
            <w:r w:rsidR="00425510">
              <w:t xml:space="preserve"> ending 30 June</w:t>
            </w:r>
            <w:r w:rsidR="00104B9D">
              <w:t>.</w:t>
            </w:r>
          </w:p>
        </w:tc>
      </w:tr>
      <w:tr w:rsidR="00940E3A" w:rsidRPr="0058382B" w14:paraId="675EF291"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BF7DFA" w14:textId="77777777" w:rsidR="00940E3A" w:rsidRPr="0058382B" w:rsidRDefault="00940E3A" w:rsidP="001D1117">
            <w:pPr>
              <w:pStyle w:val="Bodyromannumerals"/>
              <w:rPr>
                <w:sz w:val="22"/>
              </w:rPr>
            </w:pPr>
            <w:r w:rsidRPr="0058382B">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50D096" w14:textId="77777777" w:rsidR="00940E3A" w:rsidRPr="0058382B" w:rsidRDefault="00940E3A" w:rsidP="001D1117">
            <w:pPr>
              <w:pStyle w:val="Bodyromannumerals"/>
              <w:rPr>
                <w:sz w:val="22"/>
              </w:rPr>
            </w:pPr>
            <w:r w:rsidRPr="0058382B">
              <w:t>Input field</w:t>
            </w:r>
          </w:p>
        </w:tc>
      </w:tr>
      <w:tr w:rsidR="00940E3A" w:rsidRPr="0058382B" w14:paraId="4E771367" w14:textId="77777777" w:rsidTr="00C8791E">
        <w:trPr>
          <w:trHeight w:val="471"/>
        </w:trPr>
        <w:tc>
          <w:tcPr>
            <w:tcW w:w="756" w:type="pct"/>
          </w:tcPr>
          <w:p w14:paraId="408C8A0E" w14:textId="77777777" w:rsidR="00940E3A" w:rsidRPr="001D1117" w:rsidRDefault="00940E3A" w:rsidP="001D1117">
            <w:pPr>
              <w:pStyle w:val="Bodyromannumerals"/>
              <w:rPr>
                <w:b/>
                <w:bCs/>
              </w:rPr>
            </w:pPr>
            <w:r w:rsidRPr="001D1117">
              <w:rPr>
                <w:b/>
                <w:bCs/>
              </w:rPr>
              <w:t>C4.12</w:t>
            </w:r>
          </w:p>
        </w:tc>
        <w:tc>
          <w:tcPr>
            <w:tcW w:w="3472" w:type="pct"/>
            <w:gridSpan w:val="2"/>
          </w:tcPr>
          <w:p w14:paraId="6A990BB5" w14:textId="77777777" w:rsidR="00940E3A" w:rsidRPr="001D1117" w:rsidRDefault="00940E3A" w:rsidP="001D1117">
            <w:pPr>
              <w:pStyle w:val="Bodyromannumerals"/>
              <w:rPr>
                <w:b/>
                <w:bCs/>
                <w:sz w:val="22"/>
                <w:bdr w:val="single" w:sz="4" w:space="0" w:color="auto"/>
              </w:rPr>
            </w:pPr>
            <w:r w:rsidRPr="001D1117">
              <w:rPr>
                <w:b/>
                <w:bCs/>
                <w:sz w:val="22"/>
              </w:rPr>
              <w:t xml:space="preserve"> Number of discharges compliant</w:t>
            </w:r>
          </w:p>
        </w:tc>
        <w:tc>
          <w:tcPr>
            <w:tcW w:w="772" w:type="pct"/>
          </w:tcPr>
          <w:p w14:paraId="0C6309AE" w14:textId="6FBDB314" w:rsidR="00940E3A" w:rsidRPr="001D1117" w:rsidRDefault="001D1117" w:rsidP="001D1117">
            <w:pPr>
              <w:pStyle w:val="Bodyromannumerals"/>
              <w:rPr>
                <w:b/>
                <w:bCs/>
                <w:bdr w:val="single" w:sz="4" w:space="0" w:color="auto"/>
              </w:rPr>
            </w:pPr>
            <w:r w:rsidRPr="001D1117">
              <w:rPr>
                <w:b/>
                <w:bCs/>
              </w:rPr>
              <w:t>Nr.</w:t>
            </w:r>
          </w:p>
        </w:tc>
      </w:tr>
      <w:tr w:rsidR="00940E3A" w:rsidRPr="0058382B" w14:paraId="15663AED"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4930434A" w14:textId="77777777" w:rsidR="00940E3A" w:rsidRPr="0058382B" w:rsidRDefault="00940E3A" w:rsidP="001D1117">
            <w:pPr>
              <w:pStyle w:val="Bodyromannumerals"/>
              <w:rPr>
                <w:sz w:val="22"/>
              </w:rPr>
            </w:pPr>
            <w:r w:rsidRPr="0058382B">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5B9244CC" w14:textId="396B6523" w:rsidR="00940E3A" w:rsidRPr="008456AD" w:rsidRDefault="00940E3A" w:rsidP="001D1117">
            <w:pPr>
              <w:pStyle w:val="Bodyromannumerals"/>
              <w:rPr>
                <w:sz w:val="22"/>
              </w:rPr>
            </w:pPr>
            <w:r w:rsidRPr="0058382B">
              <w:t xml:space="preserve">Total number of discharges compliant with consent conditions </w:t>
            </w:r>
            <w:r w:rsidR="006A7245">
              <w:t xml:space="preserve">(i.e. </w:t>
            </w:r>
            <w:r w:rsidR="00E06295">
              <w:t xml:space="preserve">with reference to the </w:t>
            </w:r>
            <w:r w:rsidR="006A7245">
              <w:t xml:space="preserve">level within a consent condition) </w:t>
            </w:r>
            <w:r w:rsidR="00425510">
              <w:t>for</w:t>
            </w:r>
            <w:r w:rsidRPr="0058382B">
              <w:t xml:space="preserve"> the </w:t>
            </w:r>
            <w:r w:rsidR="000E7051">
              <w:t xml:space="preserve">reporting </w:t>
            </w:r>
            <w:r w:rsidRPr="0058382B">
              <w:t>year</w:t>
            </w:r>
            <w:r w:rsidR="00425510">
              <w:t xml:space="preserve"> ending 30 June</w:t>
            </w:r>
            <w:r w:rsidR="00104B9D">
              <w:t>.</w:t>
            </w:r>
          </w:p>
        </w:tc>
      </w:tr>
      <w:tr w:rsidR="00940E3A" w:rsidRPr="0058382B" w14:paraId="66BB7C57"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F5065" w14:textId="77777777" w:rsidR="00940E3A" w:rsidRPr="0058382B" w:rsidRDefault="00940E3A" w:rsidP="001D1117">
            <w:pPr>
              <w:pStyle w:val="Bodyromannumerals"/>
              <w:rPr>
                <w:sz w:val="22"/>
              </w:rPr>
            </w:pPr>
            <w:r w:rsidRPr="0058382B">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EBF24F" w14:textId="77777777" w:rsidR="00940E3A" w:rsidRPr="0058382B" w:rsidRDefault="00940E3A" w:rsidP="001D1117">
            <w:pPr>
              <w:pStyle w:val="Bodyromannumerals"/>
              <w:rPr>
                <w:sz w:val="22"/>
              </w:rPr>
            </w:pPr>
            <w:r w:rsidRPr="0058382B">
              <w:t>Input field</w:t>
            </w:r>
          </w:p>
        </w:tc>
      </w:tr>
    </w:tbl>
    <w:p w14:paraId="5D3889D8" w14:textId="54A0F739" w:rsidR="0046451C" w:rsidRPr="009B0E27" w:rsidRDefault="009504BF" w:rsidP="008E16AA">
      <w:pPr>
        <w:pStyle w:val="Bodysub-heading2"/>
      </w:pPr>
      <w:r w:rsidRPr="00104B9D">
        <w:t>Absolute non-sanitary consents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940E3A" w:rsidRPr="0058382B" w14:paraId="59580B77" w14:textId="77777777" w:rsidTr="00C8791E">
        <w:trPr>
          <w:trHeight w:val="471"/>
        </w:trPr>
        <w:tc>
          <w:tcPr>
            <w:tcW w:w="756" w:type="pct"/>
          </w:tcPr>
          <w:p w14:paraId="66561349" w14:textId="77777777" w:rsidR="00940E3A" w:rsidRPr="009254DD" w:rsidRDefault="00940E3A" w:rsidP="001D1117">
            <w:pPr>
              <w:pStyle w:val="Bodyromannumerals"/>
              <w:rPr>
                <w:b/>
                <w:bCs/>
              </w:rPr>
            </w:pPr>
            <w:r w:rsidRPr="009254DD">
              <w:rPr>
                <w:b/>
                <w:bCs/>
              </w:rPr>
              <w:t>C4.13</w:t>
            </w:r>
          </w:p>
        </w:tc>
        <w:tc>
          <w:tcPr>
            <w:tcW w:w="3472" w:type="pct"/>
            <w:gridSpan w:val="2"/>
          </w:tcPr>
          <w:p w14:paraId="0F2ECE95" w14:textId="77777777" w:rsidR="00940E3A" w:rsidRPr="009254DD" w:rsidRDefault="00940E3A" w:rsidP="001D1117">
            <w:pPr>
              <w:pStyle w:val="Bodyromannumerals"/>
              <w:rPr>
                <w:b/>
                <w:bCs/>
                <w:sz w:val="22"/>
                <w:bdr w:val="single" w:sz="4" w:space="0" w:color="auto"/>
              </w:rPr>
            </w:pPr>
            <w:r w:rsidRPr="009254DD">
              <w:rPr>
                <w:b/>
                <w:bCs/>
                <w:sz w:val="22"/>
              </w:rPr>
              <w:t xml:space="preserve"> Total consented discharges at year end</w:t>
            </w:r>
          </w:p>
        </w:tc>
        <w:tc>
          <w:tcPr>
            <w:tcW w:w="772" w:type="pct"/>
          </w:tcPr>
          <w:p w14:paraId="11B7F5A9" w14:textId="22C4BF3E" w:rsidR="00940E3A" w:rsidRPr="009254DD" w:rsidRDefault="001D1117" w:rsidP="001D1117">
            <w:pPr>
              <w:pStyle w:val="Bodyromannumerals"/>
              <w:rPr>
                <w:b/>
                <w:bCs/>
                <w:bdr w:val="single" w:sz="4" w:space="0" w:color="auto"/>
              </w:rPr>
            </w:pPr>
            <w:r w:rsidRPr="009254DD">
              <w:rPr>
                <w:b/>
                <w:bCs/>
              </w:rPr>
              <w:t>Nr.</w:t>
            </w:r>
          </w:p>
        </w:tc>
      </w:tr>
      <w:tr w:rsidR="00940E3A" w:rsidRPr="0058382B" w14:paraId="6A27A4B0"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21BCC17A" w14:textId="77777777" w:rsidR="00940E3A" w:rsidRPr="0058382B" w:rsidRDefault="00940E3A" w:rsidP="001D1117">
            <w:pPr>
              <w:pStyle w:val="Bodyromannumerals"/>
              <w:rPr>
                <w:i/>
                <w:sz w:val="22"/>
              </w:rPr>
            </w:pPr>
            <w:r w:rsidRPr="0058382B">
              <w:rPr>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6207F1C1" w14:textId="77777777" w:rsidR="00940E3A" w:rsidRDefault="00940E3A" w:rsidP="001D1117">
            <w:pPr>
              <w:pStyle w:val="Bodyromannumerals"/>
            </w:pPr>
            <w:r w:rsidRPr="0058382B">
              <w:t xml:space="preserve">The total number of </w:t>
            </w:r>
            <w:r w:rsidR="00A23234">
              <w:t>waste</w:t>
            </w:r>
            <w:r w:rsidR="00083423">
              <w:t>water</w:t>
            </w:r>
            <w:r w:rsidRPr="0058382B">
              <w:t xml:space="preserve"> treatment </w:t>
            </w:r>
            <w:r w:rsidR="00E44E72">
              <w:t>plants</w:t>
            </w:r>
            <w:r w:rsidR="00E44E72" w:rsidRPr="0058382B">
              <w:t xml:space="preserve"> </w:t>
            </w:r>
            <w:r w:rsidRPr="0058382B">
              <w:t>with numeric consent discharges at the end of</w:t>
            </w:r>
            <w:r w:rsidR="000E7051">
              <w:t xml:space="preserve"> the reporting</w:t>
            </w:r>
            <w:r w:rsidRPr="0058382B">
              <w:t xml:space="preserve"> year.</w:t>
            </w:r>
          </w:p>
          <w:p w14:paraId="615738B7" w14:textId="3D4EF093" w:rsidR="00940E3A" w:rsidRPr="008456AD" w:rsidRDefault="00AD034E" w:rsidP="001D1117">
            <w:pPr>
              <w:pStyle w:val="Bodyromannumerals"/>
              <w:rPr>
                <w:sz w:val="22"/>
              </w:rPr>
            </w:pPr>
            <w:r>
              <w:t xml:space="preserve">In the context of New Zealand, non-sanitary consents </w:t>
            </w:r>
            <w:r w:rsidR="00CB123B">
              <w:t>should</w:t>
            </w:r>
            <w:r>
              <w:t xml:space="preserve"> include consents that cover chemicals used in agriculture or industry.</w:t>
            </w:r>
          </w:p>
        </w:tc>
      </w:tr>
      <w:tr w:rsidR="00940E3A" w:rsidRPr="0058382B" w14:paraId="4A900470"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5D679" w14:textId="77777777" w:rsidR="00940E3A" w:rsidRPr="0058382B" w:rsidRDefault="00940E3A" w:rsidP="001D1117">
            <w:pPr>
              <w:pStyle w:val="Bodyromannumerals"/>
              <w:rPr>
                <w:i/>
                <w:sz w:val="22"/>
              </w:rPr>
            </w:pPr>
            <w:r w:rsidRPr="0058382B">
              <w:rPr>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618DF7" w14:textId="77777777" w:rsidR="00940E3A" w:rsidRPr="0058382B" w:rsidRDefault="00940E3A" w:rsidP="001D1117">
            <w:pPr>
              <w:pStyle w:val="Bodyromannumerals"/>
              <w:rPr>
                <w:sz w:val="22"/>
              </w:rPr>
            </w:pPr>
            <w:r w:rsidRPr="0058382B">
              <w:t>Input field</w:t>
            </w:r>
          </w:p>
        </w:tc>
      </w:tr>
      <w:tr w:rsidR="00940E3A" w:rsidRPr="0058382B" w14:paraId="003FE29A" w14:textId="77777777" w:rsidTr="00C8791E">
        <w:trPr>
          <w:trHeight w:val="471"/>
        </w:trPr>
        <w:tc>
          <w:tcPr>
            <w:tcW w:w="756" w:type="pct"/>
          </w:tcPr>
          <w:p w14:paraId="12071003" w14:textId="77777777" w:rsidR="00940E3A" w:rsidRPr="009254DD" w:rsidRDefault="00940E3A" w:rsidP="001D1117">
            <w:pPr>
              <w:pStyle w:val="Bodyromannumerals"/>
              <w:rPr>
                <w:b/>
                <w:bCs/>
              </w:rPr>
            </w:pPr>
            <w:r w:rsidRPr="009254DD">
              <w:rPr>
                <w:b/>
                <w:bCs/>
              </w:rPr>
              <w:t>C4.14</w:t>
            </w:r>
          </w:p>
        </w:tc>
        <w:tc>
          <w:tcPr>
            <w:tcW w:w="3472" w:type="pct"/>
            <w:gridSpan w:val="2"/>
          </w:tcPr>
          <w:p w14:paraId="33FDF5F8" w14:textId="77777777" w:rsidR="00940E3A" w:rsidRPr="009254DD" w:rsidRDefault="00940E3A" w:rsidP="001D1117">
            <w:pPr>
              <w:pStyle w:val="Bodyromannumerals"/>
              <w:rPr>
                <w:b/>
                <w:bCs/>
                <w:sz w:val="22"/>
                <w:bdr w:val="single" w:sz="4" w:space="0" w:color="auto"/>
              </w:rPr>
            </w:pPr>
            <w:r w:rsidRPr="009254DD">
              <w:rPr>
                <w:b/>
                <w:bCs/>
                <w:sz w:val="22"/>
              </w:rPr>
              <w:t xml:space="preserve"> Total discharges sampled in year</w:t>
            </w:r>
          </w:p>
        </w:tc>
        <w:tc>
          <w:tcPr>
            <w:tcW w:w="772" w:type="pct"/>
          </w:tcPr>
          <w:p w14:paraId="30D1EB62" w14:textId="44D9278F" w:rsidR="00940E3A" w:rsidRPr="009254DD" w:rsidRDefault="001D1117" w:rsidP="001D1117">
            <w:pPr>
              <w:pStyle w:val="Bodyromannumerals"/>
              <w:rPr>
                <w:b/>
                <w:bCs/>
                <w:bdr w:val="single" w:sz="4" w:space="0" w:color="auto"/>
              </w:rPr>
            </w:pPr>
            <w:r w:rsidRPr="009254DD">
              <w:rPr>
                <w:b/>
                <w:bCs/>
              </w:rPr>
              <w:t>Nr.</w:t>
            </w:r>
          </w:p>
        </w:tc>
      </w:tr>
      <w:tr w:rsidR="00940E3A" w:rsidRPr="00A83F00" w14:paraId="24E7AC61"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2DE4D2D0" w14:textId="77777777" w:rsidR="00940E3A" w:rsidRPr="00A83F00" w:rsidRDefault="00940E3A" w:rsidP="001D1117">
            <w:pPr>
              <w:pStyle w:val="Bodyromannumerals"/>
              <w:rPr>
                <w:i/>
                <w:sz w:val="22"/>
              </w:rPr>
            </w:pPr>
            <w:r w:rsidRPr="00A83F00">
              <w:rPr>
                <w:i/>
                <w:sz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32B95BAF" w14:textId="77777777" w:rsidR="00940E3A" w:rsidRDefault="00940E3A" w:rsidP="001D1117">
            <w:pPr>
              <w:pStyle w:val="Bodyromannumerals"/>
            </w:pPr>
            <w:r w:rsidRPr="00886ADF">
              <w:t xml:space="preserve">Total number of discharges sampled </w:t>
            </w:r>
            <w:r w:rsidR="0067049E" w:rsidRPr="00886ADF">
              <w:t>for</w:t>
            </w:r>
            <w:r w:rsidR="000E7051" w:rsidRPr="00886ADF">
              <w:t xml:space="preserve"> the reporting</w:t>
            </w:r>
            <w:r w:rsidRPr="00886ADF">
              <w:t xml:space="preserve"> year</w:t>
            </w:r>
            <w:r w:rsidR="0067049E" w:rsidRPr="00886ADF">
              <w:t xml:space="preserve"> ending 30 June.</w:t>
            </w:r>
          </w:p>
          <w:p w14:paraId="3E783720" w14:textId="11FC6A84" w:rsidR="00940E3A" w:rsidRPr="00886ADF" w:rsidRDefault="00AD034E" w:rsidP="001D1117">
            <w:pPr>
              <w:pStyle w:val="Bodyromannumerals"/>
            </w:pPr>
            <w:r>
              <w:t>In the context of New Zealand, non-sanitary co</w:t>
            </w:r>
            <w:r w:rsidR="00031F49">
              <w:t>nsents</w:t>
            </w:r>
            <w:r>
              <w:t xml:space="preserve"> </w:t>
            </w:r>
            <w:r w:rsidR="00CB123B">
              <w:t>sh</w:t>
            </w:r>
            <w:r>
              <w:t>ould include consents that cover chemicals used in agriculture or industry.</w:t>
            </w:r>
          </w:p>
        </w:tc>
      </w:tr>
      <w:tr w:rsidR="00940E3A" w:rsidRPr="00A83F00" w14:paraId="668B262A"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CCD256" w14:textId="77777777" w:rsidR="00940E3A" w:rsidRPr="00A83F00" w:rsidRDefault="00940E3A" w:rsidP="001D1117">
            <w:pPr>
              <w:pStyle w:val="Bodyromannumerals"/>
              <w:rPr>
                <w:i/>
                <w:sz w:val="22"/>
              </w:rPr>
            </w:pPr>
            <w:r w:rsidRPr="00A83F00">
              <w:rPr>
                <w:i/>
                <w:sz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AE29EC" w14:textId="77777777" w:rsidR="00940E3A" w:rsidRPr="00886ADF" w:rsidRDefault="00940E3A" w:rsidP="001D1117">
            <w:pPr>
              <w:pStyle w:val="Bodyromannumerals"/>
            </w:pPr>
            <w:r w:rsidRPr="00886ADF">
              <w:t>Input field</w:t>
            </w:r>
          </w:p>
        </w:tc>
      </w:tr>
    </w:tbl>
    <w:p w14:paraId="4691AE9F" w14:textId="77777777" w:rsidR="00937C0C" w:rsidRDefault="00937C0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940E3A" w:rsidRPr="0058382B" w14:paraId="44B18DF2" w14:textId="77777777" w:rsidTr="00C8791E">
        <w:trPr>
          <w:trHeight w:val="471"/>
        </w:trPr>
        <w:tc>
          <w:tcPr>
            <w:tcW w:w="756" w:type="pct"/>
          </w:tcPr>
          <w:p w14:paraId="0343F486" w14:textId="1CC82DCC" w:rsidR="00940E3A" w:rsidRPr="009254DD" w:rsidRDefault="00940E3A" w:rsidP="001D1117">
            <w:pPr>
              <w:pStyle w:val="Bodyromannumerals"/>
              <w:rPr>
                <w:b/>
                <w:bCs/>
              </w:rPr>
            </w:pPr>
            <w:r w:rsidRPr="009254DD">
              <w:rPr>
                <w:b/>
                <w:bCs/>
              </w:rPr>
              <w:t>C4.15</w:t>
            </w:r>
          </w:p>
        </w:tc>
        <w:tc>
          <w:tcPr>
            <w:tcW w:w="3472" w:type="pct"/>
            <w:gridSpan w:val="2"/>
          </w:tcPr>
          <w:p w14:paraId="6108754C" w14:textId="77777777" w:rsidR="00940E3A" w:rsidRPr="009254DD" w:rsidRDefault="00940E3A" w:rsidP="001D1117">
            <w:pPr>
              <w:pStyle w:val="Bodyromannumerals"/>
              <w:rPr>
                <w:b/>
                <w:bCs/>
                <w:sz w:val="22"/>
                <w:bdr w:val="single" w:sz="4" w:space="0" w:color="auto"/>
              </w:rPr>
            </w:pPr>
            <w:r w:rsidRPr="009254DD">
              <w:rPr>
                <w:b/>
                <w:bCs/>
                <w:sz w:val="22"/>
              </w:rPr>
              <w:t xml:space="preserve"> Number of discharges compliant</w:t>
            </w:r>
          </w:p>
        </w:tc>
        <w:tc>
          <w:tcPr>
            <w:tcW w:w="772" w:type="pct"/>
          </w:tcPr>
          <w:p w14:paraId="1C88BC6E" w14:textId="06EC3BA0" w:rsidR="00940E3A" w:rsidRPr="009254DD" w:rsidRDefault="001D1117" w:rsidP="001D1117">
            <w:pPr>
              <w:pStyle w:val="Bodyromannumerals"/>
              <w:rPr>
                <w:b/>
                <w:bCs/>
                <w:bdr w:val="single" w:sz="4" w:space="0" w:color="auto"/>
              </w:rPr>
            </w:pPr>
            <w:r w:rsidRPr="009254DD">
              <w:rPr>
                <w:b/>
                <w:bCs/>
              </w:rPr>
              <w:t>Nr.</w:t>
            </w:r>
          </w:p>
        </w:tc>
      </w:tr>
      <w:tr w:rsidR="00940E3A" w:rsidRPr="00A83F00" w14:paraId="020586E0"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6A9F496A" w14:textId="77777777" w:rsidR="00940E3A" w:rsidRPr="00A83F00" w:rsidRDefault="00940E3A" w:rsidP="001D1117">
            <w:pPr>
              <w:pStyle w:val="Bodyromannumerals"/>
              <w:rPr>
                <w:i/>
                <w:sz w:val="22"/>
              </w:rPr>
            </w:pPr>
            <w:r w:rsidRPr="00A83F00">
              <w:rPr>
                <w:i/>
                <w:sz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356CFDBD" w14:textId="1A304614" w:rsidR="00940E3A" w:rsidRDefault="00940E3A" w:rsidP="001D1117">
            <w:pPr>
              <w:pStyle w:val="Bodyromannumerals"/>
            </w:pPr>
            <w:r w:rsidRPr="0001435F">
              <w:t>Total number of discharges compliant with consent conditions</w:t>
            </w:r>
            <w:r w:rsidR="00ED2B33" w:rsidRPr="0001435F">
              <w:t xml:space="preserve"> (i.e. </w:t>
            </w:r>
            <w:r w:rsidR="003E1926">
              <w:t xml:space="preserve">with reference to the </w:t>
            </w:r>
            <w:r w:rsidR="00ED2B33" w:rsidRPr="0001435F">
              <w:t>level within a consent condition)</w:t>
            </w:r>
            <w:r w:rsidRPr="0001435F">
              <w:t xml:space="preserve"> </w:t>
            </w:r>
            <w:r w:rsidR="0067049E">
              <w:t>for</w:t>
            </w:r>
            <w:r w:rsidRPr="0001435F">
              <w:t xml:space="preserve"> the</w:t>
            </w:r>
            <w:r w:rsidR="000E7051" w:rsidRPr="0001435F">
              <w:t xml:space="preserve"> reporting</w:t>
            </w:r>
            <w:r w:rsidRPr="0001435F">
              <w:t xml:space="preserve"> year</w:t>
            </w:r>
            <w:r w:rsidR="0067049E">
              <w:t xml:space="preserve"> ending 30 June</w:t>
            </w:r>
            <w:r w:rsidR="00104B9D" w:rsidRPr="0001435F">
              <w:t>.</w:t>
            </w:r>
          </w:p>
          <w:p w14:paraId="7BD052CD" w14:textId="314F0AC9" w:rsidR="00940E3A" w:rsidRPr="0001435F" w:rsidRDefault="00CB123B" w:rsidP="001D1117">
            <w:pPr>
              <w:pStyle w:val="Bodyromannumerals"/>
            </w:pPr>
            <w:r>
              <w:t>In the context of New Zealand, non-sanitary consents should include consents that cover chemicals used in agriculture or industry.</w:t>
            </w:r>
          </w:p>
        </w:tc>
      </w:tr>
      <w:tr w:rsidR="00940E3A" w:rsidRPr="00A83F00" w14:paraId="25EEFD3B"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13F15B" w14:textId="5DE4D67D" w:rsidR="00940E3A" w:rsidRPr="00A83F00" w:rsidRDefault="00940E3A" w:rsidP="001D1117">
            <w:pPr>
              <w:pStyle w:val="Bodyromannumerals"/>
              <w:rPr>
                <w:i/>
                <w:sz w:val="22"/>
              </w:rPr>
            </w:pPr>
            <w:r w:rsidRPr="00A83F00">
              <w:rPr>
                <w:i/>
                <w:sz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EE974" w14:textId="77777777" w:rsidR="00940E3A" w:rsidRPr="0001435F" w:rsidRDefault="00940E3A" w:rsidP="001D1117">
            <w:pPr>
              <w:pStyle w:val="Bodyromannumerals"/>
            </w:pPr>
            <w:r w:rsidRPr="0001435F">
              <w:t>Input field</w:t>
            </w:r>
          </w:p>
        </w:tc>
      </w:tr>
    </w:tbl>
    <w:p w14:paraId="12338E20" w14:textId="334D8F12" w:rsidR="00940E3A" w:rsidRPr="00104B9D" w:rsidRDefault="009504BF" w:rsidP="004D2357">
      <w:pPr>
        <w:pStyle w:val="Bodysub-heading2"/>
      </w:pPr>
      <w:r w:rsidRPr="00104B9D">
        <w:t>Discharges confirmed as failing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940E3A" w:rsidRPr="0058382B" w14:paraId="1DAA0823" w14:textId="77777777" w:rsidTr="00C8791E">
        <w:trPr>
          <w:trHeight w:val="471"/>
        </w:trPr>
        <w:tc>
          <w:tcPr>
            <w:tcW w:w="756" w:type="pct"/>
          </w:tcPr>
          <w:p w14:paraId="5EE01314" w14:textId="77777777" w:rsidR="00940E3A" w:rsidRPr="009254DD" w:rsidRDefault="00940E3A" w:rsidP="009254DD">
            <w:pPr>
              <w:pStyle w:val="Bodyromannumerals"/>
              <w:rPr>
                <w:b/>
                <w:bCs/>
              </w:rPr>
            </w:pPr>
            <w:r w:rsidRPr="009254DD">
              <w:rPr>
                <w:b/>
                <w:bCs/>
              </w:rPr>
              <w:t>C4.19</w:t>
            </w:r>
          </w:p>
        </w:tc>
        <w:tc>
          <w:tcPr>
            <w:tcW w:w="3472" w:type="pct"/>
            <w:gridSpan w:val="2"/>
          </w:tcPr>
          <w:p w14:paraId="5548C9FA" w14:textId="4CF71F2B" w:rsidR="00940E3A" w:rsidRPr="009254DD" w:rsidRDefault="00940E3A" w:rsidP="009254DD">
            <w:pPr>
              <w:pStyle w:val="Bodyromannumerals"/>
              <w:rPr>
                <w:b/>
                <w:bCs/>
                <w:sz w:val="22"/>
                <w:szCs w:val="22"/>
                <w:bdr w:val="single" w:sz="4" w:space="0" w:color="auto"/>
              </w:rPr>
            </w:pPr>
            <w:r w:rsidRPr="009254DD">
              <w:rPr>
                <w:b/>
                <w:bCs/>
                <w:sz w:val="22"/>
                <w:szCs w:val="22"/>
              </w:rPr>
              <w:t xml:space="preserve"> Number of discharges confirmed as failing</w:t>
            </w:r>
          </w:p>
        </w:tc>
        <w:tc>
          <w:tcPr>
            <w:tcW w:w="772" w:type="pct"/>
          </w:tcPr>
          <w:p w14:paraId="64795475" w14:textId="16CEDD47" w:rsidR="00940E3A" w:rsidRPr="009254DD" w:rsidRDefault="001D1117" w:rsidP="009254DD">
            <w:pPr>
              <w:pStyle w:val="Bodyromannumerals"/>
              <w:rPr>
                <w:b/>
                <w:bCs/>
                <w:bdr w:val="single" w:sz="4" w:space="0" w:color="auto"/>
              </w:rPr>
            </w:pPr>
            <w:r w:rsidRPr="009254DD">
              <w:rPr>
                <w:b/>
                <w:bCs/>
              </w:rPr>
              <w:t>Nr.</w:t>
            </w:r>
          </w:p>
        </w:tc>
      </w:tr>
      <w:tr w:rsidR="00940E3A" w:rsidRPr="00A83F00" w14:paraId="706CC6C4"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1F06F551" w14:textId="77777777" w:rsidR="00940E3A" w:rsidRPr="00A83F00" w:rsidRDefault="00940E3A" w:rsidP="009254DD">
            <w:pPr>
              <w:pStyle w:val="Bodyromannumerals"/>
              <w:rPr>
                <w:i/>
                <w:sz w:val="22"/>
              </w:rPr>
            </w:pPr>
            <w:r w:rsidRPr="00A83F00">
              <w:rPr>
                <w:i/>
                <w:sz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68FDECA8" w14:textId="639F4123" w:rsidR="00940E3A" w:rsidRPr="0001435F" w:rsidRDefault="00940E3A" w:rsidP="009254DD">
            <w:pPr>
              <w:pStyle w:val="Bodyromannumerals"/>
            </w:pPr>
            <w:r w:rsidRPr="0001435F">
              <w:t xml:space="preserve">The total number of </w:t>
            </w:r>
            <w:r w:rsidR="00A23234" w:rsidRPr="0001435F">
              <w:t>waste</w:t>
            </w:r>
            <w:r w:rsidR="00083423" w:rsidRPr="0001435F">
              <w:t>water</w:t>
            </w:r>
            <w:r w:rsidRPr="0001435F">
              <w:t xml:space="preserve"> treatment </w:t>
            </w:r>
            <w:r w:rsidR="00E44E72" w:rsidRPr="0001435F">
              <w:t xml:space="preserve">plants </w:t>
            </w:r>
            <w:r w:rsidRPr="0001435F">
              <w:t>with discharges failing consent conditions</w:t>
            </w:r>
            <w:r w:rsidR="00E32E5C" w:rsidRPr="0001435F">
              <w:t xml:space="preserve"> (i.e. exceeding the level within a consent condition)</w:t>
            </w:r>
            <w:r w:rsidRPr="0001435F">
              <w:t xml:space="preserve"> </w:t>
            </w:r>
            <w:r w:rsidR="006A2778">
              <w:t>for the</w:t>
            </w:r>
            <w:r w:rsidR="00AD59F1" w:rsidRPr="0001435F">
              <w:t xml:space="preserve"> reporting year</w:t>
            </w:r>
            <w:r w:rsidR="006A2778">
              <w:t xml:space="preserve"> ending 30 June</w:t>
            </w:r>
            <w:r w:rsidRPr="0001435F">
              <w:t>.</w:t>
            </w:r>
          </w:p>
        </w:tc>
      </w:tr>
      <w:tr w:rsidR="00940E3A" w:rsidRPr="00A83F00" w14:paraId="3DDE4C3E"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22FF6" w14:textId="77777777" w:rsidR="00940E3A" w:rsidRPr="00A83F00" w:rsidRDefault="00940E3A" w:rsidP="009254DD">
            <w:pPr>
              <w:pStyle w:val="Bodyromannumerals"/>
              <w:rPr>
                <w:i/>
                <w:sz w:val="22"/>
              </w:rPr>
            </w:pPr>
            <w:r w:rsidRPr="00A83F00">
              <w:rPr>
                <w:i/>
                <w:sz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C6B36E" w14:textId="77777777" w:rsidR="00940E3A" w:rsidRPr="0001435F" w:rsidRDefault="00940E3A" w:rsidP="009254DD">
            <w:pPr>
              <w:pStyle w:val="Bodyromannumerals"/>
            </w:pPr>
            <w:r w:rsidRPr="0001435F">
              <w:t>Input field</w:t>
            </w:r>
          </w:p>
        </w:tc>
      </w:tr>
      <w:tr w:rsidR="00940E3A" w:rsidRPr="0058382B" w14:paraId="197AA084" w14:textId="77777777" w:rsidTr="00C8791E">
        <w:tc>
          <w:tcPr>
            <w:tcW w:w="756" w:type="pct"/>
          </w:tcPr>
          <w:p w14:paraId="141FB2BB" w14:textId="77777777" w:rsidR="00940E3A" w:rsidRPr="009254DD" w:rsidRDefault="00940E3A" w:rsidP="009254DD">
            <w:pPr>
              <w:pStyle w:val="Bodyromannumerals"/>
              <w:rPr>
                <w:b/>
                <w:bCs/>
              </w:rPr>
            </w:pPr>
            <w:r w:rsidRPr="009254DD">
              <w:rPr>
                <w:b/>
                <w:bCs/>
              </w:rPr>
              <w:t>C4.20</w:t>
            </w:r>
          </w:p>
        </w:tc>
        <w:tc>
          <w:tcPr>
            <w:tcW w:w="3472" w:type="pct"/>
            <w:gridSpan w:val="2"/>
          </w:tcPr>
          <w:p w14:paraId="1F1858FF" w14:textId="3F738D7D" w:rsidR="00940E3A" w:rsidRPr="009254DD" w:rsidRDefault="00940E3A" w:rsidP="009254DD">
            <w:pPr>
              <w:pStyle w:val="Bodyromannumerals"/>
              <w:rPr>
                <w:b/>
                <w:bCs/>
                <w:sz w:val="22"/>
                <w:szCs w:val="22"/>
                <w:bdr w:val="single" w:sz="4" w:space="0" w:color="auto"/>
              </w:rPr>
            </w:pPr>
            <w:r w:rsidRPr="009254DD">
              <w:rPr>
                <w:b/>
                <w:bCs/>
                <w:sz w:val="22"/>
                <w:szCs w:val="22"/>
              </w:rPr>
              <w:t xml:space="preserve"> Total population equivalent confirmed as failing</w:t>
            </w:r>
          </w:p>
        </w:tc>
        <w:tc>
          <w:tcPr>
            <w:tcW w:w="772" w:type="pct"/>
          </w:tcPr>
          <w:p w14:paraId="041AF6CC" w14:textId="77777777" w:rsidR="00940E3A" w:rsidRPr="009254DD" w:rsidRDefault="00940E3A" w:rsidP="009254DD">
            <w:pPr>
              <w:pStyle w:val="Bodyromannumerals"/>
              <w:rPr>
                <w:b/>
                <w:bCs/>
                <w:bdr w:val="single" w:sz="4" w:space="0" w:color="auto"/>
              </w:rPr>
            </w:pPr>
            <w:r w:rsidRPr="009254DD">
              <w:rPr>
                <w:b/>
                <w:bCs/>
              </w:rPr>
              <w:t>000</w:t>
            </w:r>
          </w:p>
        </w:tc>
      </w:tr>
      <w:tr w:rsidR="00940E3A" w:rsidRPr="00A83F00" w14:paraId="7AC8C537"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106CA878" w14:textId="77777777" w:rsidR="00940E3A" w:rsidRPr="00A83F00" w:rsidRDefault="00940E3A" w:rsidP="009254DD">
            <w:pPr>
              <w:pStyle w:val="Bodyromannumerals"/>
              <w:rPr>
                <w:i/>
                <w:sz w:val="22"/>
              </w:rPr>
            </w:pPr>
            <w:r w:rsidRPr="00A83F00">
              <w:rPr>
                <w:i/>
                <w:sz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3387C622" w14:textId="3159E731" w:rsidR="00940E3A" w:rsidRPr="0001435F" w:rsidRDefault="00940E3A" w:rsidP="009254DD">
            <w:pPr>
              <w:pStyle w:val="Bodyromannumerals"/>
            </w:pPr>
            <w:r w:rsidRPr="0001435F">
              <w:t xml:space="preserve">The total population equivalent for all works confirmed as failing their consents </w:t>
            </w:r>
            <w:r w:rsidR="00D95FC8" w:rsidRPr="0001435F">
              <w:t xml:space="preserve">(i.e. exceeding the level within a consent condition) </w:t>
            </w:r>
            <w:r w:rsidR="00022B2A" w:rsidRPr="0001435F">
              <w:t xml:space="preserve">of the </w:t>
            </w:r>
            <w:r w:rsidR="00A23234" w:rsidRPr="0001435F">
              <w:t>waste</w:t>
            </w:r>
            <w:r w:rsidR="009F0CAE" w:rsidRPr="0001435F">
              <w:t xml:space="preserve">water treatment </w:t>
            </w:r>
            <w:r w:rsidR="00AB26EA" w:rsidRPr="0001435F">
              <w:t xml:space="preserve">plants </w:t>
            </w:r>
            <w:r w:rsidR="005622D8">
              <w:t>for</w:t>
            </w:r>
            <w:r w:rsidR="00AD59F1" w:rsidRPr="0001435F">
              <w:t xml:space="preserve"> the reporting year</w:t>
            </w:r>
            <w:r w:rsidR="00022B2A" w:rsidRPr="0001435F">
              <w:t xml:space="preserve"> </w:t>
            </w:r>
            <w:r w:rsidR="005622D8">
              <w:t xml:space="preserve">ending </w:t>
            </w:r>
            <w:r w:rsidR="00022B2A" w:rsidRPr="0001435F">
              <w:t>30 June</w:t>
            </w:r>
            <w:r w:rsidR="00104B9D" w:rsidRPr="0001435F">
              <w:t>.</w:t>
            </w:r>
          </w:p>
        </w:tc>
      </w:tr>
      <w:tr w:rsidR="00940E3A" w:rsidRPr="00A83F00" w14:paraId="1C57DB4F"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2B809" w14:textId="77777777" w:rsidR="00940E3A" w:rsidRPr="00A83F00" w:rsidRDefault="00940E3A" w:rsidP="009254DD">
            <w:pPr>
              <w:pStyle w:val="Bodyromannumerals"/>
              <w:rPr>
                <w:i/>
                <w:sz w:val="22"/>
              </w:rPr>
            </w:pPr>
            <w:r w:rsidRPr="00A83F00">
              <w:rPr>
                <w:i/>
                <w:sz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9AD7DC" w14:textId="77777777" w:rsidR="00940E3A" w:rsidRPr="0001435F" w:rsidRDefault="00940E3A" w:rsidP="009254DD">
            <w:pPr>
              <w:pStyle w:val="Bodyromannumerals"/>
            </w:pPr>
            <w:r w:rsidRPr="0001435F">
              <w:t>Input field</w:t>
            </w:r>
          </w:p>
        </w:tc>
      </w:tr>
      <w:tr w:rsidR="00940E3A" w:rsidRPr="0058382B" w14:paraId="5262180A" w14:textId="77777777" w:rsidTr="00C8791E">
        <w:tc>
          <w:tcPr>
            <w:tcW w:w="756" w:type="pct"/>
          </w:tcPr>
          <w:p w14:paraId="71851BA5" w14:textId="77777777" w:rsidR="00940E3A" w:rsidRPr="009254DD" w:rsidRDefault="00940E3A" w:rsidP="009254DD">
            <w:pPr>
              <w:pStyle w:val="Bodyromannumerals"/>
              <w:rPr>
                <w:b/>
                <w:bCs/>
              </w:rPr>
            </w:pPr>
            <w:r w:rsidRPr="009254DD">
              <w:rPr>
                <w:b/>
                <w:bCs/>
              </w:rPr>
              <w:t>C4.21</w:t>
            </w:r>
          </w:p>
        </w:tc>
        <w:tc>
          <w:tcPr>
            <w:tcW w:w="3472" w:type="pct"/>
            <w:gridSpan w:val="2"/>
            <w:tcBorders>
              <w:right w:val="nil"/>
            </w:tcBorders>
          </w:tcPr>
          <w:p w14:paraId="1A8280C1" w14:textId="42DF50D8" w:rsidR="00940E3A" w:rsidRPr="009254DD" w:rsidRDefault="00940E3A" w:rsidP="009254DD">
            <w:pPr>
              <w:pStyle w:val="Bodyromannumerals"/>
              <w:rPr>
                <w:b/>
                <w:bCs/>
                <w:sz w:val="22"/>
                <w:szCs w:val="22"/>
                <w:bdr w:val="single" w:sz="4" w:space="0" w:color="auto"/>
              </w:rPr>
            </w:pPr>
            <w:r w:rsidRPr="009254DD">
              <w:rPr>
                <w:b/>
                <w:bCs/>
                <w:sz w:val="22"/>
                <w:szCs w:val="22"/>
              </w:rPr>
              <w:t xml:space="preserve"> Percentage population equivalent confirmed as failing</w:t>
            </w:r>
          </w:p>
        </w:tc>
        <w:tc>
          <w:tcPr>
            <w:tcW w:w="772" w:type="pct"/>
            <w:tcBorders>
              <w:top w:val="single" w:sz="4" w:space="0" w:color="auto"/>
              <w:left w:val="single" w:sz="4" w:space="0" w:color="auto"/>
              <w:bottom w:val="single" w:sz="4" w:space="0" w:color="auto"/>
              <w:right w:val="single" w:sz="4" w:space="0" w:color="auto"/>
            </w:tcBorders>
          </w:tcPr>
          <w:p w14:paraId="1B9230AD" w14:textId="77777777" w:rsidR="00940E3A" w:rsidRPr="009254DD" w:rsidRDefault="00940E3A" w:rsidP="009254DD">
            <w:pPr>
              <w:pStyle w:val="Bodyromannumerals"/>
              <w:rPr>
                <w:b/>
                <w:bCs/>
                <w:bdr w:val="single" w:sz="4" w:space="0" w:color="auto"/>
              </w:rPr>
            </w:pPr>
            <w:r w:rsidRPr="009254DD">
              <w:rPr>
                <w:b/>
                <w:bCs/>
              </w:rPr>
              <w:t xml:space="preserve">% </w:t>
            </w:r>
          </w:p>
        </w:tc>
      </w:tr>
      <w:tr w:rsidR="00940E3A" w:rsidRPr="00A83F00" w14:paraId="3AF5AA1B"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18412482" w14:textId="77777777" w:rsidR="00940E3A" w:rsidRPr="00A83F00" w:rsidRDefault="00940E3A" w:rsidP="009254DD">
            <w:pPr>
              <w:pStyle w:val="Bodyromannumerals"/>
              <w:rPr>
                <w:i/>
                <w:sz w:val="22"/>
              </w:rPr>
            </w:pPr>
            <w:r w:rsidRPr="00A83F00">
              <w:rPr>
                <w:i/>
                <w:sz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16223FC8" w14:textId="68F3D079" w:rsidR="00940E3A" w:rsidRPr="0001435F" w:rsidRDefault="00940E3A" w:rsidP="009254DD">
            <w:pPr>
              <w:pStyle w:val="Bodyromannumerals"/>
            </w:pPr>
            <w:r w:rsidRPr="0001435F">
              <w:t>The percentage of the population equivalent for the Authority’s area confirmed as failing the discharge consents</w:t>
            </w:r>
            <w:r w:rsidR="00E1401A" w:rsidRPr="0001435F">
              <w:t xml:space="preserve"> </w:t>
            </w:r>
            <w:r w:rsidR="00B918CA" w:rsidRPr="0001435F">
              <w:t xml:space="preserve">(i.e. exceeding the level within a consent condition) </w:t>
            </w:r>
            <w:r w:rsidR="00E1401A" w:rsidRPr="0001435F">
              <w:t xml:space="preserve">of the </w:t>
            </w:r>
            <w:r w:rsidR="00A23234" w:rsidRPr="0001435F">
              <w:t>waste</w:t>
            </w:r>
            <w:r w:rsidR="009F0CAE" w:rsidRPr="0001435F">
              <w:t xml:space="preserve">water treatment </w:t>
            </w:r>
            <w:r w:rsidR="00433922" w:rsidRPr="0001435F">
              <w:t xml:space="preserve">plants </w:t>
            </w:r>
            <w:r w:rsidR="005622D8">
              <w:t xml:space="preserve">for the reporting year ending </w:t>
            </w:r>
            <w:r w:rsidR="009F0CAE" w:rsidRPr="0001435F">
              <w:t>30 June</w:t>
            </w:r>
            <w:r w:rsidR="00104B9D" w:rsidRPr="0001435F">
              <w:t>.</w:t>
            </w:r>
          </w:p>
        </w:tc>
      </w:tr>
      <w:tr w:rsidR="00940E3A" w:rsidRPr="00A83F00" w14:paraId="09226057"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8BAE76" w14:textId="77777777" w:rsidR="00940E3A" w:rsidRPr="00A83F00" w:rsidRDefault="00940E3A" w:rsidP="009254DD">
            <w:pPr>
              <w:pStyle w:val="Bodyromannumerals"/>
              <w:rPr>
                <w:i/>
                <w:sz w:val="22"/>
              </w:rPr>
            </w:pPr>
            <w:r w:rsidRPr="00A83F00">
              <w:rPr>
                <w:i/>
                <w:sz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B0F135" w14:textId="77777777" w:rsidR="00940E3A" w:rsidRPr="0001435F" w:rsidRDefault="00940E3A" w:rsidP="009254DD">
            <w:pPr>
              <w:pStyle w:val="Bodyromannumerals"/>
            </w:pPr>
            <w:r w:rsidRPr="0001435F">
              <w:t>Input field</w:t>
            </w:r>
          </w:p>
        </w:tc>
      </w:tr>
    </w:tbl>
    <w:p w14:paraId="59EDD60D" w14:textId="77777777" w:rsidR="00940E3A" w:rsidRDefault="00940E3A" w:rsidP="00940E3A">
      <w:pPr>
        <w:jc w:val="both"/>
        <w:rPr>
          <w:rFonts w:cs="Calibri"/>
        </w:rPr>
      </w:pPr>
    </w:p>
    <w:p w14:paraId="0228DE16" w14:textId="7E1CD4F4" w:rsidR="00940E3A" w:rsidRPr="00DE19C5" w:rsidRDefault="00940E3A" w:rsidP="00DE19C5">
      <w:pPr>
        <w:pStyle w:val="Title1"/>
        <w:rPr>
          <w:rFonts w:cs="Calibri"/>
        </w:rPr>
      </w:pPr>
      <w:r>
        <w:rPr>
          <w:rFonts w:cs="Calibri"/>
        </w:rPr>
        <w:br w:type="page"/>
      </w:r>
      <w:r w:rsidR="00C71B29">
        <w:t>TABLE</w:t>
      </w:r>
      <w:r w:rsidRPr="006466B5">
        <w:t xml:space="preserve"> C5: WASTEWATER QUALITY OUTPUTS – ASSET PERFORMANCE</w:t>
      </w:r>
    </w:p>
    <w:p w14:paraId="74DCAC82" w14:textId="35BB35FA" w:rsidR="00940E3A" w:rsidRPr="006466B5" w:rsidRDefault="00940E3A" w:rsidP="2F76CC7E">
      <w:pPr>
        <w:pStyle w:val="Bodynumbercopy"/>
        <w:numPr>
          <w:ilvl w:val="0"/>
          <w:numId w:val="5"/>
        </w:numPr>
        <w:rPr>
          <w:rFonts w:asciiTheme="minorHAnsi" w:eastAsiaTheme="minorEastAsia" w:hAnsiTheme="minorHAnsi" w:cstheme="minorBidi"/>
        </w:rPr>
      </w:pPr>
      <w:r>
        <w:t xml:space="preserve">This table identifies the extent to which </w:t>
      </w:r>
      <w:r w:rsidR="00A23234">
        <w:t>waste</w:t>
      </w:r>
      <w:r w:rsidR="00083423">
        <w:t>water</w:t>
      </w:r>
      <w:r>
        <w:t xml:space="preserve"> treatment </w:t>
      </w:r>
      <w:r w:rsidR="00E44E72">
        <w:t xml:space="preserve">plants </w:t>
      </w:r>
      <w:r>
        <w:t xml:space="preserve">are at risk of non-compliance for five key parameters by monitoring the ratio of the relevant sample means to the 95%ile compliance value. </w:t>
      </w:r>
    </w:p>
    <w:p w14:paraId="6E41CB32" w14:textId="754CC397" w:rsidR="00C16A92" w:rsidRPr="006466B5" w:rsidRDefault="00835090" w:rsidP="007B444A">
      <w:pPr>
        <w:pStyle w:val="Bodynumbercopy"/>
        <w:numPr>
          <w:ilvl w:val="0"/>
          <w:numId w:val="5"/>
        </w:numPr>
      </w:pPr>
      <w:r>
        <w:t xml:space="preserve">If </w:t>
      </w:r>
      <w:r w:rsidR="000011BB">
        <w:t>Local</w:t>
      </w:r>
      <w:r w:rsidR="00304509">
        <w:t xml:space="preserve"> Authorities have an</w:t>
      </w:r>
      <w:r>
        <w:t xml:space="preserve"> asset </w:t>
      </w:r>
      <w:r w:rsidR="00304509">
        <w:t xml:space="preserve">that is not </w:t>
      </w:r>
      <w:r w:rsidR="00910EFB">
        <w:t>captured</w:t>
      </w:r>
      <w:r w:rsidR="00C71CB5">
        <w:t xml:space="preserve"> by</w:t>
      </w:r>
      <w:r w:rsidR="00304509">
        <w:t xml:space="preserve"> the line references </w:t>
      </w:r>
      <w:r w:rsidR="00C40670">
        <w:t>in Table C5</w:t>
      </w:r>
      <w:r w:rsidR="00C71CB5">
        <w:t xml:space="preserve">, please </w:t>
      </w:r>
      <w:r w:rsidR="00910EFB">
        <w:t xml:space="preserve">report the asset </w:t>
      </w:r>
      <w:r w:rsidR="00C40670">
        <w:t>in the line</w:t>
      </w:r>
      <w:r w:rsidR="00C71CB5">
        <w:t xml:space="preserve"> with the closest definition and provide a</w:t>
      </w:r>
      <w:r w:rsidR="00C40670">
        <w:t>n explanation in the</w:t>
      </w:r>
      <w:r w:rsidR="00C71CB5">
        <w:t xml:space="preserve"> commentary. </w:t>
      </w:r>
    </w:p>
    <w:p w14:paraId="3B25022C" w14:textId="63DA0187" w:rsidR="00940E3A" w:rsidRPr="008456AD" w:rsidRDefault="00940E3A" w:rsidP="009254DD">
      <w:pPr>
        <w:pStyle w:val="Sectionsub-heading"/>
      </w:pPr>
      <w:r w:rsidRPr="008456AD">
        <w:t xml:space="preserve">BLOCK 1: </w:t>
      </w:r>
      <w:r w:rsidR="009504BF" w:rsidRPr="00A8428D">
        <w:t>BIOLOGICAL OXYGEN DEMAND</w:t>
      </w:r>
      <w:r w:rsidR="009504BF">
        <w:t xml:space="preserve"> (</w:t>
      </w:r>
      <w:r w:rsidR="009504BF" w:rsidRPr="008456AD">
        <w:t>BOD</w:t>
      </w:r>
      <w:r w:rsidR="009504B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940E3A" w:rsidRPr="006466B5" w14:paraId="25E3C635" w14:textId="77777777" w:rsidTr="00C8791E">
        <w:tc>
          <w:tcPr>
            <w:tcW w:w="756" w:type="pct"/>
          </w:tcPr>
          <w:p w14:paraId="15D128AE" w14:textId="20A41FF2" w:rsidR="00940E3A" w:rsidRPr="009254DD" w:rsidRDefault="00940E3A" w:rsidP="009254DD">
            <w:pPr>
              <w:pStyle w:val="Bodyromannumerals"/>
              <w:rPr>
                <w:b/>
                <w:bCs/>
              </w:rPr>
            </w:pPr>
            <w:r w:rsidRPr="009254DD">
              <w:rPr>
                <w:b/>
                <w:bCs/>
              </w:rPr>
              <w:t>C5.1</w:t>
            </w:r>
          </w:p>
        </w:tc>
        <w:tc>
          <w:tcPr>
            <w:tcW w:w="3472" w:type="pct"/>
            <w:gridSpan w:val="2"/>
          </w:tcPr>
          <w:p w14:paraId="141254C2" w14:textId="68EE265B" w:rsidR="00940E3A" w:rsidRPr="009254DD" w:rsidRDefault="00940E3A" w:rsidP="009254DD">
            <w:pPr>
              <w:pStyle w:val="Bodyromannumerals"/>
              <w:rPr>
                <w:b/>
                <w:bCs/>
                <w:bdr w:val="single" w:sz="4" w:space="0" w:color="auto"/>
              </w:rPr>
            </w:pPr>
            <w:r w:rsidRPr="009254DD">
              <w:rPr>
                <w:b/>
                <w:bCs/>
              </w:rPr>
              <w:t xml:space="preserve">Number of </w:t>
            </w:r>
            <w:r w:rsidR="00A23234">
              <w:rPr>
                <w:b/>
                <w:bCs/>
              </w:rPr>
              <w:t>waste</w:t>
            </w:r>
            <w:r w:rsidR="00083423">
              <w:rPr>
                <w:b/>
                <w:bCs/>
              </w:rPr>
              <w:t>water</w:t>
            </w:r>
            <w:r w:rsidRPr="009254DD">
              <w:rPr>
                <w:b/>
                <w:bCs/>
              </w:rPr>
              <w:t xml:space="preserve"> treatment </w:t>
            </w:r>
            <w:r w:rsidR="00E44E72">
              <w:rPr>
                <w:b/>
                <w:bCs/>
              </w:rPr>
              <w:t>plants</w:t>
            </w:r>
            <w:r w:rsidR="00E44E72" w:rsidRPr="009254DD">
              <w:rPr>
                <w:b/>
                <w:bCs/>
              </w:rPr>
              <w:t xml:space="preserve"> </w:t>
            </w:r>
            <w:r w:rsidRPr="009254DD">
              <w:rPr>
                <w:b/>
                <w:bCs/>
              </w:rPr>
              <w:t>with a numeric BOD consent</w:t>
            </w:r>
          </w:p>
        </w:tc>
        <w:tc>
          <w:tcPr>
            <w:tcW w:w="772" w:type="pct"/>
          </w:tcPr>
          <w:p w14:paraId="1E4A5D23" w14:textId="45F9030A" w:rsidR="00940E3A" w:rsidRPr="006466B5" w:rsidRDefault="001D1117" w:rsidP="009254DD">
            <w:pPr>
              <w:pStyle w:val="Bodyromannumerals"/>
              <w:rPr>
                <w:b/>
                <w:bdr w:val="single" w:sz="4" w:space="0" w:color="auto"/>
              </w:rPr>
            </w:pPr>
            <w:r>
              <w:rPr>
                <w:b/>
              </w:rPr>
              <w:t>Nr.</w:t>
            </w:r>
          </w:p>
        </w:tc>
      </w:tr>
      <w:tr w:rsidR="00940E3A" w:rsidRPr="00A83F00" w14:paraId="7813395C"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2E37A577" w14:textId="5365BEDA" w:rsidR="00940E3A" w:rsidRPr="006D389B" w:rsidRDefault="00940E3A" w:rsidP="009254DD">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27D38147" w14:textId="4245BAA8" w:rsidR="00940E3A" w:rsidRPr="00A83F00" w:rsidRDefault="00940E3A" w:rsidP="009254DD">
            <w:pPr>
              <w:pStyle w:val="Bodyromannumerals"/>
            </w:pPr>
            <w:r w:rsidRPr="00ED4310">
              <w:t xml:space="preserve">Number of </w:t>
            </w:r>
            <w:r w:rsidR="00083423">
              <w:t>wastewater</w:t>
            </w:r>
            <w:r w:rsidR="00A23234">
              <w:t xml:space="preserve"> treatment plants </w:t>
            </w:r>
            <w:r w:rsidRPr="00ED4310">
              <w:t>with a numeric BOD consent</w:t>
            </w:r>
            <w:r w:rsidR="006D389B">
              <w:t>.</w:t>
            </w:r>
            <w:r w:rsidR="00386B96">
              <w:t xml:space="preserve"> </w:t>
            </w:r>
          </w:p>
        </w:tc>
      </w:tr>
      <w:tr w:rsidR="00940E3A" w:rsidRPr="00A83F00" w14:paraId="608D367A"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8C83F2" w14:textId="1EB0C49C" w:rsidR="00940E3A" w:rsidRPr="006D389B" w:rsidRDefault="00940E3A" w:rsidP="009254DD">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AEA8C3" w14:textId="6A883FBA" w:rsidR="00940E3A" w:rsidRPr="00A83F00" w:rsidRDefault="00940E3A" w:rsidP="009254DD">
            <w:pPr>
              <w:pStyle w:val="Bodyromannumerals"/>
            </w:pPr>
            <w:r w:rsidRPr="00ED4310">
              <w:t>Calculated field: sum of C5.3</w:t>
            </w:r>
            <w:r w:rsidR="00C0039F">
              <w:t xml:space="preserve"> and </w:t>
            </w:r>
            <w:r w:rsidR="00DF638B">
              <w:t xml:space="preserve">C5.4 </w:t>
            </w:r>
          </w:p>
        </w:tc>
      </w:tr>
      <w:tr w:rsidR="00940E3A" w:rsidRPr="006466B5" w14:paraId="57B3D721" w14:textId="77777777" w:rsidTr="00C8791E">
        <w:tc>
          <w:tcPr>
            <w:tcW w:w="756" w:type="pct"/>
          </w:tcPr>
          <w:p w14:paraId="246FC70E" w14:textId="77777777" w:rsidR="00940E3A" w:rsidRPr="009254DD" w:rsidRDefault="00940E3A" w:rsidP="009254DD">
            <w:pPr>
              <w:pStyle w:val="Bodyromannumerals"/>
              <w:rPr>
                <w:b/>
                <w:bCs/>
              </w:rPr>
            </w:pPr>
            <w:r w:rsidRPr="009254DD">
              <w:rPr>
                <w:b/>
                <w:bCs/>
              </w:rPr>
              <w:t>C5.2</w:t>
            </w:r>
          </w:p>
        </w:tc>
        <w:tc>
          <w:tcPr>
            <w:tcW w:w="3472" w:type="pct"/>
            <w:gridSpan w:val="2"/>
          </w:tcPr>
          <w:p w14:paraId="6F342AAA" w14:textId="08169EB8" w:rsidR="00940E3A" w:rsidRPr="009254DD" w:rsidRDefault="00940E3A" w:rsidP="009254DD">
            <w:pPr>
              <w:pStyle w:val="Bodyromannumerals"/>
              <w:rPr>
                <w:b/>
                <w:bCs/>
                <w:bdr w:val="single" w:sz="4" w:space="0" w:color="auto"/>
              </w:rPr>
            </w:pPr>
            <w:r w:rsidRPr="009254DD">
              <w:rPr>
                <w:b/>
                <w:bCs/>
              </w:rPr>
              <w:t xml:space="preserve">Number of </w:t>
            </w:r>
            <w:r w:rsidR="00A23234">
              <w:rPr>
                <w:b/>
                <w:bCs/>
              </w:rPr>
              <w:t>waste</w:t>
            </w:r>
            <w:r w:rsidR="00083423">
              <w:rPr>
                <w:b/>
                <w:bCs/>
              </w:rPr>
              <w:t>water</w:t>
            </w:r>
            <w:r w:rsidRPr="009254DD">
              <w:rPr>
                <w:b/>
                <w:bCs/>
              </w:rPr>
              <w:t xml:space="preserve"> treatment </w:t>
            </w:r>
            <w:r w:rsidR="00E44E72">
              <w:rPr>
                <w:b/>
                <w:bCs/>
              </w:rPr>
              <w:t>plants</w:t>
            </w:r>
            <w:r w:rsidR="00E44E72" w:rsidRPr="009254DD">
              <w:rPr>
                <w:b/>
                <w:bCs/>
              </w:rPr>
              <w:t xml:space="preserve"> </w:t>
            </w:r>
            <w:r w:rsidRPr="009254DD">
              <w:rPr>
                <w:b/>
                <w:bCs/>
              </w:rPr>
              <w:t>where &gt;=12 samples taken for BOD</w:t>
            </w:r>
          </w:p>
        </w:tc>
        <w:tc>
          <w:tcPr>
            <w:tcW w:w="772" w:type="pct"/>
          </w:tcPr>
          <w:p w14:paraId="3F55C002" w14:textId="57390135" w:rsidR="00940E3A" w:rsidRPr="009254DD" w:rsidRDefault="001D1117" w:rsidP="009254DD">
            <w:pPr>
              <w:pStyle w:val="Bodyromannumerals"/>
              <w:rPr>
                <w:b/>
                <w:bCs/>
                <w:bdr w:val="single" w:sz="4" w:space="0" w:color="auto"/>
              </w:rPr>
            </w:pPr>
            <w:r w:rsidRPr="009254DD">
              <w:rPr>
                <w:b/>
                <w:bCs/>
              </w:rPr>
              <w:t>Nr.</w:t>
            </w:r>
          </w:p>
        </w:tc>
      </w:tr>
      <w:tr w:rsidR="00940E3A" w:rsidRPr="00A83F00" w14:paraId="46EC7AAA"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2950F4FE" w14:textId="77777777" w:rsidR="00940E3A" w:rsidRPr="006D389B" w:rsidRDefault="00940E3A" w:rsidP="009254DD">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21D36C3F" w14:textId="726AB211" w:rsidR="00940E3A" w:rsidRPr="00A83F00" w:rsidRDefault="00940E3A" w:rsidP="009254DD">
            <w:pPr>
              <w:pStyle w:val="Bodyromannumerals"/>
            </w:pPr>
            <w:r w:rsidRPr="00ED4310">
              <w:t xml:space="preserve">Number of </w:t>
            </w:r>
            <w:r w:rsidR="00E44E72">
              <w:t>waste</w:t>
            </w:r>
            <w:r w:rsidR="00083423">
              <w:t>water</w:t>
            </w:r>
            <w:r w:rsidR="00E44E72">
              <w:t xml:space="preserve"> </w:t>
            </w:r>
            <w:r w:rsidR="00A23234">
              <w:t>treatment plants</w:t>
            </w:r>
            <w:r w:rsidRPr="00ED4310">
              <w:t xml:space="preserve"> where &gt;=12 samples taken for BOD</w:t>
            </w:r>
            <w:r w:rsidR="006D389B">
              <w:t>.</w:t>
            </w:r>
            <w:r w:rsidR="007B5400">
              <w:t xml:space="preserve"> </w:t>
            </w:r>
          </w:p>
        </w:tc>
      </w:tr>
      <w:tr w:rsidR="00940E3A" w:rsidRPr="00A83F00" w14:paraId="325CBC97"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2A940F" w14:textId="77777777" w:rsidR="00940E3A" w:rsidRPr="006D389B" w:rsidRDefault="00940E3A" w:rsidP="009254DD">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7F0E83" w14:textId="77777777" w:rsidR="00940E3A" w:rsidRPr="00A83F00" w:rsidRDefault="00940E3A" w:rsidP="009254DD">
            <w:pPr>
              <w:pStyle w:val="Bodyromannumerals"/>
            </w:pPr>
            <w:r>
              <w:t>Input field</w:t>
            </w:r>
          </w:p>
        </w:tc>
      </w:tr>
      <w:tr w:rsidR="00940E3A" w:rsidRPr="006466B5" w14:paraId="1E5B3053" w14:textId="77777777" w:rsidTr="001E4C67">
        <w:tc>
          <w:tcPr>
            <w:tcW w:w="756" w:type="pct"/>
          </w:tcPr>
          <w:p w14:paraId="2ABBB038" w14:textId="77777777" w:rsidR="00940E3A" w:rsidRPr="009254DD" w:rsidRDefault="00940E3A" w:rsidP="009254DD">
            <w:pPr>
              <w:pStyle w:val="Bodyromannumerals"/>
              <w:rPr>
                <w:b/>
                <w:bCs/>
              </w:rPr>
            </w:pPr>
            <w:r w:rsidRPr="009254DD">
              <w:rPr>
                <w:b/>
                <w:bCs/>
              </w:rPr>
              <w:t>C5.3</w:t>
            </w:r>
          </w:p>
        </w:tc>
        <w:tc>
          <w:tcPr>
            <w:tcW w:w="3472" w:type="pct"/>
            <w:gridSpan w:val="2"/>
          </w:tcPr>
          <w:p w14:paraId="7D641321" w14:textId="1A7E44A2" w:rsidR="00940E3A" w:rsidRPr="009254DD" w:rsidRDefault="00940E3A" w:rsidP="009254DD">
            <w:pPr>
              <w:pStyle w:val="Bodyromannumerals"/>
              <w:rPr>
                <w:b/>
                <w:bCs/>
                <w:bdr w:val="single" w:sz="4" w:space="0" w:color="auto"/>
              </w:rPr>
            </w:pPr>
            <w:r w:rsidRPr="009254DD">
              <w:rPr>
                <w:b/>
                <w:bCs/>
              </w:rPr>
              <w:t xml:space="preserve">Number of </w:t>
            </w:r>
            <w:r w:rsidR="00083423">
              <w:rPr>
                <w:b/>
                <w:bCs/>
              </w:rPr>
              <w:t>w</w:t>
            </w:r>
            <w:r w:rsidR="00E44E72">
              <w:rPr>
                <w:b/>
                <w:bCs/>
              </w:rPr>
              <w:t>aste</w:t>
            </w:r>
            <w:r w:rsidR="00083423">
              <w:rPr>
                <w:b/>
                <w:bCs/>
              </w:rPr>
              <w:t>water</w:t>
            </w:r>
            <w:r w:rsidRPr="009254DD">
              <w:rPr>
                <w:b/>
                <w:bCs/>
              </w:rPr>
              <w:t xml:space="preserve"> </w:t>
            </w:r>
            <w:r w:rsidR="002142E2">
              <w:rPr>
                <w:b/>
                <w:bCs/>
              </w:rPr>
              <w:t>plants</w:t>
            </w:r>
            <w:r w:rsidRPr="009254DD">
              <w:rPr>
                <w:b/>
                <w:bCs/>
              </w:rPr>
              <w:t xml:space="preserve"> where the sample mean &gt;62.5% of the compliance value</w:t>
            </w:r>
            <w:r w:rsidR="009613D6">
              <w:rPr>
                <w:b/>
                <w:bCs/>
              </w:rPr>
              <w:t xml:space="preserve"> based on the summer seasonal limit</w:t>
            </w:r>
          </w:p>
        </w:tc>
        <w:tc>
          <w:tcPr>
            <w:tcW w:w="772" w:type="pct"/>
          </w:tcPr>
          <w:p w14:paraId="033EE170" w14:textId="5BD3E922" w:rsidR="00940E3A" w:rsidRPr="009254DD" w:rsidRDefault="001D1117" w:rsidP="009254DD">
            <w:pPr>
              <w:pStyle w:val="Bodyromannumerals"/>
              <w:rPr>
                <w:b/>
                <w:bCs/>
                <w:bdr w:val="single" w:sz="4" w:space="0" w:color="auto"/>
              </w:rPr>
            </w:pPr>
            <w:r w:rsidRPr="009254DD">
              <w:rPr>
                <w:b/>
                <w:bCs/>
              </w:rPr>
              <w:t>Nr.</w:t>
            </w:r>
          </w:p>
        </w:tc>
      </w:tr>
      <w:tr w:rsidR="00940E3A" w:rsidRPr="00A83F00" w14:paraId="4681A9CA"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2B59A132" w14:textId="77777777" w:rsidR="00940E3A" w:rsidRPr="006D389B" w:rsidRDefault="00940E3A" w:rsidP="009254DD">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134FD8B1" w14:textId="41C30F57" w:rsidR="00940E3A" w:rsidRDefault="00940E3A" w:rsidP="009254DD">
            <w:pPr>
              <w:pStyle w:val="Bodyromannumerals"/>
            </w:pPr>
            <w:r w:rsidRPr="00ED4310">
              <w:t xml:space="preserve">Number of </w:t>
            </w:r>
            <w:r w:rsidR="00083423">
              <w:t>wastewater</w:t>
            </w:r>
            <w:r w:rsidRPr="00ED4310">
              <w:t xml:space="preserve"> </w:t>
            </w:r>
            <w:r w:rsidR="00A23234">
              <w:t>treatment plants</w:t>
            </w:r>
            <w:r w:rsidR="00A23234" w:rsidRPr="00ED4310">
              <w:t xml:space="preserve"> </w:t>
            </w:r>
            <w:r w:rsidRPr="00ED4310">
              <w:t>where the sample mean for BOD, taken over the reporting period, exceeds 62.5% of the 95%ile compliance value</w:t>
            </w:r>
            <w:r w:rsidR="009613D6">
              <w:t xml:space="preserve"> based on the summer seasonal limit</w:t>
            </w:r>
            <w:r w:rsidRPr="00ED4310">
              <w:t xml:space="preserve">. </w:t>
            </w:r>
          </w:p>
          <w:p w14:paraId="2889B8C2" w14:textId="5822907B" w:rsidR="00ED1BE1" w:rsidRPr="00A83F00" w:rsidRDefault="00ED1BE1" w:rsidP="009254DD">
            <w:pPr>
              <w:pStyle w:val="Bodyromannumerals"/>
            </w:pPr>
          </w:p>
        </w:tc>
      </w:tr>
      <w:tr w:rsidR="00940E3A" w:rsidRPr="00A83F00" w14:paraId="2351717B"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5B96E0" w14:textId="77777777" w:rsidR="00940E3A" w:rsidRPr="006D389B" w:rsidRDefault="00940E3A" w:rsidP="009254DD">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B8102E" w14:textId="77777777" w:rsidR="00940E3A" w:rsidRPr="00A83F00" w:rsidRDefault="00940E3A" w:rsidP="009254DD">
            <w:pPr>
              <w:pStyle w:val="Bodyromannumerals"/>
            </w:pPr>
            <w:r>
              <w:t>Input field</w:t>
            </w:r>
          </w:p>
        </w:tc>
      </w:tr>
    </w:tbl>
    <w:p w14:paraId="79D6310B" w14:textId="77777777" w:rsidR="00D56195" w:rsidRDefault="00D56195"/>
    <w:p w14:paraId="26898A27" w14:textId="77777777" w:rsidR="00F2362C" w:rsidRDefault="00F2362C">
      <w:r>
        <w:br w:type="page"/>
      </w:r>
    </w:p>
    <w:tbl>
      <w:tblPr>
        <w:tblW w:w="5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6"/>
        <w:gridCol w:w="683"/>
        <w:gridCol w:w="4565"/>
        <w:gridCol w:w="1166"/>
        <w:gridCol w:w="232"/>
        <w:gridCol w:w="991"/>
      </w:tblGrid>
      <w:tr w:rsidR="00D56195" w:rsidRPr="009254DD" w14:paraId="1C3ABA52" w14:textId="77777777" w:rsidTr="00F2362C">
        <w:trPr>
          <w:gridAfter w:val="2"/>
          <w:wAfter w:w="696" w:type="pct"/>
        </w:trPr>
        <w:tc>
          <w:tcPr>
            <w:tcW w:w="652" w:type="pct"/>
            <w:gridSpan w:val="2"/>
          </w:tcPr>
          <w:p w14:paraId="29245A53" w14:textId="2D5EBD1B" w:rsidR="00D56195" w:rsidRPr="009254DD" w:rsidRDefault="00D56195" w:rsidP="00307604">
            <w:pPr>
              <w:pStyle w:val="Bodyromannumerals"/>
              <w:rPr>
                <w:b/>
                <w:bCs/>
              </w:rPr>
            </w:pPr>
            <w:r w:rsidRPr="009254DD">
              <w:rPr>
                <w:b/>
                <w:bCs/>
              </w:rPr>
              <w:t>C5.3</w:t>
            </w:r>
            <w:r>
              <w:rPr>
                <w:b/>
                <w:bCs/>
              </w:rPr>
              <w:t>b</w:t>
            </w:r>
          </w:p>
        </w:tc>
        <w:tc>
          <w:tcPr>
            <w:tcW w:w="2988" w:type="pct"/>
            <w:gridSpan w:val="2"/>
          </w:tcPr>
          <w:p w14:paraId="72A9E835" w14:textId="11EE721C" w:rsidR="00D56195" w:rsidRPr="009254DD" w:rsidRDefault="00D56195" w:rsidP="00307604">
            <w:pPr>
              <w:pStyle w:val="Bodyromannumerals"/>
              <w:rPr>
                <w:b/>
                <w:bCs/>
                <w:bdr w:val="single" w:sz="4" w:space="0" w:color="auto"/>
              </w:rPr>
            </w:pPr>
            <w:r w:rsidRPr="009254DD">
              <w:rPr>
                <w:b/>
                <w:bCs/>
              </w:rPr>
              <w:t xml:space="preserve">Number of </w:t>
            </w:r>
            <w:r>
              <w:rPr>
                <w:b/>
                <w:bCs/>
              </w:rPr>
              <w:t>wastewater</w:t>
            </w:r>
            <w:r w:rsidRPr="009254DD">
              <w:rPr>
                <w:b/>
                <w:bCs/>
              </w:rPr>
              <w:t xml:space="preserve"> </w:t>
            </w:r>
            <w:r>
              <w:rPr>
                <w:b/>
                <w:bCs/>
              </w:rPr>
              <w:t>plants</w:t>
            </w:r>
            <w:r w:rsidRPr="009254DD">
              <w:rPr>
                <w:b/>
                <w:bCs/>
              </w:rPr>
              <w:t xml:space="preserve"> where the sample mean &gt;62.5% of the compliance </w:t>
            </w:r>
            <w:r w:rsidRPr="009613D6">
              <w:rPr>
                <w:b/>
                <w:bCs/>
              </w:rPr>
              <w:t>value</w:t>
            </w:r>
            <w:r w:rsidR="009613D6" w:rsidRPr="009613D6">
              <w:rPr>
                <w:b/>
                <w:bCs/>
              </w:rPr>
              <w:t xml:space="preserve"> </w:t>
            </w:r>
            <w:r w:rsidR="009613D6" w:rsidRPr="007013F6">
              <w:rPr>
                <w:b/>
                <w:bCs/>
              </w:rPr>
              <w:t>based on the winter seasonal limit</w:t>
            </w:r>
            <w:r w:rsidR="000C02C4">
              <w:rPr>
                <w:b/>
                <w:bCs/>
              </w:rPr>
              <w:t xml:space="preserve"> (if different)</w:t>
            </w:r>
          </w:p>
        </w:tc>
        <w:tc>
          <w:tcPr>
            <w:tcW w:w="664" w:type="pct"/>
          </w:tcPr>
          <w:p w14:paraId="7B3E3316" w14:textId="77777777" w:rsidR="00D56195" w:rsidRPr="009254DD" w:rsidRDefault="00D56195" w:rsidP="00307604">
            <w:pPr>
              <w:pStyle w:val="Bodyromannumerals"/>
              <w:rPr>
                <w:b/>
                <w:bCs/>
                <w:bdr w:val="single" w:sz="4" w:space="0" w:color="auto"/>
              </w:rPr>
            </w:pPr>
            <w:r w:rsidRPr="009254DD">
              <w:rPr>
                <w:b/>
                <w:bCs/>
              </w:rPr>
              <w:t>Nr.</w:t>
            </w:r>
          </w:p>
        </w:tc>
      </w:tr>
      <w:tr w:rsidR="00D56195" w:rsidRPr="00A83F00" w14:paraId="69D6D226" w14:textId="77777777" w:rsidTr="00F2362C">
        <w:tblPrEx>
          <w:tblLook w:val="04A0" w:firstRow="1" w:lastRow="0" w:firstColumn="1" w:lastColumn="0" w:noHBand="0" w:noVBand="1"/>
        </w:tblPrEx>
        <w:trPr>
          <w:gridAfter w:val="2"/>
          <w:wAfter w:w="696" w:type="pct"/>
        </w:trPr>
        <w:tc>
          <w:tcPr>
            <w:tcW w:w="1041" w:type="pct"/>
            <w:gridSpan w:val="3"/>
            <w:tcBorders>
              <w:left w:val="single" w:sz="4" w:space="0" w:color="FFFFFF" w:themeColor="background1"/>
              <w:bottom w:val="single" w:sz="4" w:space="0" w:color="FFFFFF" w:themeColor="background1"/>
              <w:right w:val="single" w:sz="4" w:space="0" w:color="FFFFFF" w:themeColor="background1"/>
            </w:tcBorders>
          </w:tcPr>
          <w:p w14:paraId="140AA1DA" w14:textId="77777777" w:rsidR="00D56195" w:rsidRPr="006D389B" w:rsidRDefault="00D56195" w:rsidP="00307604">
            <w:pPr>
              <w:pStyle w:val="Bodyromannumerals"/>
              <w:rPr>
                <w:bCs/>
                <w:i/>
              </w:rPr>
            </w:pPr>
            <w:r w:rsidRPr="006D389B">
              <w:rPr>
                <w:bCs/>
                <w:i/>
              </w:rPr>
              <w:t>Definition:</w:t>
            </w:r>
          </w:p>
        </w:tc>
        <w:tc>
          <w:tcPr>
            <w:tcW w:w="3263" w:type="pct"/>
            <w:gridSpan w:val="2"/>
            <w:tcBorders>
              <w:left w:val="single" w:sz="4" w:space="0" w:color="FFFFFF" w:themeColor="background1"/>
              <w:bottom w:val="single" w:sz="4" w:space="0" w:color="FFFFFF" w:themeColor="background1"/>
              <w:right w:val="single" w:sz="4" w:space="0" w:color="FFFFFF" w:themeColor="background1"/>
            </w:tcBorders>
          </w:tcPr>
          <w:p w14:paraId="313BC257" w14:textId="02176463" w:rsidR="00D56195" w:rsidRDefault="00D56195" w:rsidP="00424D4B">
            <w:pPr>
              <w:pStyle w:val="Bodyromannumerals"/>
            </w:pPr>
            <w:r w:rsidRPr="00ED4310">
              <w:t xml:space="preserve">Number of </w:t>
            </w:r>
            <w:r>
              <w:t>wastewater</w:t>
            </w:r>
            <w:r w:rsidRPr="00ED4310">
              <w:t xml:space="preserve"> </w:t>
            </w:r>
            <w:r>
              <w:t>treatment plants</w:t>
            </w:r>
            <w:r w:rsidRPr="00ED4310">
              <w:t xml:space="preserve"> where the sample mean for BOD, taken over the reporting period, exceeds 62.5% of the 95%ile compliance value</w:t>
            </w:r>
            <w:r w:rsidR="009613D6">
              <w:t xml:space="preserve"> based on the winter seasonal limit</w:t>
            </w:r>
            <w:r w:rsidR="00B95F44">
              <w:t xml:space="preserve"> (if different)</w:t>
            </w:r>
            <w:r w:rsidRPr="00ED4310">
              <w:t xml:space="preserve">. </w:t>
            </w:r>
          </w:p>
          <w:p w14:paraId="76EFD54D" w14:textId="769D4F8A" w:rsidR="00D56195" w:rsidRPr="00A83F00" w:rsidRDefault="00FC42CF" w:rsidP="00307604">
            <w:pPr>
              <w:pStyle w:val="Bodyromannumerals"/>
            </w:pPr>
            <w:r>
              <w:t xml:space="preserve">If the same consent limit applies all year, then report this line as 0 and provide an explanation in the commentary. </w:t>
            </w:r>
          </w:p>
        </w:tc>
      </w:tr>
      <w:tr w:rsidR="00D56195" w:rsidRPr="00A83F00" w14:paraId="61E7C1A5" w14:textId="77777777" w:rsidTr="00F2362C">
        <w:tblPrEx>
          <w:tblLook w:val="04A0" w:firstRow="1" w:lastRow="0" w:firstColumn="1" w:lastColumn="0" w:noHBand="0" w:noVBand="1"/>
        </w:tblPrEx>
        <w:trPr>
          <w:gridAfter w:val="2"/>
          <w:wAfter w:w="696" w:type="pct"/>
        </w:trPr>
        <w:tc>
          <w:tcPr>
            <w:tcW w:w="1041"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48DA49" w14:textId="77777777" w:rsidR="00D56195" w:rsidRPr="006D389B" w:rsidRDefault="00D56195" w:rsidP="00307604">
            <w:pPr>
              <w:pStyle w:val="Bodyromannumerals"/>
              <w:rPr>
                <w:bCs/>
                <w:i/>
              </w:rPr>
            </w:pPr>
            <w:r w:rsidRPr="006D389B">
              <w:rPr>
                <w:bCs/>
                <w:i/>
              </w:rPr>
              <w:t>Processing rules:</w:t>
            </w:r>
          </w:p>
        </w:tc>
        <w:tc>
          <w:tcPr>
            <w:tcW w:w="326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EB2499" w14:textId="77777777" w:rsidR="00D56195" w:rsidRPr="00A83F00" w:rsidRDefault="00D56195" w:rsidP="00307604">
            <w:pPr>
              <w:pStyle w:val="Bodyromannumerals"/>
            </w:pPr>
            <w:r>
              <w:t>Input field</w:t>
            </w:r>
          </w:p>
        </w:tc>
      </w:tr>
      <w:tr w:rsidR="00EE643A" w:rsidRPr="006466B5" w14:paraId="08481628" w14:textId="77777777" w:rsidTr="00F2362C">
        <w:trPr>
          <w:gridAfter w:val="1"/>
          <w:wAfter w:w="564" w:type="pct"/>
        </w:trPr>
        <w:tc>
          <w:tcPr>
            <w:tcW w:w="652" w:type="pct"/>
            <w:gridSpan w:val="2"/>
            <w:tcBorders>
              <w:top w:val="single" w:sz="4" w:space="0" w:color="auto"/>
            </w:tcBorders>
          </w:tcPr>
          <w:p w14:paraId="6D665D27" w14:textId="7E093F4E" w:rsidR="00EE643A" w:rsidRPr="009254DD" w:rsidRDefault="00EE643A" w:rsidP="00EE643A">
            <w:pPr>
              <w:pStyle w:val="Bodyromannumerals"/>
              <w:rPr>
                <w:b/>
                <w:bCs/>
                <w:szCs w:val="22"/>
              </w:rPr>
            </w:pPr>
            <w:r w:rsidRPr="009254DD">
              <w:rPr>
                <w:b/>
                <w:bCs/>
                <w:szCs w:val="22"/>
              </w:rPr>
              <w:t>C5.</w:t>
            </w:r>
            <w:r w:rsidR="00C0039F">
              <w:rPr>
                <w:b/>
                <w:bCs/>
                <w:szCs w:val="22"/>
              </w:rPr>
              <w:t>4</w:t>
            </w:r>
          </w:p>
        </w:tc>
        <w:tc>
          <w:tcPr>
            <w:tcW w:w="2988" w:type="pct"/>
            <w:gridSpan w:val="2"/>
            <w:tcBorders>
              <w:top w:val="single" w:sz="4" w:space="0" w:color="auto"/>
            </w:tcBorders>
          </w:tcPr>
          <w:p w14:paraId="17425450" w14:textId="43CE9915" w:rsidR="00EE643A" w:rsidRPr="009254DD" w:rsidRDefault="00EE643A" w:rsidP="00EE643A">
            <w:pPr>
              <w:pStyle w:val="Bodyromannumerals"/>
              <w:rPr>
                <w:b/>
                <w:bCs/>
                <w:szCs w:val="22"/>
                <w:bdr w:val="single" w:sz="4" w:space="0" w:color="auto"/>
              </w:rPr>
            </w:pPr>
            <w:r w:rsidRPr="009254DD">
              <w:rPr>
                <w:b/>
                <w:bCs/>
                <w:szCs w:val="22"/>
              </w:rPr>
              <w:t xml:space="preserve">Number of </w:t>
            </w:r>
            <w:r>
              <w:rPr>
                <w:b/>
                <w:bCs/>
                <w:szCs w:val="22"/>
              </w:rPr>
              <w:t>wastewater</w:t>
            </w:r>
            <w:r w:rsidRPr="009254DD">
              <w:rPr>
                <w:b/>
                <w:bCs/>
                <w:szCs w:val="22"/>
              </w:rPr>
              <w:t xml:space="preserve"> </w:t>
            </w:r>
            <w:r>
              <w:rPr>
                <w:b/>
                <w:bCs/>
                <w:szCs w:val="22"/>
              </w:rPr>
              <w:t>plants</w:t>
            </w:r>
            <w:r w:rsidRPr="009254DD">
              <w:rPr>
                <w:b/>
                <w:bCs/>
                <w:szCs w:val="22"/>
              </w:rPr>
              <w:t xml:space="preserve"> where the sample mean</w:t>
            </w:r>
            <w:r w:rsidR="007662BD">
              <w:rPr>
                <w:b/>
                <w:bCs/>
                <w:szCs w:val="22"/>
              </w:rPr>
              <w:t xml:space="preserve"> </w:t>
            </w:r>
            <w:r w:rsidRPr="009254DD">
              <w:rPr>
                <w:b/>
                <w:bCs/>
                <w:szCs w:val="22"/>
              </w:rPr>
              <w:t>&lt;=</w:t>
            </w:r>
            <w:r w:rsidR="00F55C7B">
              <w:rPr>
                <w:b/>
                <w:bCs/>
                <w:szCs w:val="22"/>
              </w:rPr>
              <w:t>62.5</w:t>
            </w:r>
            <w:r w:rsidRPr="009254DD">
              <w:rPr>
                <w:b/>
                <w:bCs/>
                <w:szCs w:val="22"/>
              </w:rPr>
              <w:t>% of the compliance value</w:t>
            </w:r>
            <w:r w:rsidR="009613D6">
              <w:rPr>
                <w:b/>
                <w:bCs/>
                <w:szCs w:val="22"/>
              </w:rPr>
              <w:t xml:space="preserve"> based on the summer seasonal limit</w:t>
            </w:r>
            <w:r w:rsidR="007A23C9">
              <w:rPr>
                <w:b/>
                <w:bCs/>
                <w:szCs w:val="22"/>
              </w:rPr>
              <w:t xml:space="preserve"> </w:t>
            </w:r>
          </w:p>
        </w:tc>
        <w:tc>
          <w:tcPr>
            <w:tcW w:w="796" w:type="pct"/>
            <w:gridSpan w:val="2"/>
            <w:tcBorders>
              <w:top w:val="single" w:sz="4" w:space="0" w:color="auto"/>
            </w:tcBorders>
          </w:tcPr>
          <w:p w14:paraId="66A94EFC" w14:textId="68E2F240" w:rsidR="00EE643A" w:rsidRPr="009254DD" w:rsidRDefault="00EE643A" w:rsidP="00EE643A">
            <w:pPr>
              <w:pStyle w:val="Bodyromannumerals"/>
              <w:rPr>
                <w:b/>
                <w:bCs/>
                <w:bdr w:val="single" w:sz="4" w:space="0" w:color="auto"/>
              </w:rPr>
            </w:pPr>
            <w:r w:rsidRPr="009254DD">
              <w:rPr>
                <w:b/>
                <w:bCs/>
              </w:rPr>
              <w:t>Nr.</w:t>
            </w:r>
          </w:p>
        </w:tc>
      </w:tr>
      <w:tr w:rsidR="00EE643A" w:rsidRPr="00A83F00" w14:paraId="6EA4B29D" w14:textId="77777777" w:rsidTr="00F2362C">
        <w:tblPrEx>
          <w:tblLook w:val="04A0" w:firstRow="1" w:lastRow="0" w:firstColumn="1" w:lastColumn="0" w:noHBand="0" w:noVBand="1"/>
        </w:tblPrEx>
        <w:trPr>
          <w:gridAfter w:val="1"/>
          <w:wAfter w:w="564" w:type="pct"/>
        </w:trPr>
        <w:tc>
          <w:tcPr>
            <w:tcW w:w="643" w:type="pct"/>
            <w:tcBorders>
              <w:left w:val="single" w:sz="4" w:space="0" w:color="FFFFFF" w:themeColor="background1"/>
              <w:bottom w:val="single" w:sz="4" w:space="0" w:color="FFFFFF" w:themeColor="background1"/>
              <w:right w:val="single" w:sz="4" w:space="0" w:color="FFFFFF" w:themeColor="background1"/>
            </w:tcBorders>
          </w:tcPr>
          <w:p w14:paraId="5086B2A1" w14:textId="77777777" w:rsidR="00EE643A" w:rsidRPr="006D389B" w:rsidRDefault="00EE643A" w:rsidP="00EE643A">
            <w:pPr>
              <w:pStyle w:val="Bodyromannumerals"/>
              <w:rPr>
                <w:i/>
                <w:iCs/>
              </w:rPr>
            </w:pPr>
            <w:r w:rsidRPr="006D389B">
              <w:rPr>
                <w:i/>
                <w:iCs/>
              </w:rPr>
              <w:t>Definition:</w:t>
            </w:r>
          </w:p>
        </w:tc>
        <w:tc>
          <w:tcPr>
            <w:tcW w:w="3793" w:type="pct"/>
            <w:gridSpan w:val="5"/>
            <w:tcBorders>
              <w:left w:val="single" w:sz="4" w:space="0" w:color="FFFFFF" w:themeColor="background1"/>
              <w:bottom w:val="single" w:sz="4" w:space="0" w:color="FFFFFF" w:themeColor="background1"/>
              <w:right w:val="single" w:sz="4" w:space="0" w:color="FFFFFF" w:themeColor="background1"/>
            </w:tcBorders>
          </w:tcPr>
          <w:p w14:paraId="5A7FA9DF" w14:textId="3C46C201" w:rsidR="00EE643A" w:rsidRPr="00A83F00" w:rsidRDefault="00EE643A" w:rsidP="00EE643A">
            <w:pPr>
              <w:pStyle w:val="Bodyromannumerals"/>
            </w:pPr>
            <w:r w:rsidRPr="00992BD4">
              <w:t xml:space="preserve">Number of </w:t>
            </w:r>
            <w:r>
              <w:t>wastewater</w:t>
            </w:r>
            <w:r w:rsidRPr="00992BD4">
              <w:t xml:space="preserve"> </w:t>
            </w:r>
            <w:r>
              <w:t>treatment plants</w:t>
            </w:r>
            <w:r w:rsidRPr="00992BD4">
              <w:t xml:space="preserve"> where the sample mean for BOD, taken over the reporting period, is less than or equal to </w:t>
            </w:r>
            <w:r w:rsidR="00C0039F">
              <w:t>62.5</w:t>
            </w:r>
            <w:r w:rsidRPr="00992BD4">
              <w:t>% of the 95%ile compliance value</w:t>
            </w:r>
            <w:r w:rsidR="009613D6">
              <w:t xml:space="preserve"> based on the summer seasonal limit</w:t>
            </w:r>
            <w:r w:rsidRPr="00992BD4">
              <w:t xml:space="preserve">. </w:t>
            </w:r>
          </w:p>
        </w:tc>
      </w:tr>
      <w:tr w:rsidR="00EE643A" w:rsidRPr="00A83F00" w14:paraId="5CA86473" w14:textId="77777777" w:rsidTr="00F2362C">
        <w:tblPrEx>
          <w:tblLook w:val="04A0" w:firstRow="1" w:lastRow="0" w:firstColumn="1" w:lastColumn="0" w:noHBand="0" w:noVBand="1"/>
        </w:tblPrEx>
        <w:trPr>
          <w:gridAfter w:val="1"/>
          <w:wAfter w:w="564" w:type="pct"/>
        </w:trPr>
        <w:tc>
          <w:tcPr>
            <w:tcW w:w="6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6532BD" w14:textId="77777777" w:rsidR="00EE643A" w:rsidRPr="006D389B" w:rsidRDefault="00EE643A" w:rsidP="00EE643A">
            <w:pPr>
              <w:pStyle w:val="Bodyromannumerals"/>
              <w:rPr>
                <w:i/>
                <w:iCs/>
              </w:rPr>
            </w:pPr>
            <w:r w:rsidRPr="006D389B">
              <w:rPr>
                <w:i/>
                <w:iCs/>
              </w:rPr>
              <w:t>Processing rules:</w:t>
            </w:r>
          </w:p>
        </w:tc>
        <w:tc>
          <w:tcPr>
            <w:tcW w:w="3793"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584052" w14:textId="77777777" w:rsidR="00EE643A" w:rsidRPr="00A83F00" w:rsidRDefault="00EE643A" w:rsidP="00EE643A">
            <w:pPr>
              <w:pStyle w:val="Bodyromannumerals"/>
            </w:pPr>
            <w:r>
              <w:t>Input field</w:t>
            </w:r>
          </w:p>
        </w:tc>
      </w:tr>
      <w:tr w:rsidR="00EE643A" w:rsidRPr="00A83F00" w14:paraId="25AF7327" w14:textId="4A4DBA40" w:rsidTr="00F2362C">
        <w:tblPrEx>
          <w:tblLook w:val="04A0" w:firstRow="1" w:lastRow="0" w:firstColumn="1" w:lastColumn="0" w:noHBand="0" w:noVBand="1"/>
        </w:tblPrEx>
        <w:tc>
          <w:tcPr>
            <w:tcW w:w="643" w:type="pct"/>
            <w:tcBorders>
              <w:top w:val="single" w:sz="4" w:space="0" w:color="auto"/>
              <w:left w:val="single" w:sz="4" w:space="0" w:color="auto"/>
              <w:bottom w:val="single" w:sz="4" w:space="0" w:color="auto"/>
              <w:right w:val="single" w:sz="4" w:space="0" w:color="auto"/>
            </w:tcBorders>
          </w:tcPr>
          <w:p w14:paraId="253AD02C" w14:textId="2D61D9DF" w:rsidR="00EE643A" w:rsidRPr="007013F6" w:rsidRDefault="00EE643A" w:rsidP="00EE643A">
            <w:pPr>
              <w:pStyle w:val="Bodyromannumerals"/>
              <w:rPr>
                <w:b/>
                <w:szCs w:val="22"/>
              </w:rPr>
            </w:pPr>
            <w:r w:rsidRPr="009254DD">
              <w:rPr>
                <w:b/>
                <w:bCs/>
                <w:szCs w:val="22"/>
              </w:rPr>
              <w:t>C5.</w:t>
            </w:r>
            <w:r w:rsidR="00C0039F">
              <w:rPr>
                <w:b/>
                <w:bCs/>
                <w:szCs w:val="22"/>
              </w:rPr>
              <w:t>4b</w:t>
            </w:r>
          </w:p>
        </w:tc>
        <w:tc>
          <w:tcPr>
            <w:tcW w:w="3793" w:type="pct"/>
            <w:gridSpan w:val="5"/>
            <w:tcBorders>
              <w:top w:val="single" w:sz="4" w:space="0" w:color="auto"/>
              <w:left w:val="single" w:sz="4" w:space="0" w:color="auto"/>
              <w:bottom w:val="single" w:sz="4" w:space="0" w:color="auto"/>
              <w:right w:val="single" w:sz="4" w:space="0" w:color="auto"/>
            </w:tcBorders>
          </w:tcPr>
          <w:p w14:paraId="5C50E008" w14:textId="1DF01236" w:rsidR="00EE643A" w:rsidRPr="007013F6" w:rsidRDefault="00EE643A" w:rsidP="00EE643A">
            <w:pPr>
              <w:pStyle w:val="Bodyromannumerals"/>
              <w:rPr>
                <w:b/>
                <w:szCs w:val="22"/>
              </w:rPr>
            </w:pPr>
            <w:r w:rsidRPr="009254DD">
              <w:rPr>
                <w:b/>
                <w:bCs/>
                <w:szCs w:val="22"/>
              </w:rPr>
              <w:t xml:space="preserve">Number of </w:t>
            </w:r>
            <w:r>
              <w:rPr>
                <w:b/>
                <w:bCs/>
                <w:szCs w:val="22"/>
              </w:rPr>
              <w:t>wastewater</w:t>
            </w:r>
            <w:r w:rsidRPr="009254DD">
              <w:rPr>
                <w:b/>
                <w:bCs/>
                <w:szCs w:val="22"/>
              </w:rPr>
              <w:t xml:space="preserve"> </w:t>
            </w:r>
            <w:r>
              <w:rPr>
                <w:b/>
                <w:bCs/>
                <w:szCs w:val="22"/>
              </w:rPr>
              <w:t>plants</w:t>
            </w:r>
            <w:r w:rsidRPr="009254DD">
              <w:rPr>
                <w:b/>
                <w:bCs/>
                <w:szCs w:val="22"/>
              </w:rPr>
              <w:t xml:space="preserve"> where the sample mean</w:t>
            </w:r>
            <w:r w:rsidR="001A1F13">
              <w:rPr>
                <w:b/>
                <w:bCs/>
                <w:szCs w:val="22"/>
              </w:rPr>
              <w:t xml:space="preserve"> </w:t>
            </w:r>
            <w:r w:rsidRPr="009254DD">
              <w:rPr>
                <w:b/>
                <w:bCs/>
                <w:szCs w:val="22"/>
              </w:rPr>
              <w:t>&lt;=</w:t>
            </w:r>
            <w:r w:rsidR="0068358B">
              <w:rPr>
                <w:b/>
                <w:bCs/>
                <w:szCs w:val="22"/>
              </w:rPr>
              <w:t>62.5</w:t>
            </w:r>
            <w:r w:rsidRPr="009254DD">
              <w:rPr>
                <w:b/>
                <w:bCs/>
                <w:szCs w:val="22"/>
              </w:rPr>
              <w:t>% of the compliance value</w:t>
            </w:r>
            <w:r w:rsidR="009613D6">
              <w:rPr>
                <w:b/>
                <w:bCs/>
                <w:szCs w:val="22"/>
              </w:rPr>
              <w:t xml:space="preserve"> based on the winter seasonal limit</w:t>
            </w:r>
            <w:r w:rsidR="007A23C9">
              <w:rPr>
                <w:b/>
                <w:bCs/>
                <w:szCs w:val="22"/>
              </w:rPr>
              <w:t xml:space="preserve"> (if different)</w:t>
            </w:r>
          </w:p>
        </w:tc>
        <w:tc>
          <w:tcPr>
            <w:tcW w:w="564" w:type="pct"/>
            <w:tcBorders>
              <w:top w:val="single" w:sz="4" w:space="0" w:color="auto"/>
              <w:left w:val="single" w:sz="4" w:space="0" w:color="auto"/>
              <w:bottom w:val="single" w:sz="4" w:space="0" w:color="auto"/>
            </w:tcBorders>
          </w:tcPr>
          <w:p w14:paraId="22EEF860" w14:textId="323BC7B6" w:rsidR="00EE643A" w:rsidRPr="007013F6" w:rsidRDefault="00EE643A" w:rsidP="00EE643A">
            <w:pPr>
              <w:spacing w:after="160" w:line="259" w:lineRule="auto"/>
              <w:rPr>
                <w:rFonts w:ascii="Calibri" w:hAnsi="Calibri" w:cs="Calibri"/>
                <w:b/>
                <w:sz w:val="21"/>
              </w:rPr>
            </w:pPr>
            <w:r w:rsidRPr="007013F6">
              <w:rPr>
                <w:rFonts w:ascii="Calibri" w:hAnsi="Calibri" w:cs="Calibri"/>
                <w:b/>
                <w:sz w:val="21"/>
              </w:rPr>
              <w:t>Nr.</w:t>
            </w:r>
          </w:p>
        </w:tc>
      </w:tr>
      <w:tr w:rsidR="00EE643A" w:rsidRPr="00A83F00" w14:paraId="461C919D" w14:textId="77777777" w:rsidTr="00F2362C">
        <w:tblPrEx>
          <w:tblLook w:val="04A0" w:firstRow="1" w:lastRow="0" w:firstColumn="1" w:lastColumn="0" w:noHBand="0" w:noVBand="1"/>
        </w:tblPrEx>
        <w:trPr>
          <w:gridAfter w:val="1"/>
          <w:wAfter w:w="564" w:type="pct"/>
        </w:trPr>
        <w:tc>
          <w:tcPr>
            <w:tcW w:w="6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E1720A" w14:textId="3A6955AD" w:rsidR="00EE643A" w:rsidRPr="006D389B" w:rsidRDefault="00EE643A" w:rsidP="00EE643A">
            <w:pPr>
              <w:pStyle w:val="Bodyromannumerals"/>
              <w:rPr>
                <w:i/>
                <w:iCs/>
              </w:rPr>
            </w:pPr>
            <w:r w:rsidRPr="006D389B">
              <w:rPr>
                <w:i/>
                <w:iCs/>
              </w:rPr>
              <w:t>Definition:</w:t>
            </w:r>
          </w:p>
        </w:tc>
        <w:tc>
          <w:tcPr>
            <w:tcW w:w="3793"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2C9718" w14:textId="1DF76A90" w:rsidR="00FE4166" w:rsidRPr="00FE4166" w:rsidRDefault="00EE643A" w:rsidP="00FE4166">
            <w:pPr>
              <w:pStyle w:val="Bodyromannumerals"/>
            </w:pPr>
            <w:r w:rsidRPr="00992BD4">
              <w:t xml:space="preserve">Number of </w:t>
            </w:r>
            <w:r>
              <w:t>wastewater</w:t>
            </w:r>
            <w:r w:rsidRPr="00992BD4">
              <w:t xml:space="preserve"> </w:t>
            </w:r>
            <w:r>
              <w:t>treatment plants</w:t>
            </w:r>
            <w:r w:rsidRPr="00992BD4">
              <w:t xml:space="preserve"> where the sample mean for BOD, taken over the reporting period, is less than or equal to </w:t>
            </w:r>
            <w:r w:rsidR="00C0039F">
              <w:t>62.5</w:t>
            </w:r>
            <w:r w:rsidRPr="00992BD4">
              <w:t>% of the 95%ile compliance value</w:t>
            </w:r>
            <w:r w:rsidR="009613D6">
              <w:t xml:space="preserve"> based on the winter seasonal limit</w:t>
            </w:r>
            <w:r w:rsidRPr="00992BD4">
              <w:t>. This corresponds to a Green risk.</w:t>
            </w:r>
          </w:p>
          <w:p w14:paraId="21E0BF6E" w14:textId="3F604194" w:rsidR="00EE643A" w:rsidRDefault="007A23C9" w:rsidP="00EE643A">
            <w:pPr>
              <w:pStyle w:val="Bodyromannumerals"/>
            </w:pPr>
            <w:r>
              <w:t xml:space="preserve">If the same consent limit applies all year, then </w:t>
            </w:r>
            <w:r w:rsidR="00E5788A">
              <w:t xml:space="preserve">report this line as 0 and provide an explanation in the commentary. </w:t>
            </w:r>
          </w:p>
        </w:tc>
      </w:tr>
      <w:tr w:rsidR="00EE643A" w:rsidRPr="00A83F00" w14:paraId="552C258E" w14:textId="77777777" w:rsidTr="00F2362C">
        <w:tblPrEx>
          <w:tblLook w:val="04A0" w:firstRow="1" w:lastRow="0" w:firstColumn="1" w:lastColumn="0" w:noHBand="0" w:noVBand="1"/>
        </w:tblPrEx>
        <w:trPr>
          <w:gridAfter w:val="1"/>
          <w:wAfter w:w="564" w:type="pct"/>
        </w:trPr>
        <w:tc>
          <w:tcPr>
            <w:tcW w:w="6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0B05C8" w14:textId="312126CB" w:rsidR="00EE643A" w:rsidRPr="006D389B" w:rsidRDefault="00EE643A" w:rsidP="00EE643A">
            <w:pPr>
              <w:pStyle w:val="Bodyromannumerals"/>
              <w:rPr>
                <w:i/>
                <w:iCs/>
              </w:rPr>
            </w:pPr>
            <w:r w:rsidRPr="006D389B">
              <w:rPr>
                <w:i/>
                <w:iCs/>
              </w:rPr>
              <w:t>Processing rules:</w:t>
            </w:r>
          </w:p>
        </w:tc>
        <w:tc>
          <w:tcPr>
            <w:tcW w:w="3793"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E9AA04" w14:textId="5FDA1648" w:rsidR="00EE643A" w:rsidRDefault="00EE643A" w:rsidP="00EE643A">
            <w:pPr>
              <w:pStyle w:val="Bodyromannumerals"/>
            </w:pPr>
            <w:r>
              <w:t>Input field</w:t>
            </w:r>
          </w:p>
        </w:tc>
      </w:tr>
    </w:tbl>
    <w:p w14:paraId="432287BD" w14:textId="77777777" w:rsidR="00940E3A" w:rsidRPr="008456AD" w:rsidRDefault="00940E3A" w:rsidP="009254DD">
      <w:pPr>
        <w:pStyle w:val="Sectionsub-heading"/>
      </w:pPr>
      <w:r w:rsidRPr="008456AD">
        <w:t>BLOCK 2: SUSPENDED SOLIDS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940E3A" w:rsidRPr="006466B5" w14:paraId="033D4D08" w14:textId="77777777" w:rsidTr="2F76CC7E">
        <w:tc>
          <w:tcPr>
            <w:tcW w:w="756" w:type="pct"/>
          </w:tcPr>
          <w:p w14:paraId="1EBE3015" w14:textId="37BFD657" w:rsidR="00940E3A" w:rsidRPr="009254DD" w:rsidRDefault="00940E3A" w:rsidP="009254DD">
            <w:pPr>
              <w:pStyle w:val="Bodyromannumerals"/>
              <w:rPr>
                <w:b/>
                <w:bCs/>
                <w:szCs w:val="22"/>
              </w:rPr>
            </w:pPr>
            <w:r w:rsidRPr="009254DD">
              <w:rPr>
                <w:b/>
                <w:bCs/>
                <w:szCs w:val="22"/>
              </w:rPr>
              <w:t>C5.</w:t>
            </w:r>
            <w:r w:rsidR="00C0039F">
              <w:rPr>
                <w:b/>
                <w:bCs/>
                <w:szCs w:val="22"/>
              </w:rPr>
              <w:t>5</w:t>
            </w:r>
          </w:p>
        </w:tc>
        <w:tc>
          <w:tcPr>
            <w:tcW w:w="3472" w:type="pct"/>
            <w:gridSpan w:val="2"/>
          </w:tcPr>
          <w:p w14:paraId="014767FB" w14:textId="57C73949" w:rsidR="00940E3A" w:rsidRPr="009254DD" w:rsidRDefault="00940E3A" w:rsidP="009254DD">
            <w:pPr>
              <w:pStyle w:val="Bodyromannumerals"/>
              <w:rPr>
                <w:b/>
                <w:bCs/>
                <w:szCs w:val="22"/>
                <w:bdr w:val="single" w:sz="4" w:space="0" w:color="auto"/>
              </w:rPr>
            </w:pPr>
            <w:r w:rsidRPr="009254DD">
              <w:rPr>
                <w:b/>
                <w:bCs/>
                <w:szCs w:val="22"/>
              </w:rPr>
              <w:t xml:space="preserve">Number of </w:t>
            </w:r>
            <w:r w:rsidR="00A23234">
              <w:rPr>
                <w:b/>
                <w:bCs/>
                <w:szCs w:val="22"/>
              </w:rPr>
              <w:t>waste</w:t>
            </w:r>
            <w:r w:rsidR="00083423">
              <w:rPr>
                <w:b/>
                <w:bCs/>
                <w:szCs w:val="22"/>
              </w:rPr>
              <w:t>water</w:t>
            </w:r>
            <w:r w:rsidRPr="009254DD">
              <w:rPr>
                <w:b/>
                <w:bCs/>
                <w:szCs w:val="22"/>
              </w:rPr>
              <w:t xml:space="preserve"> treatment </w:t>
            </w:r>
            <w:r w:rsidR="00433922">
              <w:rPr>
                <w:b/>
                <w:bCs/>
                <w:szCs w:val="22"/>
              </w:rPr>
              <w:t>plants</w:t>
            </w:r>
            <w:r w:rsidR="00433922" w:rsidRPr="009254DD">
              <w:rPr>
                <w:b/>
                <w:bCs/>
                <w:szCs w:val="22"/>
              </w:rPr>
              <w:t xml:space="preserve"> </w:t>
            </w:r>
            <w:r w:rsidRPr="009254DD">
              <w:rPr>
                <w:b/>
                <w:bCs/>
                <w:szCs w:val="22"/>
              </w:rPr>
              <w:t>with a numeric Suspended Solids consent</w:t>
            </w:r>
          </w:p>
        </w:tc>
        <w:tc>
          <w:tcPr>
            <w:tcW w:w="772" w:type="pct"/>
          </w:tcPr>
          <w:p w14:paraId="2B6CAD33" w14:textId="3D4A2258" w:rsidR="00940E3A" w:rsidRPr="009254DD" w:rsidRDefault="001D1117" w:rsidP="009254DD">
            <w:pPr>
              <w:pStyle w:val="Bodyromannumerals"/>
              <w:rPr>
                <w:b/>
                <w:bCs/>
                <w:bdr w:val="single" w:sz="4" w:space="0" w:color="auto"/>
              </w:rPr>
            </w:pPr>
            <w:r w:rsidRPr="009254DD">
              <w:rPr>
                <w:b/>
                <w:bCs/>
              </w:rPr>
              <w:t>Nr.</w:t>
            </w:r>
          </w:p>
        </w:tc>
      </w:tr>
      <w:tr w:rsidR="00940E3A" w:rsidRPr="00A83F00" w14:paraId="1530B9A4" w14:textId="77777777" w:rsidTr="2F76CC7E">
        <w:tblPrEx>
          <w:tblLook w:val="04A0" w:firstRow="1" w:lastRow="0" w:firstColumn="1" w:lastColumn="0" w:noHBand="0" w:noVBand="1"/>
        </w:tblPrEx>
        <w:tc>
          <w:tcPr>
            <w:tcW w:w="1210" w:type="pct"/>
            <w:gridSpan w:val="2"/>
            <w:tcBorders>
              <w:left w:val="single" w:sz="4" w:space="0" w:color="FFFFFF" w:themeColor="background2"/>
              <w:bottom w:val="single" w:sz="4" w:space="0" w:color="FFFFFF" w:themeColor="background2"/>
              <w:right w:val="single" w:sz="4" w:space="0" w:color="FFFFFF" w:themeColor="background2"/>
            </w:tcBorders>
          </w:tcPr>
          <w:p w14:paraId="61C0E02B" w14:textId="77777777" w:rsidR="00940E3A" w:rsidRPr="006D389B" w:rsidRDefault="00940E3A" w:rsidP="009254DD">
            <w:pPr>
              <w:pStyle w:val="Bodyromannumerals"/>
              <w:rPr>
                <w:i/>
                <w:iCs/>
              </w:rPr>
            </w:pPr>
            <w:r w:rsidRPr="006D389B">
              <w:rPr>
                <w:i/>
                <w:iCs/>
              </w:rPr>
              <w:t>Definition:</w:t>
            </w:r>
          </w:p>
        </w:tc>
        <w:tc>
          <w:tcPr>
            <w:tcW w:w="3790" w:type="pct"/>
            <w:gridSpan w:val="2"/>
            <w:tcBorders>
              <w:left w:val="single" w:sz="4" w:space="0" w:color="FFFFFF" w:themeColor="background2"/>
              <w:bottom w:val="single" w:sz="4" w:space="0" w:color="FFFFFF" w:themeColor="background2"/>
              <w:right w:val="single" w:sz="4" w:space="0" w:color="FFFFFF" w:themeColor="background2"/>
            </w:tcBorders>
          </w:tcPr>
          <w:p w14:paraId="3F64B2EB" w14:textId="011C4B08" w:rsidR="00940E3A" w:rsidRPr="00A83F00" w:rsidRDefault="00940E3A" w:rsidP="009254DD">
            <w:pPr>
              <w:pStyle w:val="Bodyromannumerals"/>
            </w:pPr>
            <w:r w:rsidRPr="00992BD4">
              <w:t xml:space="preserve">Number of </w:t>
            </w:r>
            <w:r w:rsidR="00083423">
              <w:t>wastewater</w:t>
            </w:r>
            <w:r w:rsidRPr="00992BD4">
              <w:t xml:space="preserve"> </w:t>
            </w:r>
            <w:r w:rsidR="00A23234">
              <w:t>treatment</w:t>
            </w:r>
            <w:r w:rsidR="00A23234" w:rsidRPr="00992BD4">
              <w:t xml:space="preserve"> </w:t>
            </w:r>
            <w:r w:rsidR="00A23234">
              <w:t xml:space="preserve">plants </w:t>
            </w:r>
            <w:r w:rsidRPr="00992BD4">
              <w:t>with a numeric Suspended Solids consent</w:t>
            </w:r>
            <w:r w:rsidR="006D389B">
              <w:t>.</w:t>
            </w:r>
          </w:p>
        </w:tc>
      </w:tr>
      <w:tr w:rsidR="00940E3A" w:rsidRPr="00A83F00" w14:paraId="62A27F65" w14:textId="77777777" w:rsidTr="2F76CC7E">
        <w:tblPrEx>
          <w:tblLook w:val="04A0" w:firstRow="1" w:lastRow="0" w:firstColumn="1" w:lastColumn="0" w:noHBand="0" w:noVBand="1"/>
        </w:tblPrEx>
        <w:tc>
          <w:tcPr>
            <w:tcW w:w="1210"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94E7B02" w14:textId="77777777" w:rsidR="00940E3A" w:rsidRPr="006D389B" w:rsidRDefault="00940E3A" w:rsidP="009254DD">
            <w:pPr>
              <w:pStyle w:val="Bodyromannumerals"/>
              <w:rPr>
                <w:i/>
                <w:iCs/>
              </w:rPr>
            </w:pPr>
            <w:r w:rsidRPr="006D389B">
              <w:rPr>
                <w:i/>
                <w:iCs/>
              </w:rPr>
              <w:t>Processing rules:</w:t>
            </w:r>
          </w:p>
        </w:tc>
        <w:tc>
          <w:tcPr>
            <w:tcW w:w="3790"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22D1B892" w14:textId="747D0692" w:rsidR="00940E3A" w:rsidRPr="00A83F00" w:rsidRDefault="00940E3A" w:rsidP="009254DD">
            <w:pPr>
              <w:pStyle w:val="Bodyromannumerals"/>
            </w:pPr>
            <w:r w:rsidRPr="00992BD4">
              <w:t>Calculated field: the sum of C5.</w:t>
            </w:r>
            <w:r w:rsidR="00C0039F">
              <w:t>7 and C5.8</w:t>
            </w:r>
          </w:p>
        </w:tc>
      </w:tr>
    </w:tbl>
    <w:p w14:paraId="28D95169" w14:textId="77777777" w:rsidR="00F0345D" w:rsidRDefault="00F0345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940E3A" w:rsidRPr="006466B5" w14:paraId="396C0373" w14:textId="77777777" w:rsidTr="2F76CC7E">
        <w:tc>
          <w:tcPr>
            <w:tcW w:w="756" w:type="pct"/>
          </w:tcPr>
          <w:p w14:paraId="0EFE350A" w14:textId="2254C369" w:rsidR="00940E3A" w:rsidRPr="009254DD" w:rsidRDefault="6233336B" w:rsidP="2F76CC7E">
            <w:pPr>
              <w:pStyle w:val="Bodyromannumerals"/>
              <w:rPr>
                <w:b/>
                <w:bCs/>
              </w:rPr>
            </w:pPr>
            <w:r w:rsidRPr="2F76CC7E">
              <w:rPr>
                <w:b/>
                <w:bCs/>
              </w:rPr>
              <w:t>C</w:t>
            </w:r>
            <w:r w:rsidR="00940E3A" w:rsidRPr="2F76CC7E">
              <w:rPr>
                <w:b/>
                <w:bCs/>
              </w:rPr>
              <w:t>5.</w:t>
            </w:r>
            <w:r w:rsidR="00C0039F">
              <w:rPr>
                <w:b/>
                <w:bCs/>
              </w:rPr>
              <w:t>6</w:t>
            </w:r>
          </w:p>
        </w:tc>
        <w:tc>
          <w:tcPr>
            <w:tcW w:w="3472" w:type="pct"/>
            <w:gridSpan w:val="2"/>
          </w:tcPr>
          <w:p w14:paraId="494570F6" w14:textId="3555441F" w:rsidR="00940E3A" w:rsidRPr="009254DD" w:rsidRDefault="00940E3A" w:rsidP="009254DD">
            <w:pPr>
              <w:pStyle w:val="Bodyromannumerals"/>
              <w:rPr>
                <w:b/>
                <w:bCs/>
                <w:szCs w:val="22"/>
                <w:bdr w:val="single" w:sz="4" w:space="0" w:color="auto"/>
              </w:rPr>
            </w:pPr>
            <w:r w:rsidRPr="009254DD">
              <w:rPr>
                <w:b/>
                <w:bCs/>
                <w:szCs w:val="22"/>
              </w:rPr>
              <w:t xml:space="preserve">Number of </w:t>
            </w:r>
            <w:r w:rsidR="00A23234">
              <w:rPr>
                <w:b/>
                <w:bCs/>
                <w:szCs w:val="22"/>
              </w:rPr>
              <w:t>waste</w:t>
            </w:r>
            <w:r w:rsidR="00083423">
              <w:rPr>
                <w:b/>
                <w:bCs/>
                <w:szCs w:val="22"/>
              </w:rPr>
              <w:t>water</w:t>
            </w:r>
            <w:r w:rsidRPr="009254DD">
              <w:rPr>
                <w:b/>
                <w:bCs/>
                <w:szCs w:val="22"/>
              </w:rPr>
              <w:t xml:space="preserve"> treatment </w:t>
            </w:r>
            <w:r w:rsidR="00433922">
              <w:rPr>
                <w:b/>
                <w:bCs/>
                <w:szCs w:val="22"/>
              </w:rPr>
              <w:t>plants</w:t>
            </w:r>
            <w:r w:rsidR="00433922" w:rsidRPr="009254DD">
              <w:rPr>
                <w:b/>
                <w:bCs/>
                <w:szCs w:val="22"/>
              </w:rPr>
              <w:t xml:space="preserve"> </w:t>
            </w:r>
            <w:r w:rsidRPr="009254DD">
              <w:rPr>
                <w:b/>
                <w:bCs/>
                <w:szCs w:val="22"/>
              </w:rPr>
              <w:t>where &gt;=12 samples taken for Suspended Solids</w:t>
            </w:r>
          </w:p>
        </w:tc>
        <w:tc>
          <w:tcPr>
            <w:tcW w:w="772" w:type="pct"/>
          </w:tcPr>
          <w:p w14:paraId="080B6D47" w14:textId="0A066536" w:rsidR="00940E3A" w:rsidRPr="009254DD" w:rsidRDefault="001D1117" w:rsidP="009254DD">
            <w:pPr>
              <w:pStyle w:val="Bodyromannumerals"/>
              <w:rPr>
                <w:b/>
                <w:bCs/>
                <w:bdr w:val="single" w:sz="4" w:space="0" w:color="auto"/>
              </w:rPr>
            </w:pPr>
            <w:r w:rsidRPr="009254DD">
              <w:rPr>
                <w:b/>
                <w:bCs/>
              </w:rPr>
              <w:t>Nr.</w:t>
            </w:r>
          </w:p>
        </w:tc>
      </w:tr>
      <w:tr w:rsidR="00940E3A" w:rsidRPr="00A83F00" w14:paraId="5A2E08EE" w14:textId="77777777" w:rsidTr="2F76CC7E">
        <w:tblPrEx>
          <w:tblLook w:val="04A0" w:firstRow="1" w:lastRow="0" w:firstColumn="1" w:lastColumn="0" w:noHBand="0" w:noVBand="1"/>
        </w:tblPrEx>
        <w:tc>
          <w:tcPr>
            <w:tcW w:w="1210" w:type="pct"/>
            <w:gridSpan w:val="2"/>
            <w:tcBorders>
              <w:left w:val="single" w:sz="4" w:space="0" w:color="FFFFFF" w:themeColor="background2"/>
              <w:bottom w:val="single" w:sz="4" w:space="0" w:color="FFFFFF" w:themeColor="background2"/>
              <w:right w:val="single" w:sz="4" w:space="0" w:color="FFFFFF" w:themeColor="background2"/>
            </w:tcBorders>
          </w:tcPr>
          <w:p w14:paraId="7FCD37A1" w14:textId="77777777" w:rsidR="00940E3A" w:rsidRPr="006D389B" w:rsidRDefault="00940E3A" w:rsidP="009254DD">
            <w:pPr>
              <w:pStyle w:val="Bodyromannumerals"/>
              <w:rPr>
                <w:i/>
                <w:iCs/>
              </w:rPr>
            </w:pPr>
            <w:r w:rsidRPr="006D389B">
              <w:rPr>
                <w:i/>
                <w:iCs/>
              </w:rPr>
              <w:t>Definition:</w:t>
            </w:r>
          </w:p>
        </w:tc>
        <w:tc>
          <w:tcPr>
            <w:tcW w:w="3790" w:type="pct"/>
            <w:gridSpan w:val="2"/>
            <w:tcBorders>
              <w:left w:val="single" w:sz="4" w:space="0" w:color="FFFFFF" w:themeColor="background2"/>
              <w:bottom w:val="single" w:sz="4" w:space="0" w:color="FFFFFF" w:themeColor="background2"/>
              <w:right w:val="single" w:sz="4" w:space="0" w:color="FFFFFF" w:themeColor="background2"/>
            </w:tcBorders>
          </w:tcPr>
          <w:p w14:paraId="7EDC080E" w14:textId="183566AB" w:rsidR="00940E3A" w:rsidRPr="00A83F00" w:rsidRDefault="00940E3A" w:rsidP="009254DD">
            <w:pPr>
              <w:pStyle w:val="Bodyromannumerals"/>
            </w:pPr>
            <w:r w:rsidRPr="00992BD4">
              <w:t xml:space="preserve">Number of </w:t>
            </w:r>
            <w:r w:rsidR="00083423">
              <w:t>wastewater</w:t>
            </w:r>
            <w:r w:rsidRPr="00992BD4">
              <w:t xml:space="preserve"> </w:t>
            </w:r>
            <w:r w:rsidR="00A23234">
              <w:t>treatment plants</w:t>
            </w:r>
            <w:r w:rsidR="00A23234" w:rsidRPr="00992BD4">
              <w:t xml:space="preserve"> </w:t>
            </w:r>
            <w:r w:rsidRPr="00992BD4">
              <w:t>where &gt;=12 samples taken for Suspended Solids</w:t>
            </w:r>
            <w:r w:rsidR="006D389B">
              <w:t>.</w:t>
            </w:r>
          </w:p>
        </w:tc>
      </w:tr>
      <w:tr w:rsidR="00940E3A" w:rsidRPr="00A83F00" w14:paraId="50C1709E" w14:textId="77777777" w:rsidTr="2F76CC7E">
        <w:tblPrEx>
          <w:tblLook w:val="04A0" w:firstRow="1" w:lastRow="0" w:firstColumn="1" w:lastColumn="0" w:noHBand="0" w:noVBand="1"/>
        </w:tblPrEx>
        <w:tc>
          <w:tcPr>
            <w:tcW w:w="1210"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33197871" w14:textId="77777777" w:rsidR="00940E3A" w:rsidRPr="006D389B" w:rsidRDefault="00940E3A" w:rsidP="009254DD">
            <w:pPr>
              <w:pStyle w:val="Bodyromannumerals"/>
              <w:rPr>
                <w:i/>
                <w:iCs/>
              </w:rPr>
            </w:pPr>
            <w:r w:rsidRPr="006D389B">
              <w:rPr>
                <w:i/>
                <w:iCs/>
              </w:rPr>
              <w:t>Processing rules:</w:t>
            </w:r>
          </w:p>
        </w:tc>
        <w:tc>
          <w:tcPr>
            <w:tcW w:w="3790"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732E42B1" w14:textId="77777777" w:rsidR="00940E3A" w:rsidRPr="00A83F00" w:rsidRDefault="00940E3A" w:rsidP="009254DD">
            <w:pPr>
              <w:pStyle w:val="Bodyromannumerals"/>
            </w:pPr>
            <w:r>
              <w:t>Input field</w:t>
            </w:r>
          </w:p>
        </w:tc>
      </w:tr>
      <w:tr w:rsidR="00940E3A" w:rsidRPr="006466B5" w14:paraId="57BC14FD" w14:textId="77777777" w:rsidTr="2F76CC7E">
        <w:tc>
          <w:tcPr>
            <w:tcW w:w="756" w:type="pct"/>
          </w:tcPr>
          <w:p w14:paraId="280A4207" w14:textId="60A8BBE3" w:rsidR="00940E3A" w:rsidRPr="009254DD" w:rsidRDefault="00940E3A" w:rsidP="009254DD">
            <w:pPr>
              <w:pStyle w:val="Bodyromannumerals"/>
              <w:rPr>
                <w:b/>
                <w:bCs/>
                <w:szCs w:val="22"/>
              </w:rPr>
            </w:pPr>
            <w:r w:rsidRPr="009254DD">
              <w:rPr>
                <w:b/>
                <w:bCs/>
                <w:szCs w:val="22"/>
              </w:rPr>
              <w:t>C5.</w:t>
            </w:r>
            <w:r w:rsidR="00C0039F">
              <w:rPr>
                <w:b/>
                <w:bCs/>
                <w:szCs w:val="22"/>
              </w:rPr>
              <w:t>7</w:t>
            </w:r>
          </w:p>
        </w:tc>
        <w:tc>
          <w:tcPr>
            <w:tcW w:w="3472" w:type="pct"/>
            <w:gridSpan w:val="2"/>
          </w:tcPr>
          <w:p w14:paraId="2C93DE36" w14:textId="15318DB4" w:rsidR="00940E3A" w:rsidRPr="009254DD" w:rsidRDefault="00940E3A" w:rsidP="009254DD">
            <w:pPr>
              <w:pStyle w:val="Bodyromannumerals"/>
              <w:rPr>
                <w:b/>
                <w:bCs/>
                <w:szCs w:val="22"/>
                <w:bdr w:val="single" w:sz="4" w:space="0" w:color="auto"/>
              </w:rPr>
            </w:pPr>
            <w:r w:rsidRPr="009254DD">
              <w:rPr>
                <w:b/>
                <w:bCs/>
                <w:szCs w:val="22"/>
              </w:rPr>
              <w:t xml:space="preserve">Number of </w:t>
            </w:r>
            <w:r w:rsidR="00083423">
              <w:rPr>
                <w:b/>
                <w:bCs/>
                <w:szCs w:val="22"/>
              </w:rPr>
              <w:t>wastewater</w:t>
            </w:r>
            <w:r w:rsidRPr="009254DD">
              <w:rPr>
                <w:b/>
                <w:bCs/>
                <w:szCs w:val="22"/>
              </w:rPr>
              <w:t xml:space="preserve"> </w:t>
            </w:r>
            <w:r w:rsidR="00A23234">
              <w:rPr>
                <w:b/>
                <w:bCs/>
                <w:szCs w:val="22"/>
              </w:rPr>
              <w:t>treatment plants</w:t>
            </w:r>
            <w:r w:rsidR="00A23234" w:rsidRPr="009254DD">
              <w:rPr>
                <w:b/>
                <w:bCs/>
                <w:szCs w:val="22"/>
              </w:rPr>
              <w:t xml:space="preserve"> </w:t>
            </w:r>
            <w:r w:rsidRPr="009254DD">
              <w:rPr>
                <w:b/>
                <w:bCs/>
                <w:szCs w:val="22"/>
              </w:rPr>
              <w:t>where the sample mean &gt;62.5% of the compliance value</w:t>
            </w:r>
            <w:r w:rsidR="00C9603B">
              <w:rPr>
                <w:b/>
                <w:bCs/>
                <w:szCs w:val="22"/>
              </w:rPr>
              <w:t xml:space="preserve"> based on the summer seasonal limit</w:t>
            </w:r>
          </w:p>
        </w:tc>
        <w:tc>
          <w:tcPr>
            <w:tcW w:w="772" w:type="pct"/>
          </w:tcPr>
          <w:p w14:paraId="3FC08506" w14:textId="7922E43A" w:rsidR="00940E3A" w:rsidRPr="009254DD" w:rsidRDefault="001D1117" w:rsidP="009254DD">
            <w:pPr>
              <w:pStyle w:val="Bodyromannumerals"/>
              <w:rPr>
                <w:b/>
                <w:bCs/>
                <w:bdr w:val="single" w:sz="4" w:space="0" w:color="auto"/>
              </w:rPr>
            </w:pPr>
            <w:r w:rsidRPr="009254DD">
              <w:rPr>
                <w:b/>
                <w:bCs/>
              </w:rPr>
              <w:t>Nr.</w:t>
            </w:r>
          </w:p>
        </w:tc>
      </w:tr>
      <w:tr w:rsidR="00940E3A" w:rsidRPr="00A83F00" w14:paraId="6C111371" w14:textId="77777777" w:rsidTr="2F76CC7E">
        <w:tblPrEx>
          <w:tblLook w:val="04A0" w:firstRow="1" w:lastRow="0" w:firstColumn="1" w:lastColumn="0" w:noHBand="0" w:noVBand="1"/>
        </w:tblPrEx>
        <w:tc>
          <w:tcPr>
            <w:tcW w:w="1210" w:type="pct"/>
            <w:gridSpan w:val="2"/>
            <w:tcBorders>
              <w:left w:val="single" w:sz="4" w:space="0" w:color="FFFFFF" w:themeColor="background2"/>
              <w:bottom w:val="single" w:sz="4" w:space="0" w:color="FFFFFF" w:themeColor="background2"/>
              <w:right w:val="single" w:sz="4" w:space="0" w:color="FFFFFF" w:themeColor="background2"/>
            </w:tcBorders>
          </w:tcPr>
          <w:p w14:paraId="657E17A2" w14:textId="77777777" w:rsidR="00940E3A" w:rsidRPr="006D389B" w:rsidRDefault="00940E3A" w:rsidP="009254DD">
            <w:pPr>
              <w:pStyle w:val="Bodyromannumerals"/>
              <w:rPr>
                <w:i/>
                <w:iCs/>
              </w:rPr>
            </w:pPr>
            <w:r w:rsidRPr="006D389B">
              <w:rPr>
                <w:i/>
                <w:iCs/>
              </w:rPr>
              <w:t>Definition:</w:t>
            </w:r>
          </w:p>
        </w:tc>
        <w:tc>
          <w:tcPr>
            <w:tcW w:w="3790" w:type="pct"/>
            <w:gridSpan w:val="2"/>
            <w:tcBorders>
              <w:left w:val="single" w:sz="4" w:space="0" w:color="FFFFFF" w:themeColor="background2"/>
              <w:bottom w:val="single" w:sz="4" w:space="0" w:color="FFFFFF" w:themeColor="background2"/>
              <w:right w:val="single" w:sz="4" w:space="0" w:color="FFFFFF" w:themeColor="background2"/>
            </w:tcBorders>
          </w:tcPr>
          <w:p w14:paraId="315D8702" w14:textId="700F47CB" w:rsidR="00940E3A" w:rsidRPr="00A83F00" w:rsidRDefault="00940E3A" w:rsidP="009254DD">
            <w:pPr>
              <w:pStyle w:val="Bodyromannumerals"/>
            </w:pPr>
            <w:r w:rsidRPr="00992BD4">
              <w:t xml:space="preserve">Number of </w:t>
            </w:r>
            <w:r w:rsidR="00083423">
              <w:t>wastewater</w:t>
            </w:r>
            <w:r w:rsidRPr="00992BD4">
              <w:t xml:space="preserve"> </w:t>
            </w:r>
            <w:r w:rsidR="00A23234">
              <w:t>treatment plants</w:t>
            </w:r>
            <w:r w:rsidR="00A23234" w:rsidRPr="00992BD4">
              <w:t xml:space="preserve"> </w:t>
            </w:r>
            <w:r w:rsidRPr="00992BD4">
              <w:t>where the sample mean for Suspended Solids, taken over the reporting period, exceeds 62.5% of the 95%ile compliance value</w:t>
            </w:r>
            <w:r w:rsidR="00C9603B">
              <w:t xml:space="preserve"> based on the summer seasonal limit</w:t>
            </w:r>
            <w:r w:rsidRPr="00992BD4">
              <w:t xml:space="preserve">. </w:t>
            </w:r>
          </w:p>
        </w:tc>
      </w:tr>
      <w:tr w:rsidR="00940E3A" w:rsidRPr="00A83F00" w14:paraId="59E989EB" w14:textId="77777777" w:rsidTr="2F76CC7E">
        <w:tblPrEx>
          <w:tblLook w:val="04A0" w:firstRow="1" w:lastRow="0" w:firstColumn="1" w:lastColumn="0" w:noHBand="0" w:noVBand="1"/>
        </w:tblPrEx>
        <w:tc>
          <w:tcPr>
            <w:tcW w:w="1210"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6623CD56" w14:textId="77777777" w:rsidR="00940E3A" w:rsidRPr="006D389B" w:rsidRDefault="00940E3A" w:rsidP="009254DD">
            <w:pPr>
              <w:pStyle w:val="Bodyromannumerals"/>
              <w:rPr>
                <w:i/>
                <w:iCs/>
              </w:rPr>
            </w:pPr>
            <w:r w:rsidRPr="006D389B">
              <w:rPr>
                <w:i/>
                <w:iCs/>
              </w:rPr>
              <w:t>Processing rules:</w:t>
            </w:r>
          </w:p>
        </w:tc>
        <w:tc>
          <w:tcPr>
            <w:tcW w:w="3790"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6893CAE" w14:textId="77777777" w:rsidR="00940E3A" w:rsidRPr="00A83F00" w:rsidRDefault="00940E3A" w:rsidP="009254DD">
            <w:pPr>
              <w:pStyle w:val="Bodyromannumerals"/>
            </w:pPr>
            <w:r>
              <w:t>Input field</w:t>
            </w:r>
          </w:p>
        </w:tc>
      </w:tr>
      <w:tr w:rsidR="009423AE" w:rsidRPr="006466B5" w14:paraId="4C7EDFE4" w14:textId="77777777" w:rsidTr="00307604">
        <w:tc>
          <w:tcPr>
            <w:tcW w:w="756" w:type="pct"/>
          </w:tcPr>
          <w:p w14:paraId="4DD0FBA9" w14:textId="25183E7F" w:rsidR="009423AE" w:rsidRPr="009254DD" w:rsidRDefault="009423AE" w:rsidP="00307604">
            <w:pPr>
              <w:pStyle w:val="Bodyromannumerals"/>
              <w:rPr>
                <w:b/>
                <w:bCs/>
                <w:szCs w:val="22"/>
              </w:rPr>
            </w:pPr>
            <w:r w:rsidRPr="009254DD">
              <w:rPr>
                <w:b/>
                <w:bCs/>
                <w:szCs w:val="22"/>
              </w:rPr>
              <w:t>C5.</w:t>
            </w:r>
            <w:r w:rsidR="00C0039F">
              <w:rPr>
                <w:b/>
                <w:bCs/>
                <w:szCs w:val="22"/>
              </w:rPr>
              <w:t>7b</w:t>
            </w:r>
          </w:p>
        </w:tc>
        <w:tc>
          <w:tcPr>
            <w:tcW w:w="3472" w:type="pct"/>
            <w:gridSpan w:val="2"/>
          </w:tcPr>
          <w:p w14:paraId="655361C7" w14:textId="49B2EFD7" w:rsidR="009423AE" w:rsidRPr="009254DD" w:rsidRDefault="009423AE" w:rsidP="00307604">
            <w:pPr>
              <w:pStyle w:val="Bodyromannumerals"/>
              <w:rPr>
                <w:b/>
                <w:bCs/>
                <w:szCs w:val="22"/>
                <w:bdr w:val="single" w:sz="4" w:space="0" w:color="auto"/>
              </w:rPr>
            </w:pPr>
            <w:r w:rsidRPr="009254DD">
              <w:rPr>
                <w:b/>
                <w:bCs/>
                <w:szCs w:val="22"/>
              </w:rPr>
              <w:t xml:space="preserve">Number of </w:t>
            </w:r>
            <w:r>
              <w:rPr>
                <w:b/>
                <w:bCs/>
                <w:szCs w:val="22"/>
              </w:rPr>
              <w:t>wastewater</w:t>
            </w:r>
            <w:r w:rsidRPr="009254DD">
              <w:rPr>
                <w:b/>
                <w:bCs/>
                <w:szCs w:val="22"/>
              </w:rPr>
              <w:t xml:space="preserve"> </w:t>
            </w:r>
            <w:r>
              <w:rPr>
                <w:b/>
                <w:bCs/>
                <w:szCs w:val="22"/>
              </w:rPr>
              <w:t>treatment plants</w:t>
            </w:r>
            <w:r w:rsidRPr="009254DD">
              <w:rPr>
                <w:b/>
                <w:bCs/>
                <w:szCs w:val="22"/>
              </w:rPr>
              <w:t xml:space="preserve"> where the sample mean &gt;62.5% of the compliance value</w:t>
            </w:r>
            <w:r w:rsidR="00C9603B">
              <w:rPr>
                <w:b/>
                <w:bCs/>
                <w:szCs w:val="22"/>
              </w:rPr>
              <w:t xml:space="preserve"> based on the winter seasonal limit (if different)</w:t>
            </w:r>
          </w:p>
        </w:tc>
        <w:tc>
          <w:tcPr>
            <w:tcW w:w="772" w:type="pct"/>
          </w:tcPr>
          <w:p w14:paraId="4ADAF1E6" w14:textId="77777777" w:rsidR="009423AE" w:rsidRPr="009254DD" w:rsidRDefault="009423AE" w:rsidP="00307604">
            <w:pPr>
              <w:pStyle w:val="Bodyromannumerals"/>
              <w:rPr>
                <w:b/>
                <w:bCs/>
                <w:bdr w:val="single" w:sz="4" w:space="0" w:color="auto"/>
              </w:rPr>
            </w:pPr>
            <w:r w:rsidRPr="009254DD">
              <w:rPr>
                <w:b/>
                <w:bCs/>
              </w:rPr>
              <w:t>Nr.</w:t>
            </w:r>
          </w:p>
        </w:tc>
      </w:tr>
      <w:tr w:rsidR="009423AE" w:rsidRPr="00A83F00" w14:paraId="3D9BBFA1" w14:textId="77777777" w:rsidTr="00307604">
        <w:tblPrEx>
          <w:tblLook w:val="04A0" w:firstRow="1" w:lastRow="0" w:firstColumn="1" w:lastColumn="0" w:noHBand="0" w:noVBand="1"/>
        </w:tblPrEx>
        <w:tc>
          <w:tcPr>
            <w:tcW w:w="1210" w:type="pct"/>
            <w:gridSpan w:val="2"/>
            <w:tcBorders>
              <w:left w:val="single" w:sz="4" w:space="0" w:color="FFFFFF" w:themeColor="background2"/>
              <w:bottom w:val="single" w:sz="4" w:space="0" w:color="FFFFFF" w:themeColor="background2"/>
              <w:right w:val="single" w:sz="4" w:space="0" w:color="FFFFFF" w:themeColor="background2"/>
            </w:tcBorders>
          </w:tcPr>
          <w:p w14:paraId="3A6017C7" w14:textId="77777777" w:rsidR="009423AE" w:rsidRPr="006D389B" w:rsidRDefault="009423AE" w:rsidP="00307604">
            <w:pPr>
              <w:pStyle w:val="Bodyromannumerals"/>
              <w:rPr>
                <w:i/>
                <w:iCs/>
              </w:rPr>
            </w:pPr>
            <w:r w:rsidRPr="006D389B">
              <w:rPr>
                <w:i/>
                <w:iCs/>
              </w:rPr>
              <w:t>Definition:</w:t>
            </w:r>
          </w:p>
        </w:tc>
        <w:tc>
          <w:tcPr>
            <w:tcW w:w="3790" w:type="pct"/>
            <w:gridSpan w:val="2"/>
            <w:tcBorders>
              <w:left w:val="single" w:sz="4" w:space="0" w:color="FFFFFF" w:themeColor="background2"/>
              <w:bottom w:val="single" w:sz="4" w:space="0" w:color="FFFFFF" w:themeColor="background2"/>
              <w:right w:val="single" w:sz="4" w:space="0" w:color="FFFFFF" w:themeColor="background2"/>
            </w:tcBorders>
          </w:tcPr>
          <w:p w14:paraId="09C3AC86" w14:textId="75E5370E" w:rsidR="009423AE" w:rsidRDefault="009423AE" w:rsidP="00174C4D">
            <w:pPr>
              <w:pStyle w:val="Bodyromannumerals"/>
            </w:pPr>
            <w:r w:rsidRPr="00992BD4">
              <w:t xml:space="preserve">Number of </w:t>
            </w:r>
            <w:r>
              <w:t>wastewater</w:t>
            </w:r>
            <w:r w:rsidRPr="00992BD4">
              <w:t xml:space="preserve"> </w:t>
            </w:r>
            <w:r>
              <w:t>treatment plants</w:t>
            </w:r>
            <w:r w:rsidRPr="00992BD4">
              <w:t xml:space="preserve"> where the sample mean for Suspended Solids, taken over the reporting period, exceeds 62.5% of the 95%ile compliance value</w:t>
            </w:r>
            <w:r w:rsidR="00C9603B">
              <w:t xml:space="preserve"> based on the winter seasonal limit (if different)</w:t>
            </w:r>
            <w:r w:rsidRPr="00992BD4">
              <w:t xml:space="preserve">. </w:t>
            </w:r>
          </w:p>
          <w:p w14:paraId="137D00FE" w14:textId="32BE3FA9" w:rsidR="009423AE" w:rsidRPr="00A83F00" w:rsidRDefault="00B3499C" w:rsidP="00307604">
            <w:pPr>
              <w:pStyle w:val="Bodyromannumerals"/>
            </w:pPr>
            <w:r>
              <w:t xml:space="preserve">If the same consent limit applies all year, then report this line as 0 and provide an explanation in the commentary. </w:t>
            </w:r>
          </w:p>
        </w:tc>
      </w:tr>
      <w:tr w:rsidR="009423AE" w:rsidRPr="00A83F00" w14:paraId="5D00D332" w14:textId="77777777" w:rsidTr="00307604">
        <w:tblPrEx>
          <w:tblLook w:val="04A0" w:firstRow="1" w:lastRow="0" w:firstColumn="1" w:lastColumn="0" w:noHBand="0" w:noVBand="1"/>
        </w:tblPrEx>
        <w:tc>
          <w:tcPr>
            <w:tcW w:w="1210"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B13558A" w14:textId="77777777" w:rsidR="009423AE" w:rsidRPr="006D389B" w:rsidRDefault="009423AE" w:rsidP="00307604">
            <w:pPr>
              <w:pStyle w:val="Bodyromannumerals"/>
              <w:rPr>
                <w:i/>
                <w:iCs/>
              </w:rPr>
            </w:pPr>
            <w:r w:rsidRPr="006D389B">
              <w:rPr>
                <w:i/>
                <w:iCs/>
              </w:rPr>
              <w:t>Processing rules:</w:t>
            </w:r>
          </w:p>
        </w:tc>
        <w:tc>
          <w:tcPr>
            <w:tcW w:w="3790" w:type="pct"/>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4FC53EA3" w14:textId="77777777" w:rsidR="009423AE" w:rsidRPr="00A83F00" w:rsidRDefault="009423AE" w:rsidP="00307604">
            <w:pPr>
              <w:pStyle w:val="Bodyromannumerals"/>
            </w:pPr>
            <w:r>
              <w:t>Input field</w:t>
            </w:r>
          </w:p>
        </w:tc>
      </w:tr>
    </w:tbl>
    <w:p w14:paraId="03B31928" w14:textId="77777777" w:rsidR="009423AE" w:rsidRDefault="009423AE" w:rsidP="009423AE"/>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685"/>
        <w:gridCol w:w="4562"/>
        <w:gridCol w:w="1167"/>
      </w:tblGrid>
      <w:tr w:rsidR="009423AE" w:rsidRPr="006466B5" w14:paraId="4030444F" w14:textId="77777777" w:rsidTr="00F2362C">
        <w:tc>
          <w:tcPr>
            <w:tcW w:w="758" w:type="pct"/>
          </w:tcPr>
          <w:p w14:paraId="0FBACB76" w14:textId="50F2D8AC" w:rsidR="009423AE" w:rsidRPr="009254DD" w:rsidRDefault="009423AE" w:rsidP="009423AE">
            <w:pPr>
              <w:pStyle w:val="Bodyromannumerals"/>
              <w:rPr>
                <w:b/>
                <w:bCs/>
                <w:szCs w:val="22"/>
              </w:rPr>
            </w:pPr>
            <w:r w:rsidRPr="009254DD">
              <w:rPr>
                <w:b/>
                <w:bCs/>
                <w:szCs w:val="22"/>
              </w:rPr>
              <w:t>C5.</w:t>
            </w:r>
            <w:r w:rsidR="00C0039F">
              <w:rPr>
                <w:b/>
                <w:bCs/>
                <w:szCs w:val="22"/>
              </w:rPr>
              <w:t>8</w:t>
            </w:r>
          </w:p>
        </w:tc>
        <w:tc>
          <w:tcPr>
            <w:tcW w:w="3470" w:type="pct"/>
            <w:gridSpan w:val="2"/>
          </w:tcPr>
          <w:p w14:paraId="2C8E91C8" w14:textId="0F6F21EB" w:rsidR="009423AE" w:rsidRPr="009254DD" w:rsidRDefault="009423AE" w:rsidP="009423AE">
            <w:pPr>
              <w:pStyle w:val="Bodyromannumerals"/>
              <w:rPr>
                <w:b/>
                <w:bCs/>
                <w:szCs w:val="22"/>
                <w:bdr w:val="single" w:sz="4" w:space="0" w:color="auto"/>
              </w:rPr>
            </w:pPr>
            <w:r w:rsidRPr="009254DD">
              <w:rPr>
                <w:b/>
                <w:bCs/>
                <w:szCs w:val="22"/>
              </w:rPr>
              <w:t xml:space="preserve">Number of </w:t>
            </w:r>
            <w:r>
              <w:rPr>
                <w:b/>
                <w:bCs/>
                <w:szCs w:val="22"/>
              </w:rPr>
              <w:t>wastewater</w:t>
            </w:r>
            <w:r w:rsidRPr="009254DD">
              <w:rPr>
                <w:b/>
                <w:bCs/>
                <w:szCs w:val="22"/>
              </w:rPr>
              <w:t xml:space="preserve"> </w:t>
            </w:r>
            <w:r>
              <w:rPr>
                <w:b/>
                <w:bCs/>
                <w:szCs w:val="22"/>
              </w:rPr>
              <w:t>treatment plant</w:t>
            </w:r>
            <w:r w:rsidRPr="009254DD">
              <w:rPr>
                <w:b/>
                <w:bCs/>
                <w:szCs w:val="22"/>
              </w:rPr>
              <w:t>s where the sample mean</w:t>
            </w:r>
            <w:r w:rsidR="00EF4B1D">
              <w:rPr>
                <w:b/>
                <w:bCs/>
                <w:szCs w:val="22"/>
              </w:rPr>
              <w:t xml:space="preserve"> </w:t>
            </w:r>
            <w:r w:rsidRPr="009254DD">
              <w:rPr>
                <w:b/>
                <w:bCs/>
                <w:szCs w:val="22"/>
              </w:rPr>
              <w:t>&lt;=</w:t>
            </w:r>
            <w:r w:rsidR="00C0039F">
              <w:rPr>
                <w:b/>
                <w:bCs/>
                <w:szCs w:val="22"/>
              </w:rPr>
              <w:t>62.5</w:t>
            </w:r>
            <w:r w:rsidRPr="009254DD">
              <w:rPr>
                <w:b/>
                <w:bCs/>
                <w:szCs w:val="22"/>
              </w:rPr>
              <w:t>% of the compliance value</w:t>
            </w:r>
            <w:r w:rsidR="007A23C9">
              <w:rPr>
                <w:b/>
                <w:bCs/>
                <w:szCs w:val="22"/>
              </w:rPr>
              <w:t xml:space="preserve"> based on the summer seasonal limit</w:t>
            </w:r>
          </w:p>
        </w:tc>
        <w:tc>
          <w:tcPr>
            <w:tcW w:w="772" w:type="pct"/>
          </w:tcPr>
          <w:p w14:paraId="747B7B26" w14:textId="16905405" w:rsidR="009423AE" w:rsidRPr="009254DD" w:rsidRDefault="009423AE" w:rsidP="009423AE">
            <w:pPr>
              <w:pStyle w:val="Bodyromannumerals"/>
              <w:rPr>
                <w:b/>
                <w:bCs/>
                <w:bdr w:val="single" w:sz="4" w:space="0" w:color="auto"/>
              </w:rPr>
            </w:pPr>
            <w:r w:rsidRPr="009254DD">
              <w:rPr>
                <w:b/>
                <w:bCs/>
              </w:rPr>
              <w:t>Nr.</w:t>
            </w:r>
          </w:p>
        </w:tc>
      </w:tr>
      <w:tr w:rsidR="009423AE" w:rsidRPr="00A83F00" w14:paraId="0062B2FC" w14:textId="77777777" w:rsidTr="00F2362C">
        <w:tblPrEx>
          <w:tblLook w:val="04A0" w:firstRow="1" w:lastRow="0" w:firstColumn="1" w:lastColumn="0" w:noHBand="0" w:noVBand="1"/>
        </w:tblPrEx>
        <w:tc>
          <w:tcPr>
            <w:tcW w:w="1211" w:type="pct"/>
            <w:gridSpan w:val="2"/>
            <w:tcBorders>
              <w:left w:val="single" w:sz="4" w:space="0" w:color="FFFFFF" w:themeColor="background2"/>
              <w:bottom w:val="single" w:sz="4" w:space="0" w:color="FFFFFF" w:themeColor="background2"/>
              <w:right w:val="single" w:sz="4" w:space="0" w:color="FFFFFF" w:themeColor="background2"/>
            </w:tcBorders>
          </w:tcPr>
          <w:p w14:paraId="16B96CEF" w14:textId="77777777" w:rsidR="009423AE" w:rsidRPr="006D389B" w:rsidRDefault="009423AE" w:rsidP="009423AE">
            <w:pPr>
              <w:pStyle w:val="Bodyromannumerals"/>
              <w:rPr>
                <w:i/>
                <w:iCs/>
              </w:rPr>
            </w:pPr>
            <w:r w:rsidRPr="006D389B">
              <w:rPr>
                <w:i/>
                <w:iCs/>
              </w:rPr>
              <w:t>Definition:</w:t>
            </w:r>
          </w:p>
        </w:tc>
        <w:tc>
          <w:tcPr>
            <w:tcW w:w="3789" w:type="pct"/>
            <w:gridSpan w:val="2"/>
            <w:tcBorders>
              <w:left w:val="single" w:sz="4" w:space="0" w:color="FFFFFF" w:themeColor="background2"/>
              <w:bottom w:val="single" w:sz="4" w:space="0" w:color="FFFFFF" w:themeColor="background2"/>
              <w:right w:val="single" w:sz="4" w:space="0" w:color="FFFFFF" w:themeColor="background2"/>
            </w:tcBorders>
          </w:tcPr>
          <w:p w14:paraId="6294C552" w14:textId="04EAA72E" w:rsidR="009423AE" w:rsidRPr="00A83F00" w:rsidRDefault="009423AE" w:rsidP="009423AE">
            <w:pPr>
              <w:pStyle w:val="Bodyromannumerals"/>
            </w:pPr>
            <w:r w:rsidRPr="00992BD4">
              <w:t xml:space="preserve">Number of </w:t>
            </w:r>
            <w:r>
              <w:t>wastewater</w:t>
            </w:r>
            <w:r w:rsidRPr="00992BD4">
              <w:t xml:space="preserve"> </w:t>
            </w:r>
            <w:r>
              <w:t>treatment plants</w:t>
            </w:r>
            <w:r w:rsidRPr="00992BD4">
              <w:t xml:space="preserve"> where the sample mean for Suspended Solids, taken over the reporting period, is less than or equal to </w:t>
            </w:r>
            <w:r w:rsidR="00C0039F">
              <w:t>62.5</w:t>
            </w:r>
            <w:r w:rsidRPr="00992BD4">
              <w:t xml:space="preserve">% of the 95%ile compliance value. </w:t>
            </w:r>
          </w:p>
        </w:tc>
      </w:tr>
      <w:tr w:rsidR="009423AE" w:rsidRPr="00A83F00" w14:paraId="195CB4AC" w14:textId="77777777" w:rsidTr="00F2362C">
        <w:tc>
          <w:tcPr>
            <w:tcW w:w="1211" w:type="pct"/>
            <w:gridSpan w:val="2"/>
            <w:tcBorders>
              <w:top w:val="single" w:sz="4" w:space="0" w:color="FFFFFF" w:themeColor="background2"/>
              <w:left w:val="single" w:sz="4" w:space="0" w:color="FFFFFF" w:themeColor="background2"/>
              <w:bottom w:val="single" w:sz="4" w:space="0" w:color="auto"/>
              <w:right w:val="single" w:sz="4" w:space="0" w:color="FFFFFF" w:themeColor="background2"/>
            </w:tcBorders>
          </w:tcPr>
          <w:p w14:paraId="65791901" w14:textId="77777777" w:rsidR="009423AE" w:rsidRPr="006D389B" w:rsidRDefault="009423AE" w:rsidP="009423AE">
            <w:pPr>
              <w:pStyle w:val="Bodyromannumerals"/>
              <w:rPr>
                <w:i/>
                <w:iCs/>
              </w:rPr>
            </w:pPr>
            <w:r w:rsidRPr="006D389B">
              <w:rPr>
                <w:i/>
                <w:iCs/>
              </w:rPr>
              <w:t>Processing rules:</w:t>
            </w:r>
          </w:p>
        </w:tc>
        <w:tc>
          <w:tcPr>
            <w:tcW w:w="3789" w:type="pct"/>
            <w:gridSpan w:val="2"/>
            <w:tcBorders>
              <w:top w:val="single" w:sz="4" w:space="0" w:color="FFFFFF" w:themeColor="background2"/>
              <w:left w:val="single" w:sz="4" w:space="0" w:color="FFFFFF" w:themeColor="background2"/>
              <w:bottom w:val="single" w:sz="4" w:space="0" w:color="auto"/>
              <w:right w:val="single" w:sz="4" w:space="0" w:color="FFFFFF" w:themeColor="background2"/>
            </w:tcBorders>
          </w:tcPr>
          <w:p w14:paraId="71C122B0" w14:textId="77777777" w:rsidR="009423AE" w:rsidRPr="00A83F00" w:rsidRDefault="009423AE" w:rsidP="009423AE">
            <w:pPr>
              <w:pStyle w:val="Bodyromannumerals"/>
            </w:pPr>
            <w:r>
              <w:t>Input field</w:t>
            </w:r>
          </w:p>
        </w:tc>
      </w:tr>
    </w:tbl>
    <w:p w14:paraId="797F49C4" w14:textId="77777777" w:rsidR="00F2362C" w:rsidRDefault="00F2362C">
      <w:r>
        <w:br w:type="page"/>
      </w: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5729"/>
        <w:gridCol w:w="657"/>
      </w:tblGrid>
      <w:tr w:rsidR="00C9603B" w:rsidRPr="00A83F00" w14:paraId="74BB1665" w14:textId="7DB580B7" w:rsidTr="00F2362C">
        <w:tc>
          <w:tcPr>
            <w:tcW w:w="1114" w:type="pct"/>
            <w:tcBorders>
              <w:top w:val="single" w:sz="4" w:space="0" w:color="auto"/>
              <w:left w:val="single" w:sz="4" w:space="0" w:color="auto"/>
              <w:bottom w:val="single" w:sz="4" w:space="0" w:color="auto"/>
              <w:right w:val="single" w:sz="4" w:space="0" w:color="auto"/>
            </w:tcBorders>
          </w:tcPr>
          <w:p w14:paraId="562FA934" w14:textId="0585CFBD" w:rsidR="00C9603B" w:rsidRPr="006D389B" w:rsidRDefault="00C9603B" w:rsidP="00C9603B">
            <w:pPr>
              <w:pStyle w:val="Bodyromannumerals"/>
              <w:rPr>
                <w:i/>
                <w:iCs/>
              </w:rPr>
            </w:pPr>
            <w:r w:rsidRPr="009254DD">
              <w:rPr>
                <w:b/>
                <w:bCs/>
                <w:szCs w:val="22"/>
              </w:rPr>
              <w:t>C5.</w:t>
            </w:r>
            <w:r w:rsidR="00C0039F">
              <w:rPr>
                <w:b/>
                <w:bCs/>
                <w:szCs w:val="22"/>
              </w:rPr>
              <w:t>8b</w:t>
            </w:r>
          </w:p>
        </w:tc>
        <w:tc>
          <w:tcPr>
            <w:tcW w:w="3486" w:type="pct"/>
            <w:tcBorders>
              <w:top w:val="single" w:sz="4" w:space="0" w:color="auto"/>
              <w:left w:val="single" w:sz="4" w:space="0" w:color="auto"/>
              <w:bottom w:val="single" w:sz="4" w:space="0" w:color="auto"/>
              <w:right w:val="single" w:sz="4" w:space="0" w:color="FFFFFF" w:themeColor="background2"/>
            </w:tcBorders>
          </w:tcPr>
          <w:p w14:paraId="7D7B0D53" w14:textId="42EEEC1F" w:rsidR="00C9603B" w:rsidRDefault="00C9603B" w:rsidP="00C9603B">
            <w:pPr>
              <w:pStyle w:val="Bodyromannumerals"/>
            </w:pPr>
            <w:r w:rsidRPr="009254DD">
              <w:rPr>
                <w:b/>
                <w:bCs/>
                <w:szCs w:val="22"/>
              </w:rPr>
              <w:t xml:space="preserve">Number of </w:t>
            </w:r>
            <w:r>
              <w:rPr>
                <w:b/>
                <w:bCs/>
                <w:szCs w:val="22"/>
              </w:rPr>
              <w:t>wastewater</w:t>
            </w:r>
            <w:r w:rsidRPr="009254DD">
              <w:rPr>
                <w:b/>
                <w:bCs/>
                <w:szCs w:val="22"/>
              </w:rPr>
              <w:t xml:space="preserve"> </w:t>
            </w:r>
            <w:r>
              <w:rPr>
                <w:b/>
                <w:bCs/>
                <w:szCs w:val="22"/>
              </w:rPr>
              <w:t>treatment plant</w:t>
            </w:r>
            <w:r w:rsidRPr="009254DD">
              <w:rPr>
                <w:b/>
                <w:bCs/>
                <w:szCs w:val="22"/>
              </w:rPr>
              <w:t>s where the sample mean</w:t>
            </w:r>
            <w:r w:rsidR="00EF4B1D">
              <w:rPr>
                <w:b/>
                <w:bCs/>
                <w:szCs w:val="22"/>
              </w:rPr>
              <w:t xml:space="preserve"> </w:t>
            </w:r>
            <w:r w:rsidRPr="009254DD">
              <w:rPr>
                <w:b/>
                <w:bCs/>
                <w:szCs w:val="22"/>
              </w:rPr>
              <w:t>&lt;=</w:t>
            </w:r>
            <w:r w:rsidR="0068358B">
              <w:rPr>
                <w:b/>
                <w:bCs/>
                <w:szCs w:val="22"/>
              </w:rPr>
              <w:t>62.5</w:t>
            </w:r>
            <w:r w:rsidRPr="009254DD">
              <w:rPr>
                <w:b/>
                <w:bCs/>
                <w:szCs w:val="22"/>
              </w:rPr>
              <w:t>% of the compliance value</w:t>
            </w:r>
            <w:r w:rsidR="007A23C9">
              <w:rPr>
                <w:b/>
                <w:bCs/>
                <w:szCs w:val="22"/>
              </w:rPr>
              <w:t xml:space="preserve"> based on the winter seasonal limit (if different)</w:t>
            </w:r>
          </w:p>
        </w:tc>
        <w:tc>
          <w:tcPr>
            <w:tcW w:w="400" w:type="pct"/>
          </w:tcPr>
          <w:p w14:paraId="3717E989" w14:textId="7D5FED45" w:rsidR="00C9603B" w:rsidRPr="00A83F00" w:rsidRDefault="00C9603B" w:rsidP="00C9603B">
            <w:pPr>
              <w:spacing w:after="160" w:line="259" w:lineRule="auto"/>
            </w:pPr>
            <w:r w:rsidRPr="009254DD">
              <w:rPr>
                <w:b/>
                <w:bCs/>
              </w:rPr>
              <w:t>Nr.</w:t>
            </w:r>
          </w:p>
        </w:tc>
      </w:tr>
      <w:tr w:rsidR="00C9603B" w:rsidRPr="00A83F00" w14:paraId="4A4992BB" w14:textId="77777777" w:rsidTr="00F2362C">
        <w:trPr>
          <w:gridAfter w:val="1"/>
          <w:wAfter w:w="400" w:type="pct"/>
        </w:trPr>
        <w:tc>
          <w:tcPr>
            <w:tcW w:w="1114" w:type="pct"/>
            <w:tcBorders>
              <w:top w:val="single" w:sz="4" w:space="0" w:color="auto"/>
              <w:left w:val="single" w:sz="4" w:space="0" w:color="FFFFFF" w:themeColor="background2"/>
              <w:bottom w:val="single" w:sz="4" w:space="0" w:color="FFFFFF" w:themeColor="background2"/>
              <w:right w:val="single" w:sz="4" w:space="0" w:color="FFFFFF" w:themeColor="background2"/>
            </w:tcBorders>
          </w:tcPr>
          <w:p w14:paraId="48571A99" w14:textId="641E7450" w:rsidR="00C9603B" w:rsidRPr="006D389B" w:rsidRDefault="00C9603B" w:rsidP="00C9603B">
            <w:pPr>
              <w:pStyle w:val="Bodyromannumerals"/>
              <w:rPr>
                <w:i/>
                <w:iCs/>
              </w:rPr>
            </w:pPr>
            <w:r w:rsidRPr="006D389B">
              <w:rPr>
                <w:i/>
                <w:iCs/>
              </w:rPr>
              <w:t>Definition:</w:t>
            </w:r>
          </w:p>
        </w:tc>
        <w:tc>
          <w:tcPr>
            <w:tcW w:w="3486" w:type="pct"/>
            <w:tcBorders>
              <w:top w:val="single" w:sz="4" w:space="0" w:color="auto"/>
              <w:left w:val="single" w:sz="4" w:space="0" w:color="FFFFFF" w:themeColor="background2"/>
              <w:bottom w:val="single" w:sz="4" w:space="0" w:color="FFFFFF" w:themeColor="background2"/>
              <w:right w:val="single" w:sz="4" w:space="0" w:color="FFFFFF" w:themeColor="background2"/>
            </w:tcBorders>
          </w:tcPr>
          <w:p w14:paraId="1EE7954E" w14:textId="0FBCFEC0" w:rsidR="00C9603B" w:rsidRDefault="00C9603B" w:rsidP="00C9603B">
            <w:pPr>
              <w:pStyle w:val="Bodyromannumerals"/>
            </w:pPr>
            <w:r w:rsidRPr="00992BD4">
              <w:t xml:space="preserve">Number of </w:t>
            </w:r>
            <w:r>
              <w:t>wastewater</w:t>
            </w:r>
            <w:r w:rsidRPr="00992BD4">
              <w:t xml:space="preserve"> </w:t>
            </w:r>
            <w:r>
              <w:t>treatment plants</w:t>
            </w:r>
            <w:r w:rsidRPr="00992BD4">
              <w:t xml:space="preserve"> where the sample mean for Suspended Solids, taken over the reporting period, is less than or equal to </w:t>
            </w:r>
            <w:r w:rsidR="0068358B">
              <w:t>62.5</w:t>
            </w:r>
            <w:r w:rsidRPr="00992BD4">
              <w:t>% of the 95%ile compliance value</w:t>
            </w:r>
            <w:r w:rsidR="007A23C9">
              <w:t xml:space="preserve"> based on the winter seasonal limit (if different)</w:t>
            </w:r>
            <w:r w:rsidRPr="00992BD4">
              <w:t xml:space="preserve">. </w:t>
            </w:r>
          </w:p>
          <w:p w14:paraId="50A44DCD" w14:textId="355785B6" w:rsidR="00C9603B" w:rsidRDefault="00B3499C" w:rsidP="00C9603B">
            <w:pPr>
              <w:pStyle w:val="Bodyromannumerals"/>
            </w:pPr>
            <w:r>
              <w:t xml:space="preserve">If the same consent limit applies all year, then report this line as 0 and provide an explanation in the commentary. </w:t>
            </w:r>
            <w:r w:rsidR="009C1811">
              <w:rPr>
                <w:b/>
                <w:bCs/>
                <w:szCs w:val="22"/>
              </w:rPr>
              <w:t xml:space="preserve"> </w:t>
            </w:r>
            <w:r w:rsidR="00EB0F71">
              <w:rPr>
                <w:b/>
                <w:bCs/>
                <w:szCs w:val="22"/>
              </w:rPr>
              <w:t xml:space="preserve"> </w:t>
            </w:r>
            <w:r w:rsidR="00CC5BD1">
              <w:rPr>
                <w:b/>
                <w:bCs/>
                <w:szCs w:val="22"/>
              </w:rPr>
              <w:t xml:space="preserve"> </w:t>
            </w:r>
            <w:r w:rsidR="002B75D4">
              <w:rPr>
                <w:b/>
                <w:bCs/>
                <w:szCs w:val="22"/>
              </w:rPr>
              <w:t xml:space="preserve"> </w:t>
            </w:r>
          </w:p>
        </w:tc>
      </w:tr>
      <w:tr w:rsidR="00C9603B" w:rsidRPr="00A83F00" w14:paraId="17E6783D" w14:textId="77777777" w:rsidTr="00F2362C">
        <w:tblPrEx>
          <w:tblLook w:val="04A0" w:firstRow="1" w:lastRow="0" w:firstColumn="1" w:lastColumn="0" w:noHBand="0" w:noVBand="1"/>
        </w:tblPrEx>
        <w:trPr>
          <w:gridAfter w:val="1"/>
          <w:wAfter w:w="400" w:type="pct"/>
        </w:trPr>
        <w:tc>
          <w:tcPr>
            <w:tcW w:w="1114" w:type="pct"/>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038EE0EF" w14:textId="49F5DA04" w:rsidR="00C9603B" w:rsidRPr="006D389B" w:rsidRDefault="00C9603B" w:rsidP="00C9603B">
            <w:pPr>
              <w:pStyle w:val="Bodyromannumerals"/>
              <w:rPr>
                <w:i/>
                <w:iCs/>
              </w:rPr>
            </w:pPr>
            <w:r w:rsidRPr="006D389B">
              <w:rPr>
                <w:i/>
                <w:iCs/>
              </w:rPr>
              <w:t>Processing rules:</w:t>
            </w:r>
          </w:p>
        </w:tc>
        <w:tc>
          <w:tcPr>
            <w:tcW w:w="3486" w:type="pct"/>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tcPr>
          <w:p w14:paraId="1B57F1DD" w14:textId="77B9A9C9" w:rsidR="00C9603B" w:rsidRDefault="00C9603B" w:rsidP="00C9603B">
            <w:pPr>
              <w:pStyle w:val="Bodyromannumerals"/>
            </w:pPr>
            <w:r>
              <w:t>Input field</w:t>
            </w:r>
          </w:p>
        </w:tc>
      </w:tr>
    </w:tbl>
    <w:p w14:paraId="148BF258" w14:textId="77777777" w:rsidR="00940E3A" w:rsidRPr="008456AD" w:rsidRDefault="00940E3A" w:rsidP="009254DD">
      <w:pPr>
        <w:pStyle w:val="Sectionsub-heading"/>
      </w:pPr>
      <w:r w:rsidRPr="008456AD">
        <w:t>BLOCK 3:  AMMONIA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940E3A" w:rsidRPr="006466B5" w14:paraId="017752E8" w14:textId="77777777" w:rsidTr="001E4C67">
        <w:tc>
          <w:tcPr>
            <w:tcW w:w="756" w:type="pct"/>
          </w:tcPr>
          <w:p w14:paraId="57DCD4DC" w14:textId="6085BA0E" w:rsidR="00940E3A" w:rsidRPr="009254DD" w:rsidRDefault="00940E3A" w:rsidP="009254DD">
            <w:pPr>
              <w:pStyle w:val="Bodyromannumerals"/>
              <w:rPr>
                <w:b/>
                <w:bCs/>
              </w:rPr>
            </w:pPr>
            <w:r w:rsidRPr="009254DD">
              <w:rPr>
                <w:b/>
                <w:bCs/>
              </w:rPr>
              <w:t>C5.</w:t>
            </w:r>
            <w:r w:rsidR="00C0039F">
              <w:rPr>
                <w:b/>
                <w:bCs/>
              </w:rPr>
              <w:t>9</w:t>
            </w:r>
          </w:p>
        </w:tc>
        <w:tc>
          <w:tcPr>
            <w:tcW w:w="3472" w:type="pct"/>
            <w:gridSpan w:val="2"/>
          </w:tcPr>
          <w:p w14:paraId="4DDEF348" w14:textId="1E7542AF" w:rsidR="00940E3A" w:rsidRPr="009254DD" w:rsidRDefault="00940E3A" w:rsidP="009254DD">
            <w:pPr>
              <w:pStyle w:val="Bodyromannumerals"/>
              <w:rPr>
                <w:b/>
                <w:bCs/>
                <w:bdr w:val="single" w:sz="4" w:space="0" w:color="auto"/>
              </w:rPr>
            </w:pPr>
            <w:r w:rsidRPr="009254DD">
              <w:rPr>
                <w:b/>
                <w:bCs/>
              </w:rPr>
              <w:t xml:space="preserve">Number of </w:t>
            </w:r>
            <w:r w:rsidR="00083423">
              <w:rPr>
                <w:b/>
                <w:bCs/>
              </w:rPr>
              <w:t>wastewater</w:t>
            </w:r>
            <w:r w:rsidRPr="009254DD">
              <w:rPr>
                <w:b/>
                <w:bCs/>
              </w:rPr>
              <w:t xml:space="preserve"> </w:t>
            </w:r>
            <w:r w:rsidR="00A23234">
              <w:rPr>
                <w:b/>
                <w:bCs/>
              </w:rPr>
              <w:t>treatment plants</w:t>
            </w:r>
            <w:r w:rsidR="00A23234" w:rsidRPr="009254DD">
              <w:rPr>
                <w:b/>
                <w:bCs/>
              </w:rPr>
              <w:t xml:space="preserve"> </w:t>
            </w:r>
            <w:r w:rsidRPr="009254DD">
              <w:rPr>
                <w:b/>
                <w:bCs/>
              </w:rPr>
              <w:t>with a numeric Ammonia consent</w:t>
            </w:r>
          </w:p>
        </w:tc>
        <w:tc>
          <w:tcPr>
            <w:tcW w:w="772" w:type="pct"/>
          </w:tcPr>
          <w:p w14:paraId="7D27F88E" w14:textId="5F432B57" w:rsidR="00940E3A" w:rsidRPr="009254DD" w:rsidRDefault="001D1117" w:rsidP="009254DD">
            <w:pPr>
              <w:pStyle w:val="Bodyromannumerals"/>
              <w:rPr>
                <w:b/>
                <w:bCs/>
                <w:bdr w:val="single" w:sz="4" w:space="0" w:color="auto"/>
              </w:rPr>
            </w:pPr>
            <w:r w:rsidRPr="009254DD">
              <w:rPr>
                <w:b/>
                <w:bCs/>
              </w:rPr>
              <w:t>Nr.</w:t>
            </w:r>
          </w:p>
        </w:tc>
      </w:tr>
      <w:tr w:rsidR="00940E3A" w:rsidRPr="00A83F00" w14:paraId="42D67D06"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59B4305F" w14:textId="77777777" w:rsidR="00940E3A" w:rsidRPr="006D389B" w:rsidRDefault="00940E3A" w:rsidP="009254DD">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70B09F27" w14:textId="30741450" w:rsidR="00940E3A" w:rsidRPr="00A83F00" w:rsidRDefault="00940E3A" w:rsidP="009254DD">
            <w:pPr>
              <w:pStyle w:val="Bodyromannumerals"/>
            </w:pPr>
            <w:r w:rsidRPr="00992BD4">
              <w:t xml:space="preserve">Number of </w:t>
            </w:r>
            <w:r w:rsidR="00083423">
              <w:t>wastewater</w:t>
            </w:r>
            <w:r w:rsidRPr="00992BD4">
              <w:t xml:space="preserve"> </w:t>
            </w:r>
            <w:r w:rsidR="00A23234">
              <w:t>treatment plants</w:t>
            </w:r>
            <w:r w:rsidR="00A23234" w:rsidRPr="00992BD4">
              <w:t xml:space="preserve"> </w:t>
            </w:r>
            <w:r w:rsidRPr="00992BD4">
              <w:t xml:space="preserve">with a numeric Ammonia consent. </w:t>
            </w:r>
          </w:p>
        </w:tc>
      </w:tr>
      <w:tr w:rsidR="00940E3A" w:rsidRPr="00A83F00" w14:paraId="75DF6E1D"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8731B6" w14:textId="77777777" w:rsidR="00940E3A" w:rsidRPr="006D389B" w:rsidRDefault="00940E3A" w:rsidP="009254DD">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8AE77D" w14:textId="276BA9BE" w:rsidR="00940E3A" w:rsidRPr="00A83F00" w:rsidRDefault="00940E3A" w:rsidP="009254DD">
            <w:pPr>
              <w:pStyle w:val="Bodyromannumerals"/>
            </w:pPr>
            <w:r w:rsidRPr="00992BD4">
              <w:t>Calculated field: the sum of C5.</w:t>
            </w:r>
            <w:r w:rsidR="00C0039F" w:rsidRPr="00992BD4">
              <w:t>1</w:t>
            </w:r>
            <w:r w:rsidR="00C0039F">
              <w:t>1</w:t>
            </w:r>
            <w:r w:rsidR="00C0039F" w:rsidRPr="00992BD4">
              <w:t xml:space="preserve"> </w:t>
            </w:r>
            <w:r w:rsidR="00C0039F">
              <w:t xml:space="preserve">and </w:t>
            </w:r>
            <w:r w:rsidRPr="00992BD4">
              <w:t>C5.</w:t>
            </w:r>
            <w:r w:rsidR="00C0039F" w:rsidRPr="00992BD4">
              <w:t>1</w:t>
            </w:r>
            <w:r w:rsidR="00C0039F">
              <w:t>2</w:t>
            </w:r>
          </w:p>
        </w:tc>
      </w:tr>
      <w:tr w:rsidR="00940E3A" w:rsidRPr="006466B5" w14:paraId="2C5A2BA7" w14:textId="77777777" w:rsidTr="001E4C67">
        <w:tc>
          <w:tcPr>
            <w:tcW w:w="756" w:type="pct"/>
          </w:tcPr>
          <w:p w14:paraId="17904839" w14:textId="685BB6A9" w:rsidR="00940E3A" w:rsidRPr="009254DD" w:rsidRDefault="00940E3A" w:rsidP="009254DD">
            <w:pPr>
              <w:pStyle w:val="Bodyromannumerals"/>
              <w:rPr>
                <w:b/>
                <w:bCs/>
              </w:rPr>
            </w:pPr>
            <w:r w:rsidRPr="009254DD">
              <w:rPr>
                <w:b/>
                <w:bCs/>
              </w:rPr>
              <w:t>C5.</w:t>
            </w:r>
            <w:r w:rsidR="00C0039F" w:rsidRPr="009254DD">
              <w:rPr>
                <w:b/>
                <w:bCs/>
              </w:rPr>
              <w:t>1</w:t>
            </w:r>
            <w:r w:rsidR="00C0039F">
              <w:rPr>
                <w:b/>
                <w:bCs/>
              </w:rPr>
              <w:t>0</w:t>
            </w:r>
          </w:p>
        </w:tc>
        <w:tc>
          <w:tcPr>
            <w:tcW w:w="3472" w:type="pct"/>
            <w:gridSpan w:val="2"/>
          </w:tcPr>
          <w:p w14:paraId="152F6596" w14:textId="55647B43" w:rsidR="00940E3A" w:rsidRPr="009254DD" w:rsidRDefault="00940E3A" w:rsidP="009254DD">
            <w:pPr>
              <w:pStyle w:val="Bodyromannumerals"/>
              <w:rPr>
                <w:b/>
                <w:bCs/>
                <w:bdr w:val="single" w:sz="4" w:space="0" w:color="auto"/>
              </w:rPr>
            </w:pPr>
            <w:r w:rsidRPr="009254DD">
              <w:rPr>
                <w:b/>
                <w:bCs/>
              </w:rPr>
              <w:t xml:space="preserve">Number of </w:t>
            </w:r>
            <w:r w:rsidR="00083423">
              <w:rPr>
                <w:b/>
                <w:bCs/>
              </w:rPr>
              <w:t>wastewater</w:t>
            </w:r>
            <w:r w:rsidRPr="009254DD">
              <w:rPr>
                <w:b/>
                <w:bCs/>
              </w:rPr>
              <w:t xml:space="preserve"> </w:t>
            </w:r>
            <w:r w:rsidR="00A23234">
              <w:rPr>
                <w:b/>
                <w:bCs/>
              </w:rPr>
              <w:t>treatment plants</w:t>
            </w:r>
            <w:r w:rsidR="00A23234" w:rsidRPr="009254DD">
              <w:rPr>
                <w:b/>
                <w:bCs/>
              </w:rPr>
              <w:t xml:space="preserve"> </w:t>
            </w:r>
            <w:r w:rsidRPr="009254DD">
              <w:rPr>
                <w:b/>
                <w:bCs/>
              </w:rPr>
              <w:t>where &gt;=12 samples taken for Ammonia</w:t>
            </w:r>
          </w:p>
        </w:tc>
        <w:tc>
          <w:tcPr>
            <w:tcW w:w="772" w:type="pct"/>
          </w:tcPr>
          <w:p w14:paraId="5658EBC8" w14:textId="43AD35D6" w:rsidR="00940E3A" w:rsidRPr="009254DD" w:rsidRDefault="001D1117" w:rsidP="009254DD">
            <w:pPr>
              <w:pStyle w:val="Bodyromannumerals"/>
              <w:rPr>
                <w:b/>
                <w:bCs/>
                <w:bdr w:val="single" w:sz="4" w:space="0" w:color="auto"/>
              </w:rPr>
            </w:pPr>
            <w:r w:rsidRPr="009254DD">
              <w:rPr>
                <w:b/>
                <w:bCs/>
              </w:rPr>
              <w:t>Nr.</w:t>
            </w:r>
          </w:p>
        </w:tc>
      </w:tr>
      <w:tr w:rsidR="00940E3A" w:rsidRPr="00A83F00" w14:paraId="6907FB43"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1A4970E6" w14:textId="77777777" w:rsidR="00940E3A" w:rsidRPr="006D389B" w:rsidRDefault="00940E3A" w:rsidP="009254DD">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0E7CE91F" w14:textId="5854B8DB" w:rsidR="00940E3A" w:rsidRPr="00A83F00" w:rsidRDefault="00940E3A" w:rsidP="009254DD">
            <w:pPr>
              <w:pStyle w:val="Bodyromannumerals"/>
            </w:pPr>
            <w:r w:rsidRPr="00992BD4">
              <w:t xml:space="preserve">Number of </w:t>
            </w:r>
            <w:r w:rsidR="00083423">
              <w:t>wastewater</w:t>
            </w:r>
            <w:r w:rsidRPr="00992BD4">
              <w:t xml:space="preserve"> </w:t>
            </w:r>
            <w:r w:rsidR="00A23234">
              <w:t>treatment plants</w:t>
            </w:r>
            <w:r w:rsidR="00A23234" w:rsidRPr="00992BD4">
              <w:t xml:space="preserve"> </w:t>
            </w:r>
            <w:r w:rsidRPr="00992BD4">
              <w:t>where &gt;=12 samples taken for Ammonia</w:t>
            </w:r>
            <w:r w:rsidR="006D389B">
              <w:t>.</w:t>
            </w:r>
          </w:p>
        </w:tc>
      </w:tr>
      <w:tr w:rsidR="00940E3A" w:rsidRPr="00A83F00" w14:paraId="3381819A"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3F3199" w14:textId="77777777" w:rsidR="00940E3A" w:rsidRPr="006D389B" w:rsidRDefault="00940E3A" w:rsidP="009254DD">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5EA8E0" w14:textId="77777777" w:rsidR="00940E3A" w:rsidRPr="00A83F00" w:rsidRDefault="00940E3A" w:rsidP="009254DD">
            <w:pPr>
              <w:pStyle w:val="Bodyromannumerals"/>
            </w:pPr>
            <w:r w:rsidRPr="006466B5">
              <w:t>Input field</w:t>
            </w:r>
          </w:p>
        </w:tc>
      </w:tr>
      <w:tr w:rsidR="00940E3A" w:rsidRPr="006466B5" w14:paraId="68AC56A6" w14:textId="77777777" w:rsidTr="001E4C67">
        <w:tc>
          <w:tcPr>
            <w:tcW w:w="756" w:type="pct"/>
          </w:tcPr>
          <w:p w14:paraId="0A55BDE6" w14:textId="17127425" w:rsidR="00940E3A" w:rsidRPr="009254DD" w:rsidRDefault="00940E3A" w:rsidP="009254DD">
            <w:pPr>
              <w:pStyle w:val="Bodyromannumerals"/>
              <w:rPr>
                <w:b/>
                <w:bCs/>
                <w:sz w:val="22"/>
                <w:szCs w:val="22"/>
              </w:rPr>
            </w:pPr>
            <w:r w:rsidRPr="009254DD">
              <w:rPr>
                <w:b/>
                <w:bCs/>
                <w:sz w:val="22"/>
                <w:szCs w:val="22"/>
              </w:rPr>
              <w:t>C5.</w:t>
            </w:r>
            <w:r w:rsidR="00C0039F" w:rsidRPr="009254DD">
              <w:rPr>
                <w:b/>
                <w:bCs/>
                <w:sz w:val="22"/>
                <w:szCs w:val="22"/>
              </w:rPr>
              <w:t>1</w:t>
            </w:r>
            <w:r w:rsidR="00C0039F">
              <w:rPr>
                <w:b/>
                <w:bCs/>
                <w:sz w:val="22"/>
                <w:szCs w:val="22"/>
              </w:rPr>
              <w:t>1</w:t>
            </w:r>
          </w:p>
        </w:tc>
        <w:tc>
          <w:tcPr>
            <w:tcW w:w="3472" w:type="pct"/>
            <w:gridSpan w:val="2"/>
          </w:tcPr>
          <w:p w14:paraId="1662E8F0" w14:textId="71C20298" w:rsidR="00940E3A" w:rsidRPr="009254DD" w:rsidRDefault="00940E3A" w:rsidP="009254DD">
            <w:pPr>
              <w:pStyle w:val="Bodyromannumerals"/>
              <w:rPr>
                <w:b/>
                <w:bCs/>
                <w:sz w:val="22"/>
                <w:szCs w:val="22"/>
                <w:bdr w:val="single" w:sz="4" w:space="0" w:color="auto"/>
              </w:rPr>
            </w:pPr>
            <w:r w:rsidRPr="009254DD">
              <w:rPr>
                <w:b/>
                <w:bCs/>
                <w:sz w:val="22"/>
                <w:szCs w:val="22"/>
              </w:rPr>
              <w:t xml:space="preserve">Number of </w:t>
            </w:r>
            <w:r w:rsidR="00083423">
              <w:rPr>
                <w:b/>
                <w:bCs/>
                <w:sz w:val="22"/>
                <w:szCs w:val="22"/>
              </w:rPr>
              <w:t>wastewater</w:t>
            </w:r>
            <w:r w:rsidRPr="009254DD">
              <w:rPr>
                <w:b/>
                <w:bCs/>
                <w:sz w:val="22"/>
                <w:szCs w:val="22"/>
              </w:rPr>
              <w:t xml:space="preserve"> </w:t>
            </w:r>
            <w:r w:rsidR="00A23234">
              <w:rPr>
                <w:b/>
                <w:bCs/>
                <w:sz w:val="22"/>
                <w:szCs w:val="22"/>
              </w:rPr>
              <w:t>treatment plants</w:t>
            </w:r>
            <w:r w:rsidR="00A23234" w:rsidRPr="009254DD">
              <w:rPr>
                <w:b/>
                <w:bCs/>
                <w:sz w:val="22"/>
                <w:szCs w:val="22"/>
              </w:rPr>
              <w:t xml:space="preserve"> </w:t>
            </w:r>
            <w:r w:rsidRPr="009254DD">
              <w:rPr>
                <w:b/>
                <w:bCs/>
                <w:sz w:val="22"/>
                <w:szCs w:val="22"/>
              </w:rPr>
              <w:t>where the sample mean &gt;62.5% of the compliance value</w:t>
            </w:r>
          </w:p>
        </w:tc>
        <w:tc>
          <w:tcPr>
            <w:tcW w:w="772" w:type="pct"/>
          </w:tcPr>
          <w:p w14:paraId="6B8F047E" w14:textId="31681978" w:rsidR="00940E3A" w:rsidRPr="009254DD" w:rsidRDefault="001D1117" w:rsidP="009254DD">
            <w:pPr>
              <w:pStyle w:val="Bodyromannumerals"/>
              <w:rPr>
                <w:b/>
                <w:bCs/>
                <w:bdr w:val="single" w:sz="4" w:space="0" w:color="auto"/>
              </w:rPr>
            </w:pPr>
            <w:r w:rsidRPr="009254DD">
              <w:rPr>
                <w:b/>
                <w:bCs/>
              </w:rPr>
              <w:t>Nr.</w:t>
            </w:r>
          </w:p>
        </w:tc>
      </w:tr>
      <w:tr w:rsidR="00940E3A" w:rsidRPr="00A83F00" w14:paraId="37730B4F"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36850854" w14:textId="77777777" w:rsidR="00940E3A" w:rsidRPr="006D389B" w:rsidRDefault="00940E3A" w:rsidP="009254DD">
            <w:pPr>
              <w:pStyle w:val="Bodyromannumerals"/>
              <w:rPr>
                <w:i/>
                <w:iCs/>
                <w:sz w:val="22"/>
              </w:rPr>
            </w:pPr>
            <w:r w:rsidRPr="006D389B">
              <w:rPr>
                <w:i/>
                <w:iCs/>
                <w:sz w:val="22"/>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289D592E" w14:textId="39FE77AC" w:rsidR="00940E3A" w:rsidRPr="00A83F00" w:rsidRDefault="00940E3A" w:rsidP="009254DD">
            <w:pPr>
              <w:pStyle w:val="Bodyromannumerals"/>
              <w:rPr>
                <w:sz w:val="22"/>
              </w:rPr>
            </w:pPr>
            <w:r w:rsidRPr="00992BD4">
              <w:rPr>
                <w:sz w:val="22"/>
              </w:rPr>
              <w:t xml:space="preserve">Number of </w:t>
            </w:r>
            <w:r w:rsidR="00083423">
              <w:rPr>
                <w:sz w:val="22"/>
              </w:rPr>
              <w:t>wastewater</w:t>
            </w:r>
            <w:r w:rsidRPr="00992BD4">
              <w:rPr>
                <w:sz w:val="22"/>
              </w:rPr>
              <w:t xml:space="preserve"> </w:t>
            </w:r>
            <w:r w:rsidR="00A23234">
              <w:rPr>
                <w:sz w:val="22"/>
              </w:rPr>
              <w:t>treatment plants</w:t>
            </w:r>
            <w:r w:rsidR="00A23234" w:rsidRPr="00992BD4">
              <w:rPr>
                <w:sz w:val="22"/>
              </w:rPr>
              <w:t xml:space="preserve"> </w:t>
            </w:r>
            <w:r w:rsidRPr="00992BD4">
              <w:rPr>
                <w:sz w:val="22"/>
              </w:rPr>
              <w:t xml:space="preserve">where the sample mean for Ammonia, taken over the reporting period, exceeds 62.5% of the 95%ile compliance value. </w:t>
            </w:r>
          </w:p>
        </w:tc>
      </w:tr>
      <w:tr w:rsidR="00940E3A" w:rsidRPr="00A83F00" w14:paraId="211F4F0D"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85A81F" w14:textId="77777777" w:rsidR="00940E3A" w:rsidRPr="006D389B" w:rsidRDefault="00940E3A" w:rsidP="009254DD">
            <w:pPr>
              <w:pStyle w:val="Bodyromannumerals"/>
              <w:rPr>
                <w:i/>
                <w:iCs/>
                <w:sz w:val="22"/>
              </w:rPr>
            </w:pPr>
            <w:r w:rsidRPr="006D389B">
              <w:rPr>
                <w:i/>
                <w:iCs/>
                <w:sz w:val="22"/>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8F7F9C" w14:textId="77777777" w:rsidR="00940E3A" w:rsidRPr="00A83F00" w:rsidRDefault="00940E3A" w:rsidP="009254DD">
            <w:pPr>
              <w:pStyle w:val="Bodyromannumerals"/>
              <w:rPr>
                <w:sz w:val="22"/>
              </w:rPr>
            </w:pPr>
            <w:r w:rsidRPr="006466B5">
              <w:t>Input field</w:t>
            </w:r>
          </w:p>
        </w:tc>
      </w:tr>
      <w:tr w:rsidR="00940E3A" w:rsidRPr="006466B5" w14:paraId="6082B8D6" w14:textId="77777777" w:rsidTr="001E4C67">
        <w:tc>
          <w:tcPr>
            <w:tcW w:w="756" w:type="pct"/>
          </w:tcPr>
          <w:p w14:paraId="0E839D62" w14:textId="4ED2BC93" w:rsidR="00940E3A" w:rsidRPr="009254DD" w:rsidRDefault="00940E3A" w:rsidP="009254DD">
            <w:pPr>
              <w:pStyle w:val="Bodyromannumerals"/>
              <w:rPr>
                <w:b/>
                <w:bCs/>
              </w:rPr>
            </w:pPr>
            <w:r w:rsidRPr="009254DD">
              <w:rPr>
                <w:b/>
                <w:bCs/>
              </w:rPr>
              <w:t>C5.</w:t>
            </w:r>
            <w:r w:rsidR="00C0039F" w:rsidRPr="009254DD">
              <w:rPr>
                <w:b/>
                <w:bCs/>
              </w:rPr>
              <w:t>1</w:t>
            </w:r>
            <w:r w:rsidR="00C0039F">
              <w:rPr>
                <w:b/>
                <w:bCs/>
              </w:rPr>
              <w:t>2</w:t>
            </w:r>
          </w:p>
        </w:tc>
        <w:tc>
          <w:tcPr>
            <w:tcW w:w="3472" w:type="pct"/>
            <w:gridSpan w:val="2"/>
          </w:tcPr>
          <w:p w14:paraId="39C5B7FD" w14:textId="05993D34" w:rsidR="00940E3A" w:rsidRPr="009254DD" w:rsidRDefault="00940E3A" w:rsidP="009254DD">
            <w:pPr>
              <w:pStyle w:val="Bodyromannumerals"/>
              <w:rPr>
                <w:b/>
                <w:bCs/>
                <w:bdr w:val="single" w:sz="4" w:space="0" w:color="auto"/>
              </w:rPr>
            </w:pPr>
            <w:r w:rsidRPr="009254DD">
              <w:rPr>
                <w:b/>
                <w:bCs/>
              </w:rPr>
              <w:t xml:space="preserve">Number of </w:t>
            </w:r>
            <w:r w:rsidR="00083423">
              <w:rPr>
                <w:b/>
                <w:bCs/>
              </w:rPr>
              <w:t>wastewater</w:t>
            </w:r>
            <w:r w:rsidRPr="009254DD">
              <w:rPr>
                <w:b/>
                <w:bCs/>
              </w:rPr>
              <w:t xml:space="preserve"> </w:t>
            </w:r>
            <w:r w:rsidR="00A23234">
              <w:rPr>
                <w:b/>
                <w:bCs/>
              </w:rPr>
              <w:t>treatment plants</w:t>
            </w:r>
            <w:r w:rsidR="00A23234" w:rsidRPr="009254DD">
              <w:rPr>
                <w:b/>
                <w:bCs/>
              </w:rPr>
              <w:t xml:space="preserve"> </w:t>
            </w:r>
            <w:r w:rsidRPr="009254DD">
              <w:rPr>
                <w:b/>
                <w:bCs/>
              </w:rPr>
              <w:t>where the sample mean</w:t>
            </w:r>
            <w:r w:rsidR="005A3D14">
              <w:rPr>
                <w:b/>
                <w:bCs/>
              </w:rPr>
              <w:t xml:space="preserve"> </w:t>
            </w:r>
            <w:r w:rsidRPr="009254DD">
              <w:rPr>
                <w:b/>
                <w:bCs/>
              </w:rPr>
              <w:t>&lt;=</w:t>
            </w:r>
            <w:r w:rsidR="00C0039F">
              <w:rPr>
                <w:b/>
                <w:bCs/>
              </w:rPr>
              <w:t>62.5</w:t>
            </w:r>
            <w:r w:rsidRPr="009254DD">
              <w:rPr>
                <w:b/>
                <w:bCs/>
              </w:rPr>
              <w:t>% of the compliance value</w:t>
            </w:r>
          </w:p>
        </w:tc>
        <w:tc>
          <w:tcPr>
            <w:tcW w:w="772" w:type="pct"/>
          </w:tcPr>
          <w:p w14:paraId="71302EDD" w14:textId="1619DE89" w:rsidR="00940E3A" w:rsidRPr="006466B5" w:rsidRDefault="001D1117" w:rsidP="009254DD">
            <w:pPr>
              <w:pStyle w:val="Bodyromannumerals"/>
              <w:rPr>
                <w:b/>
                <w:bdr w:val="single" w:sz="4" w:space="0" w:color="auto"/>
              </w:rPr>
            </w:pPr>
            <w:r>
              <w:rPr>
                <w:b/>
              </w:rPr>
              <w:t>Nr.</w:t>
            </w:r>
          </w:p>
        </w:tc>
      </w:tr>
      <w:tr w:rsidR="00940E3A" w:rsidRPr="00A83F00" w14:paraId="09514301"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11F9E0F5" w14:textId="77777777" w:rsidR="00940E3A" w:rsidRPr="006D389B" w:rsidRDefault="00940E3A" w:rsidP="009254DD">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3A37CA1B" w14:textId="0957F345" w:rsidR="00940E3A" w:rsidRPr="00A83F00" w:rsidRDefault="00940E3A" w:rsidP="009254DD">
            <w:pPr>
              <w:pStyle w:val="Bodyromannumerals"/>
            </w:pPr>
            <w:r w:rsidRPr="00992BD4">
              <w:t xml:space="preserve">Number of </w:t>
            </w:r>
            <w:r w:rsidR="00083423">
              <w:t>wastewater</w:t>
            </w:r>
            <w:r w:rsidRPr="00992BD4">
              <w:t xml:space="preserve"> </w:t>
            </w:r>
            <w:r w:rsidR="00A23234">
              <w:t>treatment plants</w:t>
            </w:r>
            <w:r w:rsidR="00A23234" w:rsidRPr="00992BD4">
              <w:t xml:space="preserve"> </w:t>
            </w:r>
            <w:r w:rsidRPr="00992BD4">
              <w:t xml:space="preserve">where the sample mean for Ammonia, taken over the reporting period, is less than or equal to </w:t>
            </w:r>
            <w:r w:rsidR="00C0039F">
              <w:t>62.5</w:t>
            </w:r>
            <w:r w:rsidRPr="00992BD4">
              <w:t xml:space="preserve">% of the 95%ile compliance value. </w:t>
            </w:r>
          </w:p>
        </w:tc>
      </w:tr>
      <w:tr w:rsidR="00940E3A" w:rsidRPr="00A83F00" w14:paraId="0E13E546"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844500" w14:textId="77777777" w:rsidR="00940E3A" w:rsidRPr="006D389B" w:rsidRDefault="00940E3A" w:rsidP="009254DD">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57B6FE" w14:textId="77777777" w:rsidR="00940E3A" w:rsidRPr="00A83F00" w:rsidRDefault="00940E3A" w:rsidP="009254DD">
            <w:pPr>
              <w:pStyle w:val="Bodyromannumerals"/>
            </w:pPr>
            <w:r w:rsidRPr="006466B5">
              <w:t>Input field</w:t>
            </w:r>
          </w:p>
        </w:tc>
      </w:tr>
    </w:tbl>
    <w:p w14:paraId="2C4F6E58" w14:textId="37E118B2" w:rsidR="00940E3A" w:rsidRDefault="00940E3A" w:rsidP="009254DD">
      <w:pPr>
        <w:pStyle w:val="Sectionsub-heading"/>
      </w:pPr>
      <w:r w:rsidRPr="006466B5">
        <w:t>BLOCK 4: PHOSPHATE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A62B0C" w:rsidRPr="006466B5" w14:paraId="26CCC0D8" w14:textId="77777777" w:rsidTr="008030FA">
        <w:tc>
          <w:tcPr>
            <w:tcW w:w="756" w:type="pct"/>
          </w:tcPr>
          <w:p w14:paraId="1E741008" w14:textId="0E1C4901" w:rsidR="00A62B0C" w:rsidRPr="009254DD" w:rsidRDefault="00A62B0C" w:rsidP="00A62B0C">
            <w:pPr>
              <w:pStyle w:val="Bodyromannumerals"/>
              <w:rPr>
                <w:b/>
                <w:bCs/>
              </w:rPr>
            </w:pPr>
            <w:r w:rsidRPr="009254DD">
              <w:rPr>
                <w:b/>
                <w:bCs/>
              </w:rPr>
              <w:t>C5.</w:t>
            </w:r>
            <w:r w:rsidR="00C0039F" w:rsidRPr="009254DD">
              <w:rPr>
                <w:b/>
                <w:bCs/>
              </w:rPr>
              <w:t>1</w:t>
            </w:r>
            <w:r w:rsidR="00C0039F">
              <w:rPr>
                <w:b/>
                <w:bCs/>
              </w:rPr>
              <w:t>3</w:t>
            </w:r>
          </w:p>
        </w:tc>
        <w:tc>
          <w:tcPr>
            <w:tcW w:w="3472" w:type="pct"/>
            <w:gridSpan w:val="2"/>
          </w:tcPr>
          <w:p w14:paraId="0B309D44" w14:textId="67DF96BA" w:rsidR="00A62B0C" w:rsidRPr="009254DD" w:rsidRDefault="00A62B0C" w:rsidP="00A62B0C">
            <w:pPr>
              <w:pStyle w:val="Bodyromannumerals"/>
              <w:rPr>
                <w:b/>
                <w:bCs/>
                <w:bdr w:val="single" w:sz="4" w:space="0" w:color="auto"/>
              </w:rPr>
            </w:pPr>
            <w:r w:rsidRPr="009254DD">
              <w:rPr>
                <w:b/>
                <w:bCs/>
              </w:rPr>
              <w:t xml:space="preserve">Number of </w:t>
            </w:r>
            <w:r w:rsidR="00A23234">
              <w:rPr>
                <w:b/>
                <w:bCs/>
              </w:rPr>
              <w:t>waste</w:t>
            </w:r>
            <w:r w:rsidR="00083423">
              <w:rPr>
                <w:b/>
                <w:bCs/>
              </w:rPr>
              <w:t>water</w:t>
            </w:r>
            <w:r w:rsidRPr="009254DD">
              <w:rPr>
                <w:b/>
                <w:bCs/>
              </w:rPr>
              <w:t xml:space="preserve"> treatment </w:t>
            </w:r>
            <w:r w:rsidR="00433922">
              <w:rPr>
                <w:b/>
                <w:bCs/>
              </w:rPr>
              <w:t>plants</w:t>
            </w:r>
            <w:r w:rsidR="00433922" w:rsidRPr="009254DD">
              <w:rPr>
                <w:b/>
                <w:bCs/>
              </w:rPr>
              <w:t xml:space="preserve"> </w:t>
            </w:r>
            <w:r w:rsidRPr="009254DD">
              <w:rPr>
                <w:b/>
                <w:bCs/>
              </w:rPr>
              <w:t>with a numeric Phosphate consent</w:t>
            </w:r>
          </w:p>
        </w:tc>
        <w:tc>
          <w:tcPr>
            <w:tcW w:w="772" w:type="pct"/>
          </w:tcPr>
          <w:p w14:paraId="630DE310" w14:textId="520373C2" w:rsidR="00A62B0C" w:rsidRPr="006466B5" w:rsidRDefault="00A62B0C" w:rsidP="00A62B0C">
            <w:pPr>
              <w:pStyle w:val="Bodyromannumerals"/>
              <w:rPr>
                <w:b/>
                <w:bdr w:val="single" w:sz="4" w:space="0" w:color="auto"/>
              </w:rPr>
            </w:pPr>
            <w:r>
              <w:rPr>
                <w:b/>
              </w:rPr>
              <w:t>Nr.</w:t>
            </w:r>
          </w:p>
        </w:tc>
      </w:tr>
      <w:tr w:rsidR="00A62B0C" w:rsidRPr="00A83F00" w14:paraId="270EE071"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180EE4C1" w14:textId="77777777" w:rsidR="00A62B0C" w:rsidRPr="006D389B" w:rsidRDefault="00A62B0C"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0E6A8221" w14:textId="4DAFD847" w:rsidR="00A62B0C" w:rsidRPr="00A83F00" w:rsidRDefault="00A62B0C" w:rsidP="008030FA">
            <w:pPr>
              <w:pStyle w:val="Bodyromannumerals"/>
            </w:pPr>
            <w:r w:rsidRPr="00A62B0C">
              <w:t xml:space="preserve">Number of </w:t>
            </w:r>
            <w:r w:rsidR="00083423">
              <w:t>wastewater</w:t>
            </w:r>
            <w:r w:rsidRPr="00A62B0C">
              <w:t xml:space="preserve"> </w:t>
            </w:r>
            <w:r w:rsidR="00A23234">
              <w:t>treatment plants</w:t>
            </w:r>
            <w:r w:rsidR="00A23234" w:rsidRPr="00A62B0C">
              <w:t xml:space="preserve"> </w:t>
            </w:r>
            <w:r w:rsidRPr="00A62B0C">
              <w:t xml:space="preserve">with a numeric Phosphate consent. </w:t>
            </w:r>
          </w:p>
        </w:tc>
      </w:tr>
      <w:tr w:rsidR="00A62B0C" w:rsidRPr="00A83F00" w14:paraId="2601A390"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C5083A" w14:textId="77777777" w:rsidR="00A62B0C" w:rsidRPr="006D389B" w:rsidRDefault="00A62B0C"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D93CE3" w14:textId="449E0A7A" w:rsidR="00A62B0C" w:rsidRPr="00A83F00" w:rsidRDefault="00A62B0C" w:rsidP="008030FA">
            <w:pPr>
              <w:pStyle w:val="Bodyromannumerals"/>
            </w:pPr>
            <w:r w:rsidRPr="00A62B0C">
              <w:t>Calculated field: the sum of C5.</w:t>
            </w:r>
            <w:r w:rsidR="00CF705C">
              <w:t>15 and C5.16</w:t>
            </w:r>
            <w:r>
              <w:t>.</w:t>
            </w:r>
          </w:p>
        </w:tc>
      </w:tr>
      <w:tr w:rsidR="00A62B0C" w:rsidRPr="006466B5" w14:paraId="6ABBC87C" w14:textId="77777777" w:rsidTr="008030FA">
        <w:tc>
          <w:tcPr>
            <w:tcW w:w="756" w:type="pct"/>
          </w:tcPr>
          <w:p w14:paraId="781AD886" w14:textId="7E04B445" w:rsidR="00A62B0C" w:rsidRPr="009254DD" w:rsidRDefault="00A62B0C" w:rsidP="00A62B0C">
            <w:pPr>
              <w:pStyle w:val="Bodyromannumerals"/>
              <w:rPr>
                <w:b/>
                <w:bCs/>
              </w:rPr>
            </w:pPr>
            <w:r w:rsidRPr="009254DD">
              <w:rPr>
                <w:b/>
              </w:rPr>
              <w:t>C5.</w:t>
            </w:r>
            <w:r w:rsidR="00C0039F" w:rsidRPr="009254DD">
              <w:rPr>
                <w:b/>
              </w:rPr>
              <w:t>1</w:t>
            </w:r>
            <w:r w:rsidR="00C0039F">
              <w:rPr>
                <w:b/>
              </w:rPr>
              <w:t>4</w:t>
            </w:r>
          </w:p>
        </w:tc>
        <w:tc>
          <w:tcPr>
            <w:tcW w:w="3472" w:type="pct"/>
            <w:gridSpan w:val="2"/>
          </w:tcPr>
          <w:p w14:paraId="2332A8D2" w14:textId="3CFD350A" w:rsidR="00A62B0C" w:rsidRPr="009254DD" w:rsidRDefault="00A62B0C" w:rsidP="00A62B0C">
            <w:pPr>
              <w:pStyle w:val="Bodyromannumerals"/>
              <w:rPr>
                <w:b/>
                <w:bCs/>
                <w:bdr w:val="single" w:sz="4" w:space="0" w:color="auto"/>
              </w:rPr>
            </w:pPr>
            <w:r w:rsidRPr="009254DD">
              <w:rPr>
                <w:b/>
              </w:rPr>
              <w:t xml:space="preserve">Number of </w:t>
            </w:r>
            <w:r w:rsidR="00A23234">
              <w:rPr>
                <w:b/>
              </w:rPr>
              <w:t>waste</w:t>
            </w:r>
            <w:r w:rsidR="00083423">
              <w:rPr>
                <w:b/>
              </w:rPr>
              <w:t>water</w:t>
            </w:r>
            <w:r w:rsidRPr="009254DD">
              <w:rPr>
                <w:b/>
              </w:rPr>
              <w:t xml:space="preserve"> treatment </w:t>
            </w:r>
            <w:r w:rsidR="00433922">
              <w:rPr>
                <w:b/>
              </w:rPr>
              <w:t>plants</w:t>
            </w:r>
            <w:r w:rsidR="00433922" w:rsidRPr="009254DD">
              <w:rPr>
                <w:b/>
              </w:rPr>
              <w:t xml:space="preserve"> </w:t>
            </w:r>
            <w:r w:rsidRPr="009254DD">
              <w:rPr>
                <w:b/>
              </w:rPr>
              <w:t>where &gt;=12 samples taken for Phosphate</w:t>
            </w:r>
          </w:p>
        </w:tc>
        <w:tc>
          <w:tcPr>
            <w:tcW w:w="772" w:type="pct"/>
          </w:tcPr>
          <w:p w14:paraId="69833CAE" w14:textId="643B3790" w:rsidR="00A62B0C" w:rsidRPr="006466B5" w:rsidRDefault="00A62B0C" w:rsidP="00A62B0C">
            <w:pPr>
              <w:pStyle w:val="Bodyromannumerals"/>
              <w:rPr>
                <w:b/>
                <w:bdr w:val="single" w:sz="4" w:space="0" w:color="auto"/>
              </w:rPr>
            </w:pPr>
            <w:r>
              <w:rPr>
                <w:b/>
              </w:rPr>
              <w:t>Nr.</w:t>
            </w:r>
          </w:p>
        </w:tc>
      </w:tr>
      <w:tr w:rsidR="00A62B0C" w:rsidRPr="00A83F00" w14:paraId="5D898A9F"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41071EC1" w14:textId="77777777" w:rsidR="00A62B0C" w:rsidRPr="006D389B" w:rsidRDefault="00A62B0C"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4933A68F" w14:textId="6D38F41C" w:rsidR="00A62B0C" w:rsidRPr="00A83F00" w:rsidRDefault="00A62B0C" w:rsidP="008030FA">
            <w:pPr>
              <w:pStyle w:val="Bodyromannumerals"/>
            </w:pPr>
            <w:r w:rsidRPr="00A62B0C">
              <w:t xml:space="preserve">Number of </w:t>
            </w:r>
            <w:r w:rsidR="00083423">
              <w:t>wastewater</w:t>
            </w:r>
            <w:r w:rsidRPr="00A62B0C">
              <w:t xml:space="preserve"> </w:t>
            </w:r>
            <w:r w:rsidR="00A23234">
              <w:t>treatment plants</w:t>
            </w:r>
            <w:r w:rsidR="00A23234" w:rsidRPr="00A62B0C">
              <w:t xml:space="preserve"> </w:t>
            </w:r>
            <w:r w:rsidRPr="00A62B0C">
              <w:t>where &gt;=12 samples taken for Phosphate</w:t>
            </w:r>
            <w:r>
              <w:t>.</w:t>
            </w:r>
          </w:p>
        </w:tc>
      </w:tr>
      <w:tr w:rsidR="00A62B0C" w:rsidRPr="00A83F00" w14:paraId="28F64A56"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97EB54" w14:textId="77777777" w:rsidR="00A62B0C" w:rsidRPr="006D389B" w:rsidRDefault="00A62B0C"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2BA8C4" w14:textId="51939EDA" w:rsidR="00A62B0C" w:rsidRPr="00A83F00" w:rsidRDefault="00A62B0C" w:rsidP="008030FA">
            <w:pPr>
              <w:pStyle w:val="Bodyromannumerals"/>
            </w:pPr>
            <w:r w:rsidRPr="00A62B0C">
              <w:t>Input field</w:t>
            </w:r>
          </w:p>
        </w:tc>
      </w:tr>
      <w:tr w:rsidR="00A62B0C" w:rsidRPr="006466B5" w14:paraId="1A03C125" w14:textId="77777777" w:rsidTr="008030FA">
        <w:tc>
          <w:tcPr>
            <w:tcW w:w="756" w:type="pct"/>
          </w:tcPr>
          <w:p w14:paraId="6EC73FC5" w14:textId="1584C5FD" w:rsidR="00A62B0C" w:rsidRPr="009254DD" w:rsidRDefault="00A62B0C" w:rsidP="00A62B0C">
            <w:pPr>
              <w:pStyle w:val="Bodyromannumerals"/>
              <w:rPr>
                <w:b/>
                <w:bCs/>
              </w:rPr>
            </w:pPr>
            <w:r w:rsidRPr="009254DD">
              <w:rPr>
                <w:b/>
                <w:bCs/>
              </w:rPr>
              <w:t>C5.</w:t>
            </w:r>
            <w:r w:rsidR="00C0039F" w:rsidRPr="009254DD">
              <w:rPr>
                <w:b/>
                <w:bCs/>
              </w:rPr>
              <w:t>1</w:t>
            </w:r>
            <w:r w:rsidR="00C0039F">
              <w:rPr>
                <w:b/>
                <w:bCs/>
              </w:rPr>
              <w:t>5</w:t>
            </w:r>
          </w:p>
        </w:tc>
        <w:tc>
          <w:tcPr>
            <w:tcW w:w="3472" w:type="pct"/>
            <w:gridSpan w:val="2"/>
          </w:tcPr>
          <w:p w14:paraId="6CE65523" w14:textId="57BEB154" w:rsidR="00A62B0C" w:rsidRPr="009254DD" w:rsidRDefault="00A62B0C" w:rsidP="00A62B0C">
            <w:pPr>
              <w:pStyle w:val="Bodyromannumerals"/>
              <w:rPr>
                <w:b/>
                <w:bCs/>
                <w:bdr w:val="single" w:sz="4" w:space="0" w:color="auto"/>
              </w:rPr>
            </w:pPr>
            <w:r w:rsidRPr="009254DD">
              <w:rPr>
                <w:b/>
                <w:bCs/>
              </w:rPr>
              <w:t xml:space="preserve">Number of </w:t>
            </w:r>
            <w:r w:rsidR="00083423">
              <w:rPr>
                <w:b/>
                <w:bCs/>
              </w:rPr>
              <w:t>wastewater</w:t>
            </w:r>
            <w:r w:rsidRPr="009254DD">
              <w:rPr>
                <w:b/>
                <w:bCs/>
              </w:rPr>
              <w:t xml:space="preserve"> </w:t>
            </w:r>
            <w:r w:rsidR="00A23234">
              <w:rPr>
                <w:b/>
                <w:bCs/>
              </w:rPr>
              <w:t>treatment plants</w:t>
            </w:r>
            <w:r w:rsidR="00A23234" w:rsidRPr="009254DD">
              <w:rPr>
                <w:b/>
                <w:bCs/>
              </w:rPr>
              <w:t xml:space="preserve"> </w:t>
            </w:r>
            <w:r w:rsidRPr="009254DD">
              <w:rPr>
                <w:b/>
                <w:bCs/>
              </w:rPr>
              <w:t>where the sample mean &gt;62.5% of the compliance value</w:t>
            </w:r>
          </w:p>
        </w:tc>
        <w:tc>
          <w:tcPr>
            <w:tcW w:w="772" w:type="pct"/>
          </w:tcPr>
          <w:p w14:paraId="5B5D0132" w14:textId="0F69E263" w:rsidR="00A62B0C" w:rsidRPr="006466B5" w:rsidRDefault="00A62B0C" w:rsidP="00A62B0C">
            <w:pPr>
              <w:pStyle w:val="Bodyromannumerals"/>
              <w:rPr>
                <w:b/>
                <w:bdr w:val="single" w:sz="4" w:space="0" w:color="auto"/>
              </w:rPr>
            </w:pPr>
            <w:r>
              <w:rPr>
                <w:b/>
              </w:rPr>
              <w:t>Nr.</w:t>
            </w:r>
          </w:p>
        </w:tc>
      </w:tr>
      <w:tr w:rsidR="00A62B0C" w:rsidRPr="00A83F00" w14:paraId="0FC64D79"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1D156416" w14:textId="77777777" w:rsidR="00A62B0C" w:rsidRPr="006D389B" w:rsidRDefault="00A62B0C"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58AD69F2" w14:textId="21AC2566" w:rsidR="00A62B0C" w:rsidRPr="00A83F00" w:rsidRDefault="00A62B0C" w:rsidP="008030FA">
            <w:pPr>
              <w:pStyle w:val="Bodyromannumerals"/>
            </w:pPr>
            <w:r w:rsidRPr="00A62B0C">
              <w:t xml:space="preserve">Number of </w:t>
            </w:r>
            <w:r w:rsidR="00083423">
              <w:t>wastewater</w:t>
            </w:r>
            <w:r w:rsidRPr="00A62B0C">
              <w:t xml:space="preserve"> </w:t>
            </w:r>
            <w:r w:rsidR="00A23234">
              <w:t>treatment plants</w:t>
            </w:r>
            <w:r w:rsidR="00A23234" w:rsidRPr="00A62B0C">
              <w:t xml:space="preserve"> </w:t>
            </w:r>
            <w:r w:rsidRPr="00A62B0C">
              <w:t xml:space="preserve">where the sample mean for Phosphate, taken over the reporting period, exceeds 62.5% of the 95%ile compliance value. </w:t>
            </w:r>
          </w:p>
        </w:tc>
      </w:tr>
      <w:tr w:rsidR="00A62B0C" w:rsidRPr="00A83F00" w14:paraId="71E71E5D"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96C54B" w14:textId="77777777" w:rsidR="00A62B0C" w:rsidRPr="006D389B" w:rsidRDefault="00A62B0C"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1B99C6" w14:textId="0F5C53AC" w:rsidR="00A62B0C" w:rsidRPr="00A83F00" w:rsidRDefault="00A62B0C" w:rsidP="008030FA">
            <w:pPr>
              <w:pStyle w:val="Bodyromannumerals"/>
            </w:pPr>
            <w:r w:rsidRPr="00A62B0C">
              <w:t>Input field</w:t>
            </w:r>
          </w:p>
        </w:tc>
      </w:tr>
      <w:tr w:rsidR="00A62B0C" w:rsidRPr="006466B5" w14:paraId="13CE2BC7" w14:textId="77777777" w:rsidTr="008030FA">
        <w:tc>
          <w:tcPr>
            <w:tcW w:w="756" w:type="pct"/>
          </w:tcPr>
          <w:p w14:paraId="332B63EF" w14:textId="3E1F6CBA" w:rsidR="00A62B0C" w:rsidRPr="009254DD" w:rsidRDefault="00A62B0C" w:rsidP="00A62B0C">
            <w:pPr>
              <w:pStyle w:val="Bodyromannumerals"/>
              <w:rPr>
                <w:b/>
                <w:bCs/>
              </w:rPr>
            </w:pPr>
            <w:r w:rsidRPr="009254DD">
              <w:rPr>
                <w:b/>
                <w:bCs/>
              </w:rPr>
              <w:t>C5.</w:t>
            </w:r>
            <w:r w:rsidR="00C0039F">
              <w:rPr>
                <w:b/>
                <w:bCs/>
              </w:rPr>
              <w:t>16</w:t>
            </w:r>
          </w:p>
        </w:tc>
        <w:tc>
          <w:tcPr>
            <w:tcW w:w="3472" w:type="pct"/>
            <w:gridSpan w:val="2"/>
          </w:tcPr>
          <w:p w14:paraId="44FEA209" w14:textId="569AE333" w:rsidR="00A62B0C" w:rsidRPr="009254DD" w:rsidRDefault="00A62B0C" w:rsidP="00A62B0C">
            <w:pPr>
              <w:pStyle w:val="Bodyromannumerals"/>
              <w:rPr>
                <w:b/>
                <w:bCs/>
                <w:bdr w:val="single" w:sz="4" w:space="0" w:color="auto"/>
              </w:rPr>
            </w:pPr>
            <w:r w:rsidRPr="009254DD">
              <w:rPr>
                <w:b/>
                <w:bCs/>
              </w:rPr>
              <w:t xml:space="preserve">Number of </w:t>
            </w:r>
            <w:r w:rsidR="00083423">
              <w:rPr>
                <w:b/>
                <w:bCs/>
              </w:rPr>
              <w:t>wastewater</w:t>
            </w:r>
            <w:r w:rsidRPr="009254DD">
              <w:rPr>
                <w:b/>
                <w:bCs/>
              </w:rPr>
              <w:t xml:space="preserve"> </w:t>
            </w:r>
            <w:r w:rsidR="00A23234">
              <w:rPr>
                <w:b/>
                <w:bCs/>
              </w:rPr>
              <w:t>treatment plants</w:t>
            </w:r>
            <w:r w:rsidR="00A23234" w:rsidRPr="009254DD">
              <w:rPr>
                <w:b/>
                <w:bCs/>
              </w:rPr>
              <w:t xml:space="preserve"> </w:t>
            </w:r>
            <w:r w:rsidRPr="009254DD">
              <w:rPr>
                <w:b/>
                <w:bCs/>
              </w:rPr>
              <w:t>where the sample mean</w:t>
            </w:r>
            <w:r w:rsidR="009B5CA1">
              <w:rPr>
                <w:b/>
                <w:bCs/>
              </w:rPr>
              <w:t xml:space="preserve"> </w:t>
            </w:r>
            <w:r w:rsidRPr="009254DD">
              <w:rPr>
                <w:b/>
                <w:bCs/>
              </w:rPr>
              <w:t>&lt;=</w:t>
            </w:r>
            <w:r w:rsidR="00C0039F">
              <w:rPr>
                <w:b/>
                <w:bCs/>
              </w:rPr>
              <w:t>62.5</w:t>
            </w:r>
            <w:r w:rsidRPr="009254DD">
              <w:rPr>
                <w:b/>
                <w:bCs/>
              </w:rPr>
              <w:t>% of the compliance value</w:t>
            </w:r>
          </w:p>
        </w:tc>
        <w:tc>
          <w:tcPr>
            <w:tcW w:w="772" w:type="pct"/>
          </w:tcPr>
          <w:p w14:paraId="779B16FF" w14:textId="0B2ABD60" w:rsidR="00A62B0C" w:rsidRPr="006466B5" w:rsidRDefault="00A62B0C" w:rsidP="00A62B0C">
            <w:pPr>
              <w:pStyle w:val="Bodyromannumerals"/>
              <w:rPr>
                <w:b/>
                <w:bdr w:val="single" w:sz="4" w:space="0" w:color="auto"/>
              </w:rPr>
            </w:pPr>
            <w:r>
              <w:rPr>
                <w:b/>
              </w:rPr>
              <w:t>Nr.</w:t>
            </w:r>
          </w:p>
        </w:tc>
      </w:tr>
      <w:tr w:rsidR="00A62B0C" w:rsidRPr="00A83F00" w14:paraId="412C270C"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67721D93" w14:textId="77777777" w:rsidR="00A62B0C" w:rsidRPr="006D389B" w:rsidRDefault="00A62B0C"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1FE577A8" w14:textId="362E3DE3" w:rsidR="00A62B0C" w:rsidRPr="00A83F00" w:rsidRDefault="00A62B0C" w:rsidP="008030FA">
            <w:pPr>
              <w:pStyle w:val="Bodyromannumerals"/>
            </w:pPr>
            <w:r w:rsidRPr="00A62B0C">
              <w:t xml:space="preserve">Number of </w:t>
            </w:r>
            <w:r w:rsidR="00083423">
              <w:t>wastewater</w:t>
            </w:r>
            <w:r w:rsidRPr="00A62B0C">
              <w:t xml:space="preserve"> </w:t>
            </w:r>
            <w:r w:rsidR="00A23234">
              <w:t xml:space="preserve">treatment plants </w:t>
            </w:r>
            <w:r w:rsidRPr="00A62B0C">
              <w:t xml:space="preserve">where the sample mean for Phosphate, taken over the reporting period, is less than or equal to </w:t>
            </w:r>
            <w:r w:rsidR="00C0039F">
              <w:t>62.5</w:t>
            </w:r>
            <w:r w:rsidRPr="00A62B0C">
              <w:t xml:space="preserve">% of the 95%ile compliance value. </w:t>
            </w:r>
          </w:p>
        </w:tc>
      </w:tr>
      <w:tr w:rsidR="00A62B0C" w:rsidRPr="00A83F00" w14:paraId="5195945D"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E2C7FB" w14:textId="77777777" w:rsidR="00A62B0C" w:rsidRPr="006D389B" w:rsidRDefault="00A62B0C"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1ED31A" w14:textId="31886381" w:rsidR="00A62B0C" w:rsidRPr="00A83F00" w:rsidRDefault="00A62B0C" w:rsidP="008030FA">
            <w:pPr>
              <w:pStyle w:val="Bodyromannumerals"/>
            </w:pPr>
            <w:r w:rsidRPr="00A62B0C">
              <w:t>Input field</w:t>
            </w:r>
          </w:p>
        </w:tc>
      </w:tr>
    </w:tbl>
    <w:p w14:paraId="17356ADE" w14:textId="77777777" w:rsidR="00B30600" w:rsidRDefault="00B30600" w:rsidP="009254DD">
      <w:pPr>
        <w:pStyle w:val="Sectionsub-heading"/>
      </w:pPr>
      <w:r>
        <w:br w:type="page"/>
      </w:r>
    </w:p>
    <w:p w14:paraId="7BE68A7B" w14:textId="2589169E" w:rsidR="00940E3A" w:rsidRDefault="00940E3A" w:rsidP="009254DD">
      <w:pPr>
        <w:pStyle w:val="Sectionsub-heading"/>
      </w:pPr>
      <w:r w:rsidRPr="006466B5">
        <w:t>BLOCK 5: NITRATE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DC72B1" w:rsidRPr="006466B5" w14:paraId="5E31E45C" w14:textId="77777777" w:rsidTr="008030FA">
        <w:tc>
          <w:tcPr>
            <w:tcW w:w="756" w:type="pct"/>
          </w:tcPr>
          <w:p w14:paraId="45608AF5" w14:textId="2708ED61" w:rsidR="00DC72B1" w:rsidRPr="009254DD" w:rsidRDefault="00DC72B1" w:rsidP="00DC72B1">
            <w:pPr>
              <w:pStyle w:val="Bodyromannumerals"/>
              <w:rPr>
                <w:b/>
                <w:bCs/>
              </w:rPr>
            </w:pPr>
            <w:r w:rsidRPr="009254DD">
              <w:rPr>
                <w:b/>
                <w:bCs/>
              </w:rPr>
              <w:t>C5.</w:t>
            </w:r>
            <w:r w:rsidR="00C0039F">
              <w:rPr>
                <w:b/>
                <w:bCs/>
              </w:rPr>
              <w:t>17</w:t>
            </w:r>
          </w:p>
        </w:tc>
        <w:tc>
          <w:tcPr>
            <w:tcW w:w="3472" w:type="pct"/>
            <w:gridSpan w:val="2"/>
          </w:tcPr>
          <w:p w14:paraId="0EF7662F" w14:textId="602527EA" w:rsidR="00DC72B1" w:rsidRPr="009254DD" w:rsidRDefault="00DC72B1" w:rsidP="00DC72B1">
            <w:pPr>
              <w:pStyle w:val="Bodyromannumerals"/>
              <w:rPr>
                <w:b/>
                <w:bCs/>
                <w:bdr w:val="single" w:sz="4" w:space="0" w:color="auto"/>
              </w:rPr>
            </w:pPr>
            <w:r w:rsidRPr="009254DD">
              <w:rPr>
                <w:b/>
                <w:bCs/>
              </w:rPr>
              <w:t xml:space="preserve">Number of </w:t>
            </w:r>
            <w:r w:rsidR="00A23234">
              <w:rPr>
                <w:b/>
                <w:bCs/>
              </w:rPr>
              <w:t>waste</w:t>
            </w:r>
            <w:r w:rsidR="00083423">
              <w:rPr>
                <w:b/>
                <w:bCs/>
              </w:rPr>
              <w:t>water</w:t>
            </w:r>
            <w:r w:rsidRPr="009254DD">
              <w:rPr>
                <w:b/>
                <w:bCs/>
              </w:rPr>
              <w:t xml:space="preserve"> treatment </w:t>
            </w:r>
            <w:r w:rsidR="00433922">
              <w:rPr>
                <w:b/>
                <w:bCs/>
              </w:rPr>
              <w:t>plants</w:t>
            </w:r>
            <w:r w:rsidR="00433922" w:rsidRPr="009254DD">
              <w:rPr>
                <w:b/>
                <w:bCs/>
              </w:rPr>
              <w:t xml:space="preserve"> </w:t>
            </w:r>
            <w:r w:rsidRPr="009254DD">
              <w:rPr>
                <w:b/>
                <w:bCs/>
              </w:rPr>
              <w:t>with a numeric Nitrate consent</w:t>
            </w:r>
          </w:p>
        </w:tc>
        <w:tc>
          <w:tcPr>
            <w:tcW w:w="772" w:type="pct"/>
          </w:tcPr>
          <w:p w14:paraId="4417C01D" w14:textId="60A94DB7" w:rsidR="00DC72B1" w:rsidRPr="006466B5" w:rsidRDefault="00DC72B1" w:rsidP="00DC72B1">
            <w:pPr>
              <w:pStyle w:val="Bodyromannumerals"/>
              <w:rPr>
                <w:b/>
                <w:bdr w:val="single" w:sz="4" w:space="0" w:color="auto"/>
              </w:rPr>
            </w:pPr>
            <w:r>
              <w:rPr>
                <w:b/>
              </w:rPr>
              <w:t>Nr.</w:t>
            </w:r>
          </w:p>
        </w:tc>
      </w:tr>
      <w:tr w:rsidR="00DC72B1" w:rsidRPr="00A83F00" w14:paraId="0EE36190"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3B1296BB" w14:textId="77777777" w:rsidR="00DC72B1" w:rsidRPr="006D389B" w:rsidRDefault="00DC72B1"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532D60B2" w14:textId="1F8F51BE" w:rsidR="00DC72B1" w:rsidRPr="00A83F00" w:rsidRDefault="00DC72B1" w:rsidP="008030FA">
            <w:pPr>
              <w:pStyle w:val="Bodyromannumerals"/>
            </w:pPr>
            <w:r w:rsidRPr="00DC72B1">
              <w:t xml:space="preserve">Number of </w:t>
            </w:r>
            <w:r w:rsidR="00083423">
              <w:t>wastewater</w:t>
            </w:r>
            <w:r w:rsidRPr="00DC72B1">
              <w:t xml:space="preserve"> </w:t>
            </w:r>
            <w:r w:rsidR="00A23234">
              <w:t>treatment plants</w:t>
            </w:r>
            <w:r w:rsidR="00A23234" w:rsidRPr="00DC72B1">
              <w:t xml:space="preserve"> </w:t>
            </w:r>
            <w:r w:rsidRPr="00DC72B1">
              <w:t>with a numeric Nitrate consent</w:t>
            </w:r>
            <w:r w:rsidR="00CC7BAA">
              <w:t>.</w:t>
            </w:r>
          </w:p>
        </w:tc>
      </w:tr>
      <w:tr w:rsidR="00DC72B1" w:rsidRPr="00A83F00" w14:paraId="775956BC"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227D12" w14:textId="77777777" w:rsidR="00DC72B1" w:rsidRPr="006D389B" w:rsidRDefault="00DC72B1"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24F85F" w14:textId="1456C0F3" w:rsidR="00DC72B1" w:rsidRPr="00A83F00" w:rsidRDefault="00DC72B1" w:rsidP="008030FA">
            <w:pPr>
              <w:pStyle w:val="Bodyromannumerals"/>
            </w:pPr>
            <w:r w:rsidRPr="00DC72B1">
              <w:t>Calculated field: the sum of C5.</w:t>
            </w:r>
            <w:r w:rsidR="00CF705C">
              <w:t>19</w:t>
            </w:r>
            <w:r w:rsidR="00CF705C" w:rsidRPr="00DC72B1">
              <w:t xml:space="preserve"> </w:t>
            </w:r>
            <w:r w:rsidRPr="00DC72B1">
              <w:t>to C5.</w:t>
            </w:r>
            <w:r w:rsidR="00CF705C" w:rsidRPr="00DC72B1">
              <w:t>2</w:t>
            </w:r>
            <w:r w:rsidR="00CF705C">
              <w:t>0</w:t>
            </w:r>
          </w:p>
        </w:tc>
      </w:tr>
      <w:tr w:rsidR="00DC72B1" w:rsidRPr="006466B5" w14:paraId="33FED3D7" w14:textId="77777777" w:rsidTr="008030FA">
        <w:tc>
          <w:tcPr>
            <w:tcW w:w="756" w:type="pct"/>
          </w:tcPr>
          <w:p w14:paraId="39615ED0" w14:textId="5F34E9F7" w:rsidR="00DC72B1" w:rsidRPr="009254DD" w:rsidRDefault="00DC72B1" w:rsidP="00DC72B1">
            <w:pPr>
              <w:pStyle w:val="Bodyromannumerals"/>
              <w:rPr>
                <w:b/>
                <w:bCs/>
              </w:rPr>
            </w:pPr>
            <w:r w:rsidRPr="009254DD">
              <w:rPr>
                <w:b/>
              </w:rPr>
              <w:t>C5.</w:t>
            </w:r>
            <w:r w:rsidR="00C0039F">
              <w:rPr>
                <w:b/>
              </w:rPr>
              <w:t>18</w:t>
            </w:r>
          </w:p>
        </w:tc>
        <w:tc>
          <w:tcPr>
            <w:tcW w:w="3472" w:type="pct"/>
            <w:gridSpan w:val="2"/>
          </w:tcPr>
          <w:p w14:paraId="118C044E" w14:textId="1E82AC0C" w:rsidR="00DC72B1" w:rsidRPr="009254DD" w:rsidRDefault="00DC72B1" w:rsidP="00DC72B1">
            <w:pPr>
              <w:pStyle w:val="Bodyromannumerals"/>
              <w:rPr>
                <w:b/>
                <w:bCs/>
                <w:bdr w:val="single" w:sz="4" w:space="0" w:color="auto"/>
              </w:rPr>
            </w:pPr>
            <w:r w:rsidRPr="009254DD">
              <w:rPr>
                <w:b/>
              </w:rPr>
              <w:t xml:space="preserve">Number of </w:t>
            </w:r>
            <w:r w:rsidR="00A23234">
              <w:rPr>
                <w:b/>
              </w:rPr>
              <w:t>waste</w:t>
            </w:r>
            <w:r w:rsidR="00083423">
              <w:rPr>
                <w:b/>
              </w:rPr>
              <w:t>water</w:t>
            </w:r>
            <w:r w:rsidRPr="009254DD">
              <w:rPr>
                <w:b/>
              </w:rPr>
              <w:t xml:space="preserve"> treatment </w:t>
            </w:r>
            <w:r w:rsidR="00433922">
              <w:rPr>
                <w:b/>
              </w:rPr>
              <w:t>plants</w:t>
            </w:r>
            <w:r w:rsidR="00433922" w:rsidRPr="009254DD">
              <w:rPr>
                <w:b/>
              </w:rPr>
              <w:t xml:space="preserve"> </w:t>
            </w:r>
            <w:r w:rsidRPr="009254DD">
              <w:rPr>
                <w:b/>
              </w:rPr>
              <w:t>where &gt;=12 samples taken for Nitrate</w:t>
            </w:r>
          </w:p>
        </w:tc>
        <w:tc>
          <w:tcPr>
            <w:tcW w:w="772" w:type="pct"/>
          </w:tcPr>
          <w:p w14:paraId="438DDA5C" w14:textId="3C66EBE1" w:rsidR="00DC72B1" w:rsidRPr="006466B5" w:rsidRDefault="00DC72B1" w:rsidP="00DC72B1">
            <w:pPr>
              <w:pStyle w:val="Bodyromannumerals"/>
              <w:rPr>
                <w:b/>
                <w:bdr w:val="single" w:sz="4" w:space="0" w:color="auto"/>
              </w:rPr>
            </w:pPr>
            <w:r>
              <w:rPr>
                <w:b/>
              </w:rPr>
              <w:t>Nr.</w:t>
            </w:r>
          </w:p>
        </w:tc>
      </w:tr>
      <w:tr w:rsidR="00DC72B1" w:rsidRPr="00A83F00" w14:paraId="1C52CA0F"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52119F78" w14:textId="77777777" w:rsidR="00DC72B1" w:rsidRPr="006D389B" w:rsidRDefault="00DC72B1"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091F998F" w14:textId="5CA2DB94" w:rsidR="00DC72B1" w:rsidRPr="00A83F00" w:rsidRDefault="00DC72B1" w:rsidP="008030FA">
            <w:pPr>
              <w:pStyle w:val="Bodyromannumerals"/>
            </w:pPr>
            <w:r w:rsidRPr="00DC72B1">
              <w:t xml:space="preserve">Number of </w:t>
            </w:r>
            <w:r w:rsidR="00083423">
              <w:t>wastewater</w:t>
            </w:r>
            <w:r w:rsidRPr="00DC72B1">
              <w:t xml:space="preserve"> </w:t>
            </w:r>
            <w:r w:rsidR="00A23234">
              <w:t>treatment plant</w:t>
            </w:r>
            <w:r w:rsidR="00A23234" w:rsidRPr="00DC72B1">
              <w:t xml:space="preserve">s </w:t>
            </w:r>
            <w:r w:rsidRPr="00DC72B1">
              <w:t>where &gt;=12 samples taken for Nitrate</w:t>
            </w:r>
            <w:r w:rsidR="00CC7BAA">
              <w:t>.</w:t>
            </w:r>
          </w:p>
        </w:tc>
      </w:tr>
      <w:tr w:rsidR="00DC72B1" w:rsidRPr="00A83F00" w14:paraId="5A4108DA"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1E6363" w14:textId="77777777" w:rsidR="00DC72B1" w:rsidRPr="006D389B" w:rsidRDefault="00DC72B1"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D7A0CF" w14:textId="14658E60" w:rsidR="00DC72B1" w:rsidRPr="00A83F00" w:rsidRDefault="00DC72B1" w:rsidP="008030FA">
            <w:pPr>
              <w:pStyle w:val="Bodyromannumerals"/>
            </w:pPr>
            <w:r w:rsidRPr="00DC72B1">
              <w:t>Input field</w:t>
            </w:r>
          </w:p>
        </w:tc>
      </w:tr>
      <w:tr w:rsidR="00DC72B1" w:rsidRPr="006466B5" w14:paraId="15F3A602" w14:textId="77777777" w:rsidTr="008030FA">
        <w:tc>
          <w:tcPr>
            <w:tcW w:w="756" w:type="pct"/>
          </w:tcPr>
          <w:p w14:paraId="0BFD835E" w14:textId="0C0091B5" w:rsidR="00DC72B1" w:rsidRPr="009254DD" w:rsidRDefault="00DC72B1" w:rsidP="00DC72B1">
            <w:pPr>
              <w:pStyle w:val="Bodyromannumerals"/>
              <w:rPr>
                <w:b/>
                <w:bCs/>
              </w:rPr>
            </w:pPr>
            <w:r w:rsidRPr="009254DD">
              <w:rPr>
                <w:b/>
                <w:bCs/>
              </w:rPr>
              <w:t>C5.</w:t>
            </w:r>
            <w:r w:rsidR="00C0039F">
              <w:rPr>
                <w:b/>
                <w:bCs/>
              </w:rPr>
              <w:t>19</w:t>
            </w:r>
          </w:p>
        </w:tc>
        <w:tc>
          <w:tcPr>
            <w:tcW w:w="3472" w:type="pct"/>
            <w:gridSpan w:val="2"/>
          </w:tcPr>
          <w:p w14:paraId="3DFD115C" w14:textId="08FE2CC2" w:rsidR="00DC72B1" w:rsidRPr="009254DD" w:rsidRDefault="00DC72B1" w:rsidP="00DC72B1">
            <w:pPr>
              <w:pStyle w:val="Bodyromannumerals"/>
              <w:rPr>
                <w:b/>
                <w:bCs/>
                <w:bdr w:val="single" w:sz="4" w:space="0" w:color="auto"/>
              </w:rPr>
            </w:pPr>
            <w:r w:rsidRPr="009254DD">
              <w:rPr>
                <w:b/>
                <w:bCs/>
              </w:rPr>
              <w:t xml:space="preserve">Number of </w:t>
            </w:r>
            <w:r w:rsidR="00083423">
              <w:rPr>
                <w:b/>
                <w:bCs/>
              </w:rPr>
              <w:t>wastewater</w:t>
            </w:r>
            <w:r w:rsidRPr="009254DD">
              <w:rPr>
                <w:b/>
                <w:bCs/>
              </w:rPr>
              <w:t xml:space="preserve"> </w:t>
            </w:r>
            <w:r w:rsidR="00A23234">
              <w:rPr>
                <w:b/>
                <w:bCs/>
              </w:rPr>
              <w:t>treatment plants</w:t>
            </w:r>
            <w:r w:rsidR="00A23234" w:rsidRPr="009254DD">
              <w:rPr>
                <w:b/>
                <w:bCs/>
              </w:rPr>
              <w:t xml:space="preserve"> </w:t>
            </w:r>
            <w:r w:rsidRPr="009254DD">
              <w:rPr>
                <w:b/>
                <w:bCs/>
              </w:rPr>
              <w:t>where the sample mean &gt;62.5% of the compliance value</w:t>
            </w:r>
          </w:p>
        </w:tc>
        <w:tc>
          <w:tcPr>
            <w:tcW w:w="772" w:type="pct"/>
          </w:tcPr>
          <w:p w14:paraId="308FC134" w14:textId="674C59C3" w:rsidR="00DC72B1" w:rsidRPr="006466B5" w:rsidRDefault="00DC72B1" w:rsidP="00DC72B1">
            <w:pPr>
              <w:pStyle w:val="Bodyromannumerals"/>
              <w:rPr>
                <w:b/>
                <w:bdr w:val="single" w:sz="4" w:space="0" w:color="auto"/>
              </w:rPr>
            </w:pPr>
            <w:r>
              <w:rPr>
                <w:b/>
              </w:rPr>
              <w:t>Nr.</w:t>
            </w:r>
          </w:p>
        </w:tc>
      </w:tr>
      <w:tr w:rsidR="00DC72B1" w:rsidRPr="00A83F00" w14:paraId="601F313A"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3F346475" w14:textId="77777777" w:rsidR="00DC72B1" w:rsidRPr="006D389B" w:rsidRDefault="00DC72B1"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57FEAC27" w14:textId="0CE29297" w:rsidR="00DC72B1" w:rsidRPr="00A83F00" w:rsidRDefault="00DC72B1" w:rsidP="008030FA">
            <w:pPr>
              <w:pStyle w:val="Bodyromannumerals"/>
            </w:pPr>
            <w:r w:rsidRPr="006466B5">
              <w:t xml:space="preserve">Number of </w:t>
            </w:r>
            <w:r w:rsidR="00083423">
              <w:t>wastewater</w:t>
            </w:r>
            <w:r w:rsidRPr="006466B5">
              <w:t xml:space="preserve"> </w:t>
            </w:r>
            <w:r w:rsidR="00A23234">
              <w:t>treatment plants</w:t>
            </w:r>
            <w:r w:rsidR="00A23234" w:rsidRPr="006466B5">
              <w:t xml:space="preserve"> </w:t>
            </w:r>
            <w:r w:rsidRPr="006466B5">
              <w:t xml:space="preserve">where the sample mean for Nitrate, taken over the reporting period, exceeds 62.5% of the 95%ile compliance value. </w:t>
            </w:r>
          </w:p>
        </w:tc>
      </w:tr>
      <w:tr w:rsidR="00DC72B1" w:rsidRPr="00A83F00" w14:paraId="24322A5C"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B06ED7" w14:textId="77777777" w:rsidR="00DC72B1" w:rsidRPr="006D389B" w:rsidRDefault="00DC72B1"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98EFBE" w14:textId="583E9169" w:rsidR="00DC72B1" w:rsidRPr="00A83F00" w:rsidRDefault="00DC72B1" w:rsidP="008030FA">
            <w:pPr>
              <w:pStyle w:val="Bodyromannumerals"/>
            </w:pPr>
            <w:r w:rsidRPr="006466B5">
              <w:t>Input field</w:t>
            </w:r>
          </w:p>
        </w:tc>
      </w:tr>
    </w:tbl>
    <w:p w14:paraId="7BB2A60F" w14:textId="2F261D15" w:rsidR="007B444A" w:rsidRDefault="007B44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DC72B1" w:rsidRPr="006466B5" w14:paraId="4A9FBB25" w14:textId="77777777" w:rsidTr="008030FA">
        <w:tc>
          <w:tcPr>
            <w:tcW w:w="756" w:type="pct"/>
          </w:tcPr>
          <w:p w14:paraId="56345AF4" w14:textId="6B1E696B" w:rsidR="00DC72B1" w:rsidRPr="009254DD" w:rsidRDefault="00DC72B1" w:rsidP="00DC72B1">
            <w:pPr>
              <w:pStyle w:val="Bodyromannumerals"/>
              <w:rPr>
                <w:b/>
                <w:bCs/>
              </w:rPr>
            </w:pPr>
            <w:r w:rsidRPr="009254DD">
              <w:rPr>
                <w:b/>
                <w:bCs/>
              </w:rPr>
              <w:t>C5.</w:t>
            </w:r>
            <w:r w:rsidR="00C0039F">
              <w:rPr>
                <w:b/>
                <w:bCs/>
              </w:rPr>
              <w:t>20</w:t>
            </w:r>
          </w:p>
        </w:tc>
        <w:tc>
          <w:tcPr>
            <w:tcW w:w="3472" w:type="pct"/>
            <w:gridSpan w:val="2"/>
          </w:tcPr>
          <w:p w14:paraId="4EBFDC52" w14:textId="08BF216A" w:rsidR="00DC72B1" w:rsidRPr="009254DD" w:rsidRDefault="00DC72B1" w:rsidP="00DC72B1">
            <w:pPr>
              <w:pStyle w:val="Bodyromannumerals"/>
              <w:rPr>
                <w:b/>
                <w:bCs/>
                <w:bdr w:val="single" w:sz="4" w:space="0" w:color="auto"/>
              </w:rPr>
            </w:pPr>
            <w:r w:rsidRPr="009254DD">
              <w:rPr>
                <w:b/>
                <w:bCs/>
              </w:rPr>
              <w:t xml:space="preserve">Number of </w:t>
            </w:r>
            <w:r w:rsidR="00083423">
              <w:rPr>
                <w:b/>
                <w:bCs/>
              </w:rPr>
              <w:t>wastewater</w:t>
            </w:r>
            <w:r w:rsidRPr="009254DD">
              <w:rPr>
                <w:b/>
                <w:bCs/>
              </w:rPr>
              <w:t xml:space="preserve"> </w:t>
            </w:r>
            <w:r w:rsidR="00A23234">
              <w:rPr>
                <w:b/>
                <w:bCs/>
              </w:rPr>
              <w:t>treatment plants</w:t>
            </w:r>
            <w:r w:rsidR="00A23234" w:rsidRPr="009254DD">
              <w:rPr>
                <w:b/>
                <w:bCs/>
              </w:rPr>
              <w:t xml:space="preserve"> </w:t>
            </w:r>
            <w:r w:rsidRPr="009254DD">
              <w:rPr>
                <w:b/>
                <w:bCs/>
              </w:rPr>
              <w:t>where the sample mean</w:t>
            </w:r>
            <w:r w:rsidR="00A5621F">
              <w:rPr>
                <w:b/>
                <w:bCs/>
              </w:rPr>
              <w:t xml:space="preserve"> </w:t>
            </w:r>
            <w:r w:rsidRPr="009254DD">
              <w:rPr>
                <w:b/>
                <w:bCs/>
              </w:rPr>
              <w:t>&lt;=</w:t>
            </w:r>
            <w:r w:rsidR="00C0039F">
              <w:rPr>
                <w:b/>
                <w:bCs/>
              </w:rPr>
              <w:t>62.5</w:t>
            </w:r>
            <w:r w:rsidRPr="009254DD">
              <w:rPr>
                <w:b/>
                <w:bCs/>
              </w:rPr>
              <w:t>% of the compliance value</w:t>
            </w:r>
          </w:p>
        </w:tc>
        <w:tc>
          <w:tcPr>
            <w:tcW w:w="772" w:type="pct"/>
          </w:tcPr>
          <w:p w14:paraId="317402E4" w14:textId="54DB7B35" w:rsidR="00DC72B1" w:rsidRPr="006466B5" w:rsidRDefault="00DC72B1" w:rsidP="00DC72B1">
            <w:pPr>
              <w:pStyle w:val="Bodyromannumerals"/>
              <w:rPr>
                <w:b/>
                <w:bdr w:val="single" w:sz="4" w:space="0" w:color="auto"/>
              </w:rPr>
            </w:pPr>
            <w:r>
              <w:rPr>
                <w:b/>
              </w:rPr>
              <w:t>Nr.</w:t>
            </w:r>
          </w:p>
        </w:tc>
      </w:tr>
      <w:tr w:rsidR="00DC72B1" w:rsidRPr="00A83F00" w14:paraId="282FD390"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6CDB5DDE" w14:textId="77777777" w:rsidR="00DC72B1" w:rsidRPr="006D389B" w:rsidRDefault="00DC72B1"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36AD0F46" w14:textId="4BAA9903" w:rsidR="00DC72B1" w:rsidRPr="00A83F00" w:rsidRDefault="00DC72B1" w:rsidP="008030FA">
            <w:pPr>
              <w:pStyle w:val="Bodyromannumerals"/>
            </w:pPr>
            <w:r w:rsidRPr="006466B5">
              <w:t xml:space="preserve">Number of </w:t>
            </w:r>
            <w:r w:rsidR="00083423">
              <w:t>wastewater</w:t>
            </w:r>
            <w:r w:rsidRPr="006466B5">
              <w:t xml:space="preserve"> </w:t>
            </w:r>
            <w:r w:rsidR="00A23234">
              <w:t>treatment plants</w:t>
            </w:r>
            <w:r w:rsidR="00A23234" w:rsidRPr="006466B5">
              <w:t xml:space="preserve"> </w:t>
            </w:r>
            <w:r w:rsidRPr="006466B5">
              <w:t xml:space="preserve">where the sample mean for Nitrate, taken over the reporting period, is less than or equal to </w:t>
            </w:r>
            <w:r w:rsidR="00C0039F">
              <w:t>62.5</w:t>
            </w:r>
            <w:r w:rsidRPr="006466B5">
              <w:t xml:space="preserve">% of the 95%ile compliance value. </w:t>
            </w:r>
          </w:p>
        </w:tc>
      </w:tr>
      <w:tr w:rsidR="00DC72B1" w:rsidRPr="00A83F00" w14:paraId="00F7F018"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D3FAB4" w14:textId="77777777" w:rsidR="00DC72B1" w:rsidRPr="006D389B" w:rsidRDefault="00DC72B1"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BF2753" w14:textId="77777777" w:rsidR="00DC72B1" w:rsidRPr="006466B5" w:rsidRDefault="00DC72B1" w:rsidP="00DC72B1">
            <w:pPr>
              <w:pStyle w:val="Bodyromannumerals"/>
            </w:pPr>
            <w:r w:rsidRPr="006466B5">
              <w:t>Input field</w:t>
            </w:r>
          </w:p>
          <w:p w14:paraId="5845987E" w14:textId="3449142F" w:rsidR="00DC72B1" w:rsidRPr="00A83F00" w:rsidRDefault="00DC72B1" w:rsidP="008030FA">
            <w:pPr>
              <w:pStyle w:val="Bodyromannumerals"/>
            </w:pPr>
          </w:p>
        </w:tc>
      </w:tr>
    </w:tbl>
    <w:p w14:paraId="664609C1" w14:textId="023790A2" w:rsidR="00940E3A" w:rsidRPr="006466B5" w:rsidRDefault="00BE1C69" w:rsidP="009254DD">
      <w:pPr>
        <w:pStyle w:val="Title1"/>
      </w:pPr>
      <w:r>
        <w:br w:type="page"/>
      </w:r>
      <w:r w:rsidR="004A7846">
        <w:t>TABLE</w:t>
      </w:r>
      <w:r w:rsidR="00940E3A" w:rsidRPr="006466B5">
        <w:t xml:space="preserve"> C6: WASTEWATER QUALITY OUTPUTS – </w:t>
      </w:r>
      <w:r w:rsidR="00392194">
        <w:t>ENHANCEMENT INVESTMENT</w:t>
      </w:r>
    </w:p>
    <w:p w14:paraId="27F11418" w14:textId="513EB4A6" w:rsidR="00940E3A" w:rsidRPr="003C32C6" w:rsidRDefault="00940E3A" w:rsidP="2F76CC7E">
      <w:pPr>
        <w:pStyle w:val="Bodynumbercopy"/>
        <w:numPr>
          <w:ilvl w:val="0"/>
          <w:numId w:val="4"/>
        </w:numPr>
        <w:rPr>
          <w:rFonts w:asciiTheme="minorHAnsi" w:eastAsiaTheme="minorEastAsia" w:hAnsiTheme="minorHAnsi" w:cstheme="minorBidi"/>
        </w:rPr>
      </w:pPr>
      <w:r>
        <w:t>This table identifies the outputs for</w:t>
      </w:r>
      <w:r w:rsidR="00392194">
        <w:t xml:space="preserve"> </w:t>
      </w:r>
      <w:r>
        <w:t xml:space="preserve">key investment drivers relating </w:t>
      </w:r>
      <w:r w:rsidRPr="003C32C6">
        <w:t>wastewater new quality obligations. These cover the following</w:t>
      </w:r>
      <w:r w:rsidR="00F77E9F" w:rsidRPr="003C32C6">
        <w:t xml:space="preserve"> </w:t>
      </w:r>
      <w:r w:rsidRPr="003C32C6">
        <w:t>drivers:</w:t>
      </w:r>
    </w:p>
    <w:p w14:paraId="669CB488" w14:textId="69004897" w:rsidR="00940E3A" w:rsidRPr="00A21A66" w:rsidRDefault="003C32C6" w:rsidP="00ED6A8B">
      <w:pPr>
        <w:pStyle w:val="Bodynumbercopy"/>
        <w:numPr>
          <w:ilvl w:val="1"/>
          <w:numId w:val="4"/>
        </w:numPr>
      </w:pPr>
      <w:r w:rsidRPr="00A21A66">
        <w:t xml:space="preserve">Driver: </w:t>
      </w:r>
      <w:r w:rsidR="004742D1" w:rsidRPr="00A21A66">
        <w:t xml:space="preserve">Service </w:t>
      </w:r>
      <w:r w:rsidR="00F3215F" w:rsidRPr="00A21A66">
        <w:t>resilience</w:t>
      </w:r>
    </w:p>
    <w:p w14:paraId="24C6C11D" w14:textId="3EE6D284" w:rsidR="00940E3A" w:rsidRPr="007540E2" w:rsidRDefault="003C32C6" w:rsidP="2F76CC7E">
      <w:pPr>
        <w:pStyle w:val="Bodynumbercopy"/>
        <w:numPr>
          <w:ilvl w:val="1"/>
          <w:numId w:val="4"/>
        </w:numPr>
      </w:pPr>
      <w:r w:rsidRPr="003C32C6">
        <w:t>Driver</w:t>
      </w:r>
      <w:r w:rsidR="00940E3A" w:rsidRPr="003C32C6">
        <w:t>: Improvements to poor or seriously polluted waters</w:t>
      </w:r>
      <w:r w:rsidR="00F3215F" w:rsidRPr="003C32C6">
        <w:t xml:space="preserve"> (swimmable</w:t>
      </w:r>
      <w:r w:rsidR="00F3215F">
        <w:t xml:space="preserve"> waters)</w:t>
      </w:r>
    </w:p>
    <w:p w14:paraId="68465B6A" w14:textId="2E73164B" w:rsidR="00940E3A" w:rsidRPr="007540E2" w:rsidRDefault="00940E3A" w:rsidP="2F76CC7E">
      <w:pPr>
        <w:pStyle w:val="Bodynumbercopy"/>
        <w:numPr>
          <w:ilvl w:val="1"/>
          <w:numId w:val="4"/>
        </w:numPr>
      </w:pPr>
      <w:r>
        <w:t>Driver: Sludge (</w:t>
      </w:r>
      <w:r w:rsidR="00712E5B">
        <w:t>u</w:t>
      </w:r>
      <w:r>
        <w:t xml:space="preserve">se in </w:t>
      </w:r>
      <w:r w:rsidR="00712E5B">
        <w:t>a</w:t>
      </w:r>
      <w:r>
        <w:t>griculture)</w:t>
      </w:r>
    </w:p>
    <w:p w14:paraId="6FA51291" w14:textId="75901FEF" w:rsidR="00940E3A" w:rsidRPr="007540E2" w:rsidRDefault="00940E3A" w:rsidP="2F76CC7E">
      <w:pPr>
        <w:pStyle w:val="Bodynumbercopy"/>
        <w:numPr>
          <w:ilvl w:val="1"/>
          <w:numId w:val="4"/>
        </w:numPr>
      </w:pPr>
      <w:r>
        <w:t xml:space="preserve">Driver: Dangerous </w:t>
      </w:r>
      <w:r w:rsidR="00392194">
        <w:t>s</w:t>
      </w:r>
      <w:r>
        <w:t>ubstances</w:t>
      </w:r>
    </w:p>
    <w:p w14:paraId="13643C74" w14:textId="3CACEDD7" w:rsidR="00940E3A" w:rsidRPr="006466B5" w:rsidRDefault="00940E3A" w:rsidP="009254DD">
      <w:pPr>
        <w:pStyle w:val="Sectionsub-heading"/>
      </w:pPr>
      <w:r w:rsidRPr="006466B5">
        <w:t xml:space="preserve">Guidance </w:t>
      </w:r>
    </w:p>
    <w:p w14:paraId="4CAAB135" w14:textId="77777777" w:rsidR="00653753" w:rsidRDefault="00940E3A" w:rsidP="007B444A">
      <w:pPr>
        <w:pStyle w:val="Bodynumbercopy"/>
        <w:numPr>
          <w:ilvl w:val="0"/>
          <w:numId w:val="4"/>
        </w:numPr>
      </w:pPr>
      <w:r>
        <w:t xml:space="preserve">On completion of Table C6 the </w:t>
      </w:r>
      <w:r w:rsidR="000011BB">
        <w:t>Local</w:t>
      </w:r>
      <w:r w:rsidR="00392194">
        <w:t xml:space="preserve"> A</w:t>
      </w:r>
      <w:r>
        <w:t>uthority should ensure that no input cell is left blank.</w:t>
      </w:r>
    </w:p>
    <w:p w14:paraId="076FED89" w14:textId="6348CF95" w:rsidR="00940E3A" w:rsidRDefault="00653753" w:rsidP="007013F6">
      <w:pPr>
        <w:pStyle w:val="Sectionsub-heading"/>
      </w:pPr>
      <w:r>
        <w:t>Definitions</w:t>
      </w:r>
      <w:r w:rsidR="00940E3A">
        <w:t xml:space="preserve"> </w:t>
      </w:r>
    </w:p>
    <w:p w14:paraId="2C758BAC" w14:textId="78EAA613" w:rsidR="00502D09" w:rsidRPr="007013F6" w:rsidRDefault="00502D09" w:rsidP="007013F6">
      <w:pPr>
        <w:pStyle w:val="Bodynumbercopy"/>
        <w:numPr>
          <w:ilvl w:val="0"/>
          <w:numId w:val="4"/>
        </w:numPr>
        <w:jc w:val="both"/>
      </w:pPr>
      <w:r w:rsidRPr="007013F6">
        <w:t>The water environment</w:t>
      </w:r>
      <w:r w:rsidR="0022235D">
        <w:t xml:space="preserve"> refers to </w:t>
      </w:r>
      <w:r w:rsidRPr="007013F6">
        <w:t>all surface water, groundwater and wetlands.</w:t>
      </w:r>
    </w:p>
    <w:p w14:paraId="684922E3" w14:textId="4F85978E" w:rsidR="00502D09" w:rsidRPr="007013F6" w:rsidRDefault="004F206B" w:rsidP="007013F6">
      <w:pPr>
        <w:pStyle w:val="Bodynumbercopy"/>
        <w:numPr>
          <w:ilvl w:val="0"/>
          <w:numId w:val="4"/>
        </w:numPr>
        <w:jc w:val="both"/>
      </w:pPr>
      <w:r w:rsidRPr="007013F6">
        <w:t>Surface water means inland water (other than groundwater), transitional water and coastal water.</w:t>
      </w:r>
    </w:p>
    <w:p w14:paraId="7B1E8853" w14:textId="3E621B26" w:rsidR="004F206B" w:rsidRPr="007013F6" w:rsidRDefault="00BA7BD6" w:rsidP="007013F6">
      <w:pPr>
        <w:pStyle w:val="Bodynumbercopy"/>
        <w:numPr>
          <w:ilvl w:val="0"/>
          <w:numId w:val="4"/>
        </w:numPr>
        <w:jc w:val="both"/>
      </w:pPr>
      <w:r w:rsidRPr="007013F6">
        <w:t>Groundwater</w:t>
      </w:r>
      <w:r w:rsidR="0022235D">
        <w:t xml:space="preserve"> refers to</w:t>
      </w:r>
      <w:r w:rsidRPr="007013F6">
        <w:t xml:space="preserve"> water which is below the surface of the ground in the saturation zone and in direct contact with the ground or subsoil.</w:t>
      </w:r>
    </w:p>
    <w:p w14:paraId="3F5FB6F5" w14:textId="3FCAB9FE" w:rsidR="00BA7BD6" w:rsidRDefault="0022235D" w:rsidP="007013F6">
      <w:pPr>
        <w:pStyle w:val="Bodynumbercopy"/>
        <w:numPr>
          <w:ilvl w:val="0"/>
          <w:numId w:val="4"/>
        </w:numPr>
        <w:jc w:val="both"/>
      </w:pPr>
      <w:r w:rsidRPr="007013F6">
        <w:t>Wetland means an area of ground the ecological, chemical and hydrological characteristics of which are attributable to frequent inundation or saturation by water and which is directly dependent, with regard to its water needs, on a body of groundwater or a body of surface water.</w:t>
      </w:r>
    </w:p>
    <w:p w14:paraId="79A068F6" w14:textId="77777777" w:rsidR="000B57B7" w:rsidRDefault="008B73CA" w:rsidP="007013F6">
      <w:pPr>
        <w:pStyle w:val="Bodynumbercopy"/>
        <w:numPr>
          <w:ilvl w:val="0"/>
          <w:numId w:val="4"/>
        </w:numPr>
        <w:jc w:val="both"/>
      </w:pPr>
      <w:r>
        <w:t>I</w:t>
      </w:r>
      <w:r w:rsidR="00653753" w:rsidRPr="00AE1F3B">
        <w:t xml:space="preserve">nland water </w:t>
      </w:r>
      <w:r>
        <w:t>relates</w:t>
      </w:r>
      <w:r w:rsidR="00653753" w:rsidRPr="00AE1F3B">
        <w:t xml:space="preserve"> to</w:t>
      </w:r>
      <w:r w:rsidR="000B57B7">
        <w:t>:</w:t>
      </w:r>
    </w:p>
    <w:p w14:paraId="28D4D694" w14:textId="77777777" w:rsidR="00295189" w:rsidRPr="00F2362C" w:rsidRDefault="00295189" w:rsidP="007013F6">
      <w:pPr>
        <w:pStyle w:val="Bodynumbercopy"/>
        <w:numPr>
          <w:ilvl w:val="1"/>
          <w:numId w:val="4"/>
        </w:numPr>
        <w:jc w:val="both"/>
      </w:pPr>
      <w:r w:rsidRPr="00F2362C">
        <w:rPr>
          <w:color w:val="000000"/>
          <w:shd w:val="clear" w:color="auto" w:fill="FFFFFF"/>
        </w:rPr>
        <w:t>all standing or flowing water on the surface of the land (other than transitional water), and</w:t>
      </w:r>
    </w:p>
    <w:p w14:paraId="038928C5" w14:textId="17CC7086" w:rsidR="00E12A66" w:rsidRPr="00F2362C" w:rsidRDefault="00E12A66" w:rsidP="007013F6">
      <w:pPr>
        <w:pStyle w:val="Bodynumbercopy"/>
        <w:numPr>
          <w:ilvl w:val="1"/>
          <w:numId w:val="4"/>
        </w:numPr>
        <w:jc w:val="both"/>
      </w:pPr>
      <w:r w:rsidRPr="00F2362C">
        <w:rPr>
          <w:color w:val="000000"/>
          <w:shd w:val="clear" w:color="auto" w:fill="FFFFFF"/>
        </w:rPr>
        <w:t>all groundwater</w:t>
      </w:r>
      <w:r w:rsidR="00604976">
        <w:rPr>
          <w:color w:val="000000"/>
          <w:shd w:val="clear" w:color="auto" w:fill="FFFFFF"/>
        </w:rPr>
        <w:t>.</w:t>
      </w:r>
    </w:p>
    <w:p w14:paraId="3795E83D" w14:textId="5916EF9B" w:rsidR="0017136B" w:rsidRDefault="0017136B" w:rsidP="007013F6">
      <w:pPr>
        <w:pStyle w:val="Sectionsub-heading"/>
        <w:numPr>
          <w:ilvl w:val="0"/>
          <w:numId w:val="4"/>
        </w:numPr>
        <w:jc w:val="both"/>
        <w:rPr>
          <w:b w:val="0"/>
          <w:color w:val="auto"/>
          <w:sz w:val="21"/>
          <w:szCs w:val="21"/>
        </w:rPr>
      </w:pPr>
      <w:r w:rsidRPr="007013F6">
        <w:rPr>
          <w:b w:val="0"/>
          <w:color w:val="auto"/>
          <w:sz w:val="21"/>
          <w:szCs w:val="21"/>
        </w:rPr>
        <w:t xml:space="preserve">Coastal water </w:t>
      </w:r>
      <w:r w:rsidRPr="007013F6">
        <w:rPr>
          <w:b w:val="0"/>
          <w:color w:val="auto"/>
          <w:sz w:val="21"/>
        </w:rPr>
        <w:t>refers to</w:t>
      </w:r>
      <w:r w:rsidRPr="007013F6">
        <w:rPr>
          <w:b w:val="0"/>
          <w:color w:val="auto"/>
          <w:sz w:val="21"/>
          <w:szCs w:val="21"/>
        </w:rPr>
        <w:t xml:space="preserve"> water (other than groundwater) within the area extending landward from the 3 mile limit up to the limit of the highest tide or, where appropriate, the seaward limits of any bodies of transitional water, but does not include any water beyond the seaward limits of the territorial sea of</w:t>
      </w:r>
      <w:r w:rsidRPr="007013F6">
        <w:rPr>
          <w:b w:val="0"/>
          <w:color w:val="auto"/>
          <w:sz w:val="21"/>
        </w:rPr>
        <w:t xml:space="preserve"> New Zealand. </w:t>
      </w:r>
      <w:r w:rsidRPr="007013F6">
        <w:rPr>
          <w:b w:val="0"/>
          <w:color w:val="auto"/>
          <w:sz w:val="21"/>
          <w:szCs w:val="21"/>
        </w:rPr>
        <w:t> </w:t>
      </w:r>
    </w:p>
    <w:p w14:paraId="297C5500" w14:textId="6B3DA954" w:rsidR="0017136B" w:rsidRPr="006503C8" w:rsidRDefault="0017136B" w:rsidP="007013F6">
      <w:pPr>
        <w:pStyle w:val="Sectionsub-heading"/>
        <w:ind w:left="709"/>
        <w:jc w:val="both"/>
        <w:rPr>
          <w:color w:val="auto"/>
          <w:sz w:val="21"/>
        </w:rPr>
      </w:pPr>
      <w:r w:rsidRPr="007013F6">
        <w:rPr>
          <w:b w:val="0"/>
          <w:bCs/>
          <w:color w:val="auto"/>
          <w:sz w:val="21"/>
          <w:szCs w:val="21"/>
        </w:rPr>
        <w:t xml:space="preserve">“The 3 mile limit” means the limit consisting of a line every point of which is at a distance of 3 miles on the seaward side from the nearest point of the baseline from which the breadth of the territorial sea of </w:t>
      </w:r>
      <w:r w:rsidRPr="007013F6">
        <w:rPr>
          <w:b w:val="0"/>
          <w:bCs/>
          <w:color w:val="auto"/>
          <w:sz w:val="21"/>
        </w:rPr>
        <w:t>New Zealand</w:t>
      </w:r>
      <w:r w:rsidRPr="007013F6">
        <w:rPr>
          <w:b w:val="0"/>
          <w:bCs/>
          <w:color w:val="auto"/>
          <w:sz w:val="21"/>
          <w:szCs w:val="21"/>
        </w:rPr>
        <w:t xml:space="preserve"> is measured</w:t>
      </w:r>
      <w:r w:rsidRPr="007013F6">
        <w:rPr>
          <w:b w:val="0"/>
          <w:bCs/>
          <w:color w:val="auto"/>
          <w:sz w:val="21"/>
        </w:rPr>
        <w:t>.</w:t>
      </w:r>
    </w:p>
    <w:p w14:paraId="21D5B43F" w14:textId="77777777" w:rsidR="0017136B" w:rsidRDefault="0017136B" w:rsidP="007013F6">
      <w:pPr>
        <w:pStyle w:val="Bodysub-heading2"/>
        <w:ind w:left="709"/>
        <w:jc w:val="both"/>
        <w:rPr>
          <w:color w:val="auto"/>
          <w:sz w:val="21"/>
        </w:rPr>
      </w:pPr>
      <w:r w:rsidRPr="00140A2E">
        <w:rPr>
          <w:color w:val="auto"/>
          <w:sz w:val="21"/>
        </w:rPr>
        <w:t>“</w:t>
      </w:r>
      <w:r>
        <w:rPr>
          <w:color w:val="auto"/>
          <w:sz w:val="21"/>
        </w:rPr>
        <w:t>M</w:t>
      </w:r>
      <w:r w:rsidRPr="00140A2E">
        <w:rPr>
          <w:color w:val="auto"/>
          <w:sz w:val="21"/>
        </w:rPr>
        <w:t xml:space="preserve">iles” </w:t>
      </w:r>
      <w:r>
        <w:rPr>
          <w:color w:val="auto"/>
          <w:sz w:val="21"/>
        </w:rPr>
        <w:t>refers to</w:t>
      </w:r>
      <w:r w:rsidRPr="00140A2E">
        <w:rPr>
          <w:color w:val="auto"/>
          <w:sz w:val="21"/>
        </w:rPr>
        <w:t xml:space="preserve"> international nautical miles of 1,852 metres.</w:t>
      </w:r>
    </w:p>
    <w:p w14:paraId="03E6599E" w14:textId="2FB27384" w:rsidR="008B73CA" w:rsidRDefault="008B73CA" w:rsidP="007013F6">
      <w:pPr>
        <w:pStyle w:val="Bodynumbercopy"/>
        <w:jc w:val="both"/>
        <w:rPr>
          <w:shd w:val="clear" w:color="auto" w:fill="FFFFFF"/>
        </w:rPr>
      </w:pPr>
      <w:r w:rsidRPr="006503C8">
        <w:t xml:space="preserve">Estuarial </w:t>
      </w:r>
      <w:r w:rsidR="00FE06E9">
        <w:t>or transiti</w:t>
      </w:r>
      <w:r w:rsidR="00F54847">
        <w:t xml:space="preserve">onal </w:t>
      </w:r>
      <w:r w:rsidRPr="006503C8">
        <w:t xml:space="preserve">waters relates </w:t>
      </w:r>
      <w:r w:rsidR="000670AB">
        <w:t xml:space="preserve">to </w:t>
      </w:r>
      <w:r w:rsidR="000670AB" w:rsidRPr="007013F6">
        <w:rPr>
          <w:shd w:val="clear" w:color="auto" w:fill="FFFFFF"/>
        </w:rPr>
        <w:t>water (other than groundwater) in the vicinity of river mouths which is partly saline in character as a result of its proximity to coastal water but which is substantially influenced by freshwater flows.</w:t>
      </w:r>
    </w:p>
    <w:p w14:paraId="54D17C05" w14:textId="314706DB" w:rsidR="00F20AEE" w:rsidRDefault="0022235D" w:rsidP="0022235D">
      <w:pPr>
        <w:pStyle w:val="Bodynumbercopy"/>
      </w:pPr>
      <w:r>
        <w:t xml:space="preserve">Poor or </w:t>
      </w:r>
      <w:r w:rsidR="00E40F32">
        <w:t>bad (</w:t>
      </w:r>
      <w:r>
        <w:t>seriously</w:t>
      </w:r>
      <w:r w:rsidR="00E40F32">
        <w:t>)</w:t>
      </w:r>
      <w:r>
        <w:t xml:space="preserve"> polluted water</w:t>
      </w:r>
      <w:r w:rsidR="003F57A1">
        <w:t>s:</w:t>
      </w:r>
    </w:p>
    <w:p w14:paraId="263F71CA" w14:textId="0140CC3B" w:rsidR="0022235D" w:rsidRPr="007013F6" w:rsidRDefault="00D675F6" w:rsidP="007013F6">
      <w:pPr>
        <w:pStyle w:val="Bodynumbercopy"/>
        <w:numPr>
          <w:ilvl w:val="1"/>
          <w:numId w:val="23"/>
        </w:numPr>
        <w:jc w:val="both"/>
      </w:pPr>
      <w:r w:rsidRPr="007013F6">
        <w:t>P</w:t>
      </w:r>
      <w:r w:rsidR="00F20AEE" w:rsidRPr="007013F6">
        <w:t xml:space="preserve">ollution, in relation to the water environment, </w:t>
      </w:r>
      <w:r w:rsidR="003F57A1" w:rsidRPr="007013F6">
        <w:t>refers to</w:t>
      </w:r>
      <w:r w:rsidR="00F20AEE" w:rsidRPr="007013F6">
        <w:t xml:space="preserve"> the direct or indirect introduction, as a result of human activity, of substances or heat into the water environment, or any part of it, which may give rise to any harm</w:t>
      </w:r>
      <w:r w:rsidR="003F57A1" w:rsidRPr="007013F6">
        <w:t>.</w:t>
      </w:r>
    </w:p>
    <w:p w14:paraId="3F09951C" w14:textId="19057E61" w:rsidR="003F57A1" w:rsidRDefault="0066685F" w:rsidP="007013F6">
      <w:pPr>
        <w:pStyle w:val="Bodynumbercopy"/>
        <w:numPr>
          <w:ilvl w:val="1"/>
          <w:numId w:val="23"/>
        </w:numPr>
        <w:jc w:val="both"/>
      </w:pPr>
      <w:r>
        <w:t xml:space="preserve">As an example, </w:t>
      </w:r>
      <w:r w:rsidR="00D55785">
        <w:t>i</w:t>
      </w:r>
      <w:r w:rsidR="002D1E6B" w:rsidRPr="007013F6">
        <w:t xml:space="preserve">n </w:t>
      </w:r>
      <w:r>
        <w:t>Europe</w:t>
      </w:r>
      <w:r w:rsidR="002D1E6B" w:rsidRPr="007013F6">
        <w:t xml:space="preserve">, </w:t>
      </w:r>
      <w:r w:rsidR="00525CD4" w:rsidRPr="007013F6">
        <w:t>waterbodies are classified under the Water Framework Directive (WFD) according to their ecological quality using environmental standards</w:t>
      </w:r>
      <w:r w:rsidR="009A2770">
        <w:t>.</w:t>
      </w:r>
    </w:p>
    <w:p w14:paraId="53BABF19" w14:textId="6843423B" w:rsidR="000F39A8" w:rsidRDefault="00B87AC1" w:rsidP="007013F6">
      <w:pPr>
        <w:pStyle w:val="Bodynumbercopy"/>
        <w:numPr>
          <w:ilvl w:val="1"/>
          <w:numId w:val="23"/>
        </w:numPr>
        <w:jc w:val="both"/>
      </w:pPr>
      <w:r w:rsidRPr="00B87AC1">
        <w:t>The WFD requires each surface water body to be classified in terms of its ecological and chemical quality. For those water bodies not designated as heavily modified or artificial, this ecological quality is described in terms of ' ecological status'. This is an expression of the quality of the structure and functioning of surface water ecosystems as indicated by the condition of a number of 'quality elements'. The WFD uses the term 'quality elements' to refer to the different indicators of ecological quality making up its ecological status classification schemes.</w:t>
      </w:r>
      <w:r w:rsidR="000F39A8" w:rsidRPr="000F39A8">
        <w:t xml:space="preserve"> </w:t>
      </w:r>
      <w:r w:rsidR="000F39A8">
        <w:t>The quality elements used to assess ecological status are:</w:t>
      </w:r>
    </w:p>
    <w:p w14:paraId="3E4213D3" w14:textId="77777777" w:rsidR="000F39A8" w:rsidRDefault="000F39A8" w:rsidP="007013F6">
      <w:pPr>
        <w:pStyle w:val="Bodynumbercopy"/>
        <w:numPr>
          <w:ilvl w:val="2"/>
          <w:numId w:val="23"/>
        </w:numPr>
        <w:jc w:val="both"/>
      </w:pPr>
      <w:r>
        <w:t>biological quality elements (water plants and animals);</w:t>
      </w:r>
    </w:p>
    <w:p w14:paraId="07FF5528" w14:textId="77777777" w:rsidR="000F39A8" w:rsidRDefault="000F39A8" w:rsidP="007013F6">
      <w:pPr>
        <w:pStyle w:val="Bodynumbercopy"/>
        <w:numPr>
          <w:ilvl w:val="2"/>
          <w:numId w:val="23"/>
        </w:numPr>
        <w:jc w:val="both"/>
      </w:pPr>
      <w:r>
        <w:t>chemical and physicochemical elements (</w:t>
      </w:r>
      <w:proofErr w:type="spellStart"/>
      <w:r>
        <w:t>eg</w:t>
      </w:r>
      <w:proofErr w:type="spellEnd"/>
      <w:r>
        <w:t xml:space="preserve"> oxygen and nutrient levels); and</w:t>
      </w:r>
    </w:p>
    <w:p w14:paraId="1EC2072A" w14:textId="03E72DC0" w:rsidR="00B87AC1" w:rsidRDefault="000F39A8" w:rsidP="007013F6">
      <w:pPr>
        <w:pStyle w:val="Bodynumbercopy"/>
        <w:numPr>
          <w:ilvl w:val="2"/>
          <w:numId w:val="23"/>
        </w:numPr>
        <w:jc w:val="both"/>
      </w:pPr>
      <w:proofErr w:type="spellStart"/>
      <w:r>
        <w:t>hydromorphological</w:t>
      </w:r>
      <w:proofErr w:type="spellEnd"/>
      <w:r>
        <w:t xml:space="preserve"> quality elements (water flows and levels; the condition of beds, banks and shores; and the continuity of rivers for fish migration).</w:t>
      </w:r>
    </w:p>
    <w:p w14:paraId="4C03D540" w14:textId="77777777" w:rsidR="009A2770" w:rsidRDefault="00031C5B" w:rsidP="007013F6">
      <w:pPr>
        <w:pStyle w:val="Bodynumbercopy"/>
        <w:numPr>
          <w:ilvl w:val="1"/>
          <w:numId w:val="23"/>
        </w:numPr>
        <w:jc w:val="both"/>
      </w:pPr>
      <w:r w:rsidRPr="00031C5B">
        <w:t xml:space="preserve">There are five classes of ecological status, defined in terms of how much the ecological quality deviates from natural conditions. These are high, good, moderate, poor or bad. </w:t>
      </w:r>
    </w:p>
    <w:p w14:paraId="34C7D376" w14:textId="77777777" w:rsidR="009A2770" w:rsidRDefault="00031C5B" w:rsidP="007013F6">
      <w:pPr>
        <w:pStyle w:val="Bodynumbercopy"/>
        <w:numPr>
          <w:ilvl w:val="2"/>
          <w:numId w:val="23"/>
        </w:numPr>
        <w:jc w:val="both"/>
      </w:pPr>
      <w:r w:rsidRPr="00031C5B">
        <w:t xml:space="preserve">High status means that the water body is unaffected or virtually unaffected by human activity. </w:t>
      </w:r>
    </w:p>
    <w:p w14:paraId="7216F561" w14:textId="277AD395" w:rsidR="000F39A8" w:rsidRDefault="00031C5B" w:rsidP="0055048B">
      <w:pPr>
        <w:pStyle w:val="Bodynumbercopy"/>
        <w:numPr>
          <w:ilvl w:val="2"/>
          <w:numId w:val="23"/>
        </w:numPr>
        <w:jc w:val="both"/>
      </w:pPr>
      <w:r w:rsidRPr="00031C5B">
        <w:t>A good status water body shows some signs of human pressures, such as slight alterations in the composition or abundance of water plant or animal communities (biological quality elements) compared with what would be expected in a water body at high status.</w:t>
      </w:r>
      <w:r w:rsidR="0055048B" w:rsidRPr="0055048B">
        <w:t xml:space="preserve"> For good status, the chemical, physicochemical and </w:t>
      </w:r>
      <w:proofErr w:type="spellStart"/>
      <w:r w:rsidR="0055048B" w:rsidRPr="0055048B">
        <w:t>hydromorphological</w:t>
      </w:r>
      <w:proofErr w:type="spellEnd"/>
      <w:r w:rsidR="0055048B" w:rsidRPr="0055048B">
        <w:t xml:space="preserve"> quality of the water body must achieve the standards and conditions necessary for the biological quality elements to be in good condition. The ecological status of a water body is determined by the lowest-classed quality element. This is called the ' one-out, all-out principle'.</w:t>
      </w:r>
    </w:p>
    <w:p w14:paraId="71FEA4B1" w14:textId="733AC98D" w:rsidR="00051C7A" w:rsidRPr="007607EA" w:rsidRDefault="004A4DB5" w:rsidP="00051C7A">
      <w:pPr>
        <w:pStyle w:val="Bodynumbercopy"/>
        <w:numPr>
          <w:ilvl w:val="2"/>
          <w:numId w:val="23"/>
        </w:numPr>
        <w:jc w:val="both"/>
      </w:pPr>
      <w:r>
        <w:t xml:space="preserve">Moderate </w:t>
      </w:r>
      <w:r w:rsidR="00051C7A" w:rsidRPr="007607EA">
        <w:t xml:space="preserve">relates to waters showing evidence of </w:t>
      </w:r>
      <w:r w:rsidR="00051C7A">
        <w:t xml:space="preserve">moderate </w:t>
      </w:r>
      <w:r w:rsidR="00051C7A" w:rsidRPr="007607EA">
        <w:t>alterations to the values of the biological quality elements for the surface water body type and in which the relevant biological communities deviate substantially from those normally associated with the surface water body type under undisturbed conditions.</w:t>
      </w:r>
    </w:p>
    <w:p w14:paraId="09432F58" w14:textId="6EBA61CE" w:rsidR="009136E1" w:rsidRPr="007013F6" w:rsidRDefault="009136E1" w:rsidP="0055048B">
      <w:pPr>
        <w:pStyle w:val="Bodynumbercopy"/>
        <w:numPr>
          <w:ilvl w:val="2"/>
          <w:numId w:val="23"/>
        </w:numPr>
        <w:jc w:val="both"/>
      </w:pPr>
      <w:r w:rsidRPr="007013F6">
        <w:t xml:space="preserve">Poor </w:t>
      </w:r>
      <w:r w:rsidR="00F45E8C" w:rsidRPr="007013F6">
        <w:t>relates to</w:t>
      </w:r>
      <w:r w:rsidRPr="007013F6">
        <w:t xml:space="preserve"> waters showing evidence of major alterations to the values of the biological quality elements for the surface water body type and in which the relevant biological communities deviate substantially from those normally associated with the surface water body type under undisturbed conditions.</w:t>
      </w:r>
    </w:p>
    <w:p w14:paraId="1040D52C" w14:textId="7AD62581" w:rsidR="00F24EBF" w:rsidRDefault="00F45E8C" w:rsidP="0055048B">
      <w:pPr>
        <w:pStyle w:val="Bodynumbercopy"/>
        <w:numPr>
          <w:ilvl w:val="2"/>
          <w:numId w:val="23"/>
        </w:numPr>
        <w:jc w:val="both"/>
      </w:pPr>
      <w:r w:rsidRPr="007013F6">
        <w:t>Bad relates to waters showing evidence of severe alterations to the values of the biological quality elements for the surface water body type and in which large portions of the relevant biological communities normally associated with the surface water body type under undisturbed conditions are absent, shall be classified as bad.</w:t>
      </w:r>
    </w:p>
    <w:p w14:paraId="0469CA6A" w14:textId="6D9CD03B" w:rsidR="00BE549E" w:rsidRDefault="00BE549E" w:rsidP="00886ADF">
      <w:pPr>
        <w:pStyle w:val="Bodynumbercopy"/>
      </w:pPr>
      <w:r>
        <w:t xml:space="preserve">Local Authorities should seek to apply these definitions for poor or seriously polluted waters. </w:t>
      </w:r>
    </w:p>
    <w:p w14:paraId="2EDC1C8C" w14:textId="6401E4EC" w:rsidR="00940E3A" w:rsidRPr="008456AD" w:rsidRDefault="009504BF" w:rsidP="009254DD">
      <w:pPr>
        <w:pStyle w:val="Sectionsub-heading"/>
      </w:pPr>
      <w:r w:rsidRPr="008456AD">
        <w:t xml:space="preserve">BLOCK 1: </w:t>
      </w:r>
      <w:r>
        <w:t>DRIVER</w:t>
      </w:r>
      <w:r w:rsidRPr="008456AD">
        <w:t xml:space="preserve">: </w:t>
      </w:r>
      <w:r>
        <w:t>SERVICE RESILIENCE</w:t>
      </w:r>
    </w:p>
    <w:p w14:paraId="588E3272" w14:textId="05E1F48B" w:rsidR="00CE7533" w:rsidRDefault="009504BF" w:rsidP="00CE7533">
      <w:pPr>
        <w:pStyle w:val="Bodysub-heading2"/>
      </w:pPr>
      <w:r>
        <w:t>Wastewater</w:t>
      </w:r>
      <w:r w:rsidR="00392194" w:rsidRPr="00FB77E7">
        <w:t xml:space="preserve"> </w:t>
      </w:r>
      <w:r>
        <w:t>t</w:t>
      </w:r>
      <w:r w:rsidRPr="00FB77E7">
        <w:t xml:space="preserve">reatment </w:t>
      </w:r>
      <w:r>
        <w:t>plants</w:t>
      </w:r>
      <w:r w:rsidR="00E44E72" w:rsidRPr="00FB77E7">
        <w:t xml:space="preserve"> </w:t>
      </w:r>
      <w:r w:rsidRPr="00FB77E7">
        <w:t>upgrading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CE7533" w:rsidRPr="006466B5" w14:paraId="1337B7B4" w14:textId="77777777" w:rsidTr="008030FA">
        <w:tc>
          <w:tcPr>
            <w:tcW w:w="756" w:type="pct"/>
          </w:tcPr>
          <w:p w14:paraId="670B0E77" w14:textId="0DBBD775" w:rsidR="00CE7533" w:rsidRPr="009254DD" w:rsidRDefault="00CE7533" w:rsidP="00CE7533">
            <w:pPr>
              <w:pStyle w:val="Bodyromannumerals"/>
              <w:rPr>
                <w:b/>
                <w:bCs/>
              </w:rPr>
            </w:pPr>
            <w:r w:rsidRPr="00FB77E7">
              <w:rPr>
                <w:b/>
                <w:bCs/>
              </w:rPr>
              <w:t>C6.1</w:t>
            </w:r>
          </w:p>
        </w:tc>
        <w:tc>
          <w:tcPr>
            <w:tcW w:w="3472" w:type="pct"/>
            <w:gridSpan w:val="2"/>
          </w:tcPr>
          <w:p w14:paraId="0BAAF63C" w14:textId="7D4028F1" w:rsidR="00CE7533" w:rsidRPr="009254DD" w:rsidRDefault="00CE7533" w:rsidP="00CE7533">
            <w:pPr>
              <w:pStyle w:val="Bodyromannumerals"/>
              <w:rPr>
                <w:b/>
                <w:bCs/>
                <w:bdr w:val="single" w:sz="4" w:space="0" w:color="auto"/>
              </w:rPr>
            </w:pPr>
            <w:r w:rsidRPr="00FB77E7">
              <w:rPr>
                <w:b/>
                <w:bCs/>
              </w:rPr>
              <w:t xml:space="preserve">Total number of </w:t>
            </w:r>
            <w:r w:rsidR="00A23234">
              <w:rPr>
                <w:b/>
                <w:bCs/>
              </w:rPr>
              <w:t>waste</w:t>
            </w:r>
            <w:r w:rsidR="00083423">
              <w:rPr>
                <w:b/>
                <w:bCs/>
              </w:rPr>
              <w:t>water</w:t>
            </w:r>
            <w:r w:rsidRPr="00FB77E7">
              <w:rPr>
                <w:b/>
                <w:bCs/>
              </w:rPr>
              <w:t xml:space="preserve"> treatment </w:t>
            </w:r>
            <w:r w:rsidR="00E44E72">
              <w:rPr>
                <w:b/>
                <w:bCs/>
              </w:rPr>
              <w:t>plants</w:t>
            </w:r>
            <w:r w:rsidR="00E44E72" w:rsidRPr="00FB77E7">
              <w:rPr>
                <w:b/>
                <w:bCs/>
              </w:rPr>
              <w:t xml:space="preserve"> </w:t>
            </w:r>
            <w:r w:rsidRPr="00FB77E7">
              <w:rPr>
                <w:b/>
                <w:bCs/>
              </w:rPr>
              <w:t xml:space="preserve">subject to improvement </w:t>
            </w:r>
            <w:r w:rsidR="002142E2">
              <w:rPr>
                <w:b/>
                <w:bCs/>
              </w:rPr>
              <w:t>works</w:t>
            </w:r>
            <w:r w:rsidR="00F8084C">
              <w:rPr>
                <w:b/>
                <w:bCs/>
              </w:rPr>
              <w:t xml:space="preserve"> in the </w:t>
            </w:r>
            <w:r w:rsidR="00311012">
              <w:rPr>
                <w:b/>
                <w:bCs/>
              </w:rPr>
              <w:t>Long Term Plan (annual average)</w:t>
            </w:r>
          </w:p>
        </w:tc>
        <w:tc>
          <w:tcPr>
            <w:tcW w:w="772" w:type="pct"/>
          </w:tcPr>
          <w:p w14:paraId="38B502C3" w14:textId="507474DF" w:rsidR="00CE7533" w:rsidRPr="006466B5" w:rsidRDefault="00CE7533" w:rsidP="00CE7533">
            <w:pPr>
              <w:pStyle w:val="Bodyromannumerals"/>
              <w:rPr>
                <w:b/>
                <w:bdr w:val="single" w:sz="4" w:space="0" w:color="auto"/>
              </w:rPr>
            </w:pPr>
            <w:r w:rsidRPr="00FB77E7">
              <w:rPr>
                <w:b/>
                <w:bCs/>
              </w:rPr>
              <w:t>Nr.</w:t>
            </w:r>
          </w:p>
        </w:tc>
      </w:tr>
      <w:tr w:rsidR="00CE7533" w:rsidRPr="00A83F00" w14:paraId="0E1E723A"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5B8F2518" w14:textId="77777777" w:rsidR="00CE7533" w:rsidRPr="006D389B" w:rsidRDefault="00CE7533"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1D8EE61C" w14:textId="5756CB72" w:rsidR="00CE7533" w:rsidRPr="00A83F00" w:rsidRDefault="00CE7533" w:rsidP="008030FA">
            <w:pPr>
              <w:pStyle w:val="Bodyromannumerals"/>
            </w:pPr>
            <w:r w:rsidRPr="00CE7533">
              <w:t xml:space="preserve">The total number of </w:t>
            </w:r>
            <w:r w:rsidR="00A23234">
              <w:t>waste</w:t>
            </w:r>
            <w:r w:rsidR="00083423">
              <w:t>water</w:t>
            </w:r>
            <w:r w:rsidRPr="00CE7533">
              <w:t xml:space="preserve"> treatment </w:t>
            </w:r>
            <w:r w:rsidR="00E44E72">
              <w:t>plants</w:t>
            </w:r>
            <w:r w:rsidR="00E44E72" w:rsidRPr="00CE7533">
              <w:t xml:space="preserve"> </w:t>
            </w:r>
            <w:r w:rsidRPr="00CE7533">
              <w:t xml:space="preserve">subject to improvement works for </w:t>
            </w:r>
            <w:r w:rsidR="00FE4166">
              <w:t>levels o</w:t>
            </w:r>
            <w:r w:rsidR="00454D8A">
              <w:t>f</w:t>
            </w:r>
            <w:r w:rsidR="00FE4166">
              <w:t xml:space="preserve"> service or compliance</w:t>
            </w:r>
            <w:r w:rsidR="00D130D7">
              <w:t xml:space="preserve"> as set out in the Long Term Plan. Please provide the annual average across all years.</w:t>
            </w:r>
          </w:p>
        </w:tc>
      </w:tr>
      <w:tr w:rsidR="00CE7533" w:rsidRPr="00A83F00" w14:paraId="424739FD"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10DB6F" w14:textId="77777777" w:rsidR="00CE7533" w:rsidRPr="006D389B" w:rsidRDefault="00CE7533"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BF0C4A" w14:textId="254D460D" w:rsidR="00CE7533" w:rsidRPr="00A83F00" w:rsidRDefault="00CE7533" w:rsidP="008030FA">
            <w:pPr>
              <w:pStyle w:val="Bodyromannumerals"/>
            </w:pPr>
            <w:r w:rsidRPr="00CE7533">
              <w:t>Input field</w:t>
            </w:r>
          </w:p>
        </w:tc>
      </w:tr>
      <w:tr w:rsidR="00CE7533" w:rsidRPr="006466B5" w14:paraId="009681AB" w14:textId="77777777" w:rsidTr="008030FA">
        <w:tc>
          <w:tcPr>
            <w:tcW w:w="756" w:type="pct"/>
          </w:tcPr>
          <w:p w14:paraId="41888736" w14:textId="1D992498" w:rsidR="00CE7533" w:rsidRPr="009254DD" w:rsidRDefault="00CE7533" w:rsidP="00CE7533">
            <w:pPr>
              <w:pStyle w:val="Bodyromannumerals"/>
              <w:rPr>
                <w:b/>
                <w:bCs/>
              </w:rPr>
            </w:pPr>
            <w:r w:rsidRPr="00FB77E7">
              <w:rPr>
                <w:b/>
                <w:bCs/>
              </w:rPr>
              <w:t>C6.2</w:t>
            </w:r>
          </w:p>
        </w:tc>
        <w:tc>
          <w:tcPr>
            <w:tcW w:w="3472" w:type="pct"/>
            <w:gridSpan w:val="2"/>
          </w:tcPr>
          <w:p w14:paraId="0576F087" w14:textId="216FA468" w:rsidR="00CE7533" w:rsidRPr="009254DD" w:rsidRDefault="00CE7533" w:rsidP="00CE7533">
            <w:pPr>
              <w:pStyle w:val="Bodyromannumerals"/>
              <w:rPr>
                <w:b/>
                <w:bCs/>
                <w:bdr w:val="single" w:sz="4" w:space="0" w:color="auto"/>
              </w:rPr>
            </w:pPr>
            <w:r w:rsidRPr="00FB77E7">
              <w:rPr>
                <w:b/>
                <w:bCs/>
              </w:rPr>
              <w:t>Population equivalent subject to improvement works</w:t>
            </w:r>
            <w:r w:rsidR="00F8084C">
              <w:rPr>
                <w:b/>
                <w:bCs/>
              </w:rPr>
              <w:t xml:space="preserve"> in the </w:t>
            </w:r>
            <w:r w:rsidR="00311012">
              <w:rPr>
                <w:b/>
                <w:bCs/>
              </w:rPr>
              <w:t>Long Term Plan (annual average)</w:t>
            </w:r>
          </w:p>
        </w:tc>
        <w:tc>
          <w:tcPr>
            <w:tcW w:w="772" w:type="pct"/>
          </w:tcPr>
          <w:p w14:paraId="3EF60E7C" w14:textId="678FEAF3" w:rsidR="00CE7533" w:rsidRPr="006466B5" w:rsidRDefault="00CE7533" w:rsidP="00CE7533">
            <w:pPr>
              <w:pStyle w:val="Bodyromannumerals"/>
              <w:rPr>
                <w:b/>
                <w:bdr w:val="single" w:sz="4" w:space="0" w:color="auto"/>
              </w:rPr>
            </w:pPr>
            <w:r w:rsidRPr="00FB77E7">
              <w:rPr>
                <w:b/>
                <w:bCs/>
              </w:rPr>
              <w:t>000</w:t>
            </w:r>
          </w:p>
        </w:tc>
      </w:tr>
      <w:tr w:rsidR="00CE7533" w:rsidRPr="00A83F00" w14:paraId="0E36BED2"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28F92FB3" w14:textId="77777777" w:rsidR="00CE7533" w:rsidRPr="006D389B" w:rsidRDefault="00CE7533"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7AA7B0CE" w14:textId="5302F130" w:rsidR="00CE7533" w:rsidRPr="00A83F00" w:rsidRDefault="00CE7533" w:rsidP="008030FA">
            <w:pPr>
              <w:pStyle w:val="Bodyromannumerals"/>
            </w:pPr>
            <w:r w:rsidRPr="00CE7533">
              <w:t xml:space="preserve">Population equivalent subject to improvement </w:t>
            </w:r>
            <w:r w:rsidR="00A23234">
              <w:t>waste</w:t>
            </w:r>
            <w:r w:rsidR="00083423">
              <w:t>water</w:t>
            </w:r>
            <w:r w:rsidRPr="00CE7533">
              <w:t xml:space="preserve"> treatment </w:t>
            </w:r>
            <w:r w:rsidR="00E44E72">
              <w:t>plants</w:t>
            </w:r>
            <w:r w:rsidR="00E44E72" w:rsidRPr="00CE7533">
              <w:t xml:space="preserve"> </w:t>
            </w:r>
            <w:r w:rsidRPr="00CE7533">
              <w:t xml:space="preserve">for </w:t>
            </w:r>
            <w:r w:rsidR="009920F3">
              <w:t>levels o</w:t>
            </w:r>
            <w:r w:rsidR="006C6E59">
              <w:t>f</w:t>
            </w:r>
            <w:r w:rsidR="009920F3">
              <w:t xml:space="preserve"> service or compliance</w:t>
            </w:r>
            <w:r w:rsidR="00D130D7">
              <w:t xml:space="preserve"> as set out in the Long Term Plan. Please provide the annual average across all years.</w:t>
            </w:r>
          </w:p>
        </w:tc>
      </w:tr>
      <w:tr w:rsidR="00CE7533" w:rsidRPr="00A83F00" w14:paraId="279CE1BC" w14:textId="77777777" w:rsidTr="00CE7533">
        <w:tblPrEx>
          <w:tblLook w:val="04A0" w:firstRow="1" w:lastRow="0" w:firstColumn="1" w:lastColumn="0" w:noHBand="0" w:noVBand="1"/>
        </w:tblPrEx>
        <w:trPr>
          <w:trHeight w:val="64"/>
        </w:trPr>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43306A" w14:textId="77777777" w:rsidR="00CE7533" w:rsidRPr="006D389B" w:rsidRDefault="00CE7533"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A54034" w14:textId="7C5B47CC" w:rsidR="00CE7533" w:rsidRPr="00A83F00" w:rsidRDefault="00CE7533" w:rsidP="008030FA">
            <w:pPr>
              <w:pStyle w:val="Bodyromannumerals"/>
            </w:pPr>
            <w:r w:rsidRPr="00CE7533">
              <w:t>Input field</w:t>
            </w:r>
          </w:p>
        </w:tc>
      </w:tr>
      <w:tr w:rsidR="00CE7533" w:rsidRPr="006466B5" w14:paraId="63B495F1" w14:textId="77777777" w:rsidTr="008030FA">
        <w:tc>
          <w:tcPr>
            <w:tcW w:w="756" w:type="pct"/>
          </w:tcPr>
          <w:p w14:paraId="488CB0C7" w14:textId="1643D084" w:rsidR="00CE7533" w:rsidRPr="009254DD" w:rsidRDefault="00CE7533" w:rsidP="00CE7533">
            <w:pPr>
              <w:pStyle w:val="Bodyromannumerals"/>
              <w:rPr>
                <w:b/>
                <w:bCs/>
              </w:rPr>
            </w:pPr>
            <w:r w:rsidRPr="00FB77E7">
              <w:rPr>
                <w:b/>
                <w:bCs/>
              </w:rPr>
              <w:t>C6.3</w:t>
            </w:r>
          </w:p>
        </w:tc>
        <w:tc>
          <w:tcPr>
            <w:tcW w:w="3472" w:type="pct"/>
            <w:gridSpan w:val="2"/>
          </w:tcPr>
          <w:p w14:paraId="75244324" w14:textId="63A6559E" w:rsidR="00CE7533" w:rsidRPr="009254DD" w:rsidRDefault="00CE7533" w:rsidP="00CE7533">
            <w:pPr>
              <w:pStyle w:val="Bodyromannumerals"/>
              <w:rPr>
                <w:b/>
                <w:bCs/>
                <w:bdr w:val="single" w:sz="4" w:space="0" w:color="auto"/>
              </w:rPr>
            </w:pPr>
            <w:r w:rsidRPr="00FB77E7">
              <w:rPr>
                <w:b/>
                <w:bCs/>
              </w:rPr>
              <w:t>% of total population equivalent subject to improvement works</w:t>
            </w:r>
            <w:r w:rsidR="00F8084C">
              <w:rPr>
                <w:b/>
                <w:bCs/>
              </w:rPr>
              <w:t xml:space="preserve"> </w:t>
            </w:r>
          </w:p>
        </w:tc>
        <w:tc>
          <w:tcPr>
            <w:tcW w:w="772" w:type="pct"/>
          </w:tcPr>
          <w:p w14:paraId="0B30A19C" w14:textId="03C96ED6" w:rsidR="00CE7533" w:rsidRPr="006466B5" w:rsidRDefault="00CE7533" w:rsidP="00CE7533">
            <w:pPr>
              <w:pStyle w:val="Bodyromannumerals"/>
              <w:rPr>
                <w:b/>
                <w:bdr w:val="single" w:sz="4" w:space="0" w:color="auto"/>
              </w:rPr>
            </w:pPr>
            <w:r w:rsidRPr="00FB77E7">
              <w:rPr>
                <w:b/>
                <w:bCs/>
              </w:rPr>
              <w:t xml:space="preserve">% </w:t>
            </w:r>
          </w:p>
        </w:tc>
      </w:tr>
      <w:tr w:rsidR="00CE7533" w:rsidRPr="00A83F00" w14:paraId="177FCE52"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21E92834" w14:textId="77777777" w:rsidR="00CE7533" w:rsidRPr="006D389B" w:rsidRDefault="00CE7533"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08B80AB7" w14:textId="5E421E55" w:rsidR="00CE7533" w:rsidRPr="00A83F00" w:rsidRDefault="00CE7533" w:rsidP="008030FA">
            <w:pPr>
              <w:pStyle w:val="Bodyromannumerals"/>
            </w:pPr>
            <w:r w:rsidRPr="006466B5">
              <w:t xml:space="preserve">The population equivalent served by </w:t>
            </w:r>
            <w:r w:rsidR="00A23234">
              <w:t>waste</w:t>
            </w:r>
            <w:r w:rsidR="00083423">
              <w:t>water</w:t>
            </w:r>
            <w:r w:rsidRPr="006466B5">
              <w:t xml:space="preserve"> treatment </w:t>
            </w:r>
            <w:r w:rsidR="00E44E72">
              <w:t>plants</w:t>
            </w:r>
            <w:r w:rsidR="00E44E72" w:rsidRPr="006466B5">
              <w:t xml:space="preserve"> </w:t>
            </w:r>
            <w:r w:rsidRPr="006466B5">
              <w:t>subject to improvement works</w:t>
            </w:r>
            <w:r w:rsidR="001F1AA4">
              <w:t xml:space="preserve"> </w:t>
            </w:r>
            <w:r w:rsidR="001F1AA4" w:rsidRPr="00CE7533">
              <w:t xml:space="preserve">for </w:t>
            </w:r>
            <w:r w:rsidR="001F1AA4">
              <w:t>levels of service or compliance</w:t>
            </w:r>
            <w:r w:rsidRPr="006466B5">
              <w:t>, as a percentage of the total population equivalent.</w:t>
            </w:r>
            <w:r w:rsidR="00197DB7">
              <w:t xml:space="preserve"> </w:t>
            </w:r>
          </w:p>
        </w:tc>
      </w:tr>
      <w:tr w:rsidR="00CE7533" w:rsidRPr="00A83F00" w14:paraId="14521ED8"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1AF057" w14:textId="77777777" w:rsidR="00CE7533" w:rsidRPr="006D389B" w:rsidRDefault="00CE7533"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82F733" w14:textId="0847DB9F" w:rsidR="00CE7533" w:rsidRPr="00A83F00" w:rsidRDefault="00CE7533" w:rsidP="008030FA">
            <w:pPr>
              <w:pStyle w:val="Bodyromannumerals"/>
            </w:pPr>
            <w:r w:rsidRPr="006466B5">
              <w:t>Input field</w:t>
            </w:r>
          </w:p>
        </w:tc>
      </w:tr>
    </w:tbl>
    <w:p w14:paraId="4102F9FE" w14:textId="04B7B100" w:rsidR="00940E3A" w:rsidRDefault="009504BF" w:rsidP="00EB58DC">
      <w:pPr>
        <w:pStyle w:val="Bodysub-heading2"/>
      </w:pPr>
      <w:r>
        <w:t>Wastewater</w:t>
      </w:r>
      <w:r w:rsidRPr="00CE7533">
        <w:t xml:space="preserve"> system upgrad</w:t>
      </w:r>
      <w:r>
        <w: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CE7533" w:rsidRPr="006466B5" w14:paraId="1157CCC7" w14:textId="77777777" w:rsidTr="008030FA">
        <w:tc>
          <w:tcPr>
            <w:tcW w:w="756" w:type="pct"/>
          </w:tcPr>
          <w:p w14:paraId="7FEDDA9F" w14:textId="7CCAF5B5" w:rsidR="00CE7533" w:rsidRPr="009254DD" w:rsidRDefault="00CE7533" w:rsidP="00CE7533">
            <w:pPr>
              <w:pStyle w:val="Bodyromannumerals"/>
              <w:rPr>
                <w:b/>
                <w:bCs/>
              </w:rPr>
            </w:pPr>
            <w:r w:rsidRPr="00FB77E7">
              <w:rPr>
                <w:b/>
                <w:bCs/>
              </w:rPr>
              <w:t>C6.4</w:t>
            </w:r>
          </w:p>
        </w:tc>
        <w:tc>
          <w:tcPr>
            <w:tcW w:w="3472" w:type="pct"/>
            <w:gridSpan w:val="2"/>
          </w:tcPr>
          <w:p w14:paraId="62E90A02" w14:textId="618C81DF" w:rsidR="00CE7533" w:rsidRPr="009254DD" w:rsidRDefault="00CE7533" w:rsidP="00CE7533">
            <w:pPr>
              <w:pStyle w:val="Bodyromannumerals"/>
              <w:rPr>
                <w:b/>
                <w:bCs/>
                <w:bdr w:val="single" w:sz="4" w:space="0" w:color="auto"/>
              </w:rPr>
            </w:pPr>
            <w:r w:rsidRPr="00FB77E7">
              <w:rPr>
                <w:b/>
                <w:bCs/>
              </w:rPr>
              <w:t xml:space="preserve">Total number of </w:t>
            </w:r>
            <w:r w:rsidR="00D76445">
              <w:rPr>
                <w:b/>
                <w:bCs/>
              </w:rPr>
              <w:t>wastewater</w:t>
            </w:r>
            <w:r w:rsidRPr="00FB77E7">
              <w:rPr>
                <w:b/>
                <w:bCs/>
              </w:rPr>
              <w:t xml:space="preserve"> schemes subject to improvement works</w:t>
            </w:r>
          </w:p>
        </w:tc>
        <w:tc>
          <w:tcPr>
            <w:tcW w:w="772" w:type="pct"/>
          </w:tcPr>
          <w:p w14:paraId="2131DF7F" w14:textId="0A6F0A9F" w:rsidR="00CE7533" w:rsidRPr="006466B5" w:rsidRDefault="00CE7533" w:rsidP="00CE7533">
            <w:pPr>
              <w:pStyle w:val="Bodyromannumerals"/>
              <w:rPr>
                <w:b/>
                <w:bdr w:val="single" w:sz="4" w:space="0" w:color="auto"/>
              </w:rPr>
            </w:pPr>
            <w:r w:rsidRPr="00FB77E7">
              <w:rPr>
                <w:b/>
                <w:bCs/>
              </w:rPr>
              <w:t>Nr.</w:t>
            </w:r>
          </w:p>
        </w:tc>
      </w:tr>
      <w:tr w:rsidR="00CE7533" w:rsidRPr="00A83F00" w14:paraId="208CD324"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7057A643" w14:textId="77777777" w:rsidR="00CE7533" w:rsidRPr="006D389B" w:rsidRDefault="00CE7533"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6D924C7A" w14:textId="53E31C3E" w:rsidR="00CE7533" w:rsidRPr="00A83F00" w:rsidRDefault="00CE7533" w:rsidP="008030FA">
            <w:pPr>
              <w:pStyle w:val="Bodyromannumerals"/>
            </w:pPr>
            <w:r w:rsidRPr="00CE7533">
              <w:t xml:space="preserve">Total number of </w:t>
            </w:r>
            <w:r w:rsidR="00D76445">
              <w:t>wastewater</w:t>
            </w:r>
            <w:r w:rsidRPr="00CE7533">
              <w:t xml:space="preserve"> schemes subject to improvement works for </w:t>
            </w:r>
            <w:r w:rsidR="001F1AA4">
              <w:t>levels of service or compliance</w:t>
            </w:r>
            <w:r w:rsidRPr="00CE7533">
              <w:t>.</w:t>
            </w:r>
          </w:p>
        </w:tc>
      </w:tr>
      <w:tr w:rsidR="00CE7533" w:rsidRPr="00A83F00" w14:paraId="1F061D12"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8CD86E" w14:textId="77777777" w:rsidR="00CE7533" w:rsidRPr="006D389B" w:rsidRDefault="00CE7533"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57D153" w14:textId="579F812A" w:rsidR="00CE7533" w:rsidRPr="00A83F00" w:rsidRDefault="00CE7533" w:rsidP="008030FA">
            <w:pPr>
              <w:pStyle w:val="Bodyromannumerals"/>
            </w:pPr>
            <w:r w:rsidRPr="00CE7533">
              <w:t>Input field</w:t>
            </w:r>
          </w:p>
        </w:tc>
      </w:tr>
      <w:tr w:rsidR="00CE7533" w:rsidRPr="006466B5" w14:paraId="3CA44B2B" w14:textId="77777777" w:rsidTr="008030FA">
        <w:tc>
          <w:tcPr>
            <w:tcW w:w="756" w:type="pct"/>
          </w:tcPr>
          <w:p w14:paraId="039951DC" w14:textId="537A4C93" w:rsidR="00CE7533" w:rsidRPr="009254DD" w:rsidRDefault="00CE7533" w:rsidP="00CE7533">
            <w:pPr>
              <w:pStyle w:val="Bodyromannumerals"/>
              <w:rPr>
                <w:b/>
                <w:bCs/>
              </w:rPr>
            </w:pPr>
            <w:r w:rsidRPr="00FB77E7">
              <w:rPr>
                <w:b/>
                <w:bCs/>
              </w:rPr>
              <w:t>C6.5</w:t>
            </w:r>
          </w:p>
        </w:tc>
        <w:tc>
          <w:tcPr>
            <w:tcW w:w="3472" w:type="pct"/>
            <w:gridSpan w:val="2"/>
          </w:tcPr>
          <w:p w14:paraId="2BE60511" w14:textId="15D88124" w:rsidR="00CE7533" w:rsidRPr="009254DD" w:rsidRDefault="00CE7533" w:rsidP="00CE7533">
            <w:pPr>
              <w:pStyle w:val="Bodyromannumerals"/>
              <w:rPr>
                <w:b/>
                <w:bCs/>
                <w:bdr w:val="single" w:sz="4" w:space="0" w:color="auto"/>
              </w:rPr>
            </w:pPr>
            <w:r w:rsidRPr="00FB77E7">
              <w:rPr>
                <w:b/>
                <w:bCs/>
              </w:rPr>
              <w:t>Population equivalent subject to improvement works</w:t>
            </w:r>
          </w:p>
        </w:tc>
        <w:tc>
          <w:tcPr>
            <w:tcW w:w="772" w:type="pct"/>
          </w:tcPr>
          <w:p w14:paraId="325D3418" w14:textId="2DDEFE79" w:rsidR="00CE7533" w:rsidRPr="006466B5" w:rsidRDefault="00CE7533" w:rsidP="00CE7533">
            <w:pPr>
              <w:pStyle w:val="Bodyromannumerals"/>
              <w:rPr>
                <w:b/>
                <w:bdr w:val="single" w:sz="4" w:space="0" w:color="auto"/>
              </w:rPr>
            </w:pPr>
            <w:r w:rsidRPr="00FB77E7">
              <w:rPr>
                <w:b/>
                <w:bCs/>
              </w:rPr>
              <w:t>000</w:t>
            </w:r>
          </w:p>
        </w:tc>
      </w:tr>
      <w:tr w:rsidR="00CE7533" w:rsidRPr="00A83F00" w14:paraId="7F900592"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05E49148" w14:textId="77777777" w:rsidR="00CE7533" w:rsidRPr="006D389B" w:rsidRDefault="00CE7533"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2CA636C6" w14:textId="27C8997A" w:rsidR="00CE7533" w:rsidRPr="00A83F00" w:rsidRDefault="00CE7533" w:rsidP="008030FA">
            <w:pPr>
              <w:pStyle w:val="Bodyromannumerals"/>
            </w:pPr>
            <w:r w:rsidRPr="00CE7533">
              <w:t xml:space="preserve">Population equivalent subject to improvement of </w:t>
            </w:r>
            <w:r w:rsidR="00D76445">
              <w:t>wastewater</w:t>
            </w:r>
            <w:r w:rsidRPr="00CE7533">
              <w:t xml:space="preserve"> schemes works for </w:t>
            </w:r>
            <w:r w:rsidR="001F1AA4">
              <w:t>levels of service or compliance</w:t>
            </w:r>
            <w:r w:rsidRPr="00CE7533">
              <w:t>.</w:t>
            </w:r>
          </w:p>
        </w:tc>
      </w:tr>
      <w:tr w:rsidR="00CE7533" w:rsidRPr="00A83F00" w14:paraId="762F749A"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32A25B" w14:textId="77777777" w:rsidR="00CE7533" w:rsidRPr="006D389B" w:rsidRDefault="00CE7533"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8B61B0" w14:textId="66592D42" w:rsidR="00CE7533" w:rsidRPr="00A83F00" w:rsidRDefault="00CE7533" w:rsidP="008030FA">
            <w:pPr>
              <w:pStyle w:val="Bodyromannumerals"/>
            </w:pPr>
            <w:r w:rsidRPr="00CE7533">
              <w:t>Input field</w:t>
            </w:r>
          </w:p>
        </w:tc>
      </w:tr>
      <w:tr w:rsidR="00CE7533" w:rsidRPr="006466B5" w14:paraId="2A8D1ECF" w14:textId="77777777" w:rsidTr="008030FA">
        <w:tc>
          <w:tcPr>
            <w:tcW w:w="756" w:type="pct"/>
          </w:tcPr>
          <w:p w14:paraId="09A958E7" w14:textId="3F0C4731" w:rsidR="00CE7533" w:rsidRPr="009254DD" w:rsidRDefault="00CE7533" w:rsidP="00CE7533">
            <w:pPr>
              <w:pStyle w:val="Bodyromannumerals"/>
              <w:rPr>
                <w:b/>
                <w:bCs/>
              </w:rPr>
            </w:pPr>
            <w:r w:rsidRPr="00FB77E7">
              <w:rPr>
                <w:b/>
                <w:bCs/>
              </w:rPr>
              <w:t>C6.6</w:t>
            </w:r>
          </w:p>
        </w:tc>
        <w:tc>
          <w:tcPr>
            <w:tcW w:w="3472" w:type="pct"/>
            <w:gridSpan w:val="2"/>
          </w:tcPr>
          <w:p w14:paraId="40C439E2" w14:textId="5513F020" w:rsidR="00CE7533" w:rsidRPr="009254DD" w:rsidRDefault="00CE7533" w:rsidP="00CE7533">
            <w:pPr>
              <w:pStyle w:val="Bodyromannumerals"/>
              <w:rPr>
                <w:b/>
                <w:bCs/>
                <w:bdr w:val="single" w:sz="4" w:space="0" w:color="auto"/>
              </w:rPr>
            </w:pPr>
            <w:r w:rsidRPr="00FB77E7">
              <w:rPr>
                <w:b/>
                <w:bCs/>
              </w:rPr>
              <w:t>% of total population equivalent subject to improvement works</w:t>
            </w:r>
          </w:p>
        </w:tc>
        <w:tc>
          <w:tcPr>
            <w:tcW w:w="772" w:type="pct"/>
          </w:tcPr>
          <w:p w14:paraId="42ED7422" w14:textId="78EFE6D8" w:rsidR="00CE7533" w:rsidRPr="006466B5" w:rsidRDefault="00CE7533" w:rsidP="00CE7533">
            <w:pPr>
              <w:pStyle w:val="Bodyromannumerals"/>
              <w:rPr>
                <w:b/>
                <w:bdr w:val="single" w:sz="4" w:space="0" w:color="auto"/>
              </w:rPr>
            </w:pPr>
            <w:r w:rsidRPr="00FB77E7">
              <w:rPr>
                <w:b/>
                <w:bCs/>
              </w:rPr>
              <w:t xml:space="preserve">% </w:t>
            </w:r>
          </w:p>
        </w:tc>
      </w:tr>
      <w:tr w:rsidR="00CE7533" w:rsidRPr="00A83F00" w14:paraId="75EFF9E0"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02E3B89B" w14:textId="77777777" w:rsidR="00CE7533" w:rsidRPr="006D389B" w:rsidRDefault="00CE7533"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752DB7C5" w14:textId="73EA0B9C" w:rsidR="00CE7533" w:rsidRPr="00A83F00" w:rsidRDefault="00CE7533" w:rsidP="008030FA">
            <w:pPr>
              <w:pStyle w:val="Bodyromannumerals"/>
            </w:pPr>
            <w:r w:rsidRPr="00CE7533">
              <w:t xml:space="preserve">The population equivalent served by </w:t>
            </w:r>
            <w:r w:rsidR="00D76445">
              <w:t>wastewater</w:t>
            </w:r>
            <w:r w:rsidRPr="00CE7533">
              <w:t xml:space="preserve"> schemes subject to improvement works</w:t>
            </w:r>
            <w:r w:rsidR="001F1AA4">
              <w:t xml:space="preserve"> </w:t>
            </w:r>
            <w:r w:rsidR="001F1AA4" w:rsidRPr="00CE7533">
              <w:t xml:space="preserve">for </w:t>
            </w:r>
            <w:r w:rsidR="001F1AA4">
              <w:t>levels of service or compliance</w:t>
            </w:r>
            <w:r w:rsidRPr="00CE7533">
              <w:t>, as a percentage of the total population equivalent.</w:t>
            </w:r>
          </w:p>
        </w:tc>
      </w:tr>
      <w:tr w:rsidR="00CE7533" w:rsidRPr="00A83F00" w14:paraId="11DD311A"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51FA24" w14:textId="77777777" w:rsidR="00CE7533" w:rsidRPr="006D389B" w:rsidRDefault="00CE7533"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F602FA" w14:textId="062A347E" w:rsidR="00CE7533" w:rsidRPr="00A83F00" w:rsidRDefault="00CE7533" w:rsidP="008030FA">
            <w:pPr>
              <w:pStyle w:val="Bodyromannumerals"/>
            </w:pPr>
            <w:r w:rsidRPr="00CE7533">
              <w:t>Input field</w:t>
            </w:r>
          </w:p>
        </w:tc>
      </w:tr>
    </w:tbl>
    <w:p w14:paraId="73EAA211" w14:textId="566DA002" w:rsidR="00940E3A" w:rsidRPr="009634FB" w:rsidRDefault="00940E3A" w:rsidP="009254DD">
      <w:pPr>
        <w:pStyle w:val="Sectionsub-heading"/>
      </w:pPr>
      <w:r w:rsidRPr="009634FB">
        <w:t xml:space="preserve">BLOCK 2: </w:t>
      </w:r>
      <w:r w:rsidR="003C32C6">
        <w:t>DRIVER</w:t>
      </w:r>
      <w:r w:rsidRPr="009634FB">
        <w:t xml:space="preserve">: </w:t>
      </w:r>
      <w:r w:rsidR="009504BF" w:rsidRPr="009634FB">
        <w:t xml:space="preserve">IMPROVEMENTS TO </w:t>
      </w:r>
      <w:r w:rsidR="009504BF">
        <w:t>P</w:t>
      </w:r>
      <w:r w:rsidR="009504BF" w:rsidRPr="009634FB">
        <w:t xml:space="preserve">OOR OR </w:t>
      </w:r>
      <w:r w:rsidR="009504BF">
        <w:t>S</w:t>
      </w:r>
      <w:r w:rsidR="009504BF" w:rsidRPr="009634FB">
        <w:t xml:space="preserve">ERIOUSLY </w:t>
      </w:r>
      <w:r w:rsidR="009504BF">
        <w:t>P</w:t>
      </w:r>
      <w:r w:rsidR="009504BF" w:rsidRPr="009634FB">
        <w:t xml:space="preserve">OLLUTED </w:t>
      </w:r>
      <w:r w:rsidR="009504BF">
        <w:t>W</w:t>
      </w:r>
      <w:r w:rsidR="009504BF" w:rsidRPr="009634FB">
        <w:t>ATERS</w:t>
      </w:r>
      <w:r w:rsidR="009504BF">
        <w:t xml:space="preserve"> (SWIMMABLE WATERS)</w:t>
      </w:r>
    </w:p>
    <w:p w14:paraId="0B58590B" w14:textId="1F6F2264" w:rsidR="00940E3A" w:rsidRDefault="009504BF" w:rsidP="009252D3">
      <w:pPr>
        <w:pStyle w:val="Bodysub-heading2"/>
      </w:pPr>
      <w:r>
        <w:t>Wastewater</w:t>
      </w:r>
      <w:r w:rsidRPr="00CE7533">
        <w:t xml:space="preserve"> treatment </w:t>
      </w:r>
      <w:r>
        <w:t>plants</w:t>
      </w:r>
      <w:r w:rsidR="00E44E72" w:rsidRPr="00CE7533">
        <w:t xml:space="preserve"> </w:t>
      </w:r>
      <w:r w:rsidRPr="00CE7533">
        <w:t>discharge improvements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A05025" w:rsidRPr="006466B5" w14:paraId="10F4F0A8" w14:textId="77777777" w:rsidTr="008030FA">
        <w:tc>
          <w:tcPr>
            <w:tcW w:w="756" w:type="pct"/>
          </w:tcPr>
          <w:p w14:paraId="681C0A03" w14:textId="0227BD65" w:rsidR="00A05025" w:rsidRPr="009254DD" w:rsidRDefault="00A05025" w:rsidP="00A05025">
            <w:pPr>
              <w:pStyle w:val="Bodyromannumerals"/>
              <w:rPr>
                <w:b/>
                <w:bCs/>
              </w:rPr>
            </w:pPr>
            <w:r w:rsidRPr="001F152D">
              <w:rPr>
                <w:b/>
                <w:bCs/>
              </w:rPr>
              <w:t>C6.7</w:t>
            </w:r>
          </w:p>
        </w:tc>
        <w:tc>
          <w:tcPr>
            <w:tcW w:w="3472" w:type="pct"/>
            <w:gridSpan w:val="2"/>
          </w:tcPr>
          <w:p w14:paraId="16B8F946" w14:textId="75807C77" w:rsidR="00A05025" w:rsidRPr="009254DD" w:rsidRDefault="00A05025" w:rsidP="00A05025">
            <w:pPr>
              <w:pStyle w:val="Bodyromannumerals"/>
              <w:rPr>
                <w:b/>
                <w:bCs/>
                <w:bdr w:val="single" w:sz="4" w:space="0" w:color="auto"/>
              </w:rPr>
            </w:pPr>
            <w:r w:rsidRPr="001F152D">
              <w:rPr>
                <w:b/>
                <w:bCs/>
              </w:rPr>
              <w:t xml:space="preserve">Total number of </w:t>
            </w:r>
            <w:r w:rsidR="00673DB6">
              <w:rPr>
                <w:b/>
                <w:bCs/>
              </w:rPr>
              <w:t>waste</w:t>
            </w:r>
            <w:r w:rsidR="00083423">
              <w:rPr>
                <w:b/>
                <w:bCs/>
              </w:rPr>
              <w:t>water</w:t>
            </w:r>
            <w:r w:rsidRPr="001F152D">
              <w:rPr>
                <w:b/>
                <w:bCs/>
              </w:rPr>
              <w:t xml:space="preserve"> treatment </w:t>
            </w:r>
            <w:r w:rsidR="00E44E72">
              <w:rPr>
                <w:b/>
                <w:bCs/>
              </w:rPr>
              <w:t>plants</w:t>
            </w:r>
            <w:r w:rsidR="00E44E72" w:rsidRPr="001F152D">
              <w:rPr>
                <w:b/>
                <w:bCs/>
              </w:rPr>
              <w:t xml:space="preserve"> </w:t>
            </w:r>
            <w:r w:rsidRPr="001F152D">
              <w:rPr>
                <w:b/>
                <w:bCs/>
              </w:rPr>
              <w:t>subject to improvement works</w:t>
            </w:r>
          </w:p>
        </w:tc>
        <w:tc>
          <w:tcPr>
            <w:tcW w:w="772" w:type="pct"/>
          </w:tcPr>
          <w:p w14:paraId="513FA049" w14:textId="1F23B825" w:rsidR="00A05025" w:rsidRPr="006466B5" w:rsidRDefault="00A05025" w:rsidP="00A05025">
            <w:pPr>
              <w:pStyle w:val="Bodyromannumerals"/>
              <w:rPr>
                <w:b/>
                <w:bdr w:val="single" w:sz="4" w:space="0" w:color="auto"/>
              </w:rPr>
            </w:pPr>
            <w:r w:rsidRPr="001F152D">
              <w:rPr>
                <w:b/>
                <w:bCs/>
              </w:rPr>
              <w:t>Nr.</w:t>
            </w:r>
          </w:p>
        </w:tc>
      </w:tr>
      <w:tr w:rsidR="00A05025" w:rsidRPr="00A83F00" w14:paraId="10EC006F"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1FC1123C" w14:textId="77777777" w:rsidR="00A05025" w:rsidRPr="006D389B" w:rsidRDefault="00A05025"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4CE539EC" w14:textId="26B03B4A" w:rsidR="00A05025" w:rsidRPr="00A83F00" w:rsidRDefault="00A05025" w:rsidP="008030FA">
            <w:pPr>
              <w:pStyle w:val="Bodyromannumerals"/>
            </w:pPr>
            <w:r w:rsidRPr="00A05025">
              <w:t xml:space="preserve">The total number of </w:t>
            </w:r>
            <w:r w:rsidR="00673DB6">
              <w:t>waste</w:t>
            </w:r>
            <w:r w:rsidR="00083423">
              <w:t>water</w:t>
            </w:r>
            <w:r w:rsidRPr="00A05025">
              <w:t xml:space="preserve"> treatment </w:t>
            </w:r>
            <w:r w:rsidR="00E44E72">
              <w:t>plants</w:t>
            </w:r>
            <w:r w:rsidR="00E44E72" w:rsidRPr="00A05025">
              <w:t xml:space="preserve"> </w:t>
            </w:r>
            <w:r w:rsidRPr="00A05025">
              <w:t>subject to improvement works for poor or seriously polluted waters.</w:t>
            </w:r>
          </w:p>
        </w:tc>
      </w:tr>
      <w:tr w:rsidR="00A05025" w:rsidRPr="00A83F00" w14:paraId="46C3B834"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D952CD" w14:textId="77777777" w:rsidR="00A05025" w:rsidRPr="006D389B" w:rsidRDefault="00A05025"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4A7051" w14:textId="59B5EC42" w:rsidR="00A05025" w:rsidRPr="00A83F00" w:rsidRDefault="00A05025" w:rsidP="008030FA">
            <w:pPr>
              <w:pStyle w:val="Bodyromannumerals"/>
            </w:pPr>
            <w:r w:rsidRPr="00A05025">
              <w:t>Input field</w:t>
            </w:r>
          </w:p>
        </w:tc>
      </w:tr>
      <w:tr w:rsidR="00A05025" w:rsidRPr="006466B5" w14:paraId="1305F317" w14:textId="77777777" w:rsidTr="008030FA">
        <w:tc>
          <w:tcPr>
            <w:tcW w:w="756" w:type="pct"/>
          </w:tcPr>
          <w:p w14:paraId="5D7E887E" w14:textId="78B25A2B" w:rsidR="00A05025" w:rsidRPr="009254DD" w:rsidRDefault="00A05025" w:rsidP="00A05025">
            <w:pPr>
              <w:pStyle w:val="Bodyromannumerals"/>
              <w:rPr>
                <w:b/>
                <w:bCs/>
              </w:rPr>
            </w:pPr>
            <w:r w:rsidRPr="001F152D">
              <w:rPr>
                <w:b/>
                <w:bCs/>
              </w:rPr>
              <w:t>C6.8</w:t>
            </w:r>
          </w:p>
        </w:tc>
        <w:tc>
          <w:tcPr>
            <w:tcW w:w="3472" w:type="pct"/>
            <w:gridSpan w:val="2"/>
          </w:tcPr>
          <w:p w14:paraId="5A472F4D" w14:textId="6D3A17D5" w:rsidR="00A05025" w:rsidRPr="009254DD" w:rsidRDefault="00A05025" w:rsidP="00A05025">
            <w:pPr>
              <w:pStyle w:val="Bodyromannumerals"/>
              <w:rPr>
                <w:b/>
                <w:bCs/>
                <w:bdr w:val="single" w:sz="4" w:space="0" w:color="auto"/>
              </w:rPr>
            </w:pPr>
            <w:r w:rsidRPr="001F152D">
              <w:rPr>
                <w:b/>
                <w:bCs/>
              </w:rPr>
              <w:t>Population equivalent subject to improvement works</w:t>
            </w:r>
          </w:p>
        </w:tc>
        <w:tc>
          <w:tcPr>
            <w:tcW w:w="772" w:type="pct"/>
          </w:tcPr>
          <w:p w14:paraId="77EE7B87" w14:textId="68B13C17" w:rsidR="00A05025" w:rsidRPr="006466B5" w:rsidRDefault="00A05025" w:rsidP="00A05025">
            <w:pPr>
              <w:pStyle w:val="Bodyromannumerals"/>
              <w:rPr>
                <w:b/>
                <w:bdr w:val="single" w:sz="4" w:space="0" w:color="auto"/>
              </w:rPr>
            </w:pPr>
            <w:r w:rsidRPr="001F152D">
              <w:rPr>
                <w:b/>
                <w:bCs/>
              </w:rPr>
              <w:t>000</w:t>
            </w:r>
          </w:p>
        </w:tc>
      </w:tr>
      <w:tr w:rsidR="00A05025" w:rsidRPr="00A83F00" w14:paraId="4DAC68A6"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664B755F" w14:textId="77777777" w:rsidR="00A05025" w:rsidRPr="006D389B" w:rsidRDefault="00A05025"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77E2AA4E" w14:textId="7C51E876" w:rsidR="00A05025" w:rsidRPr="00A83F00" w:rsidRDefault="00A05025" w:rsidP="008030FA">
            <w:pPr>
              <w:pStyle w:val="Bodyromannumerals"/>
            </w:pPr>
            <w:r w:rsidRPr="00A05025">
              <w:t xml:space="preserve">Population equivalent subject to improvement of </w:t>
            </w:r>
            <w:r w:rsidR="00673DB6">
              <w:t>waste</w:t>
            </w:r>
            <w:r w:rsidR="00083423">
              <w:t>water</w:t>
            </w:r>
            <w:r w:rsidRPr="00A05025">
              <w:t xml:space="preserve"> treatment </w:t>
            </w:r>
            <w:r w:rsidR="00AB26EA">
              <w:t>plants</w:t>
            </w:r>
            <w:r w:rsidR="00AB26EA" w:rsidRPr="00A05025">
              <w:t xml:space="preserve"> </w:t>
            </w:r>
            <w:r w:rsidRPr="00A05025">
              <w:t>for poor or seriously polluted waters</w:t>
            </w:r>
            <w:r>
              <w:t>.</w:t>
            </w:r>
          </w:p>
        </w:tc>
      </w:tr>
      <w:tr w:rsidR="00A05025" w:rsidRPr="00A83F00" w14:paraId="2EB2576C"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377AF3" w14:textId="77777777" w:rsidR="00A05025" w:rsidRPr="006D389B" w:rsidRDefault="00A05025"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74A387" w14:textId="18CFFB8A" w:rsidR="00A05025" w:rsidRPr="00A83F00" w:rsidRDefault="00A05025" w:rsidP="008030FA">
            <w:pPr>
              <w:pStyle w:val="Bodyromannumerals"/>
            </w:pPr>
            <w:r w:rsidRPr="00A05025">
              <w:t>Input field</w:t>
            </w:r>
          </w:p>
        </w:tc>
      </w:tr>
    </w:tbl>
    <w:p w14:paraId="3EA9367E" w14:textId="77777777" w:rsidR="00B30600" w:rsidRDefault="00B3060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A05025" w:rsidRPr="006466B5" w14:paraId="19BA0F50" w14:textId="77777777" w:rsidTr="008030FA">
        <w:tc>
          <w:tcPr>
            <w:tcW w:w="756" w:type="pct"/>
          </w:tcPr>
          <w:p w14:paraId="0AD09AF0" w14:textId="0AE99942" w:rsidR="00A05025" w:rsidRPr="009254DD" w:rsidRDefault="00A05025" w:rsidP="00A05025">
            <w:pPr>
              <w:pStyle w:val="Bodyromannumerals"/>
              <w:rPr>
                <w:b/>
                <w:bCs/>
              </w:rPr>
            </w:pPr>
            <w:r w:rsidRPr="001F152D">
              <w:rPr>
                <w:b/>
                <w:bCs/>
              </w:rPr>
              <w:t>C6.9</w:t>
            </w:r>
          </w:p>
        </w:tc>
        <w:tc>
          <w:tcPr>
            <w:tcW w:w="3472" w:type="pct"/>
            <w:gridSpan w:val="2"/>
          </w:tcPr>
          <w:p w14:paraId="7FD48E59" w14:textId="3E05CC9F" w:rsidR="00A05025" w:rsidRPr="009254DD" w:rsidRDefault="00A05025" w:rsidP="00A05025">
            <w:pPr>
              <w:pStyle w:val="Bodyromannumerals"/>
              <w:rPr>
                <w:b/>
                <w:bCs/>
                <w:bdr w:val="single" w:sz="4" w:space="0" w:color="auto"/>
              </w:rPr>
            </w:pPr>
            <w:r w:rsidRPr="001F152D">
              <w:rPr>
                <w:b/>
                <w:bCs/>
              </w:rPr>
              <w:t>% of total population equivalent subject to improvement works</w:t>
            </w:r>
          </w:p>
        </w:tc>
        <w:tc>
          <w:tcPr>
            <w:tcW w:w="772" w:type="pct"/>
          </w:tcPr>
          <w:p w14:paraId="1865F022" w14:textId="7F87B584" w:rsidR="00A05025" w:rsidRPr="006466B5" w:rsidRDefault="00A05025" w:rsidP="00A05025">
            <w:pPr>
              <w:pStyle w:val="Bodyromannumerals"/>
              <w:rPr>
                <w:b/>
                <w:bdr w:val="single" w:sz="4" w:space="0" w:color="auto"/>
              </w:rPr>
            </w:pPr>
            <w:r w:rsidRPr="001F152D">
              <w:rPr>
                <w:b/>
                <w:bCs/>
              </w:rPr>
              <w:t xml:space="preserve">% </w:t>
            </w:r>
          </w:p>
        </w:tc>
      </w:tr>
      <w:tr w:rsidR="00A05025" w:rsidRPr="00A83F00" w14:paraId="7CCA3B75"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11EA2411" w14:textId="77777777" w:rsidR="00A05025" w:rsidRPr="006D389B" w:rsidRDefault="00A05025"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5E7655E6" w14:textId="2DC3B65D" w:rsidR="00A05025" w:rsidRPr="00A83F00" w:rsidRDefault="00A05025" w:rsidP="008030FA">
            <w:pPr>
              <w:pStyle w:val="Bodyromannumerals"/>
            </w:pPr>
            <w:r w:rsidRPr="00A05025">
              <w:t xml:space="preserve">The population equivalent sorted by </w:t>
            </w:r>
            <w:r w:rsidR="00673DB6">
              <w:t>waste</w:t>
            </w:r>
            <w:r w:rsidR="00083423">
              <w:t>water</w:t>
            </w:r>
            <w:r w:rsidRPr="00A05025">
              <w:t xml:space="preserve"> treatment </w:t>
            </w:r>
            <w:r w:rsidR="00AB26EA">
              <w:t>plants</w:t>
            </w:r>
            <w:r w:rsidR="00AB26EA" w:rsidRPr="00A05025">
              <w:t xml:space="preserve"> </w:t>
            </w:r>
            <w:r w:rsidRPr="00A05025">
              <w:t>subject to improvement as a percentage of the total population equivalent.</w:t>
            </w:r>
          </w:p>
        </w:tc>
      </w:tr>
      <w:tr w:rsidR="00A05025" w:rsidRPr="00A83F00" w14:paraId="11D2E80E"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57EEB6" w14:textId="77777777" w:rsidR="00A05025" w:rsidRPr="006D389B" w:rsidRDefault="00A05025"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6DBC05" w14:textId="18BD5919" w:rsidR="00A05025" w:rsidRPr="00A83F00" w:rsidRDefault="00A05025" w:rsidP="008030FA">
            <w:pPr>
              <w:pStyle w:val="Bodyromannumerals"/>
            </w:pPr>
            <w:r w:rsidRPr="00A05025">
              <w:t>Input field</w:t>
            </w:r>
          </w:p>
        </w:tc>
      </w:tr>
    </w:tbl>
    <w:p w14:paraId="281895EC" w14:textId="021936ED" w:rsidR="00940E3A" w:rsidRDefault="00B151F9" w:rsidP="009252D3">
      <w:pPr>
        <w:pStyle w:val="Bodysub-heading2"/>
      </w:pPr>
      <w:r>
        <w:t xml:space="preserve">Discharges from </w:t>
      </w:r>
      <w:r w:rsidR="00794E27">
        <w:t>Combined Sewer Overflow</w:t>
      </w:r>
      <w:r w:rsidR="00F5163C">
        <w:t xml:space="preserve"> (</w:t>
      </w:r>
      <w:r w:rsidR="009504BF" w:rsidRPr="00A05025">
        <w:t>C</w:t>
      </w:r>
      <w:r w:rsidR="00794E27">
        <w:t>SO</w:t>
      </w:r>
      <w:r w:rsidR="00F5163C">
        <w:t>)</w:t>
      </w:r>
      <w:r w:rsidR="009504BF" w:rsidRPr="00A05025">
        <w:t xml:space="preserve"> </w:t>
      </w:r>
      <w:r w:rsidR="009F1E62">
        <w:t>and</w:t>
      </w:r>
      <w:r>
        <w:t xml:space="preserve"> Stormwater Systems Improvements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A05025" w:rsidRPr="006466B5" w14:paraId="51256B1F" w14:textId="77777777" w:rsidTr="008030FA">
        <w:tc>
          <w:tcPr>
            <w:tcW w:w="756" w:type="pct"/>
          </w:tcPr>
          <w:p w14:paraId="1CE27FA6" w14:textId="2F610B2A" w:rsidR="00A05025" w:rsidRPr="009254DD" w:rsidRDefault="00A05025" w:rsidP="00A05025">
            <w:pPr>
              <w:pStyle w:val="Bodyromannumerals"/>
              <w:rPr>
                <w:b/>
                <w:bCs/>
              </w:rPr>
            </w:pPr>
            <w:r w:rsidRPr="0097452A">
              <w:rPr>
                <w:b/>
                <w:bCs/>
              </w:rPr>
              <w:t>C6.10</w:t>
            </w:r>
          </w:p>
        </w:tc>
        <w:tc>
          <w:tcPr>
            <w:tcW w:w="3472" w:type="pct"/>
            <w:gridSpan w:val="2"/>
          </w:tcPr>
          <w:p w14:paraId="3847B1D6" w14:textId="26E4C609" w:rsidR="00A05025" w:rsidRPr="009254DD" w:rsidRDefault="00A05025" w:rsidP="00A05025">
            <w:pPr>
              <w:pStyle w:val="Bodyromannumerals"/>
              <w:rPr>
                <w:b/>
                <w:bCs/>
                <w:bdr w:val="single" w:sz="4" w:space="0" w:color="auto"/>
              </w:rPr>
            </w:pPr>
            <w:r w:rsidRPr="0097452A">
              <w:rPr>
                <w:b/>
                <w:bCs/>
              </w:rPr>
              <w:t xml:space="preserve">Total number of CSOs </w:t>
            </w:r>
            <w:r w:rsidR="0074007A">
              <w:rPr>
                <w:b/>
                <w:bCs/>
              </w:rPr>
              <w:t>and</w:t>
            </w:r>
            <w:r w:rsidR="00794E27">
              <w:rPr>
                <w:b/>
                <w:bCs/>
              </w:rPr>
              <w:t xml:space="preserve"> stormwater systems </w:t>
            </w:r>
            <w:r w:rsidRPr="0097452A">
              <w:rPr>
                <w:b/>
                <w:bCs/>
              </w:rPr>
              <w:t>subject to improvement works</w:t>
            </w:r>
          </w:p>
        </w:tc>
        <w:tc>
          <w:tcPr>
            <w:tcW w:w="772" w:type="pct"/>
          </w:tcPr>
          <w:p w14:paraId="317E30DD" w14:textId="53586156" w:rsidR="00A05025" w:rsidRPr="006466B5" w:rsidRDefault="00A05025" w:rsidP="00A05025">
            <w:pPr>
              <w:pStyle w:val="Bodyromannumerals"/>
              <w:rPr>
                <w:b/>
                <w:bdr w:val="single" w:sz="4" w:space="0" w:color="auto"/>
              </w:rPr>
            </w:pPr>
            <w:r w:rsidRPr="0097452A">
              <w:rPr>
                <w:b/>
                <w:bCs/>
              </w:rPr>
              <w:t>Nr.</w:t>
            </w:r>
          </w:p>
        </w:tc>
      </w:tr>
      <w:tr w:rsidR="00A05025" w:rsidRPr="00A83F00" w14:paraId="7B8DCC55"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238B6020" w14:textId="77777777" w:rsidR="00A05025" w:rsidRPr="006D389B" w:rsidRDefault="00A05025"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34F379A0" w14:textId="14C873D4" w:rsidR="00A05025" w:rsidRPr="00A83F00" w:rsidRDefault="00A05025" w:rsidP="008030FA">
            <w:pPr>
              <w:pStyle w:val="Bodyromannumerals"/>
            </w:pPr>
            <w:r w:rsidRPr="00A05025">
              <w:t>The total number of CSOs</w:t>
            </w:r>
            <w:r w:rsidR="00A66EB1">
              <w:t xml:space="preserve"> </w:t>
            </w:r>
            <w:r w:rsidR="0074007A">
              <w:t xml:space="preserve">and </w:t>
            </w:r>
            <w:r w:rsidR="00A66EB1">
              <w:t>stormwater systems</w:t>
            </w:r>
            <w:r w:rsidRPr="00A05025">
              <w:t xml:space="preserve"> subject to improvement works for </w:t>
            </w:r>
            <w:r w:rsidR="003C32C6" w:rsidRPr="00A05025">
              <w:t>poor or seriously polluted waters</w:t>
            </w:r>
            <w:r w:rsidRPr="00A05025">
              <w:t>.</w:t>
            </w:r>
            <w:r w:rsidR="005C0281">
              <w:t xml:space="preserve"> For the avoidance of doubt, these </w:t>
            </w:r>
            <w:r w:rsidR="00A66EB1">
              <w:t xml:space="preserve">include </w:t>
            </w:r>
            <w:r w:rsidR="00FC7D37">
              <w:t xml:space="preserve">discharges from </w:t>
            </w:r>
            <w:r w:rsidR="004F3EA7">
              <w:t xml:space="preserve">engineered combined </w:t>
            </w:r>
            <w:r w:rsidR="006112CA">
              <w:t>sewer</w:t>
            </w:r>
            <w:r w:rsidR="00FC7D37">
              <w:t>s</w:t>
            </w:r>
            <w:r w:rsidR="000570DB">
              <w:t xml:space="preserve"> (wastewater and stormwater)</w:t>
            </w:r>
            <w:r w:rsidR="006730AC">
              <w:t xml:space="preserve">. </w:t>
            </w:r>
          </w:p>
        </w:tc>
      </w:tr>
      <w:tr w:rsidR="00A05025" w:rsidRPr="00A83F00" w14:paraId="50F5196B"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E4D796" w14:textId="77777777" w:rsidR="00A05025" w:rsidRPr="006D389B" w:rsidRDefault="00A05025"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2F4EF7" w14:textId="41083924" w:rsidR="00A05025" w:rsidRPr="00A83F00" w:rsidRDefault="00A05025" w:rsidP="008030FA">
            <w:pPr>
              <w:pStyle w:val="Bodyromannumerals"/>
            </w:pPr>
            <w:r w:rsidRPr="00A05025">
              <w:t>Input field</w:t>
            </w:r>
          </w:p>
        </w:tc>
      </w:tr>
    </w:tbl>
    <w:p w14:paraId="529A4743" w14:textId="691047BB" w:rsidR="00940E3A" w:rsidRPr="00A05025" w:rsidRDefault="00A66EB1" w:rsidP="009252D3">
      <w:pPr>
        <w:pStyle w:val="Bodysub-heading2"/>
      </w:pPr>
      <w:r>
        <w:t xml:space="preserve">CSO </w:t>
      </w:r>
      <w:r w:rsidR="0074007A">
        <w:t>and</w:t>
      </w:r>
      <w:r>
        <w:t xml:space="preserve"> </w:t>
      </w:r>
      <w:r w:rsidR="00F313E7">
        <w:t>Storm</w:t>
      </w:r>
      <w:r w:rsidR="009504BF" w:rsidRPr="00A05025">
        <w:t xml:space="preserve">water discharges/industrial </w:t>
      </w:r>
      <w:r w:rsidR="009504BF">
        <w:t>zones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A05025" w:rsidRPr="006466B5" w14:paraId="0ED49F4E" w14:textId="77777777" w:rsidTr="008030FA">
        <w:tc>
          <w:tcPr>
            <w:tcW w:w="756" w:type="pct"/>
          </w:tcPr>
          <w:p w14:paraId="483AC73B" w14:textId="5469A904" w:rsidR="00A05025" w:rsidRPr="009254DD" w:rsidRDefault="00A05025" w:rsidP="00A05025">
            <w:pPr>
              <w:pStyle w:val="Bodyromannumerals"/>
              <w:rPr>
                <w:b/>
                <w:bCs/>
              </w:rPr>
            </w:pPr>
            <w:r w:rsidRPr="0097452A">
              <w:rPr>
                <w:b/>
                <w:bCs/>
              </w:rPr>
              <w:t>C6.11</w:t>
            </w:r>
          </w:p>
        </w:tc>
        <w:tc>
          <w:tcPr>
            <w:tcW w:w="3472" w:type="pct"/>
            <w:gridSpan w:val="2"/>
          </w:tcPr>
          <w:p w14:paraId="11F9F888" w14:textId="7485CF13" w:rsidR="00A05025" w:rsidRPr="009254DD" w:rsidRDefault="00A05025" w:rsidP="00A05025">
            <w:pPr>
              <w:pStyle w:val="Bodyromannumerals"/>
              <w:rPr>
                <w:b/>
                <w:bCs/>
                <w:bdr w:val="single" w:sz="4" w:space="0" w:color="auto"/>
              </w:rPr>
            </w:pPr>
            <w:r w:rsidRPr="0097452A">
              <w:rPr>
                <w:b/>
                <w:bCs/>
              </w:rPr>
              <w:t>Total number of discharges subject to improvement works</w:t>
            </w:r>
          </w:p>
        </w:tc>
        <w:tc>
          <w:tcPr>
            <w:tcW w:w="772" w:type="pct"/>
          </w:tcPr>
          <w:p w14:paraId="3DC02191" w14:textId="4C65F6D3" w:rsidR="00A05025" w:rsidRPr="006466B5" w:rsidRDefault="00A05025" w:rsidP="00A05025">
            <w:pPr>
              <w:pStyle w:val="Bodyromannumerals"/>
              <w:rPr>
                <w:b/>
                <w:bdr w:val="single" w:sz="4" w:space="0" w:color="auto"/>
              </w:rPr>
            </w:pPr>
            <w:r w:rsidRPr="0097452A">
              <w:rPr>
                <w:b/>
                <w:bCs/>
              </w:rPr>
              <w:t>Nr.</w:t>
            </w:r>
          </w:p>
        </w:tc>
      </w:tr>
      <w:tr w:rsidR="00A05025" w:rsidRPr="00A83F00" w14:paraId="30A8D87D"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0DF02ED5" w14:textId="77777777" w:rsidR="00A05025" w:rsidRPr="006D389B" w:rsidRDefault="00A05025"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52415D65" w14:textId="309CC838" w:rsidR="00A05025" w:rsidRPr="00A83F00" w:rsidRDefault="00A05025" w:rsidP="008030FA">
            <w:pPr>
              <w:pStyle w:val="Bodyromannumerals"/>
            </w:pPr>
            <w:r w:rsidRPr="00A05025">
              <w:t xml:space="preserve">The total number of </w:t>
            </w:r>
            <w:r w:rsidR="00A66EB1">
              <w:t xml:space="preserve">CSO </w:t>
            </w:r>
            <w:r w:rsidR="0074007A">
              <w:t>and</w:t>
            </w:r>
            <w:r w:rsidR="00A66EB1">
              <w:t xml:space="preserve"> </w:t>
            </w:r>
            <w:r w:rsidR="00CD4787" w:rsidRPr="00A05025">
              <w:t>s</w:t>
            </w:r>
            <w:r w:rsidR="00CD4787">
              <w:t>torm</w:t>
            </w:r>
            <w:r w:rsidRPr="00A05025">
              <w:t xml:space="preserve">water discharges/industrial estates subject to improvement works for </w:t>
            </w:r>
            <w:r w:rsidR="003C32C6" w:rsidRPr="00A05025">
              <w:t>poor or seriously polluted waters</w:t>
            </w:r>
            <w:r w:rsidRPr="009320E8">
              <w:t>.</w:t>
            </w:r>
            <w:r w:rsidR="009320E8" w:rsidRPr="009320E8">
              <w:t xml:space="preserve"> For the avoidance of doubt, these cover </w:t>
            </w:r>
            <w:proofErr w:type="spellStart"/>
            <w:r w:rsidR="009320E8" w:rsidRPr="007013F6">
              <w:t>Tradewaste</w:t>
            </w:r>
            <w:proofErr w:type="spellEnd"/>
            <w:r w:rsidR="009320E8" w:rsidRPr="007013F6">
              <w:t xml:space="preserve"> industrial discharges that are directly to a receiving environment</w:t>
            </w:r>
            <w:r w:rsidR="009320E8" w:rsidRPr="009320E8">
              <w:t xml:space="preserve"> and industrial</w:t>
            </w:r>
            <w:r w:rsidR="009320E8">
              <w:t>/environmental stormwater discharge.</w:t>
            </w:r>
          </w:p>
        </w:tc>
      </w:tr>
      <w:tr w:rsidR="00A05025" w:rsidRPr="00A83F00" w14:paraId="154E9A8F"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86035C" w14:textId="77777777" w:rsidR="00A05025" w:rsidRPr="006D389B" w:rsidRDefault="00A05025"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3BB2FF" w14:textId="77777777" w:rsidR="00A05025" w:rsidRPr="00A83F00" w:rsidRDefault="00A05025" w:rsidP="008030FA">
            <w:pPr>
              <w:pStyle w:val="Bodyromannumerals"/>
            </w:pPr>
            <w:r w:rsidRPr="00CE7533">
              <w:t>Input field</w:t>
            </w:r>
          </w:p>
        </w:tc>
      </w:tr>
      <w:tr w:rsidR="00A05025" w:rsidRPr="006466B5" w14:paraId="273B3F1C" w14:textId="77777777" w:rsidTr="008030FA">
        <w:tc>
          <w:tcPr>
            <w:tcW w:w="756" w:type="pct"/>
          </w:tcPr>
          <w:p w14:paraId="038C2317" w14:textId="766BC05F" w:rsidR="00A05025" w:rsidRPr="009254DD" w:rsidRDefault="00A05025" w:rsidP="00A05025">
            <w:pPr>
              <w:pStyle w:val="Bodyromannumerals"/>
              <w:rPr>
                <w:b/>
                <w:bCs/>
              </w:rPr>
            </w:pPr>
            <w:r w:rsidRPr="0097452A">
              <w:rPr>
                <w:b/>
                <w:bCs/>
              </w:rPr>
              <w:t>C6.12</w:t>
            </w:r>
          </w:p>
        </w:tc>
        <w:tc>
          <w:tcPr>
            <w:tcW w:w="3472" w:type="pct"/>
            <w:gridSpan w:val="2"/>
          </w:tcPr>
          <w:p w14:paraId="322AD33E" w14:textId="1EC0058F" w:rsidR="00A05025" w:rsidRPr="009254DD" w:rsidRDefault="00A05025" w:rsidP="00A05025">
            <w:pPr>
              <w:pStyle w:val="Bodyromannumerals"/>
              <w:rPr>
                <w:b/>
                <w:bCs/>
                <w:bdr w:val="single" w:sz="4" w:space="0" w:color="auto"/>
              </w:rPr>
            </w:pPr>
            <w:r w:rsidRPr="0097452A">
              <w:rPr>
                <w:b/>
                <w:bCs/>
              </w:rPr>
              <w:t>Population equivalent subject to improvement works</w:t>
            </w:r>
          </w:p>
        </w:tc>
        <w:tc>
          <w:tcPr>
            <w:tcW w:w="772" w:type="pct"/>
          </w:tcPr>
          <w:p w14:paraId="2FF6B99B" w14:textId="47A1FAF7" w:rsidR="00A05025" w:rsidRPr="006466B5" w:rsidRDefault="00A05025" w:rsidP="00A05025">
            <w:pPr>
              <w:pStyle w:val="Bodyromannumerals"/>
              <w:rPr>
                <w:b/>
                <w:bdr w:val="single" w:sz="4" w:space="0" w:color="auto"/>
              </w:rPr>
            </w:pPr>
            <w:r w:rsidRPr="0097452A">
              <w:rPr>
                <w:b/>
                <w:bCs/>
              </w:rPr>
              <w:t>000</w:t>
            </w:r>
          </w:p>
        </w:tc>
      </w:tr>
      <w:tr w:rsidR="00A05025" w:rsidRPr="00A83F00" w14:paraId="43DB5E2C"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26F0D9CF" w14:textId="77777777" w:rsidR="00A05025" w:rsidRPr="006D389B" w:rsidRDefault="00A05025"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00E09C5D" w14:textId="09B9ECC8" w:rsidR="00A05025" w:rsidRPr="00A83F00" w:rsidRDefault="00A05025" w:rsidP="008030FA">
            <w:pPr>
              <w:pStyle w:val="Bodyromannumerals"/>
            </w:pPr>
            <w:r w:rsidRPr="00A05025">
              <w:t xml:space="preserve">Population equivalent subject to improvement of </w:t>
            </w:r>
            <w:r w:rsidR="00280BEB">
              <w:t>CSO</w:t>
            </w:r>
            <w:r w:rsidR="0074007A">
              <w:t xml:space="preserve"> and</w:t>
            </w:r>
            <w:r w:rsidR="00280BEB">
              <w:t xml:space="preserve"> </w:t>
            </w:r>
            <w:r w:rsidR="00CD4787">
              <w:t>storm</w:t>
            </w:r>
            <w:r w:rsidRPr="00A05025">
              <w:t xml:space="preserve">water discharges/industrial </w:t>
            </w:r>
            <w:r w:rsidR="000011BB">
              <w:t>zones</w:t>
            </w:r>
            <w:r w:rsidR="000011BB" w:rsidRPr="00A05025">
              <w:t xml:space="preserve"> </w:t>
            </w:r>
            <w:r w:rsidRPr="00A05025">
              <w:t xml:space="preserve">for </w:t>
            </w:r>
            <w:r w:rsidR="003C32C6" w:rsidRPr="00A05025">
              <w:t>poor or seriously polluted waters</w:t>
            </w:r>
            <w:r w:rsidRPr="00A05025">
              <w:t>.</w:t>
            </w:r>
            <w:r w:rsidR="00AD5847">
              <w:t xml:space="preserve"> </w:t>
            </w:r>
            <w:r w:rsidR="00AD5847" w:rsidRPr="009320E8">
              <w:t xml:space="preserve">For the avoidance of doubt, these cover </w:t>
            </w:r>
            <w:proofErr w:type="spellStart"/>
            <w:r w:rsidR="00AD5847" w:rsidRPr="00A11CFF">
              <w:t>Tradewaste</w:t>
            </w:r>
            <w:proofErr w:type="spellEnd"/>
            <w:r w:rsidR="00AD5847" w:rsidRPr="00A11CFF">
              <w:t xml:space="preserve"> industrial discharges that are directly to a receiving environment</w:t>
            </w:r>
            <w:r w:rsidR="00AD5847" w:rsidRPr="009320E8">
              <w:t xml:space="preserve"> and industrial</w:t>
            </w:r>
            <w:r w:rsidR="00AD5847">
              <w:t>/environmental stormwater discharge.</w:t>
            </w:r>
          </w:p>
        </w:tc>
      </w:tr>
      <w:tr w:rsidR="00A05025" w:rsidRPr="00A83F00" w14:paraId="09A5447A"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B89547" w14:textId="77777777" w:rsidR="00A05025" w:rsidRPr="006D389B" w:rsidRDefault="00A05025"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439B30" w14:textId="77777777" w:rsidR="00A05025" w:rsidRPr="00A83F00" w:rsidRDefault="00A05025" w:rsidP="008030FA">
            <w:pPr>
              <w:pStyle w:val="Bodyromannumerals"/>
            </w:pPr>
            <w:r w:rsidRPr="00CE7533">
              <w:t>Input field</w:t>
            </w:r>
          </w:p>
        </w:tc>
      </w:tr>
    </w:tbl>
    <w:p w14:paraId="53882507" w14:textId="77777777" w:rsidR="008A7980" w:rsidRDefault="008A798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A05025" w:rsidRPr="006466B5" w14:paraId="1330C34A" w14:textId="77777777" w:rsidTr="008030FA">
        <w:tc>
          <w:tcPr>
            <w:tcW w:w="756" w:type="pct"/>
          </w:tcPr>
          <w:p w14:paraId="2440AD1A" w14:textId="33D02780" w:rsidR="00A05025" w:rsidRPr="009254DD" w:rsidRDefault="00A05025" w:rsidP="00A05025">
            <w:pPr>
              <w:pStyle w:val="Bodyromannumerals"/>
              <w:rPr>
                <w:b/>
                <w:bCs/>
              </w:rPr>
            </w:pPr>
            <w:r w:rsidRPr="0097452A">
              <w:rPr>
                <w:b/>
                <w:bCs/>
              </w:rPr>
              <w:t>C6.13</w:t>
            </w:r>
          </w:p>
        </w:tc>
        <w:tc>
          <w:tcPr>
            <w:tcW w:w="3472" w:type="pct"/>
            <w:gridSpan w:val="2"/>
          </w:tcPr>
          <w:p w14:paraId="603D7B6F" w14:textId="50B17FB8" w:rsidR="00A05025" w:rsidRPr="009254DD" w:rsidRDefault="00A05025" w:rsidP="00A05025">
            <w:pPr>
              <w:pStyle w:val="Bodyromannumerals"/>
              <w:rPr>
                <w:b/>
                <w:bCs/>
                <w:bdr w:val="single" w:sz="4" w:space="0" w:color="auto"/>
              </w:rPr>
            </w:pPr>
            <w:r w:rsidRPr="0097452A">
              <w:rPr>
                <w:b/>
                <w:bCs/>
              </w:rPr>
              <w:t>% of total population equivalent subject to improvement works</w:t>
            </w:r>
          </w:p>
        </w:tc>
        <w:tc>
          <w:tcPr>
            <w:tcW w:w="772" w:type="pct"/>
          </w:tcPr>
          <w:p w14:paraId="31B54BFC" w14:textId="447D893D" w:rsidR="00A05025" w:rsidRPr="006466B5" w:rsidRDefault="00A05025" w:rsidP="00A05025">
            <w:pPr>
              <w:pStyle w:val="Bodyromannumerals"/>
              <w:rPr>
                <w:b/>
                <w:bdr w:val="single" w:sz="4" w:space="0" w:color="auto"/>
              </w:rPr>
            </w:pPr>
            <w:r w:rsidRPr="0097452A">
              <w:rPr>
                <w:b/>
                <w:bCs/>
              </w:rPr>
              <w:t xml:space="preserve">% </w:t>
            </w:r>
          </w:p>
        </w:tc>
      </w:tr>
      <w:tr w:rsidR="00A05025" w:rsidRPr="00A83F00" w14:paraId="375E580E"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427F34F3" w14:textId="77777777" w:rsidR="00A05025" w:rsidRPr="006D389B" w:rsidRDefault="00A05025"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251F286B" w14:textId="3CBD5F5E" w:rsidR="00A05025" w:rsidRPr="00A83F00" w:rsidRDefault="00A05025" w:rsidP="008030FA">
            <w:pPr>
              <w:pStyle w:val="Bodyromannumerals"/>
            </w:pPr>
            <w:r w:rsidRPr="00A05025">
              <w:t xml:space="preserve">The population equivalent served by </w:t>
            </w:r>
            <w:r w:rsidR="00280BEB">
              <w:t xml:space="preserve">CSO </w:t>
            </w:r>
            <w:r w:rsidR="0074007A">
              <w:t xml:space="preserve">and </w:t>
            </w:r>
            <w:r w:rsidR="002C4876">
              <w:t>storm</w:t>
            </w:r>
            <w:r w:rsidRPr="00A05025">
              <w:t xml:space="preserve">water discharges/industrial </w:t>
            </w:r>
            <w:r w:rsidR="000011BB">
              <w:t>zones</w:t>
            </w:r>
            <w:r w:rsidR="000011BB" w:rsidRPr="00A05025">
              <w:t xml:space="preserve"> </w:t>
            </w:r>
            <w:r w:rsidRPr="00A05025">
              <w:t>subject to improvement as a percentage of the total population equivalent.</w:t>
            </w:r>
            <w:r w:rsidR="00AD5847">
              <w:t xml:space="preserve"> </w:t>
            </w:r>
            <w:r w:rsidR="00AD5847" w:rsidRPr="009320E8">
              <w:t xml:space="preserve">For the avoidance of doubt, these cover </w:t>
            </w:r>
            <w:proofErr w:type="spellStart"/>
            <w:r w:rsidR="00AD5847" w:rsidRPr="00A11CFF">
              <w:t>Tradewaste</w:t>
            </w:r>
            <w:proofErr w:type="spellEnd"/>
            <w:r w:rsidR="00AD5847" w:rsidRPr="00A11CFF">
              <w:t xml:space="preserve"> industrial discharges that are directly to a receiving environment</w:t>
            </w:r>
            <w:r w:rsidR="00AD5847" w:rsidRPr="009320E8">
              <w:t xml:space="preserve"> and industrial</w:t>
            </w:r>
            <w:r w:rsidR="00AD5847">
              <w:t>/environmental stormwater discharge.</w:t>
            </w:r>
          </w:p>
        </w:tc>
      </w:tr>
      <w:tr w:rsidR="00A05025" w:rsidRPr="00A83F00" w14:paraId="752B7EAA"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64D9FE" w14:textId="77777777" w:rsidR="00A05025" w:rsidRPr="006D389B" w:rsidRDefault="00A05025"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0BB4FF" w14:textId="77777777" w:rsidR="00A05025" w:rsidRPr="00A83F00" w:rsidRDefault="00A05025" w:rsidP="008030FA">
            <w:pPr>
              <w:pStyle w:val="Bodyromannumerals"/>
            </w:pPr>
            <w:r w:rsidRPr="00CE7533">
              <w:t>Input field</w:t>
            </w:r>
          </w:p>
        </w:tc>
      </w:tr>
    </w:tbl>
    <w:p w14:paraId="00FA4FDB" w14:textId="701C017E" w:rsidR="00940E3A" w:rsidRDefault="00940E3A" w:rsidP="0097452A">
      <w:pPr>
        <w:pStyle w:val="Sectionsub-heading"/>
      </w:pPr>
      <w:r w:rsidRPr="00096428">
        <w:t>BLOCK 3: DRIVER</w:t>
      </w:r>
      <w:r w:rsidR="00D1357C">
        <w:t xml:space="preserve">: </w:t>
      </w:r>
      <w:r w:rsidR="00746ADD">
        <w:t>WASTEWATER STANDARDS</w:t>
      </w:r>
    </w:p>
    <w:p w14:paraId="7D7F4821" w14:textId="02823234" w:rsidR="00887BCF" w:rsidRDefault="006D30FD" w:rsidP="00670310">
      <w:pPr>
        <w:pStyle w:val="Bodysub-heading2"/>
      </w:pPr>
      <w:r>
        <w:t>Inland waters</w:t>
      </w:r>
      <w:r w:rsidR="00392194">
        <w:t xml:space="preserve"> – </w:t>
      </w:r>
      <w:r>
        <w:t>d</w:t>
      </w:r>
      <w:r w:rsidR="006A11A8">
        <w:t>is</w:t>
      </w:r>
      <w:r>
        <w:t xml:space="preserve">charges from </w:t>
      </w:r>
      <w:r w:rsidR="009504BF">
        <w:t>CSOs</w:t>
      </w:r>
      <w:r>
        <w:t xml:space="preserve"> </w:t>
      </w:r>
      <w:r w:rsidR="0074007A">
        <w:t>and</w:t>
      </w:r>
      <w:r>
        <w:t xml:space="preserve"> stormwater systems</w:t>
      </w:r>
      <w:r w:rsidR="009504BF">
        <w:t xml:space="preserve"> </w:t>
      </w:r>
      <w:r w:rsidR="00392194">
        <w:t>(</w:t>
      </w:r>
      <w:r>
        <w:t>intermittent</w:t>
      </w:r>
      <w:r w:rsidR="0039219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F86450" w:rsidRPr="006466B5" w14:paraId="1957034D" w14:textId="77777777" w:rsidTr="008030FA">
        <w:tc>
          <w:tcPr>
            <w:tcW w:w="756" w:type="pct"/>
          </w:tcPr>
          <w:p w14:paraId="456BD1C6" w14:textId="0B2178AC" w:rsidR="00F86450" w:rsidRPr="009254DD" w:rsidRDefault="00F86450" w:rsidP="00F86450">
            <w:pPr>
              <w:pStyle w:val="Bodyromannumerals"/>
              <w:rPr>
                <w:b/>
                <w:bCs/>
              </w:rPr>
            </w:pPr>
            <w:r w:rsidRPr="0097452A">
              <w:rPr>
                <w:b/>
                <w:bCs/>
              </w:rPr>
              <w:t>C6.23</w:t>
            </w:r>
          </w:p>
        </w:tc>
        <w:tc>
          <w:tcPr>
            <w:tcW w:w="3472" w:type="pct"/>
            <w:gridSpan w:val="2"/>
          </w:tcPr>
          <w:p w14:paraId="545B6CC6" w14:textId="67F4ED93" w:rsidR="00F86450" w:rsidRPr="009254DD" w:rsidRDefault="00F86450" w:rsidP="00F86450">
            <w:pPr>
              <w:pStyle w:val="Bodyromannumerals"/>
              <w:rPr>
                <w:b/>
                <w:bCs/>
                <w:bdr w:val="single" w:sz="4" w:space="0" w:color="auto"/>
              </w:rPr>
            </w:pPr>
            <w:r w:rsidRPr="0097452A">
              <w:rPr>
                <w:b/>
                <w:bCs/>
              </w:rPr>
              <w:t xml:space="preserve">Total number of combined </w:t>
            </w:r>
            <w:r w:rsidR="00D76445">
              <w:rPr>
                <w:b/>
                <w:bCs/>
              </w:rPr>
              <w:t>wastewater</w:t>
            </w:r>
            <w:r w:rsidRPr="0097452A">
              <w:rPr>
                <w:b/>
                <w:bCs/>
              </w:rPr>
              <w:t xml:space="preserve"> overflows subject to improvement works</w:t>
            </w:r>
          </w:p>
        </w:tc>
        <w:tc>
          <w:tcPr>
            <w:tcW w:w="772" w:type="pct"/>
          </w:tcPr>
          <w:p w14:paraId="5268CB95" w14:textId="28DE5D98" w:rsidR="00F86450" w:rsidRPr="006466B5" w:rsidRDefault="00F86450" w:rsidP="00F86450">
            <w:pPr>
              <w:pStyle w:val="Bodyromannumerals"/>
              <w:rPr>
                <w:b/>
                <w:bdr w:val="single" w:sz="4" w:space="0" w:color="auto"/>
              </w:rPr>
            </w:pPr>
            <w:r w:rsidRPr="0097452A">
              <w:rPr>
                <w:b/>
                <w:bCs/>
              </w:rPr>
              <w:t>Nr.</w:t>
            </w:r>
          </w:p>
        </w:tc>
      </w:tr>
      <w:tr w:rsidR="00F86450" w:rsidRPr="00A83F00" w14:paraId="053EF8DF"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3A26513A" w14:textId="77777777" w:rsidR="00F86450" w:rsidRPr="006D389B" w:rsidRDefault="00F86450"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1BBB37B0" w14:textId="6E08FF85" w:rsidR="00F86450" w:rsidRDefault="00F86450" w:rsidP="008030FA">
            <w:pPr>
              <w:pStyle w:val="Bodyromannumerals"/>
            </w:pPr>
            <w:r w:rsidRPr="00F86450">
              <w:t xml:space="preserve">The total number of Inland </w:t>
            </w:r>
            <w:r w:rsidR="006D30FD">
              <w:t>discharges from</w:t>
            </w:r>
            <w:r w:rsidR="006D30FD" w:rsidRPr="00F86450">
              <w:t xml:space="preserve"> </w:t>
            </w:r>
            <w:r w:rsidRPr="00F86450">
              <w:t>CSOs</w:t>
            </w:r>
            <w:r w:rsidR="0074007A">
              <w:t xml:space="preserve"> and</w:t>
            </w:r>
            <w:r w:rsidR="00452C8D">
              <w:t xml:space="preserve"> stormwater systems </w:t>
            </w:r>
            <w:r w:rsidRPr="00F86450">
              <w:t xml:space="preserve">(intermittent) subject to improvement works for </w:t>
            </w:r>
            <w:r w:rsidR="007F1B3A">
              <w:t xml:space="preserve">consent compliance (i.e. </w:t>
            </w:r>
            <w:r w:rsidR="00D55423">
              <w:t xml:space="preserve">with reference to the </w:t>
            </w:r>
            <w:r w:rsidR="007F1B3A">
              <w:t>level within a consent condition)</w:t>
            </w:r>
            <w:r w:rsidRPr="00F86450">
              <w:t>.</w:t>
            </w:r>
          </w:p>
          <w:p w14:paraId="6B06F702" w14:textId="6A315231" w:rsidR="00AE1F3B" w:rsidRPr="00A83F00" w:rsidRDefault="0010346A" w:rsidP="008030FA">
            <w:pPr>
              <w:pStyle w:val="Bodyromannumerals"/>
            </w:pPr>
            <w:r>
              <w:t xml:space="preserve">These </w:t>
            </w:r>
            <w:r w:rsidR="00452C8D">
              <w:t xml:space="preserve">include </w:t>
            </w:r>
            <w:r>
              <w:t xml:space="preserve">engineered </w:t>
            </w:r>
            <w:r w:rsidR="003345DB">
              <w:t xml:space="preserve">combined </w:t>
            </w:r>
            <w:r w:rsidR="00C97895">
              <w:t>sewer</w:t>
            </w:r>
            <w:r w:rsidR="00251FFA">
              <w:t xml:space="preserve"> </w:t>
            </w:r>
            <w:r w:rsidR="008057E2">
              <w:t xml:space="preserve">overflows </w:t>
            </w:r>
            <w:r w:rsidR="00453B9D">
              <w:t xml:space="preserve">(wastewater and stormwater) </w:t>
            </w:r>
            <w:r w:rsidR="00FC14DD">
              <w:t>which</w:t>
            </w:r>
            <w:r w:rsidR="008013C3">
              <w:t xml:space="preserve"> have</w:t>
            </w:r>
            <w:r w:rsidR="00FC14DD">
              <w:t xml:space="preserve"> intermittent discharges</w:t>
            </w:r>
            <w:r w:rsidR="008013C3">
              <w:t xml:space="preserve"> to the freshwater receiving environment</w:t>
            </w:r>
            <w:r w:rsidR="00FC14DD">
              <w:t xml:space="preserve">. </w:t>
            </w:r>
            <w:r w:rsidR="00251FFA">
              <w:t>Please report discharges from the network</w:t>
            </w:r>
            <w:r w:rsidR="008013C3">
              <w:t xml:space="preserve"> that are not compliant with the consent</w:t>
            </w:r>
            <w:r w:rsidR="00251FFA">
              <w:t xml:space="preserve">. </w:t>
            </w:r>
          </w:p>
        </w:tc>
      </w:tr>
      <w:tr w:rsidR="00F86450" w:rsidRPr="00A83F00" w14:paraId="25662E47"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DE4147" w14:textId="77777777" w:rsidR="00F86450" w:rsidRPr="006D389B" w:rsidRDefault="00F86450"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7B1875" w14:textId="421F8AB6" w:rsidR="00F86450" w:rsidRPr="00A83F00" w:rsidRDefault="00F86450" w:rsidP="008030FA">
            <w:pPr>
              <w:pStyle w:val="Bodyromannumerals"/>
            </w:pPr>
            <w:r w:rsidRPr="00F86450">
              <w:t>Input field</w:t>
            </w:r>
          </w:p>
        </w:tc>
      </w:tr>
    </w:tbl>
    <w:p w14:paraId="79AFB887" w14:textId="50A7E55A" w:rsidR="007B444A" w:rsidRDefault="007B444A">
      <w:pPr>
        <w:spacing w:after="160" w:line="259" w:lineRule="auto"/>
        <w:rPr>
          <w:rFonts w:ascii="Calibri" w:hAnsi="Calibri" w:cs="Calibri"/>
          <w:color w:val="03B2C4"/>
          <w:sz w:val="22"/>
          <w:szCs w:val="21"/>
        </w:rPr>
      </w:pPr>
    </w:p>
    <w:p w14:paraId="53E7582F" w14:textId="4ED9F9C4" w:rsidR="00887BCF" w:rsidRDefault="009504BF" w:rsidP="00670310">
      <w:pPr>
        <w:pStyle w:val="Bodysub-heading2"/>
      </w:pPr>
      <w:r w:rsidRPr="0097452A">
        <w:t>Inland waters –</w:t>
      </w:r>
      <w:r>
        <w:t>wastewater</w:t>
      </w:r>
      <w:r w:rsidRPr="0097452A">
        <w:t xml:space="preserve"> treatment (continuous discharges)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F86450" w:rsidRPr="006466B5" w14:paraId="15A63C54" w14:textId="77777777" w:rsidTr="008030FA">
        <w:tc>
          <w:tcPr>
            <w:tcW w:w="756" w:type="pct"/>
          </w:tcPr>
          <w:p w14:paraId="4BD58AF3" w14:textId="0E4CD75D" w:rsidR="00F86450" w:rsidRPr="009254DD" w:rsidRDefault="00F86450" w:rsidP="00F86450">
            <w:pPr>
              <w:pStyle w:val="Bodyromannumerals"/>
              <w:rPr>
                <w:b/>
                <w:bCs/>
              </w:rPr>
            </w:pPr>
            <w:r w:rsidRPr="0097452A">
              <w:rPr>
                <w:b/>
                <w:bCs/>
              </w:rPr>
              <w:t>C6.24</w:t>
            </w:r>
          </w:p>
        </w:tc>
        <w:tc>
          <w:tcPr>
            <w:tcW w:w="3472" w:type="pct"/>
            <w:gridSpan w:val="2"/>
          </w:tcPr>
          <w:p w14:paraId="5A406FC8" w14:textId="67122398" w:rsidR="00F86450" w:rsidRPr="009254DD" w:rsidRDefault="00F86450" w:rsidP="00F86450">
            <w:pPr>
              <w:pStyle w:val="Bodyromannumerals"/>
              <w:rPr>
                <w:b/>
                <w:bCs/>
                <w:bdr w:val="single" w:sz="4" w:space="0" w:color="auto"/>
              </w:rPr>
            </w:pPr>
            <w:r w:rsidRPr="0097452A">
              <w:rPr>
                <w:b/>
                <w:bCs/>
              </w:rPr>
              <w:t xml:space="preserve">Total number of </w:t>
            </w:r>
            <w:r w:rsidR="00673DB6">
              <w:rPr>
                <w:b/>
                <w:bCs/>
              </w:rPr>
              <w:t>waste</w:t>
            </w:r>
            <w:r w:rsidR="00083423">
              <w:rPr>
                <w:b/>
                <w:bCs/>
              </w:rPr>
              <w:t>water</w:t>
            </w:r>
            <w:r w:rsidRPr="0097452A">
              <w:rPr>
                <w:b/>
                <w:bCs/>
              </w:rPr>
              <w:t xml:space="preserve"> treatment </w:t>
            </w:r>
            <w:r w:rsidR="00AB26EA">
              <w:rPr>
                <w:b/>
                <w:bCs/>
              </w:rPr>
              <w:t>plants</w:t>
            </w:r>
            <w:r w:rsidR="00AB26EA" w:rsidRPr="0097452A">
              <w:rPr>
                <w:b/>
                <w:bCs/>
              </w:rPr>
              <w:t xml:space="preserve"> </w:t>
            </w:r>
            <w:r w:rsidRPr="0097452A">
              <w:rPr>
                <w:b/>
                <w:bCs/>
              </w:rPr>
              <w:t>subject to improvement works</w:t>
            </w:r>
          </w:p>
        </w:tc>
        <w:tc>
          <w:tcPr>
            <w:tcW w:w="772" w:type="pct"/>
          </w:tcPr>
          <w:p w14:paraId="750D2DE2" w14:textId="46E617ED" w:rsidR="00F86450" w:rsidRPr="006466B5" w:rsidRDefault="00F86450" w:rsidP="00F86450">
            <w:pPr>
              <w:pStyle w:val="Bodyromannumerals"/>
              <w:rPr>
                <w:b/>
                <w:bdr w:val="single" w:sz="4" w:space="0" w:color="auto"/>
              </w:rPr>
            </w:pPr>
            <w:r w:rsidRPr="0097452A">
              <w:rPr>
                <w:b/>
                <w:bCs/>
              </w:rPr>
              <w:t>Nr.</w:t>
            </w:r>
          </w:p>
        </w:tc>
      </w:tr>
      <w:tr w:rsidR="00F86450" w:rsidRPr="00A83F00" w14:paraId="1471117E"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2565147F" w14:textId="77777777" w:rsidR="00F86450" w:rsidRPr="006D389B" w:rsidRDefault="00F86450"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6CBC08B8" w14:textId="6A3F8873" w:rsidR="00F86450" w:rsidRDefault="00F86450" w:rsidP="008030FA">
            <w:pPr>
              <w:pStyle w:val="Bodyromannumerals"/>
            </w:pPr>
            <w:r w:rsidRPr="00F86450">
              <w:t xml:space="preserve">The total number of Inland Water </w:t>
            </w:r>
            <w:r w:rsidR="00AB26EA">
              <w:t>W</w:t>
            </w:r>
            <w:r w:rsidR="00673DB6">
              <w:t>astew</w:t>
            </w:r>
            <w:r w:rsidR="000011BB">
              <w:t>ater</w:t>
            </w:r>
            <w:r w:rsidRPr="00F86450">
              <w:t xml:space="preserve"> Treatment </w:t>
            </w:r>
            <w:r w:rsidR="00AB26EA">
              <w:t>Plants</w:t>
            </w:r>
            <w:r w:rsidR="00AB26EA" w:rsidRPr="00F86450">
              <w:t xml:space="preserve"> </w:t>
            </w:r>
            <w:r w:rsidRPr="00F86450">
              <w:t xml:space="preserve">(continuous discharges) subject to improvement works for </w:t>
            </w:r>
            <w:r w:rsidR="007F1B3A">
              <w:t xml:space="preserve">consent compliance (i.e. </w:t>
            </w:r>
            <w:r w:rsidR="00D617EB">
              <w:t>with reference to the</w:t>
            </w:r>
            <w:r w:rsidR="007F1B3A">
              <w:t xml:space="preserve"> level within a consent condition)</w:t>
            </w:r>
            <w:r w:rsidRPr="00F86450">
              <w:t>.</w:t>
            </w:r>
          </w:p>
          <w:p w14:paraId="31D00588" w14:textId="40B19906" w:rsidR="009F13AE" w:rsidRPr="00A83F00" w:rsidRDefault="00910D32" w:rsidP="008030FA">
            <w:pPr>
              <w:pStyle w:val="Bodyromannumerals"/>
            </w:pPr>
            <w:r>
              <w:t xml:space="preserve">These cover </w:t>
            </w:r>
            <w:r w:rsidR="00B31784">
              <w:t>continuous discharges</w:t>
            </w:r>
            <w:r w:rsidR="008013C3">
              <w:t xml:space="preserve"> to the freshwater receiving environment</w:t>
            </w:r>
            <w:r w:rsidR="00B31784">
              <w:t xml:space="preserve"> from the wastewater treatment plant that are not compliant with the consent.</w:t>
            </w:r>
            <w:r>
              <w:t xml:space="preserve"> </w:t>
            </w:r>
          </w:p>
        </w:tc>
      </w:tr>
      <w:tr w:rsidR="00F86450" w:rsidRPr="00A83F00" w14:paraId="00BE9F07"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B8D581" w14:textId="77777777" w:rsidR="00F86450" w:rsidRPr="006D389B" w:rsidRDefault="00F86450"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E3A1AF" w14:textId="77777777" w:rsidR="00F86450" w:rsidRPr="00A83F00" w:rsidRDefault="00F86450" w:rsidP="008030FA">
            <w:pPr>
              <w:pStyle w:val="Bodyromannumerals"/>
            </w:pPr>
            <w:r>
              <w:t>Input field</w:t>
            </w:r>
          </w:p>
        </w:tc>
      </w:tr>
    </w:tbl>
    <w:p w14:paraId="15E1854E" w14:textId="77777777" w:rsidR="00B30600" w:rsidRDefault="00B3060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F86450" w:rsidRPr="006466B5" w14:paraId="28802474" w14:textId="77777777" w:rsidTr="008030FA">
        <w:tc>
          <w:tcPr>
            <w:tcW w:w="756" w:type="pct"/>
          </w:tcPr>
          <w:p w14:paraId="2BE78AF6" w14:textId="7C9C5E7B" w:rsidR="00F86450" w:rsidRPr="009254DD" w:rsidRDefault="00F86450" w:rsidP="00F86450">
            <w:pPr>
              <w:pStyle w:val="Bodyromannumerals"/>
              <w:rPr>
                <w:b/>
                <w:bCs/>
              </w:rPr>
            </w:pPr>
            <w:r w:rsidRPr="0097452A">
              <w:rPr>
                <w:b/>
                <w:bCs/>
              </w:rPr>
              <w:t>C6.25</w:t>
            </w:r>
          </w:p>
        </w:tc>
        <w:tc>
          <w:tcPr>
            <w:tcW w:w="3472" w:type="pct"/>
            <w:gridSpan w:val="2"/>
          </w:tcPr>
          <w:p w14:paraId="6CCADAC7" w14:textId="3DF2A399" w:rsidR="00F86450" w:rsidRPr="009254DD" w:rsidRDefault="00F86450" w:rsidP="00F86450">
            <w:pPr>
              <w:pStyle w:val="Bodyromannumerals"/>
              <w:rPr>
                <w:b/>
                <w:bCs/>
                <w:bdr w:val="single" w:sz="4" w:space="0" w:color="auto"/>
              </w:rPr>
            </w:pPr>
            <w:r w:rsidRPr="0097452A">
              <w:rPr>
                <w:b/>
                <w:bCs/>
              </w:rPr>
              <w:t>Population equivalent subject to improvement works</w:t>
            </w:r>
          </w:p>
        </w:tc>
        <w:tc>
          <w:tcPr>
            <w:tcW w:w="772" w:type="pct"/>
          </w:tcPr>
          <w:p w14:paraId="3D3800B6" w14:textId="207B0C83" w:rsidR="00F86450" w:rsidRPr="006466B5" w:rsidRDefault="00F86450" w:rsidP="00F86450">
            <w:pPr>
              <w:pStyle w:val="Bodyromannumerals"/>
              <w:rPr>
                <w:b/>
                <w:bdr w:val="single" w:sz="4" w:space="0" w:color="auto"/>
              </w:rPr>
            </w:pPr>
            <w:r w:rsidRPr="0097452A">
              <w:rPr>
                <w:b/>
                <w:bCs/>
              </w:rPr>
              <w:t>000</w:t>
            </w:r>
          </w:p>
        </w:tc>
      </w:tr>
      <w:tr w:rsidR="00F86450" w:rsidRPr="00A83F00" w14:paraId="52770F8D"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570343EA" w14:textId="77777777" w:rsidR="00F86450" w:rsidRPr="006D389B" w:rsidRDefault="00F86450"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709C142A" w14:textId="22629CCA" w:rsidR="00F86450" w:rsidRDefault="00F86450" w:rsidP="008030FA">
            <w:pPr>
              <w:pStyle w:val="Bodyromannumerals"/>
            </w:pPr>
            <w:r w:rsidRPr="00F86450">
              <w:t>Population equivalent subject to improvement of Inland W</w:t>
            </w:r>
            <w:r w:rsidR="00673DB6">
              <w:t>astew</w:t>
            </w:r>
            <w:r w:rsidRPr="00F86450">
              <w:t xml:space="preserve">ater Treatment </w:t>
            </w:r>
            <w:r w:rsidR="00AB26EA">
              <w:t>Plants</w:t>
            </w:r>
            <w:r w:rsidR="00AB26EA" w:rsidRPr="00F86450">
              <w:t xml:space="preserve"> </w:t>
            </w:r>
            <w:r w:rsidRPr="00F86450">
              <w:t xml:space="preserve">(continuous discharges) for </w:t>
            </w:r>
            <w:r w:rsidR="00E92E8D">
              <w:t xml:space="preserve">consent compliance (i.e. </w:t>
            </w:r>
            <w:r w:rsidR="00D617EB">
              <w:t xml:space="preserve">with reference to the </w:t>
            </w:r>
            <w:r w:rsidR="00E92E8D">
              <w:t>level within a consent condition)</w:t>
            </w:r>
            <w:r w:rsidRPr="00F86450">
              <w:t>.</w:t>
            </w:r>
          </w:p>
          <w:p w14:paraId="335156AE" w14:textId="5A8879B2" w:rsidR="00F247BA" w:rsidRPr="00A83F00" w:rsidRDefault="008013C3" w:rsidP="008030FA">
            <w:pPr>
              <w:pStyle w:val="Bodyromannumerals"/>
            </w:pPr>
            <w:r>
              <w:t>These cover continuous discharges to the freshwater receiving environment from the wastewater treatment plant that are not compliant with the consent.</w:t>
            </w:r>
          </w:p>
        </w:tc>
      </w:tr>
      <w:tr w:rsidR="00F86450" w:rsidRPr="00A83F00" w14:paraId="69734070"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9C72DC" w14:textId="77777777" w:rsidR="00F86450" w:rsidRPr="006D389B" w:rsidRDefault="00F86450"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EF2535" w14:textId="77777777" w:rsidR="00F86450" w:rsidRPr="00A83F00" w:rsidRDefault="00F86450" w:rsidP="008030FA">
            <w:pPr>
              <w:pStyle w:val="Bodyromannumerals"/>
            </w:pPr>
            <w:r>
              <w:t>Input field</w:t>
            </w:r>
          </w:p>
        </w:tc>
      </w:tr>
    </w:tbl>
    <w:p w14:paraId="2CE7DD16" w14:textId="424760A1" w:rsidR="00937C0C" w:rsidRDefault="00937C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F86450" w:rsidRPr="006466B5" w14:paraId="6406D1D7" w14:textId="77777777" w:rsidTr="008030FA">
        <w:tc>
          <w:tcPr>
            <w:tcW w:w="756" w:type="pct"/>
          </w:tcPr>
          <w:p w14:paraId="057BEEE5" w14:textId="0BFABB15" w:rsidR="00F86450" w:rsidRPr="009254DD" w:rsidRDefault="00F86450" w:rsidP="00F86450">
            <w:pPr>
              <w:pStyle w:val="Bodyromannumerals"/>
              <w:rPr>
                <w:b/>
                <w:bCs/>
              </w:rPr>
            </w:pPr>
            <w:r w:rsidRPr="0097452A">
              <w:rPr>
                <w:b/>
                <w:bCs/>
              </w:rPr>
              <w:t>C6.26</w:t>
            </w:r>
          </w:p>
        </w:tc>
        <w:tc>
          <w:tcPr>
            <w:tcW w:w="3472" w:type="pct"/>
            <w:gridSpan w:val="2"/>
          </w:tcPr>
          <w:p w14:paraId="7E88715F" w14:textId="3FBE62F8" w:rsidR="00F86450" w:rsidRPr="009254DD" w:rsidRDefault="00F86450" w:rsidP="00F86450">
            <w:pPr>
              <w:pStyle w:val="Bodyromannumerals"/>
              <w:rPr>
                <w:b/>
                <w:bCs/>
                <w:bdr w:val="single" w:sz="4" w:space="0" w:color="auto"/>
              </w:rPr>
            </w:pPr>
            <w:r w:rsidRPr="0097452A">
              <w:rPr>
                <w:b/>
                <w:bCs/>
              </w:rPr>
              <w:t>% of total population equivalent subject to improvement works</w:t>
            </w:r>
          </w:p>
        </w:tc>
        <w:tc>
          <w:tcPr>
            <w:tcW w:w="772" w:type="pct"/>
          </w:tcPr>
          <w:p w14:paraId="537253D4" w14:textId="05E79279" w:rsidR="00F86450" w:rsidRPr="006466B5" w:rsidRDefault="00F86450" w:rsidP="00F86450">
            <w:pPr>
              <w:pStyle w:val="Bodyromannumerals"/>
              <w:rPr>
                <w:b/>
                <w:bdr w:val="single" w:sz="4" w:space="0" w:color="auto"/>
              </w:rPr>
            </w:pPr>
            <w:r w:rsidRPr="0097452A">
              <w:rPr>
                <w:b/>
                <w:bCs/>
              </w:rPr>
              <w:t>%</w:t>
            </w:r>
          </w:p>
        </w:tc>
      </w:tr>
      <w:tr w:rsidR="00F86450" w:rsidRPr="00A83F00" w14:paraId="7C155164"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74AD1F89" w14:textId="77777777" w:rsidR="00F86450" w:rsidRPr="006D389B" w:rsidRDefault="00F86450"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1B5543EA" w14:textId="3C25B245" w:rsidR="00F86450" w:rsidRDefault="00F86450" w:rsidP="008030FA">
            <w:pPr>
              <w:pStyle w:val="Bodyromannumerals"/>
            </w:pPr>
            <w:r w:rsidRPr="006466B5">
              <w:t xml:space="preserve">The population equivalent served by Inland Water </w:t>
            </w:r>
            <w:r w:rsidR="00673DB6">
              <w:t xml:space="preserve">Wastewater </w:t>
            </w:r>
            <w:r w:rsidRPr="006466B5">
              <w:t xml:space="preserve">Treatment </w:t>
            </w:r>
            <w:r w:rsidR="00AB26EA">
              <w:t>Plants</w:t>
            </w:r>
            <w:r w:rsidR="00AB26EA" w:rsidRPr="006466B5">
              <w:t xml:space="preserve"> </w:t>
            </w:r>
            <w:r w:rsidRPr="006466B5">
              <w:t xml:space="preserve">(continuous discharges) </w:t>
            </w:r>
            <w:r w:rsidR="00836451">
              <w:t xml:space="preserve">subject </w:t>
            </w:r>
            <w:r w:rsidR="00853BD4">
              <w:t xml:space="preserve">to improvement </w:t>
            </w:r>
            <w:r w:rsidR="00BE07A0">
              <w:t xml:space="preserve">works </w:t>
            </w:r>
            <w:r w:rsidRPr="006466B5">
              <w:t xml:space="preserve">for </w:t>
            </w:r>
            <w:r w:rsidR="00E92E8D">
              <w:t xml:space="preserve">consent compliance (i.e. </w:t>
            </w:r>
            <w:r w:rsidR="00D617EB">
              <w:t>with reference to the</w:t>
            </w:r>
            <w:r w:rsidR="00E92E8D">
              <w:t xml:space="preserve"> level within a consent condition)</w:t>
            </w:r>
            <w:r w:rsidR="00E837E0">
              <w:t xml:space="preserve"> </w:t>
            </w:r>
            <w:r w:rsidRPr="006466B5">
              <w:t>as a percentage of the total population equivalent.</w:t>
            </w:r>
          </w:p>
          <w:p w14:paraId="309FC355" w14:textId="0811DBEE" w:rsidR="008013C3" w:rsidRPr="00A83F00" w:rsidRDefault="008013C3" w:rsidP="008030FA">
            <w:pPr>
              <w:pStyle w:val="Bodyromannumerals"/>
            </w:pPr>
            <w:r>
              <w:t>These cover continuous discharges to the freshwater receiving environment from the wastewater treatment plant that are not compliant with the consent.</w:t>
            </w:r>
          </w:p>
        </w:tc>
      </w:tr>
      <w:tr w:rsidR="00F86450" w:rsidRPr="00A83F00" w14:paraId="3049B38D"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E06E66" w14:textId="77777777" w:rsidR="00F86450" w:rsidRPr="006D389B" w:rsidRDefault="00F86450"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F82FAC" w14:textId="77777777" w:rsidR="00F86450" w:rsidRPr="00A83F00" w:rsidRDefault="00F86450" w:rsidP="008030FA">
            <w:pPr>
              <w:pStyle w:val="Bodyromannumerals"/>
            </w:pPr>
            <w:r>
              <w:t>Input field</w:t>
            </w:r>
          </w:p>
        </w:tc>
      </w:tr>
    </w:tbl>
    <w:p w14:paraId="051DB6C5" w14:textId="709CDF75" w:rsidR="007E6AA6" w:rsidRDefault="009504BF" w:rsidP="00670310">
      <w:pPr>
        <w:pStyle w:val="Bodysub-heading2"/>
      </w:pPr>
      <w:r w:rsidRPr="007E6AA6">
        <w:t xml:space="preserve">Coastal waters – </w:t>
      </w:r>
      <w:r w:rsidR="009E573F">
        <w:t xml:space="preserve">discharges from </w:t>
      </w:r>
      <w:r>
        <w:t>CSOs</w:t>
      </w:r>
      <w:r w:rsidRPr="007E6AA6">
        <w:t xml:space="preserve"> </w:t>
      </w:r>
      <w:r w:rsidR="00F2362C">
        <w:t>and</w:t>
      </w:r>
      <w:r w:rsidR="009E573F">
        <w:t xml:space="preserve"> stormwater systems </w:t>
      </w:r>
      <w:r w:rsidRPr="007E6AA6">
        <w:t>(intermittent)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1C59B8" w:rsidRPr="006466B5" w14:paraId="4D72F775" w14:textId="77777777" w:rsidTr="008030FA">
        <w:tc>
          <w:tcPr>
            <w:tcW w:w="756" w:type="pct"/>
          </w:tcPr>
          <w:p w14:paraId="55FB481B" w14:textId="2A10F88F" w:rsidR="001C59B8" w:rsidRPr="009254DD" w:rsidRDefault="001C59B8" w:rsidP="001C59B8">
            <w:pPr>
              <w:pStyle w:val="Bodyromannumerals"/>
              <w:rPr>
                <w:b/>
                <w:bCs/>
              </w:rPr>
            </w:pPr>
            <w:r w:rsidRPr="0097452A">
              <w:rPr>
                <w:b/>
                <w:bCs/>
              </w:rPr>
              <w:t>C6.27</w:t>
            </w:r>
          </w:p>
        </w:tc>
        <w:tc>
          <w:tcPr>
            <w:tcW w:w="3472" w:type="pct"/>
            <w:gridSpan w:val="2"/>
          </w:tcPr>
          <w:p w14:paraId="240A0A0E" w14:textId="250DED79" w:rsidR="001C59B8" w:rsidRPr="009254DD" w:rsidRDefault="001C59B8" w:rsidP="001C59B8">
            <w:pPr>
              <w:pStyle w:val="Bodyromannumerals"/>
              <w:rPr>
                <w:b/>
                <w:bCs/>
                <w:bdr w:val="single" w:sz="4" w:space="0" w:color="auto"/>
              </w:rPr>
            </w:pPr>
            <w:r w:rsidRPr="0097452A">
              <w:rPr>
                <w:b/>
                <w:bCs/>
              </w:rPr>
              <w:t xml:space="preserve">Total number of </w:t>
            </w:r>
            <w:r w:rsidR="008B561C">
              <w:rPr>
                <w:b/>
                <w:bCs/>
              </w:rPr>
              <w:t xml:space="preserve">discharges from </w:t>
            </w:r>
            <w:r w:rsidR="00D47A55">
              <w:rPr>
                <w:b/>
                <w:bCs/>
              </w:rPr>
              <w:t xml:space="preserve">CSOs </w:t>
            </w:r>
            <w:r w:rsidR="0074007A">
              <w:rPr>
                <w:b/>
                <w:bCs/>
              </w:rPr>
              <w:t>and</w:t>
            </w:r>
            <w:r w:rsidR="00D47A55">
              <w:rPr>
                <w:b/>
                <w:bCs/>
              </w:rPr>
              <w:t xml:space="preserve"> stormwater systems </w:t>
            </w:r>
            <w:r w:rsidRPr="0097452A">
              <w:rPr>
                <w:b/>
                <w:bCs/>
              </w:rPr>
              <w:t xml:space="preserve">subject to improvement works </w:t>
            </w:r>
          </w:p>
        </w:tc>
        <w:tc>
          <w:tcPr>
            <w:tcW w:w="772" w:type="pct"/>
          </w:tcPr>
          <w:p w14:paraId="3030712F" w14:textId="1EF06F78" w:rsidR="001C59B8" w:rsidRPr="006466B5" w:rsidRDefault="001C59B8" w:rsidP="001C59B8">
            <w:pPr>
              <w:pStyle w:val="Bodyromannumerals"/>
              <w:rPr>
                <w:b/>
                <w:bdr w:val="single" w:sz="4" w:space="0" w:color="auto"/>
              </w:rPr>
            </w:pPr>
            <w:r w:rsidRPr="0097452A">
              <w:rPr>
                <w:b/>
                <w:bCs/>
              </w:rPr>
              <w:t>Nr.</w:t>
            </w:r>
          </w:p>
        </w:tc>
      </w:tr>
      <w:tr w:rsidR="001C59B8" w:rsidRPr="00A83F00" w14:paraId="7657F42C"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4E8C261C" w14:textId="77777777" w:rsidR="001C59B8" w:rsidRPr="006D389B" w:rsidRDefault="001C59B8"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00C077A8" w14:textId="0E16C1CA" w:rsidR="008013C3" w:rsidRDefault="001C59B8" w:rsidP="008030FA">
            <w:pPr>
              <w:pStyle w:val="Bodyromannumerals"/>
            </w:pPr>
            <w:r w:rsidRPr="001C59B8">
              <w:t>The total number of Coastal Waters</w:t>
            </w:r>
            <w:r w:rsidR="00C9251D">
              <w:t xml:space="preserve"> discharges from</w:t>
            </w:r>
            <w:r w:rsidRPr="001C59B8">
              <w:t xml:space="preserve"> CSOs</w:t>
            </w:r>
            <w:r w:rsidR="00706C11">
              <w:t xml:space="preserve"> </w:t>
            </w:r>
            <w:r w:rsidR="0074007A">
              <w:t>and</w:t>
            </w:r>
            <w:r w:rsidR="00C9251D">
              <w:t xml:space="preserve"> stormwater systems </w:t>
            </w:r>
            <w:r w:rsidRPr="001C59B8">
              <w:t xml:space="preserve">(intermittent) </w:t>
            </w:r>
            <w:r w:rsidR="004F2A62">
              <w:t xml:space="preserve">subject to improvement </w:t>
            </w:r>
            <w:r w:rsidR="00BE07A0">
              <w:t xml:space="preserve">works </w:t>
            </w:r>
            <w:r w:rsidRPr="001C59B8">
              <w:t xml:space="preserve">for </w:t>
            </w:r>
            <w:r w:rsidR="00E837E0">
              <w:t xml:space="preserve">consent compliance (i.e. </w:t>
            </w:r>
            <w:r w:rsidR="00D617EB">
              <w:t xml:space="preserve">with reference to the </w:t>
            </w:r>
            <w:r w:rsidR="00E837E0">
              <w:t>level within a consent condition)</w:t>
            </w:r>
            <w:r w:rsidR="00706C11">
              <w:t>.</w:t>
            </w:r>
          </w:p>
          <w:p w14:paraId="719EDB82" w14:textId="324DD495" w:rsidR="001C59B8" w:rsidRPr="00A83F00" w:rsidRDefault="0087742F" w:rsidP="008030FA">
            <w:pPr>
              <w:pStyle w:val="Bodyromannumerals"/>
            </w:pPr>
            <w:r>
              <w:t xml:space="preserve">These </w:t>
            </w:r>
            <w:r w:rsidR="00C9251D">
              <w:t xml:space="preserve">include </w:t>
            </w:r>
            <w:r>
              <w:t xml:space="preserve">engineered combined sewer overflows (wastewater and stormwater) which have intermittent discharges to coastal waters. Please report discharges from the network that are not compliant with the consent. </w:t>
            </w:r>
          </w:p>
        </w:tc>
      </w:tr>
      <w:tr w:rsidR="001C59B8" w:rsidRPr="00A83F00" w14:paraId="37BC072E"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3F3632" w14:textId="77777777" w:rsidR="001C59B8" w:rsidRPr="006D389B" w:rsidRDefault="001C59B8"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0ED988" w14:textId="77777777" w:rsidR="001C59B8" w:rsidRPr="00A83F00" w:rsidRDefault="001C59B8" w:rsidP="008030FA">
            <w:pPr>
              <w:pStyle w:val="Bodyromannumerals"/>
            </w:pPr>
            <w:r>
              <w:t>Input field</w:t>
            </w:r>
          </w:p>
        </w:tc>
      </w:tr>
    </w:tbl>
    <w:p w14:paraId="4EB75D92" w14:textId="77777777" w:rsidR="008A7980" w:rsidRDefault="008A7980" w:rsidP="00670310">
      <w:pPr>
        <w:pStyle w:val="Bodysub-heading2"/>
      </w:pPr>
      <w:r>
        <w:br w:type="page"/>
      </w:r>
    </w:p>
    <w:p w14:paraId="1B628CBE" w14:textId="340C1611" w:rsidR="00940E3A" w:rsidRDefault="009504BF" w:rsidP="00670310">
      <w:pPr>
        <w:pStyle w:val="Bodysub-heading2"/>
      </w:pPr>
      <w:r w:rsidRPr="001C59B8">
        <w:t>Coastal waters –</w:t>
      </w:r>
      <w:r w:rsidR="00BE583D">
        <w:t xml:space="preserve"> </w:t>
      </w:r>
      <w:r>
        <w:t>wastewater</w:t>
      </w:r>
      <w:r w:rsidRPr="001C59B8">
        <w:t xml:space="preserve"> treatment (continuous discharges)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697495" w:rsidRPr="006466B5" w14:paraId="37ADAD09" w14:textId="77777777" w:rsidTr="008030FA">
        <w:tc>
          <w:tcPr>
            <w:tcW w:w="756" w:type="pct"/>
          </w:tcPr>
          <w:p w14:paraId="186725FF" w14:textId="7A3FC9DD" w:rsidR="00697495" w:rsidRPr="009254DD" w:rsidRDefault="00697495" w:rsidP="00697495">
            <w:pPr>
              <w:pStyle w:val="Bodyromannumerals"/>
              <w:rPr>
                <w:b/>
                <w:bCs/>
              </w:rPr>
            </w:pPr>
            <w:r w:rsidRPr="0097452A">
              <w:rPr>
                <w:b/>
                <w:bCs/>
              </w:rPr>
              <w:t>C6.28</w:t>
            </w:r>
          </w:p>
        </w:tc>
        <w:tc>
          <w:tcPr>
            <w:tcW w:w="3472" w:type="pct"/>
            <w:gridSpan w:val="2"/>
          </w:tcPr>
          <w:p w14:paraId="482958CA" w14:textId="0D5B830E" w:rsidR="00697495" w:rsidRPr="009254DD" w:rsidRDefault="00697495" w:rsidP="00697495">
            <w:pPr>
              <w:pStyle w:val="Bodyromannumerals"/>
              <w:rPr>
                <w:b/>
                <w:bCs/>
                <w:bdr w:val="single" w:sz="4" w:space="0" w:color="auto"/>
              </w:rPr>
            </w:pPr>
            <w:r w:rsidRPr="0097452A">
              <w:rPr>
                <w:b/>
                <w:bCs/>
              </w:rPr>
              <w:t xml:space="preserve">Total number of </w:t>
            </w:r>
            <w:r w:rsidR="00673DB6">
              <w:rPr>
                <w:b/>
                <w:bCs/>
              </w:rPr>
              <w:t>waste</w:t>
            </w:r>
            <w:r w:rsidR="000011BB">
              <w:rPr>
                <w:b/>
                <w:bCs/>
              </w:rPr>
              <w:t>water</w:t>
            </w:r>
            <w:r w:rsidRPr="0097452A">
              <w:rPr>
                <w:b/>
                <w:bCs/>
              </w:rPr>
              <w:t xml:space="preserve"> treatment </w:t>
            </w:r>
            <w:r w:rsidR="00AB26EA">
              <w:rPr>
                <w:b/>
                <w:bCs/>
              </w:rPr>
              <w:t>plants</w:t>
            </w:r>
            <w:r w:rsidR="00AB26EA" w:rsidRPr="0097452A">
              <w:rPr>
                <w:b/>
                <w:bCs/>
              </w:rPr>
              <w:t xml:space="preserve"> </w:t>
            </w:r>
            <w:r w:rsidRPr="0097452A">
              <w:rPr>
                <w:b/>
                <w:bCs/>
              </w:rPr>
              <w:t>subject to improvement works</w:t>
            </w:r>
          </w:p>
        </w:tc>
        <w:tc>
          <w:tcPr>
            <w:tcW w:w="772" w:type="pct"/>
          </w:tcPr>
          <w:p w14:paraId="75401D37" w14:textId="5B198366" w:rsidR="00697495" w:rsidRPr="006466B5" w:rsidRDefault="00697495" w:rsidP="00697495">
            <w:pPr>
              <w:pStyle w:val="Bodyromannumerals"/>
              <w:rPr>
                <w:b/>
                <w:bdr w:val="single" w:sz="4" w:space="0" w:color="auto"/>
              </w:rPr>
            </w:pPr>
            <w:r w:rsidRPr="0097452A">
              <w:rPr>
                <w:b/>
                <w:bCs/>
              </w:rPr>
              <w:t>Nr.</w:t>
            </w:r>
          </w:p>
        </w:tc>
      </w:tr>
      <w:tr w:rsidR="00697495" w:rsidRPr="00A83F00" w14:paraId="6D6F5488"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1CD3F508" w14:textId="77777777" w:rsidR="00697495" w:rsidRPr="006D389B" w:rsidRDefault="00697495"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293B902D" w14:textId="77777777" w:rsidR="00697495" w:rsidRDefault="00697495" w:rsidP="008030FA">
            <w:pPr>
              <w:pStyle w:val="Bodyromannumerals"/>
            </w:pPr>
            <w:r w:rsidRPr="00697495">
              <w:t xml:space="preserve">The total number of Coastal Waters </w:t>
            </w:r>
            <w:r w:rsidR="000011BB">
              <w:t>W</w:t>
            </w:r>
            <w:r w:rsidR="00673DB6">
              <w:t>astew</w:t>
            </w:r>
            <w:r w:rsidR="000011BB">
              <w:t>ater</w:t>
            </w:r>
            <w:r w:rsidRPr="00697495">
              <w:t xml:space="preserve"> Treatment </w:t>
            </w:r>
            <w:r w:rsidR="00AB26EA">
              <w:t>Plants</w:t>
            </w:r>
            <w:r w:rsidR="00AB26EA" w:rsidRPr="00697495">
              <w:t xml:space="preserve"> </w:t>
            </w:r>
            <w:r w:rsidRPr="00697495">
              <w:t>(continuous discharges) subject to improvement works for Driver: Wastewater Standards.</w:t>
            </w:r>
          </w:p>
          <w:p w14:paraId="0A6C07AE" w14:textId="302EE5D2" w:rsidR="0087742F" w:rsidRPr="00A83F00" w:rsidRDefault="0087742F" w:rsidP="008030FA">
            <w:pPr>
              <w:pStyle w:val="Bodyromannumerals"/>
            </w:pPr>
            <w:r>
              <w:t>These cover continuous discharges to coastal wate</w:t>
            </w:r>
            <w:r w:rsidR="00C14FED">
              <w:t>rs</w:t>
            </w:r>
            <w:r>
              <w:t xml:space="preserve"> from the wastewater treatment plant that are not compliant with the consent. </w:t>
            </w:r>
          </w:p>
        </w:tc>
      </w:tr>
      <w:tr w:rsidR="00697495" w:rsidRPr="00A83F00" w14:paraId="028F3BBF"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0AD9B1" w14:textId="77777777" w:rsidR="00697495" w:rsidRPr="006D389B" w:rsidRDefault="00697495"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E57E8" w14:textId="77777777" w:rsidR="00697495" w:rsidRPr="00A83F00" w:rsidRDefault="00697495" w:rsidP="008030FA">
            <w:pPr>
              <w:pStyle w:val="Bodyromannumerals"/>
            </w:pPr>
            <w:r>
              <w:t>Input field</w:t>
            </w:r>
          </w:p>
        </w:tc>
      </w:tr>
      <w:tr w:rsidR="00697495" w:rsidRPr="006466B5" w14:paraId="5E0D5437" w14:textId="77777777" w:rsidTr="008030FA">
        <w:tc>
          <w:tcPr>
            <w:tcW w:w="756" w:type="pct"/>
          </w:tcPr>
          <w:p w14:paraId="4BF3C768" w14:textId="56196145" w:rsidR="00697495" w:rsidRPr="009254DD" w:rsidRDefault="00697495" w:rsidP="00697495">
            <w:pPr>
              <w:pStyle w:val="Bodyromannumerals"/>
              <w:rPr>
                <w:b/>
                <w:bCs/>
              </w:rPr>
            </w:pPr>
            <w:r w:rsidRPr="0097452A">
              <w:rPr>
                <w:b/>
                <w:bCs/>
              </w:rPr>
              <w:t>C6.29</w:t>
            </w:r>
          </w:p>
        </w:tc>
        <w:tc>
          <w:tcPr>
            <w:tcW w:w="3472" w:type="pct"/>
            <w:gridSpan w:val="2"/>
          </w:tcPr>
          <w:p w14:paraId="6235C363" w14:textId="780D669D" w:rsidR="00697495" w:rsidRPr="009254DD" w:rsidRDefault="00697495" w:rsidP="00697495">
            <w:pPr>
              <w:pStyle w:val="Bodyromannumerals"/>
              <w:rPr>
                <w:b/>
                <w:bCs/>
                <w:bdr w:val="single" w:sz="4" w:space="0" w:color="auto"/>
              </w:rPr>
            </w:pPr>
            <w:r w:rsidRPr="0097452A">
              <w:rPr>
                <w:b/>
                <w:bCs/>
              </w:rPr>
              <w:t>Population equivalent subject to improvement works</w:t>
            </w:r>
          </w:p>
        </w:tc>
        <w:tc>
          <w:tcPr>
            <w:tcW w:w="772" w:type="pct"/>
          </w:tcPr>
          <w:p w14:paraId="43959F4E" w14:textId="35267EC3" w:rsidR="00697495" w:rsidRPr="006466B5" w:rsidRDefault="00697495" w:rsidP="00697495">
            <w:pPr>
              <w:pStyle w:val="Bodyromannumerals"/>
              <w:rPr>
                <w:b/>
                <w:bdr w:val="single" w:sz="4" w:space="0" w:color="auto"/>
              </w:rPr>
            </w:pPr>
            <w:r w:rsidRPr="0097452A">
              <w:rPr>
                <w:b/>
                <w:bCs/>
              </w:rPr>
              <w:t>000</w:t>
            </w:r>
          </w:p>
        </w:tc>
      </w:tr>
      <w:tr w:rsidR="00697495" w:rsidRPr="00A83F00" w14:paraId="7ED75889"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4064BCDD" w14:textId="77777777" w:rsidR="00697495" w:rsidRPr="006D389B" w:rsidRDefault="00697495"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73AE3FED" w14:textId="5ACCED34" w:rsidR="00697495" w:rsidRPr="00A83F00" w:rsidRDefault="00697495" w:rsidP="008030FA">
            <w:pPr>
              <w:pStyle w:val="Bodyromannumerals"/>
            </w:pPr>
            <w:r w:rsidRPr="00697495">
              <w:t xml:space="preserve">Population equivalent </w:t>
            </w:r>
            <w:r w:rsidR="00491046">
              <w:t>served by Coastal Waters</w:t>
            </w:r>
            <w:r w:rsidR="00491046" w:rsidRPr="00EB4D4A">
              <w:t xml:space="preserve"> </w:t>
            </w:r>
            <w:r w:rsidR="00491046">
              <w:t>Wastewater</w:t>
            </w:r>
            <w:r w:rsidR="00491046" w:rsidRPr="00EB4D4A">
              <w:t xml:space="preserve"> Treatment </w:t>
            </w:r>
            <w:r w:rsidR="00491046">
              <w:t>Plants</w:t>
            </w:r>
            <w:r w:rsidR="00491046" w:rsidRPr="00EB4D4A">
              <w:t xml:space="preserve"> </w:t>
            </w:r>
            <w:r w:rsidR="00491046">
              <w:t xml:space="preserve">subject to improvement works </w:t>
            </w:r>
            <w:r w:rsidR="00491046" w:rsidRPr="001C59B8">
              <w:t xml:space="preserve">for </w:t>
            </w:r>
            <w:r w:rsidR="00491046">
              <w:t xml:space="preserve">consent compliance (i.e. </w:t>
            </w:r>
            <w:r w:rsidR="00D617EB">
              <w:t>with reference to the</w:t>
            </w:r>
            <w:r w:rsidR="00491046">
              <w:t xml:space="preserve"> level within a consent condition</w:t>
            </w:r>
            <w:r w:rsidR="002B619F">
              <w:t>)</w:t>
            </w:r>
            <w:r w:rsidR="00491046" w:rsidRPr="00EB4D4A">
              <w:t>.</w:t>
            </w:r>
          </w:p>
        </w:tc>
      </w:tr>
      <w:tr w:rsidR="00697495" w:rsidRPr="00A83F00" w14:paraId="2C6363D0"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6C8046" w14:textId="77777777" w:rsidR="00697495" w:rsidRPr="006D389B" w:rsidRDefault="00697495"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81C4B0" w14:textId="77777777" w:rsidR="00697495" w:rsidRPr="00A83F00" w:rsidRDefault="00697495" w:rsidP="008030FA">
            <w:pPr>
              <w:pStyle w:val="Bodyromannumerals"/>
            </w:pPr>
            <w:r>
              <w:t>Input field</w:t>
            </w:r>
          </w:p>
        </w:tc>
      </w:tr>
      <w:tr w:rsidR="00697495" w:rsidRPr="006466B5" w14:paraId="317C1B16" w14:textId="77777777" w:rsidTr="008030FA">
        <w:tc>
          <w:tcPr>
            <w:tcW w:w="756" w:type="pct"/>
          </w:tcPr>
          <w:p w14:paraId="7BF8EE29" w14:textId="3FF94E38" w:rsidR="00697495" w:rsidRPr="009254DD" w:rsidRDefault="00697495" w:rsidP="00697495">
            <w:pPr>
              <w:pStyle w:val="Bodyromannumerals"/>
              <w:rPr>
                <w:b/>
                <w:bCs/>
              </w:rPr>
            </w:pPr>
            <w:r w:rsidRPr="0097452A">
              <w:rPr>
                <w:b/>
                <w:bCs/>
              </w:rPr>
              <w:t>C6.30</w:t>
            </w:r>
          </w:p>
        </w:tc>
        <w:tc>
          <w:tcPr>
            <w:tcW w:w="3472" w:type="pct"/>
            <w:gridSpan w:val="2"/>
          </w:tcPr>
          <w:p w14:paraId="17D5A5AA" w14:textId="5A3A9DC6" w:rsidR="00697495" w:rsidRPr="009254DD" w:rsidRDefault="00697495" w:rsidP="00697495">
            <w:pPr>
              <w:pStyle w:val="Bodyromannumerals"/>
              <w:rPr>
                <w:b/>
                <w:bCs/>
                <w:bdr w:val="single" w:sz="4" w:space="0" w:color="auto"/>
              </w:rPr>
            </w:pPr>
            <w:r w:rsidRPr="0097452A">
              <w:rPr>
                <w:b/>
                <w:bCs/>
              </w:rPr>
              <w:t>% of total population equivalent subject to improvement works</w:t>
            </w:r>
          </w:p>
        </w:tc>
        <w:tc>
          <w:tcPr>
            <w:tcW w:w="772" w:type="pct"/>
          </w:tcPr>
          <w:p w14:paraId="7A412D84" w14:textId="15C39032" w:rsidR="00697495" w:rsidRPr="006466B5" w:rsidRDefault="00697495" w:rsidP="00697495">
            <w:pPr>
              <w:pStyle w:val="Bodyromannumerals"/>
              <w:rPr>
                <w:b/>
                <w:bdr w:val="single" w:sz="4" w:space="0" w:color="auto"/>
              </w:rPr>
            </w:pPr>
            <w:r w:rsidRPr="005C0A65">
              <w:rPr>
                <w:b/>
                <w:bCs/>
              </w:rPr>
              <w:t xml:space="preserve">% </w:t>
            </w:r>
          </w:p>
        </w:tc>
      </w:tr>
      <w:tr w:rsidR="00697495" w:rsidRPr="00A83F00" w14:paraId="4CE094BD" w14:textId="77777777" w:rsidTr="00697495">
        <w:tblPrEx>
          <w:tblLook w:val="04A0" w:firstRow="1" w:lastRow="0" w:firstColumn="1" w:lastColumn="0" w:noHBand="0" w:noVBand="1"/>
        </w:tblPrEx>
        <w:tc>
          <w:tcPr>
            <w:tcW w:w="1210" w:type="pct"/>
            <w:gridSpan w:val="2"/>
            <w:tcBorders>
              <w:left w:val="single" w:sz="4" w:space="0" w:color="FFFFFF" w:themeColor="background1"/>
              <w:bottom w:val="nil"/>
              <w:right w:val="single" w:sz="4" w:space="0" w:color="FFFFFF" w:themeColor="background1"/>
            </w:tcBorders>
          </w:tcPr>
          <w:p w14:paraId="0127F7D5" w14:textId="77777777" w:rsidR="00697495" w:rsidRPr="006D389B" w:rsidRDefault="00697495" w:rsidP="008030FA">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755B5BE0" w14:textId="6B656831" w:rsidR="00697495" w:rsidRPr="00A83F00" w:rsidRDefault="00697495" w:rsidP="008030FA">
            <w:pPr>
              <w:pStyle w:val="Bodyromannumerals"/>
            </w:pPr>
            <w:r w:rsidRPr="00697495">
              <w:t xml:space="preserve">The population equivalent served by Coastal Waters </w:t>
            </w:r>
            <w:r w:rsidR="000011BB">
              <w:t>W</w:t>
            </w:r>
            <w:r w:rsidR="00673DB6">
              <w:t>astew</w:t>
            </w:r>
            <w:r w:rsidR="000011BB">
              <w:t>ater</w:t>
            </w:r>
            <w:r w:rsidRPr="00697495">
              <w:t xml:space="preserve"> Treatment </w:t>
            </w:r>
            <w:r w:rsidR="00AB26EA">
              <w:t>Plants</w:t>
            </w:r>
            <w:r w:rsidR="00AB26EA" w:rsidRPr="00697495">
              <w:t xml:space="preserve"> </w:t>
            </w:r>
            <w:r w:rsidRPr="00697495">
              <w:t xml:space="preserve">(continuous discharges) </w:t>
            </w:r>
            <w:r w:rsidR="00475F87">
              <w:t xml:space="preserve">subject to improvement works </w:t>
            </w:r>
            <w:r w:rsidR="00475F87" w:rsidRPr="006466B5">
              <w:t xml:space="preserve">for </w:t>
            </w:r>
            <w:r w:rsidR="00475F87">
              <w:t xml:space="preserve">consent compliance (i.e. </w:t>
            </w:r>
            <w:r w:rsidR="00D617EB">
              <w:t xml:space="preserve">with reference to the </w:t>
            </w:r>
            <w:r w:rsidR="00475F87">
              <w:t>level within a consent condition)</w:t>
            </w:r>
            <w:r w:rsidR="002A5A01" w:rsidRPr="006466B5">
              <w:t xml:space="preserve"> as a percentage of the total population equivalent.</w:t>
            </w:r>
          </w:p>
        </w:tc>
      </w:tr>
      <w:tr w:rsidR="00697495" w:rsidRPr="00A83F00" w14:paraId="787F6D44" w14:textId="77777777" w:rsidTr="00697495">
        <w:tblPrEx>
          <w:tblLook w:val="04A0" w:firstRow="1" w:lastRow="0" w:firstColumn="1" w:lastColumn="0" w:noHBand="0" w:noVBand="1"/>
        </w:tblPrEx>
        <w:tc>
          <w:tcPr>
            <w:tcW w:w="1210" w:type="pct"/>
            <w:gridSpan w:val="2"/>
            <w:tcBorders>
              <w:top w:val="nil"/>
              <w:left w:val="nil"/>
              <w:bottom w:val="nil"/>
              <w:right w:val="nil"/>
            </w:tcBorders>
          </w:tcPr>
          <w:p w14:paraId="181C2C31" w14:textId="5E352EAB" w:rsidR="00697495" w:rsidRPr="006D389B" w:rsidRDefault="00697495" w:rsidP="00697495">
            <w:pPr>
              <w:pStyle w:val="Bodyromannumerals"/>
              <w:rPr>
                <w:bCs/>
                <w:i/>
              </w:rPr>
            </w:pPr>
            <w:r w:rsidRPr="006D389B">
              <w:rPr>
                <w:bCs/>
                <w:i/>
              </w:rPr>
              <w:t>Processing rules:</w:t>
            </w:r>
          </w:p>
        </w:tc>
        <w:tc>
          <w:tcPr>
            <w:tcW w:w="3790" w:type="pct"/>
            <w:gridSpan w:val="2"/>
            <w:tcBorders>
              <w:top w:val="nil"/>
              <w:left w:val="nil"/>
              <w:bottom w:val="nil"/>
              <w:right w:val="nil"/>
            </w:tcBorders>
          </w:tcPr>
          <w:p w14:paraId="0BD7FFDD" w14:textId="394C3BA6" w:rsidR="00697495" w:rsidRPr="00697495" w:rsidRDefault="00697495" w:rsidP="00697495">
            <w:pPr>
              <w:pStyle w:val="Bodyromannumerals"/>
            </w:pPr>
            <w:r>
              <w:t>Input field</w:t>
            </w:r>
          </w:p>
        </w:tc>
      </w:tr>
    </w:tbl>
    <w:p w14:paraId="2F5EBC34" w14:textId="7E4018AA" w:rsidR="00EB4D4A" w:rsidRDefault="009504BF" w:rsidP="00670310">
      <w:pPr>
        <w:pStyle w:val="Bodysub-heading2"/>
      </w:pPr>
      <w:r w:rsidRPr="00EB4D4A">
        <w:t xml:space="preserve">Estuarial waters </w:t>
      </w:r>
      <w:r w:rsidR="00392194" w:rsidRPr="00EB4D4A">
        <w:t xml:space="preserve">– </w:t>
      </w:r>
      <w:r w:rsidR="00D47A55">
        <w:t xml:space="preserve">discharges from CSOs </w:t>
      </w:r>
      <w:r w:rsidR="0074007A">
        <w:t>and</w:t>
      </w:r>
      <w:r w:rsidR="00D47A55">
        <w:t xml:space="preserve"> stormwater systems</w:t>
      </w:r>
      <w:r w:rsidR="00D47A55" w:rsidRPr="00EB4D4A">
        <w:t xml:space="preserve"> </w:t>
      </w:r>
      <w:r w:rsidRPr="00EB4D4A">
        <w:t>(intermittent)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EB4D4A" w:rsidRPr="006466B5" w14:paraId="59916495" w14:textId="77777777" w:rsidTr="008030FA">
        <w:tc>
          <w:tcPr>
            <w:tcW w:w="756" w:type="pct"/>
          </w:tcPr>
          <w:p w14:paraId="55F63C2A" w14:textId="1D16C72B" w:rsidR="00EB4D4A" w:rsidRPr="009254DD" w:rsidRDefault="00EB4D4A" w:rsidP="00EB4D4A">
            <w:pPr>
              <w:pStyle w:val="Bodyromannumerals"/>
              <w:rPr>
                <w:b/>
                <w:bCs/>
              </w:rPr>
            </w:pPr>
            <w:r w:rsidRPr="0097452A">
              <w:rPr>
                <w:b/>
                <w:bCs/>
              </w:rPr>
              <w:t>C6.31</w:t>
            </w:r>
          </w:p>
        </w:tc>
        <w:tc>
          <w:tcPr>
            <w:tcW w:w="3472" w:type="pct"/>
            <w:gridSpan w:val="2"/>
          </w:tcPr>
          <w:p w14:paraId="626EF943" w14:textId="45136724" w:rsidR="00EB4D4A" w:rsidRPr="009254DD" w:rsidRDefault="00EB4D4A" w:rsidP="00EB4D4A">
            <w:pPr>
              <w:pStyle w:val="Bodyromannumerals"/>
              <w:rPr>
                <w:b/>
                <w:bCs/>
                <w:bdr w:val="single" w:sz="4" w:space="0" w:color="auto"/>
              </w:rPr>
            </w:pPr>
            <w:r w:rsidRPr="0097452A">
              <w:rPr>
                <w:b/>
                <w:bCs/>
              </w:rPr>
              <w:t xml:space="preserve">Total number of </w:t>
            </w:r>
            <w:r w:rsidR="0074007A">
              <w:rPr>
                <w:b/>
                <w:bCs/>
              </w:rPr>
              <w:t>discharges from CSOs and stormwater systems subject</w:t>
            </w:r>
            <w:r w:rsidRPr="0097452A">
              <w:rPr>
                <w:b/>
                <w:bCs/>
              </w:rPr>
              <w:t xml:space="preserve"> to improvement works </w:t>
            </w:r>
          </w:p>
        </w:tc>
        <w:tc>
          <w:tcPr>
            <w:tcW w:w="772" w:type="pct"/>
          </w:tcPr>
          <w:p w14:paraId="565D6FA8" w14:textId="6C5B3DB4" w:rsidR="00EB4D4A" w:rsidRPr="006466B5" w:rsidRDefault="00EB4D4A" w:rsidP="00EB4D4A">
            <w:pPr>
              <w:pStyle w:val="Bodyromannumerals"/>
              <w:rPr>
                <w:b/>
                <w:bdr w:val="single" w:sz="4" w:space="0" w:color="auto"/>
              </w:rPr>
            </w:pPr>
            <w:r w:rsidRPr="0097452A">
              <w:rPr>
                <w:b/>
                <w:bCs/>
              </w:rPr>
              <w:t>Nr.</w:t>
            </w:r>
          </w:p>
        </w:tc>
      </w:tr>
      <w:tr w:rsidR="00EB4D4A" w:rsidRPr="00A83F00" w14:paraId="02A801F5" w14:textId="77777777" w:rsidTr="008030FA">
        <w:tblPrEx>
          <w:tblLook w:val="04A0" w:firstRow="1" w:lastRow="0" w:firstColumn="1" w:lastColumn="0" w:noHBand="0" w:noVBand="1"/>
        </w:tblPrEx>
        <w:tc>
          <w:tcPr>
            <w:tcW w:w="1210" w:type="pct"/>
            <w:gridSpan w:val="2"/>
            <w:tcBorders>
              <w:left w:val="single" w:sz="4" w:space="0" w:color="FFFFFF" w:themeColor="background1"/>
              <w:bottom w:val="nil"/>
              <w:right w:val="single" w:sz="4" w:space="0" w:color="FFFFFF" w:themeColor="background1"/>
            </w:tcBorders>
          </w:tcPr>
          <w:p w14:paraId="39CC9F31" w14:textId="77777777" w:rsidR="00EB4D4A" w:rsidRPr="006D389B" w:rsidRDefault="00EB4D4A" w:rsidP="008030FA">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70E04412" w14:textId="46F50FF0" w:rsidR="00EB4D4A" w:rsidRDefault="00EB4D4A" w:rsidP="008030FA">
            <w:pPr>
              <w:pStyle w:val="Bodyromannumerals"/>
            </w:pPr>
            <w:r w:rsidRPr="00EB4D4A">
              <w:t xml:space="preserve">The total number of Estuarial Waters </w:t>
            </w:r>
            <w:r w:rsidR="00D549ED">
              <w:t xml:space="preserve">discharges from </w:t>
            </w:r>
            <w:r w:rsidRPr="00EB4D4A">
              <w:t xml:space="preserve">CSOs </w:t>
            </w:r>
            <w:r w:rsidR="00D549ED">
              <w:t xml:space="preserve">and stormwater systems </w:t>
            </w:r>
            <w:r w:rsidRPr="00EB4D4A">
              <w:t xml:space="preserve">(intermittent) subject to improvement works </w:t>
            </w:r>
            <w:r w:rsidR="004872A0" w:rsidRPr="001C59B8">
              <w:t xml:space="preserve">for </w:t>
            </w:r>
            <w:r w:rsidR="004872A0">
              <w:t xml:space="preserve">consent compliance (i.e. </w:t>
            </w:r>
            <w:r w:rsidR="00D617EB">
              <w:t>with reference to the</w:t>
            </w:r>
            <w:r w:rsidR="004872A0">
              <w:t xml:space="preserve"> level within a consent condition</w:t>
            </w:r>
            <w:r w:rsidR="002B619F">
              <w:t>).</w:t>
            </w:r>
          </w:p>
          <w:p w14:paraId="603CE095" w14:textId="0C9F2151" w:rsidR="0087742F" w:rsidRDefault="0087742F" w:rsidP="0087742F">
            <w:pPr>
              <w:pStyle w:val="Bodyromannumerals"/>
            </w:pPr>
            <w:r>
              <w:t xml:space="preserve">These </w:t>
            </w:r>
            <w:r w:rsidR="0074007A">
              <w:t xml:space="preserve">include </w:t>
            </w:r>
            <w:r>
              <w:t xml:space="preserve">engineered combined sewer overflows (wastewater and stormwater) which have intermittent discharges to estuarial waters. Please report discharges from the network that are not compliant with the consent. </w:t>
            </w:r>
          </w:p>
          <w:p w14:paraId="7A03E653" w14:textId="0DD649F7" w:rsidR="007A3DE0" w:rsidRPr="00A83F00" w:rsidRDefault="007A3DE0" w:rsidP="008030FA">
            <w:pPr>
              <w:pStyle w:val="Bodyromannumerals"/>
            </w:pPr>
          </w:p>
        </w:tc>
      </w:tr>
      <w:tr w:rsidR="00EB4D4A" w:rsidRPr="00A83F00" w14:paraId="17C2D601" w14:textId="77777777" w:rsidTr="008030FA">
        <w:tblPrEx>
          <w:tblLook w:val="04A0" w:firstRow="1" w:lastRow="0" w:firstColumn="1" w:lastColumn="0" w:noHBand="0" w:noVBand="1"/>
        </w:tblPrEx>
        <w:tc>
          <w:tcPr>
            <w:tcW w:w="1210" w:type="pct"/>
            <w:gridSpan w:val="2"/>
            <w:tcBorders>
              <w:top w:val="nil"/>
              <w:left w:val="nil"/>
              <w:bottom w:val="nil"/>
              <w:right w:val="nil"/>
            </w:tcBorders>
          </w:tcPr>
          <w:p w14:paraId="025FB49A" w14:textId="77777777" w:rsidR="00EB4D4A" w:rsidRPr="006D389B" w:rsidRDefault="00EB4D4A" w:rsidP="008030FA">
            <w:pPr>
              <w:pStyle w:val="Bodyromannumerals"/>
              <w:rPr>
                <w:bCs/>
                <w:i/>
              </w:rPr>
            </w:pPr>
            <w:r w:rsidRPr="006D389B">
              <w:rPr>
                <w:bCs/>
                <w:i/>
              </w:rPr>
              <w:t>Processing rules:</w:t>
            </w:r>
          </w:p>
        </w:tc>
        <w:tc>
          <w:tcPr>
            <w:tcW w:w="3790" w:type="pct"/>
            <w:gridSpan w:val="2"/>
            <w:tcBorders>
              <w:top w:val="nil"/>
              <w:left w:val="nil"/>
              <w:bottom w:val="nil"/>
              <w:right w:val="nil"/>
            </w:tcBorders>
          </w:tcPr>
          <w:p w14:paraId="2CA02BF3" w14:textId="77777777" w:rsidR="00EB4D4A" w:rsidRPr="00697495" w:rsidRDefault="00EB4D4A" w:rsidP="008030FA">
            <w:pPr>
              <w:pStyle w:val="Bodyromannumerals"/>
            </w:pPr>
            <w:r>
              <w:t>Input field</w:t>
            </w:r>
          </w:p>
        </w:tc>
      </w:tr>
    </w:tbl>
    <w:p w14:paraId="7A07E0B7" w14:textId="77777777" w:rsidR="00B30600" w:rsidRDefault="00B30600" w:rsidP="00670310">
      <w:pPr>
        <w:pStyle w:val="Bodysub-heading2"/>
      </w:pPr>
    </w:p>
    <w:p w14:paraId="05CDB8B0" w14:textId="07C3B51D" w:rsidR="00940E3A" w:rsidRDefault="009504BF" w:rsidP="00670310">
      <w:pPr>
        <w:pStyle w:val="Bodysub-heading2"/>
      </w:pPr>
      <w:r w:rsidRPr="00EB4D4A">
        <w:t>Estuarial waters –</w:t>
      </w:r>
      <w:r>
        <w:t>wastewater</w:t>
      </w:r>
      <w:r w:rsidRPr="00EB4D4A">
        <w:t xml:space="preserve"> treatment (continuous discharges</w:t>
      </w:r>
      <w:r w:rsidR="00392194" w:rsidRPr="00EB4D4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EB4D4A" w:rsidRPr="006466B5" w14:paraId="2CCEA9D0" w14:textId="77777777" w:rsidTr="008030FA">
        <w:tc>
          <w:tcPr>
            <w:tcW w:w="756" w:type="pct"/>
          </w:tcPr>
          <w:p w14:paraId="10852FEA" w14:textId="569593F2" w:rsidR="00EB4D4A" w:rsidRPr="009254DD" w:rsidRDefault="00EB4D4A" w:rsidP="00EB4D4A">
            <w:pPr>
              <w:pStyle w:val="Bodyromannumerals"/>
              <w:rPr>
                <w:b/>
                <w:bCs/>
              </w:rPr>
            </w:pPr>
            <w:r w:rsidRPr="00B953DF">
              <w:rPr>
                <w:b/>
                <w:bCs/>
              </w:rPr>
              <w:t>C6.32</w:t>
            </w:r>
          </w:p>
        </w:tc>
        <w:tc>
          <w:tcPr>
            <w:tcW w:w="3472" w:type="pct"/>
            <w:gridSpan w:val="2"/>
          </w:tcPr>
          <w:p w14:paraId="608BD875" w14:textId="1D693799" w:rsidR="00EB4D4A" w:rsidRPr="009254DD" w:rsidRDefault="00EB4D4A" w:rsidP="00EB4D4A">
            <w:pPr>
              <w:pStyle w:val="Bodyromannumerals"/>
              <w:rPr>
                <w:b/>
                <w:bCs/>
                <w:bdr w:val="single" w:sz="4" w:space="0" w:color="auto"/>
              </w:rPr>
            </w:pPr>
            <w:r w:rsidRPr="00B953DF">
              <w:rPr>
                <w:b/>
                <w:bCs/>
              </w:rPr>
              <w:t xml:space="preserve">Total number of </w:t>
            </w:r>
            <w:r w:rsidR="00673DB6">
              <w:rPr>
                <w:b/>
                <w:bCs/>
              </w:rPr>
              <w:t>waste</w:t>
            </w:r>
            <w:r w:rsidR="000011BB">
              <w:rPr>
                <w:b/>
                <w:bCs/>
              </w:rPr>
              <w:t>water</w:t>
            </w:r>
            <w:r w:rsidRPr="00B953DF">
              <w:rPr>
                <w:b/>
                <w:bCs/>
              </w:rPr>
              <w:t xml:space="preserve"> treatment </w:t>
            </w:r>
            <w:r w:rsidR="00AB26EA">
              <w:rPr>
                <w:b/>
                <w:bCs/>
              </w:rPr>
              <w:t>plants</w:t>
            </w:r>
            <w:r w:rsidR="00AB26EA" w:rsidRPr="00B953DF">
              <w:rPr>
                <w:b/>
                <w:bCs/>
              </w:rPr>
              <w:t xml:space="preserve"> </w:t>
            </w:r>
            <w:r w:rsidRPr="00B953DF">
              <w:rPr>
                <w:b/>
                <w:bCs/>
              </w:rPr>
              <w:t>subject to improvement works</w:t>
            </w:r>
          </w:p>
        </w:tc>
        <w:tc>
          <w:tcPr>
            <w:tcW w:w="772" w:type="pct"/>
          </w:tcPr>
          <w:p w14:paraId="6FFBE009" w14:textId="5CD0AB93" w:rsidR="00EB4D4A" w:rsidRPr="006466B5" w:rsidRDefault="00EB4D4A" w:rsidP="00EB4D4A">
            <w:pPr>
              <w:pStyle w:val="Bodyromannumerals"/>
              <w:rPr>
                <w:b/>
                <w:bdr w:val="single" w:sz="4" w:space="0" w:color="auto"/>
              </w:rPr>
            </w:pPr>
            <w:r w:rsidRPr="00B953DF">
              <w:rPr>
                <w:b/>
                <w:bCs/>
              </w:rPr>
              <w:t>Nr.</w:t>
            </w:r>
          </w:p>
        </w:tc>
      </w:tr>
      <w:tr w:rsidR="00EB4D4A" w:rsidRPr="00A83F00" w14:paraId="6D17BC5D"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0F5563D0" w14:textId="77777777" w:rsidR="00EB4D4A" w:rsidRPr="006D389B" w:rsidRDefault="00EB4D4A"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1A661394" w14:textId="3A4FED14" w:rsidR="00EB4D4A" w:rsidRDefault="00EB4D4A" w:rsidP="008030FA">
            <w:pPr>
              <w:pStyle w:val="Bodyromannumerals"/>
            </w:pPr>
            <w:r w:rsidRPr="00EB4D4A">
              <w:t xml:space="preserve">The total number of Estuarial Waters </w:t>
            </w:r>
            <w:r w:rsidR="000011BB">
              <w:t>W</w:t>
            </w:r>
            <w:r w:rsidR="00673DB6">
              <w:t>astew</w:t>
            </w:r>
            <w:r w:rsidR="000011BB">
              <w:t>a</w:t>
            </w:r>
            <w:r w:rsidR="00AB26EA">
              <w:t>ter</w:t>
            </w:r>
            <w:r w:rsidRPr="00EB4D4A">
              <w:t xml:space="preserve"> Treatment </w:t>
            </w:r>
            <w:r w:rsidR="00AB26EA">
              <w:t>Plants</w:t>
            </w:r>
            <w:r w:rsidR="00AB26EA" w:rsidRPr="00EB4D4A">
              <w:t xml:space="preserve"> </w:t>
            </w:r>
            <w:r w:rsidRPr="00EB4D4A">
              <w:t xml:space="preserve">(continuous discharges) subject to improvement works for </w:t>
            </w:r>
            <w:r w:rsidR="007939D8">
              <w:t xml:space="preserve">consent compliance (i.e. </w:t>
            </w:r>
            <w:r w:rsidR="00C12F49">
              <w:t xml:space="preserve">with reference to the </w:t>
            </w:r>
            <w:r w:rsidR="007939D8">
              <w:t>level within a consent condition</w:t>
            </w:r>
            <w:r w:rsidR="003D521B">
              <w:t>)</w:t>
            </w:r>
            <w:r w:rsidRPr="00EB4D4A">
              <w:t>.</w:t>
            </w:r>
          </w:p>
          <w:p w14:paraId="5909E769" w14:textId="60DB2ECF" w:rsidR="002A574D" w:rsidRDefault="002A574D" w:rsidP="002A574D">
            <w:pPr>
              <w:pStyle w:val="Bodyromannumerals"/>
            </w:pPr>
            <w:r>
              <w:t xml:space="preserve">These cover continuous discharges to the estuarial waters from the wastewater treatment plant that are not compliant with the consent. </w:t>
            </w:r>
          </w:p>
          <w:p w14:paraId="59E2CE78" w14:textId="7026C525" w:rsidR="002A574D" w:rsidRPr="00A83F00" w:rsidRDefault="002A574D" w:rsidP="008030FA">
            <w:pPr>
              <w:pStyle w:val="Bodyromannumerals"/>
            </w:pPr>
          </w:p>
        </w:tc>
      </w:tr>
      <w:tr w:rsidR="00EB4D4A" w:rsidRPr="00A83F00" w14:paraId="5F6E1A97"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A235C5" w14:textId="77777777" w:rsidR="00EB4D4A" w:rsidRPr="006D389B" w:rsidRDefault="00EB4D4A"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59550" w14:textId="77777777" w:rsidR="00EB4D4A" w:rsidRPr="00A83F00" w:rsidRDefault="00EB4D4A" w:rsidP="008030FA">
            <w:pPr>
              <w:pStyle w:val="Bodyromannumerals"/>
            </w:pPr>
            <w:r>
              <w:t>Input field</w:t>
            </w:r>
          </w:p>
        </w:tc>
      </w:tr>
      <w:tr w:rsidR="00EB4D4A" w:rsidRPr="006466B5" w14:paraId="5D1F2722" w14:textId="77777777" w:rsidTr="008030FA">
        <w:tc>
          <w:tcPr>
            <w:tcW w:w="756" w:type="pct"/>
          </w:tcPr>
          <w:p w14:paraId="1DFF0EB7" w14:textId="102DAE02" w:rsidR="00EB4D4A" w:rsidRPr="009254DD" w:rsidRDefault="00EB4D4A" w:rsidP="00EB4D4A">
            <w:pPr>
              <w:pStyle w:val="Bodyromannumerals"/>
              <w:rPr>
                <w:b/>
                <w:bCs/>
              </w:rPr>
            </w:pPr>
            <w:r w:rsidRPr="00571C50">
              <w:rPr>
                <w:b/>
                <w:bCs/>
              </w:rPr>
              <w:t>C6.33</w:t>
            </w:r>
          </w:p>
        </w:tc>
        <w:tc>
          <w:tcPr>
            <w:tcW w:w="3472" w:type="pct"/>
            <w:gridSpan w:val="2"/>
          </w:tcPr>
          <w:p w14:paraId="5CE43F9F" w14:textId="43794B08" w:rsidR="00EB4D4A" w:rsidRPr="009254DD" w:rsidRDefault="00EB4D4A" w:rsidP="00EB4D4A">
            <w:pPr>
              <w:pStyle w:val="Bodyromannumerals"/>
              <w:rPr>
                <w:b/>
                <w:bCs/>
                <w:bdr w:val="single" w:sz="4" w:space="0" w:color="auto"/>
              </w:rPr>
            </w:pPr>
            <w:r w:rsidRPr="00571C50">
              <w:rPr>
                <w:b/>
                <w:bCs/>
              </w:rPr>
              <w:t>Population equivalent subject to improvement works</w:t>
            </w:r>
          </w:p>
        </w:tc>
        <w:tc>
          <w:tcPr>
            <w:tcW w:w="772" w:type="pct"/>
          </w:tcPr>
          <w:p w14:paraId="3B6998FE" w14:textId="1F40569D" w:rsidR="00EB4D4A" w:rsidRPr="006466B5" w:rsidRDefault="00EB4D4A" w:rsidP="00EB4D4A">
            <w:pPr>
              <w:pStyle w:val="Bodyromannumerals"/>
              <w:rPr>
                <w:b/>
                <w:bdr w:val="single" w:sz="4" w:space="0" w:color="auto"/>
              </w:rPr>
            </w:pPr>
            <w:r w:rsidRPr="00571C50">
              <w:rPr>
                <w:b/>
                <w:bCs/>
              </w:rPr>
              <w:t>000</w:t>
            </w:r>
          </w:p>
        </w:tc>
      </w:tr>
      <w:tr w:rsidR="00EB4D4A" w:rsidRPr="00A83F00" w14:paraId="514F8BC0"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0F2D1B8C" w14:textId="77777777" w:rsidR="00EB4D4A" w:rsidRPr="006D389B" w:rsidRDefault="00EB4D4A"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50867551" w14:textId="2746FD1F" w:rsidR="00EB4D4A" w:rsidRPr="00A83F00" w:rsidRDefault="00EB4D4A" w:rsidP="008030FA">
            <w:pPr>
              <w:pStyle w:val="Bodyromannumerals"/>
            </w:pPr>
            <w:r w:rsidRPr="00EB4D4A">
              <w:t xml:space="preserve">Population equivalent </w:t>
            </w:r>
            <w:r w:rsidR="00221F84">
              <w:t xml:space="preserve">served by </w:t>
            </w:r>
            <w:r w:rsidR="00221F84" w:rsidRPr="00EB4D4A">
              <w:t xml:space="preserve">Estuarial Waters </w:t>
            </w:r>
            <w:r w:rsidR="00221F84">
              <w:t>Wastewater</w:t>
            </w:r>
            <w:r w:rsidR="00221F84" w:rsidRPr="00EB4D4A">
              <w:t xml:space="preserve"> Treatment </w:t>
            </w:r>
            <w:r w:rsidR="00221F84">
              <w:t>Plants</w:t>
            </w:r>
            <w:r w:rsidR="00221F84" w:rsidRPr="00EB4D4A">
              <w:t xml:space="preserve"> </w:t>
            </w:r>
            <w:r w:rsidR="002A2CB6">
              <w:t xml:space="preserve">subject to improvement works </w:t>
            </w:r>
            <w:r w:rsidR="002A2CB6" w:rsidRPr="001C59B8">
              <w:t xml:space="preserve">for </w:t>
            </w:r>
            <w:r w:rsidR="002A2CB6">
              <w:t xml:space="preserve">consent compliance (i.e. </w:t>
            </w:r>
            <w:r w:rsidR="00C12F49">
              <w:t xml:space="preserve">with reference to the </w:t>
            </w:r>
            <w:r w:rsidR="002A2CB6">
              <w:t>level within a consent condition</w:t>
            </w:r>
            <w:r w:rsidR="00C12F49">
              <w:t>)</w:t>
            </w:r>
            <w:r w:rsidRPr="00EB4D4A">
              <w:t>.</w:t>
            </w:r>
          </w:p>
        </w:tc>
      </w:tr>
      <w:tr w:rsidR="00EB4D4A" w:rsidRPr="00A83F00" w14:paraId="1B143781"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B13118" w14:textId="3CE36AA1" w:rsidR="00EB4D4A" w:rsidRPr="006D389B" w:rsidRDefault="00EB4D4A"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B55895" w14:textId="77777777" w:rsidR="00EB4D4A" w:rsidRPr="00A83F00" w:rsidRDefault="00EB4D4A" w:rsidP="008030FA">
            <w:pPr>
              <w:pStyle w:val="Bodyromannumerals"/>
            </w:pPr>
            <w:r>
              <w:t>Input field</w:t>
            </w:r>
          </w:p>
        </w:tc>
      </w:tr>
    </w:tbl>
    <w:p w14:paraId="79EE4756" w14:textId="459D0672" w:rsidR="007B444A" w:rsidRDefault="007B44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EB4D4A" w:rsidRPr="006466B5" w14:paraId="645F42CA" w14:textId="77777777" w:rsidTr="008030FA">
        <w:tc>
          <w:tcPr>
            <w:tcW w:w="756" w:type="pct"/>
          </w:tcPr>
          <w:p w14:paraId="71A20E93" w14:textId="06976AF1" w:rsidR="00EB4D4A" w:rsidRPr="009254DD" w:rsidRDefault="00EB4D4A" w:rsidP="00EB4D4A">
            <w:pPr>
              <w:pStyle w:val="Bodyromannumerals"/>
              <w:rPr>
                <w:b/>
                <w:bCs/>
              </w:rPr>
            </w:pPr>
            <w:r w:rsidRPr="00571C50">
              <w:rPr>
                <w:b/>
                <w:bCs/>
              </w:rPr>
              <w:t>C6.34</w:t>
            </w:r>
          </w:p>
        </w:tc>
        <w:tc>
          <w:tcPr>
            <w:tcW w:w="3472" w:type="pct"/>
            <w:gridSpan w:val="2"/>
          </w:tcPr>
          <w:p w14:paraId="71161EE0" w14:textId="65C1021A" w:rsidR="00EB4D4A" w:rsidRPr="009254DD" w:rsidRDefault="00EB4D4A" w:rsidP="00EB4D4A">
            <w:pPr>
              <w:pStyle w:val="Bodyromannumerals"/>
              <w:rPr>
                <w:b/>
                <w:bCs/>
                <w:bdr w:val="single" w:sz="4" w:space="0" w:color="auto"/>
              </w:rPr>
            </w:pPr>
            <w:r w:rsidRPr="00571C50">
              <w:rPr>
                <w:b/>
                <w:bCs/>
              </w:rPr>
              <w:t>% of total population equivalent subject to improvement works</w:t>
            </w:r>
          </w:p>
        </w:tc>
        <w:tc>
          <w:tcPr>
            <w:tcW w:w="772" w:type="pct"/>
          </w:tcPr>
          <w:p w14:paraId="78AB72C7" w14:textId="387A8D5E" w:rsidR="00EB4D4A" w:rsidRPr="006466B5" w:rsidRDefault="00EB4D4A" w:rsidP="00EB4D4A">
            <w:pPr>
              <w:pStyle w:val="Bodyromannumerals"/>
              <w:rPr>
                <w:b/>
                <w:bdr w:val="single" w:sz="4" w:space="0" w:color="auto"/>
              </w:rPr>
            </w:pPr>
            <w:r w:rsidRPr="00571C50">
              <w:rPr>
                <w:b/>
                <w:bCs/>
              </w:rPr>
              <w:t xml:space="preserve">% </w:t>
            </w:r>
          </w:p>
        </w:tc>
      </w:tr>
      <w:tr w:rsidR="00EB4D4A" w:rsidRPr="00A83F00" w14:paraId="074A5D02" w14:textId="77777777" w:rsidTr="00EB4D4A">
        <w:tblPrEx>
          <w:tblLook w:val="04A0" w:firstRow="1" w:lastRow="0" w:firstColumn="1" w:lastColumn="0" w:noHBand="0" w:noVBand="1"/>
        </w:tblPrEx>
        <w:tc>
          <w:tcPr>
            <w:tcW w:w="1210" w:type="pct"/>
            <w:gridSpan w:val="2"/>
            <w:tcBorders>
              <w:left w:val="single" w:sz="4" w:space="0" w:color="FFFFFF" w:themeColor="background1"/>
              <w:bottom w:val="nil"/>
              <w:right w:val="single" w:sz="4" w:space="0" w:color="FFFFFF" w:themeColor="background1"/>
            </w:tcBorders>
          </w:tcPr>
          <w:p w14:paraId="35921B05" w14:textId="77777777" w:rsidR="00EB4D4A" w:rsidRPr="006D389B" w:rsidRDefault="00EB4D4A" w:rsidP="008030FA">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6AE9E169" w14:textId="69695478" w:rsidR="002A5A01" w:rsidRDefault="00EB4D4A" w:rsidP="002A5A01">
            <w:pPr>
              <w:pStyle w:val="Bodyromannumerals"/>
            </w:pPr>
            <w:r w:rsidRPr="00EB4D4A">
              <w:t xml:space="preserve">The population equivalent served by Estuarial Waters </w:t>
            </w:r>
            <w:r w:rsidR="00673DB6">
              <w:t>w</w:t>
            </w:r>
            <w:r w:rsidR="000011BB">
              <w:t>astewater</w:t>
            </w:r>
            <w:r w:rsidRPr="00EB4D4A">
              <w:t xml:space="preserve"> </w:t>
            </w:r>
            <w:r w:rsidR="00673DB6">
              <w:t>t</w:t>
            </w:r>
            <w:r w:rsidR="00673DB6" w:rsidRPr="00EB4D4A">
              <w:t xml:space="preserve">reatment </w:t>
            </w:r>
            <w:r w:rsidR="00673DB6">
              <w:t>p</w:t>
            </w:r>
            <w:r w:rsidR="00AB26EA">
              <w:t>lants</w:t>
            </w:r>
            <w:r w:rsidR="00AB26EA" w:rsidRPr="00EB4D4A">
              <w:t xml:space="preserve"> </w:t>
            </w:r>
            <w:r w:rsidRPr="00EB4D4A">
              <w:t xml:space="preserve">(continuous discharges) </w:t>
            </w:r>
            <w:r w:rsidR="00475F87">
              <w:t xml:space="preserve">subject to improvement works </w:t>
            </w:r>
            <w:r w:rsidR="00475F87" w:rsidRPr="006466B5">
              <w:t xml:space="preserve">for </w:t>
            </w:r>
            <w:r w:rsidR="00475F87">
              <w:t xml:space="preserve">consent compliance (i.e. </w:t>
            </w:r>
            <w:r w:rsidR="0092698D">
              <w:t xml:space="preserve">with reference to the </w:t>
            </w:r>
            <w:r w:rsidR="00475F87">
              <w:t>level within a consent condition)</w:t>
            </w:r>
            <w:r w:rsidR="002A5A01">
              <w:t xml:space="preserve"> </w:t>
            </w:r>
            <w:r w:rsidR="002A5A01" w:rsidRPr="006466B5">
              <w:t>as a percentage of the total population equivalent.</w:t>
            </w:r>
          </w:p>
          <w:p w14:paraId="41236E46" w14:textId="29796C76" w:rsidR="00EB4D4A" w:rsidRPr="00A83F00" w:rsidRDefault="00EB4D4A" w:rsidP="008030FA">
            <w:pPr>
              <w:pStyle w:val="Bodyromannumerals"/>
            </w:pPr>
          </w:p>
        </w:tc>
      </w:tr>
      <w:tr w:rsidR="00EB4D4A" w:rsidRPr="00A83F00" w14:paraId="721D0F7C" w14:textId="77777777" w:rsidTr="00EB4D4A">
        <w:tblPrEx>
          <w:tblLook w:val="04A0" w:firstRow="1" w:lastRow="0" w:firstColumn="1" w:lastColumn="0" w:noHBand="0" w:noVBand="1"/>
        </w:tblPrEx>
        <w:tc>
          <w:tcPr>
            <w:tcW w:w="1210" w:type="pct"/>
            <w:gridSpan w:val="2"/>
            <w:tcBorders>
              <w:top w:val="nil"/>
              <w:left w:val="nil"/>
              <w:bottom w:val="nil"/>
              <w:right w:val="nil"/>
            </w:tcBorders>
          </w:tcPr>
          <w:p w14:paraId="294B798E" w14:textId="7B7E8145" w:rsidR="00EB4D4A" w:rsidRPr="006D389B" w:rsidRDefault="00EB4D4A" w:rsidP="008030FA">
            <w:pPr>
              <w:pStyle w:val="Bodyromannumerals"/>
              <w:rPr>
                <w:bCs/>
                <w:i/>
              </w:rPr>
            </w:pPr>
            <w:r w:rsidRPr="006D389B">
              <w:rPr>
                <w:bCs/>
                <w:i/>
              </w:rPr>
              <w:t>Processing rules:</w:t>
            </w:r>
          </w:p>
        </w:tc>
        <w:tc>
          <w:tcPr>
            <w:tcW w:w="3790" w:type="pct"/>
            <w:gridSpan w:val="2"/>
            <w:tcBorders>
              <w:top w:val="nil"/>
              <w:left w:val="nil"/>
              <w:bottom w:val="nil"/>
              <w:right w:val="nil"/>
            </w:tcBorders>
          </w:tcPr>
          <w:p w14:paraId="4F831081" w14:textId="4AA03965" w:rsidR="00EB4D4A" w:rsidRPr="00EB4D4A" w:rsidRDefault="00EB4D4A" w:rsidP="008030FA">
            <w:pPr>
              <w:pStyle w:val="Bodyromannumerals"/>
            </w:pPr>
            <w:r>
              <w:t>Input field</w:t>
            </w:r>
          </w:p>
        </w:tc>
      </w:tr>
    </w:tbl>
    <w:p w14:paraId="2D66CF8F" w14:textId="77777777" w:rsidR="008A7980" w:rsidRDefault="008A7980" w:rsidP="00571C50">
      <w:pPr>
        <w:pStyle w:val="Sectionsub-heading"/>
      </w:pPr>
      <w:r>
        <w:br w:type="page"/>
      </w:r>
    </w:p>
    <w:p w14:paraId="73C89E4B" w14:textId="053A6CA6" w:rsidR="00940E3A" w:rsidRDefault="00940E3A" w:rsidP="00571C50">
      <w:pPr>
        <w:pStyle w:val="Sectionsub-heading"/>
      </w:pPr>
      <w:r w:rsidRPr="006466B5">
        <w:t xml:space="preserve">BLOCK </w:t>
      </w:r>
      <w:r w:rsidR="00E6309E">
        <w:t>4</w:t>
      </w:r>
      <w:r w:rsidRPr="006466B5">
        <w:t xml:space="preserve">: DRIVER:  </w:t>
      </w:r>
      <w:r w:rsidR="009504BF" w:rsidRPr="006466B5">
        <w:t xml:space="preserve">SLUDGE (USE IN AGRICULTURE)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C740F4" w:rsidRPr="006466B5" w14:paraId="7FBFD9F2" w14:textId="77777777" w:rsidTr="008030FA">
        <w:tc>
          <w:tcPr>
            <w:tcW w:w="756" w:type="pct"/>
          </w:tcPr>
          <w:p w14:paraId="412369F1" w14:textId="72D19730" w:rsidR="00C740F4" w:rsidRPr="009254DD" w:rsidRDefault="00C740F4" w:rsidP="00C740F4">
            <w:pPr>
              <w:pStyle w:val="Bodyromannumerals"/>
              <w:rPr>
                <w:b/>
                <w:bCs/>
              </w:rPr>
            </w:pPr>
            <w:r w:rsidRPr="00571C50">
              <w:rPr>
                <w:b/>
                <w:bCs/>
              </w:rPr>
              <w:t>C6.47</w:t>
            </w:r>
          </w:p>
        </w:tc>
        <w:tc>
          <w:tcPr>
            <w:tcW w:w="3472" w:type="pct"/>
            <w:gridSpan w:val="2"/>
          </w:tcPr>
          <w:p w14:paraId="06A417E6" w14:textId="28A6CC06" w:rsidR="00C740F4" w:rsidRPr="009254DD" w:rsidRDefault="00C740F4" w:rsidP="00C740F4">
            <w:pPr>
              <w:pStyle w:val="Bodyromannumerals"/>
              <w:rPr>
                <w:b/>
                <w:bCs/>
                <w:bdr w:val="single" w:sz="4" w:space="0" w:color="auto"/>
              </w:rPr>
            </w:pPr>
            <w:r w:rsidRPr="00571C50">
              <w:rPr>
                <w:b/>
                <w:bCs/>
              </w:rPr>
              <w:t xml:space="preserve">Total number </w:t>
            </w:r>
            <w:r w:rsidR="001D1149">
              <w:rPr>
                <w:b/>
                <w:bCs/>
              </w:rPr>
              <w:t xml:space="preserve">of </w:t>
            </w:r>
            <w:r w:rsidRPr="00571C50">
              <w:rPr>
                <w:b/>
                <w:bCs/>
              </w:rPr>
              <w:t xml:space="preserve">new or enlarged sludge treatment </w:t>
            </w:r>
            <w:r w:rsidR="00A43F42">
              <w:rPr>
                <w:b/>
                <w:bCs/>
              </w:rPr>
              <w:t>facilities</w:t>
            </w:r>
            <w:r w:rsidRPr="00571C50">
              <w:rPr>
                <w:b/>
                <w:bCs/>
              </w:rPr>
              <w:t xml:space="preserve"> in improvement programme</w:t>
            </w:r>
          </w:p>
        </w:tc>
        <w:tc>
          <w:tcPr>
            <w:tcW w:w="772" w:type="pct"/>
          </w:tcPr>
          <w:p w14:paraId="603581C2" w14:textId="7DBD3675" w:rsidR="00C740F4" w:rsidRPr="006466B5" w:rsidRDefault="00C740F4" w:rsidP="00C740F4">
            <w:pPr>
              <w:pStyle w:val="Bodyromannumerals"/>
              <w:rPr>
                <w:b/>
                <w:bdr w:val="single" w:sz="4" w:space="0" w:color="auto"/>
              </w:rPr>
            </w:pPr>
            <w:r w:rsidRPr="00571C50">
              <w:rPr>
                <w:b/>
                <w:bCs/>
              </w:rPr>
              <w:t>Nr.</w:t>
            </w:r>
          </w:p>
        </w:tc>
      </w:tr>
      <w:tr w:rsidR="00C740F4" w:rsidRPr="00A83F00" w14:paraId="4023FF46"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7E191D62" w14:textId="77777777" w:rsidR="00C740F4" w:rsidRPr="006D389B" w:rsidRDefault="00C740F4"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58DC8761" w14:textId="350F80FF" w:rsidR="00C740F4" w:rsidRDefault="00C740F4" w:rsidP="008030FA">
            <w:pPr>
              <w:pStyle w:val="Bodyromannumerals"/>
            </w:pPr>
            <w:r w:rsidRPr="00C740F4">
              <w:t>The total number of New or Enlarged Sludge Treatment Works subject to improvement works for Driver: Sludge (Use in Agriculture)</w:t>
            </w:r>
            <w:r>
              <w:t>.</w:t>
            </w:r>
          </w:p>
          <w:p w14:paraId="22B23825" w14:textId="17E7B4E0" w:rsidR="00B5799D" w:rsidRDefault="00B5799D" w:rsidP="00B5799D">
            <w:pPr>
              <w:pStyle w:val="Bodyromannumerals"/>
            </w:pPr>
            <w:r>
              <w:t>“Use</w:t>
            </w:r>
            <w:r w:rsidR="0072545F">
              <w:t xml:space="preserve"> in Agriculture</w:t>
            </w:r>
            <w:r>
              <w:t xml:space="preserve">” </w:t>
            </w:r>
            <w:r w:rsidR="0072545F">
              <w:t>refers to</w:t>
            </w:r>
            <w:r>
              <w:t xml:space="preserve"> spreading </w:t>
            </w:r>
            <w:r w:rsidR="00244A34">
              <w:t xml:space="preserve">of </w:t>
            </w:r>
            <w:r w:rsidR="00A92FC1">
              <w:t>treated sewage sludge (</w:t>
            </w:r>
            <w:r w:rsidR="00A92FC1" w:rsidRPr="007013F6">
              <w:rPr>
                <w:color w:val="000000"/>
                <w:lang w:eastAsia="en-GB"/>
              </w:rPr>
              <w:t>can be in cake, granular/pellet or liquid forms</w:t>
            </w:r>
            <w:r w:rsidR="00A92FC1">
              <w:rPr>
                <w:color w:val="000000"/>
                <w:lang w:eastAsia="en-GB"/>
              </w:rPr>
              <w:t xml:space="preserve">) </w:t>
            </w:r>
            <w:r>
              <w:t>on the soil or any other application on or in the soil</w:t>
            </w:r>
            <w:r w:rsidR="0072545F">
              <w:t xml:space="preserve"> for agricultural purpo</w:t>
            </w:r>
            <w:r w:rsidR="00507D6F">
              <w:t>ses</w:t>
            </w:r>
            <w:r>
              <w:t>.</w:t>
            </w:r>
          </w:p>
          <w:p w14:paraId="24893E33" w14:textId="0C8C20B9" w:rsidR="00BB4899" w:rsidRPr="00A83F00" w:rsidRDefault="00BB4899" w:rsidP="008030FA">
            <w:pPr>
              <w:pStyle w:val="Bodyromannumerals"/>
            </w:pPr>
            <w:r>
              <w:t xml:space="preserve">For the avoidance of doubt, </w:t>
            </w:r>
            <w:r w:rsidR="00A43F42">
              <w:t>this includes sludge treatment processes at wastewater treatment plants and stand-alone sludge plants.</w:t>
            </w:r>
          </w:p>
        </w:tc>
      </w:tr>
      <w:tr w:rsidR="00C740F4" w:rsidRPr="00A83F00" w14:paraId="5B7F73A6"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04E49D" w14:textId="77777777" w:rsidR="00C740F4" w:rsidRPr="006D389B" w:rsidRDefault="00C740F4"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C3401E" w14:textId="77777777" w:rsidR="00C740F4" w:rsidRPr="00A83F00" w:rsidRDefault="00C740F4" w:rsidP="008030FA">
            <w:pPr>
              <w:pStyle w:val="Bodyromannumerals"/>
            </w:pPr>
            <w:r>
              <w:t>Input field</w:t>
            </w:r>
          </w:p>
        </w:tc>
      </w:tr>
      <w:tr w:rsidR="00C740F4" w:rsidRPr="006466B5" w14:paraId="07139C59" w14:textId="77777777" w:rsidTr="008030FA">
        <w:tc>
          <w:tcPr>
            <w:tcW w:w="756" w:type="pct"/>
          </w:tcPr>
          <w:p w14:paraId="43847C59" w14:textId="1287A690" w:rsidR="00C740F4" w:rsidRPr="009254DD" w:rsidRDefault="00C740F4" w:rsidP="00C740F4">
            <w:pPr>
              <w:pStyle w:val="Bodyromannumerals"/>
              <w:rPr>
                <w:b/>
                <w:bCs/>
              </w:rPr>
            </w:pPr>
            <w:r w:rsidRPr="00571C50">
              <w:rPr>
                <w:b/>
                <w:bCs/>
              </w:rPr>
              <w:t>C6.48</w:t>
            </w:r>
          </w:p>
        </w:tc>
        <w:tc>
          <w:tcPr>
            <w:tcW w:w="3472" w:type="pct"/>
            <w:gridSpan w:val="2"/>
          </w:tcPr>
          <w:p w14:paraId="4CA34264" w14:textId="2ED47893" w:rsidR="00C740F4" w:rsidRPr="009254DD" w:rsidRDefault="00C740F4" w:rsidP="00C740F4">
            <w:pPr>
              <w:pStyle w:val="Bodyromannumerals"/>
              <w:rPr>
                <w:b/>
                <w:bCs/>
                <w:bdr w:val="single" w:sz="4" w:space="0" w:color="auto"/>
              </w:rPr>
            </w:pPr>
            <w:r w:rsidRPr="00571C50">
              <w:rPr>
                <w:b/>
                <w:bCs/>
              </w:rPr>
              <w:t xml:space="preserve">Total capacity of new or enlarged sludge treatment </w:t>
            </w:r>
            <w:r w:rsidR="00A43F42">
              <w:rPr>
                <w:b/>
                <w:bCs/>
              </w:rPr>
              <w:t xml:space="preserve">facilities </w:t>
            </w:r>
            <w:r w:rsidRPr="00571C50">
              <w:rPr>
                <w:b/>
                <w:bCs/>
              </w:rPr>
              <w:t>in improvement programme</w:t>
            </w:r>
          </w:p>
        </w:tc>
        <w:tc>
          <w:tcPr>
            <w:tcW w:w="772" w:type="pct"/>
          </w:tcPr>
          <w:p w14:paraId="2E36CAEC" w14:textId="4CAC1B8A" w:rsidR="00C740F4" w:rsidRPr="006466B5" w:rsidRDefault="00A43F42" w:rsidP="00C740F4">
            <w:pPr>
              <w:pStyle w:val="Bodyromannumerals"/>
              <w:rPr>
                <w:b/>
                <w:bdr w:val="single" w:sz="4" w:space="0" w:color="auto"/>
              </w:rPr>
            </w:pPr>
            <w:r>
              <w:rPr>
                <w:b/>
                <w:bCs/>
              </w:rPr>
              <w:t>thousand tonnes dry solids</w:t>
            </w:r>
          </w:p>
        </w:tc>
      </w:tr>
      <w:tr w:rsidR="00C740F4" w:rsidRPr="00A83F00" w14:paraId="3BBAAAF9"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1661C94B" w14:textId="77777777" w:rsidR="00C740F4" w:rsidRPr="006D389B" w:rsidRDefault="00C740F4"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0945D1B9" w14:textId="77777777" w:rsidR="00C740F4" w:rsidRDefault="00C740F4" w:rsidP="008030FA">
            <w:pPr>
              <w:pStyle w:val="Bodyromannumerals"/>
            </w:pPr>
            <w:r w:rsidRPr="00C740F4">
              <w:t>Total annual capacity of sludge treatment works subject to improvement of New or Enlarged Sludge Treatment Works for Driver: Sludge (Use in Agriculture)</w:t>
            </w:r>
            <w:r>
              <w:t>.</w:t>
            </w:r>
          </w:p>
          <w:p w14:paraId="37F43644" w14:textId="77777777" w:rsidR="00A92FC1" w:rsidRDefault="00A92FC1" w:rsidP="00A92FC1">
            <w:pPr>
              <w:pStyle w:val="Bodyromannumerals"/>
            </w:pPr>
            <w:r>
              <w:t>“Use in Agriculture” refers to spreading of treated sewage sludge (</w:t>
            </w:r>
            <w:r w:rsidRPr="00140A2E">
              <w:rPr>
                <w:color w:val="000000"/>
                <w:lang w:eastAsia="en-GB"/>
              </w:rPr>
              <w:t>can be in cake, granular/pellet or liquid forms</w:t>
            </w:r>
            <w:r>
              <w:rPr>
                <w:color w:val="000000"/>
                <w:lang w:eastAsia="en-GB"/>
              </w:rPr>
              <w:t xml:space="preserve">) </w:t>
            </w:r>
            <w:r>
              <w:t>on the soil or any other application on or in the soil for agricultural purposes.</w:t>
            </w:r>
          </w:p>
          <w:p w14:paraId="4073F63F" w14:textId="0D33CBD4" w:rsidR="00A43F42" w:rsidRPr="00A83F00" w:rsidRDefault="00A43F42" w:rsidP="008030FA">
            <w:pPr>
              <w:pStyle w:val="Bodyromannumerals"/>
            </w:pPr>
            <w:r>
              <w:t>For the avoidance of doubt, this includes sludge treatment processes at wastewater treatment plants and stand-alone sludge plants.</w:t>
            </w:r>
          </w:p>
        </w:tc>
      </w:tr>
      <w:tr w:rsidR="00C740F4" w:rsidRPr="00A83F00" w14:paraId="00E33D53"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3DF55E" w14:textId="77777777" w:rsidR="00C740F4" w:rsidRPr="006D389B" w:rsidRDefault="00C740F4"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FAC1A1" w14:textId="77777777" w:rsidR="00C740F4" w:rsidRPr="00A83F00" w:rsidRDefault="00C740F4" w:rsidP="008030FA">
            <w:pPr>
              <w:pStyle w:val="Bodyromannumerals"/>
            </w:pPr>
            <w:r>
              <w:t>Input field</w:t>
            </w:r>
          </w:p>
        </w:tc>
      </w:tr>
    </w:tbl>
    <w:p w14:paraId="36E3848D" w14:textId="77777777" w:rsidR="00B30600" w:rsidRDefault="00B3060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C740F4" w:rsidRPr="006466B5" w14:paraId="46B168F5" w14:textId="77777777" w:rsidTr="008030FA">
        <w:tc>
          <w:tcPr>
            <w:tcW w:w="756" w:type="pct"/>
          </w:tcPr>
          <w:p w14:paraId="28B438B3" w14:textId="1B44BBC0" w:rsidR="00C740F4" w:rsidRPr="009254DD" w:rsidRDefault="00C740F4" w:rsidP="00C740F4">
            <w:pPr>
              <w:pStyle w:val="Bodyromannumerals"/>
              <w:rPr>
                <w:b/>
                <w:bCs/>
              </w:rPr>
            </w:pPr>
            <w:r w:rsidRPr="00571C50">
              <w:rPr>
                <w:b/>
                <w:bCs/>
              </w:rPr>
              <w:t>C6.49</w:t>
            </w:r>
          </w:p>
        </w:tc>
        <w:tc>
          <w:tcPr>
            <w:tcW w:w="3472" w:type="pct"/>
            <w:gridSpan w:val="2"/>
          </w:tcPr>
          <w:p w14:paraId="24EFF090" w14:textId="44E03BDF" w:rsidR="00C740F4" w:rsidRPr="009254DD" w:rsidRDefault="00C740F4" w:rsidP="00C740F4">
            <w:pPr>
              <w:pStyle w:val="Bodyromannumerals"/>
              <w:rPr>
                <w:b/>
                <w:bCs/>
                <w:bdr w:val="single" w:sz="4" w:space="0" w:color="auto"/>
              </w:rPr>
            </w:pPr>
            <w:r w:rsidRPr="00571C50">
              <w:rPr>
                <w:b/>
                <w:bCs/>
              </w:rPr>
              <w:t>% of total sludge treatment capacity in improvement works</w:t>
            </w:r>
          </w:p>
        </w:tc>
        <w:tc>
          <w:tcPr>
            <w:tcW w:w="772" w:type="pct"/>
          </w:tcPr>
          <w:p w14:paraId="23EC98DF" w14:textId="6965A816" w:rsidR="00C740F4" w:rsidRPr="006466B5" w:rsidRDefault="00C740F4" w:rsidP="00C740F4">
            <w:pPr>
              <w:pStyle w:val="Bodyromannumerals"/>
              <w:rPr>
                <w:b/>
                <w:bdr w:val="single" w:sz="4" w:space="0" w:color="auto"/>
              </w:rPr>
            </w:pPr>
            <w:r w:rsidRPr="00571C50">
              <w:rPr>
                <w:b/>
                <w:bCs/>
              </w:rPr>
              <w:t>%</w:t>
            </w:r>
          </w:p>
        </w:tc>
      </w:tr>
      <w:tr w:rsidR="00C740F4" w:rsidRPr="00A83F00" w14:paraId="55393DF5" w14:textId="77777777" w:rsidTr="008030FA">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1F145B35" w14:textId="77777777" w:rsidR="00C740F4" w:rsidRPr="006D389B" w:rsidRDefault="00C740F4" w:rsidP="008030FA">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533BBF29" w14:textId="47BDEECC" w:rsidR="00C740F4" w:rsidRDefault="00C740F4" w:rsidP="008030FA">
            <w:pPr>
              <w:pStyle w:val="Bodyromannumerals"/>
            </w:pPr>
            <w:r w:rsidRPr="00C740F4">
              <w:t xml:space="preserve">The capacity of new or enlarged sludge Treatment </w:t>
            </w:r>
            <w:r w:rsidR="00A43F42">
              <w:t>facilities</w:t>
            </w:r>
            <w:r w:rsidRPr="00C740F4">
              <w:t xml:space="preserve"> for Driver: Sludge (Use in Agriculture) subject to improvement as a percentage of the total capacity.</w:t>
            </w:r>
          </w:p>
          <w:p w14:paraId="50153E47" w14:textId="77777777" w:rsidR="00A92FC1" w:rsidRDefault="00D47876" w:rsidP="00A92FC1">
            <w:pPr>
              <w:pStyle w:val="Bodyromannumerals"/>
            </w:pPr>
            <w:r>
              <w:t xml:space="preserve">“Use in Agriculture” refers to spreading </w:t>
            </w:r>
            <w:r w:rsidR="00A92FC1">
              <w:t>of treated sewage sludge (</w:t>
            </w:r>
            <w:r w:rsidR="00A92FC1" w:rsidRPr="00140A2E">
              <w:rPr>
                <w:color w:val="000000"/>
                <w:lang w:eastAsia="en-GB"/>
              </w:rPr>
              <w:t>can be in cake, granular/pellet or liquid forms</w:t>
            </w:r>
            <w:r w:rsidR="00A92FC1">
              <w:rPr>
                <w:color w:val="000000"/>
                <w:lang w:eastAsia="en-GB"/>
              </w:rPr>
              <w:t xml:space="preserve">) </w:t>
            </w:r>
            <w:r>
              <w:t>on the soil or any other application on or in the soil for agricultural purposes.</w:t>
            </w:r>
          </w:p>
          <w:p w14:paraId="6AFBB41A" w14:textId="0C6F18C2" w:rsidR="00A43F42" w:rsidRPr="00A83F00" w:rsidRDefault="00A43F42" w:rsidP="008030FA">
            <w:pPr>
              <w:pStyle w:val="Bodyromannumerals"/>
            </w:pPr>
            <w:r>
              <w:t>For the avoidance of doubt, this includes sludge treatment processes at wastewater treatment plants and stand-alone sludge plants.</w:t>
            </w:r>
          </w:p>
        </w:tc>
      </w:tr>
      <w:tr w:rsidR="00C740F4" w:rsidRPr="00A83F00" w14:paraId="296CE61A" w14:textId="77777777" w:rsidTr="008030FA">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100ACB3B" w14:textId="77777777" w:rsidR="00C740F4" w:rsidRPr="006D389B" w:rsidRDefault="00C740F4" w:rsidP="008030FA">
            <w:pPr>
              <w:pStyle w:val="Bodyromannumerals"/>
              <w:rPr>
                <w:bCs/>
                <w:i/>
              </w:rPr>
            </w:pPr>
            <w:r w:rsidRPr="006D389B">
              <w:rPr>
                <w:bCs/>
                <w:i/>
              </w:rPr>
              <w:t>Processing rules:</w:t>
            </w:r>
          </w:p>
        </w:tc>
        <w:tc>
          <w:tcPr>
            <w:tcW w:w="3790" w:type="pct"/>
            <w:gridSpan w:val="2"/>
            <w:tcBorders>
              <w:top w:val="nil"/>
              <w:left w:val="nil"/>
              <w:bottom w:val="nil"/>
              <w:right w:val="nil"/>
            </w:tcBorders>
          </w:tcPr>
          <w:p w14:paraId="09234724" w14:textId="77777777" w:rsidR="00C740F4" w:rsidRPr="004D7EDC" w:rsidRDefault="00C740F4" w:rsidP="008030FA">
            <w:pPr>
              <w:pStyle w:val="Bodyromannumerals"/>
            </w:pPr>
            <w:r>
              <w:t>Input field</w:t>
            </w:r>
          </w:p>
        </w:tc>
      </w:tr>
    </w:tbl>
    <w:p w14:paraId="0994FE60" w14:textId="5880CCDE" w:rsidR="00940E3A" w:rsidRPr="006466B5" w:rsidRDefault="00940E3A" w:rsidP="00571C50">
      <w:pPr>
        <w:pStyle w:val="Sectionsub-heading"/>
      </w:pPr>
      <w:r w:rsidRPr="006466B5">
        <w:t xml:space="preserve">BLOCK </w:t>
      </w:r>
      <w:r w:rsidR="00E6309E">
        <w:t>5</w:t>
      </w:r>
      <w:r w:rsidRPr="006466B5">
        <w:t xml:space="preserve">: DRIVER: </w:t>
      </w:r>
      <w:r w:rsidR="0001435F" w:rsidRPr="006466B5">
        <w:t>DANGEROUS SUBSTANCES</w:t>
      </w:r>
      <w:r w:rsidR="0001435F">
        <w:t xml:space="preserve"> (E.G. PLASTICS, CHEMICALS, METALDEHYDE, OESTROGEN)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5248"/>
        <w:gridCol w:w="1167"/>
      </w:tblGrid>
      <w:tr w:rsidR="00940E3A" w:rsidRPr="006466B5" w14:paraId="4BA61222" w14:textId="77777777" w:rsidTr="000D3B8C">
        <w:tc>
          <w:tcPr>
            <w:tcW w:w="756" w:type="pct"/>
          </w:tcPr>
          <w:p w14:paraId="33EF7155" w14:textId="77777777" w:rsidR="00940E3A" w:rsidRPr="00571C50" w:rsidRDefault="00940E3A" w:rsidP="00571C50">
            <w:pPr>
              <w:pStyle w:val="Bodyromannumerals"/>
              <w:rPr>
                <w:b/>
                <w:bCs/>
              </w:rPr>
            </w:pPr>
            <w:r w:rsidRPr="00571C50">
              <w:rPr>
                <w:b/>
                <w:bCs/>
              </w:rPr>
              <w:t>C6.53</w:t>
            </w:r>
          </w:p>
        </w:tc>
        <w:tc>
          <w:tcPr>
            <w:tcW w:w="3472" w:type="pct"/>
          </w:tcPr>
          <w:p w14:paraId="03DB9629" w14:textId="485D80EA" w:rsidR="00940E3A" w:rsidRPr="00571C50" w:rsidRDefault="00940E3A" w:rsidP="00571C50">
            <w:pPr>
              <w:pStyle w:val="Bodyromannumerals"/>
              <w:rPr>
                <w:b/>
                <w:bCs/>
                <w:bdr w:val="single" w:sz="4" w:space="0" w:color="auto"/>
              </w:rPr>
            </w:pPr>
            <w:r w:rsidRPr="00571C50">
              <w:rPr>
                <w:b/>
                <w:bCs/>
              </w:rPr>
              <w:t xml:space="preserve">Total number of </w:t>
            </w:r>
            <w:r w:rsidR="00437EE1">
              <w:rPr>
                <w:b/>
                <w:bCs/>
              </w:rPr>
              <w:t xml:space="preserve">wastewater treatment plants </w:t>
            </w:r>
            <w:r w:rsidRPr="00571C50">
              <w:rPr>
                <w:b/>
                <w:bCs/>
              </w:rPr>
              <w:t>subject to improvement works</w:t>
            </w:r>
          </w:p>
        </w:tc>
        <w:tc>
          <w:tcPr>
            <w:tcW w:w="772" w:type="pct"/>
          </w:tcPr>
          <w:p w14:paraId="1A1C52ED" w14:textId="299E5CAE" w:rsidR="00940E3A" w:rsidRPr="00571C50" w:rsidRDefault="001D1117" w:rsidP="00571C50">
            <w:pPr>
              <w:pStyle w:val="Bodyromannumerals"/>
              <w:rPr>
                <w:b/>
                <w:bCs/>
                <w:bdr w:val="single" w:sz="4" w:space="0" w:color="auto"/>
              </w:rPr>
            </w:pPr>
            <w:r w:rsidRPr="00571C50">
              <w:rPr>
                <w:b/>
                <w:bCs/>
              </w:rPr>
              <w:t>Nr.</w:t>
            </w:r>
          </w:p>
        </w:tc>
      </w:tr>
    </w:tbl>
    <w:p w14:paraId="3D12797E" w14:textId="21EDB8F4" w:rsidR="00940E3A" w:rsidRPr="006466B5" w:rsidRDefault="00940E3A" w:rsidP="008050C8">
      <w:pPr>
        <w:pStyle w:val="Bodyromannumerals"/>
        <w:ind w:left="1700" w:hanging="1700"/>
      </w:pPr>
      <w:r w:rsidRPr="006466B5">
        <w:rPr>
          <w:i/>
        </w:rPr>
        <w:t>Definition:</w:t>
      </w:r>
      <w:r w:rsidRPr="006466B5">
        <w:rPr>
          <w:i/>
        </w:rPr>
        <w:tab/>
      </w:r>
      <w:r w:rsidRPr="006466B5">
        <w:t xml:space="preserve">The total number of </w:t>
      </w:r>
      <w:r w:rsidR="00437EE1">
        <w:t>wastewater treatment plants</w:t>
      </w:r>
      <w:r w:rsidR="00564458">
        <w:t xml:space="preserve"> subject</w:t>
      </w:r>
      <w:r w:rsidRPr="006466B5">
        <w:t xml:space="preserve"> to improvement works for Driver: Dangerous Substances</w:t>
      </w:r>
      <w:r w:rsidR="00437EE1">
        <w:t xml:space="preserve"> in order to mitigate the presence of dangerous substances</w:t>
      </w:r>
    </w:p>
    <w:p w14:paraId="287312FB" w14:textId="77777777" w:rsidR="008430BE" w:rsidRDefault="00940E3A" w:rsidP="008430BE">
      <w:pPr>
        <w:pStyle w:val="Bodyromannumerals"/>
      </w:pPr>
      <w:r w:rsidRPr="006466B5">
        <w:rPr>
          <w:i/>
        </w:rPr>
        <w:t>Processing rules:</w:t>
      </w:r>
      <w:r w:rsidRPr="006466B5">
        <w:rPr>
          <w:i/>
        </w:rPr>
        <w:tab/>
      </w:r>
      <w:r w:rsidRPr="006466B5">
        <w:t>Input field</w:t>
      </w:r>
    </w:p>
    <w:p w14:paraId="5A7B3728" w14:textId="2FFC3AE8" w:rsidR="008430BE" w:rsidRDefault="008430BE" w:rsidP="008430BE">
      <w:pPr>
        <w:pStyle w:val="Bodyromannumerals"/>
      </w:pPr>
    </w:p>
    <w:p w14:paraId="237699E6" w14:textId="77777777" w:rsidR="008A7980" w:rsidRDefault="008A7980" w:rsidP="008430BE">
      <w:pPr>
        <w:pStyle w:val="Title1"/>
      </w:pPr>
      <w:r>
        <w:br w:type="page"/>
      </w:r>
    </w:p>
    <w:p w14:paraId="2A37A942" w14:textId="06591B3D" w:rsidR="00940E3A" w:rsidRPr="006466B5" w:rsidRDefault="007B444A" w:rsidP="008430BE">
      <w:pPr>
        <w:pStyle w:val="Title1"/>
      </w:pPr>
      <w:r>
        <w:t>TABLE</w:t>
      </w:r>
      <w:r w:rsidR="00940E3A" w:rsidRPr="006466B5">
        <w:t xml:space="preserve"> C7: WATER QUALITY OUTPUTS – WATER MAINS ACTIVITIES</w:t>
      </w:r>
    </w:p>
    <w:p w14:paraId="3465206B" w14:textId="77777777" w:rsidR="00940E3A" w:rsidRPr="008456AD" w:rsidRDefault="00940E3A" w:rsidP="2F76CC7E">
      <w:pPr>
        <w:pStyle w:val="Bodynumbercopy"/>
        <w:numPr>
          <w:ilvl w:val="0"/>
          <w:numId w:val="3"/>
        </w:numPr>
        <w:rPr>
          <w:rFonts w:asciiTheme="minorHAnsi" w:eastAsiaTheme="minorEastAsia" w:hAnsiTheme="minorHAnsi" w:cstheme="minorBidi"/>
        </w:rPr>
      </w:pPr>
      <w:r>
        <w:t>This table relates to water mains rehabilitation work undertaken and work carried out on gathering effective information needed for good practice water resource planning during the report year.</w:t>
      </w:r>
    </w:p>
    <w:p w14:paraId="6A12F378" w14:textId="4CDCF11B" w:rsidR="00940E3A" w:rsidRDefault="00940E3A" w:rsidP="00571C50">
      <w:pPr>
        <w:pStyle w:val="Sectionsub-heading"/>
      </w:pPr>
      <w:r w:rsidRPr="008456AD">
        <w:t xml:space="preserve">BLOCK 1: </w:t>
      </w:r>
      <w:r w:rsidR="009504BF" w:rsidRPr="008456AD">
        <w:t xml:space="preserve">WATER MAINS REHABILITATION </w:t>
      </w:r>
      <w:r w:rsidR="00CB3C1B">
        <w:t>UNDER AGREED PROGRAMME OF WORKS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664A32" w:rsidRPr="006466B5" w14:paraId="2BED2F5D" w14:textId="77777777" w:rsidTr="00EF4303">
        <w:tc>
          <w:tcPr>
            <w:tcW w:w="756" w:type="pct"/>
          </w:tcPr>
          <w:p w14:paraId="78E14C16" w14:textId="3CD6B1FB" w:rsidR="00664A32" w:rsidRPr="009254DD" w:rsidRDefault="00664A32" w:rsidP="00664A32">
            <w:pPr>
              <w:pStyle w:val="Bodyromannumerals"/>
              <w:rPr>
                <w:b/>
                <w:bCs/>
              </w:rPr>
            </w:pPr>
            <w:r w:rsidRPr="00571C50">
              <w:rPr>
                <w:b/>
                <w:bCs/>
              </w:rPr>
              <w:t>C7.1</w:t>
            </w:r>
          </w:p>
        </w:tc>
        <w:tc>
          <w:tcPr>
            <w:tcW w:w="3472" w:type="pct"/>
            <w:gridSpan w:val="2"/>
          </w:tcPr>
          <w:p w14:paraId="7630EF89" w14:textId="4DBB3251" w:rsidR="00664A32" w:rsidRPr="009254DD" w:rsidRDefault="00664A32" w:rsidP="00664A32">
            <w:pPr>
              <w:pStyle w:val="Bodyromannumerals"/>
              <w:rPr>
                <w:b/>
                <w:bCs/>
                <w:bdr w:val="single" w:sz="4" w:space="0" w:color="auto"/>
              </w:rPr>
            </w:pPr>
            <w:r w:rsidRPr="00571C50">
              <w:rPr>
                <w:b/>
                <w:bCs/>
              </w:rPr>
              <w:t xml:space="preserve">Number of water </w:t>
            </w:r>
            <w:r>
              <w:rPr>
                <w:b/>
                <w:bCs/>
              </w:rPr>
              <w:t>distribution</w:t>
            </w:r>
            <w:r w:rsidRPr="00571C50">
              <w:rPr>
                <w:b/>
                <w:bCs/>
              </w:rPr>
              <w:t xml:space="preserve"> zones</w:t>
            </w:r>
          </w:p>
        </w:tc>
        <w:tc>
          <w:tcPr>
            <w:tcW w:w="772" w:type="pct"/>
          </w:tcPr>
          <w:p w14:paraId="4E624B3D" w14:textId="34AE1594" w:rsidR="00664A32" w:rsidRPr="006466B5" w:rsidRDefault="00664A32" w:rsidP="00664A32">
            <w:pPr>
              <w:pStyle w:val="Bodyromannumerals"/>
              <w:rPr>
                <w:b/>
                <w:bdr w:val="single" w:sz="4" w:space="0" w:color="auto"/>
              </w:rPr>
            </w:pPr>
            <w:r w:rsidRPr="00571C50">
              <w:rPr>
                <w:b/>
                <w:bCs/>
              </w:rPr>
              <w:t>Nr.</w:t>
            </w:r>
          </w:p>
        </w:tc>
      </w:tr>
      <w:tr w:rsidR="00664A32" w:rsidRPr="00A83F00" w14:paraId="783667B2"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453ED236" w14:textId="77777777" w:rsidR="00664A32" w:rsidRPr="006D389B" w:rsidRDefault="00664A32" w:rsidP="00EF4303">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161329C7" w14:textId="642C6830" w:rsidR="00664A32" w:rsidRPr="00A83F00" w:rsidRDefault="00664A32" w:rsidP="00EF4303">
            <w:pPr>
              <w:pStyle w:val="Bodyromannumerals"/>
            </w:pPr>
            <w:r w:rsidRPr="00664A32">
              <w:t xml:space="preserve">The total number of water distribution zones within the </w:t>
            </w:r>
            <w:r w:rsidR="000011BB">
              <w:t>Local</w:t>
            </w:r>
            <w:r w:rsidRPr="00664A32">
              <w:t xml:space="preserve"> Authorities area. Water distribution zone is defined as an identifiable part of the water supply network. This is in line with the Drinking-water Standards for New Zealand 2005 (Revised 2018).</w:t>
            </w:r>
          </w:p>
        </w:tc>
      </w:tr>
      <w:tr w:rsidR="00664A32" w:rsidRPr="004D7EDC" w14:paraId="67D04101"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5A34FE8A" w14:textId="77777777" w:rsidR="00664A32" w:rsidRPr="006D389B" w:rsidRDefault="00664A32" w:rsidP="00EF4303">
            <w:pPr>
              <w:pStyle w:val="Bodyromannumerals"/>
              <w:rPr>
                <w:bCs/>
                <w:i/>
              </w:rPr>
            </w:pPr>
            <w:r w:rsidRPr="006D389B">
              <w:rPr>
                <w:bCs/>
                <w:i/>
              </w:rPr>
              <w:t>Processing rules:</w:t>
            </w:r>
          </w:p>
        </w:tc>
        <w:tc>
          <w:tcPr>
            <w:tcW w:w="3790" w:type="pct"/>
            <w:gridSpan w:val="2"/>
            <w:tcBorders>
              <w:top w:val="nil"/>
              <w:left w:val="nil"/>
              <w:bottom w:val="nil"/>
              <w:right w:val="nil"/>
            </w:tcBorders>
          </w:tcPr>
          <w:p w14:paraId="3E15DD1C" w14:textId="3F9CC2BB" w:rsidR="00664A32" w:rsidRPr="004D7EDC" w:rsidRDefault="007C44BF" w:rsidP="00EF4303">
            <w:pPr>
              <w:pStyle w:val="Bodyromannumerals"/>
            </w:pPr>
            <w:r>
              <w:t xml:space="preserve">Brought forward field: Line </w:t>
            </w:r>
            <w:r w:rsidR="001848BA">
              <w:t>C1.3</w:t>
            </w:r>
          </w:p>
        </w:tc>
      </w:tr>
      <w:tr w:rsidR="00581F1C" w:rsidRPr="006466B5" w14:paraId="5DEFE52D" w14:textId="77777777" w:rsidTr="00EF4303">
        <w:tc>
          <w:tcPr>
            <w:tcW w:w="756" w:type="pct"/>
          </w:tcPr>
          <w:p w14:paraId="5CE23BA4" w14:textId="66B90AFE" w:rsidR="00581F1C" w:rsidRPr="009254DD" w:rsidRDefault="00581F1C" w:rsidP="00581F1C">
            <w:pPr>
              <w:pStyle w:val="Bodyromannumerals"/>
              <w:rPr>
                <w:b/>
                <w:bCs/>
              </w:rPr>
            </w:pPr>
            <w:r w:rsidRPr="00571C50">
              <w:rPr>
                <w:b/>
                <w:bCs/>
              </w:rPr>
              <w:t>C7.2</w:t>
            </w:r>
          </w:p>
        </w:tc>
        <w:tc>
          <w:tcPr>
            <w:tcW w:w="3472" w:type="pct"/>
            <w:gridSpan w:val="2"/>
          </w:tcPr>
          <w:p w14:paraId="6E16F85D" w14:textId="4FCDD3AD" w:rsidR="00581F1C" w:rsidRPr="009254DD" w:rsidRDefault="00581F1C" w:rsidP="00581F1C">
            <w:pPr>
              <w:pStyle w:val="Bodyromannumerals"/>
              <w:rPr>
                <w:b/>
                <w:bCs/>
                <w:bdr w:val="single" w:sz="4" w:space="0" w:color="auto"/>
              </w:rPr>
            </w:pPr>
            <w:r w:rsidRPr="00571C50">
              <w:rPr>
                <w:b/>
                <w:bCs/>
              </w:rPr>
              <w:t xml:space="preserve">Number of water </w:t>
            </w:r>
            <w:r>
              <w:rPr>
                <w:b/>
                <w:bCs/>
              </w:rPr>
              <w:t>distribution</w:t>
            </w:r>
            <w:r w:rsidRPr="00571C50">
              <w:rPr>
                <w:b/>
                <w:bCs/>
              </w:rPr>
              <w:t xml:space="preserve"> zones </w:t>
            </w:r>
            <w:r w:rsidR="0016506D">
              <w:rPr>
                <w:b/>
                <w:bCs/>
              </w:rPr>
              <w:t xml:space="preserve">identified for </w:t>
            </w:r>
            <w:r w:rsidR="00D92DFE">
              <w:rPr>
                <w:b/>
                <w:bCs/>
              </w:rPr>
              <w:t>a programme of</w:t>
            </w:r>
            <w:r w:rsidR="0016506D">
              <w:rPr>
                <w:b/>
                <w:bCs/>
              </w:rPr>
              <w:t xml:space="preserve"> works in the </w:t>
            </w:r>
            <w:r w:rsidR="00311012">
              <w:rPr>
                <w:b/>
                <w:bCs/>
              </w:rPr>
              <w:t>Long Term Plan (annual average)</w:t>
            </w:r>
          </w:p>
        </w:tc>
        <w:tc>
          <w:tcPr>
            <w:tcW w:w="772" w:type="pct"/>
          </w:tcPr>
          <w:p w14:paraId="0242F64F" w14:textId="451984A8" w:rsidR="00581F1C" w:rsidRPr="006466B5" w:rsidRDefault="00581F1C" w:rsidP="00581F1C">
            <w:pPr>
              <w:pStyle w:val="Bodyromannumerals"/>
              <w:rPr>
                <w:b/>
                <w:bdr w:val="single" w:sz="4" w:space="0" w:color="auto"/>
              </w:rPr>
            </w:pPr>
            <w:r w:rsidRPr="00571C50">
              <w:rPr>
                <w:b/>
                <w:bCs/>
              </w:rPr>
              <w:t>Nr.</w:t>
            </w:r>
          </w:p>
        </w:tc>
      </w:tr>
      <w:tr w:rsidR="00664A32" w:rsidRPr="00A83F00" w14:paraId="11DCDCAB"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5737DD32" w14:textId="77777777" w:rsidR="00664A32" w:rsidRPr="006D389B" w:rsidRDefault="00664A32" w:rsidP="00EF4303">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152D9C96" w14:textId="45673A93" w:rsidR="00664A32" w:rsidRPr="00A83F00" w:rsidRDefault="00581F1C" w:rsidP="00EF4303">
            <w:pPr>
              <w:pStyle w:val="Bodyromannumerals"/>
            </w:pPr>
            <w:r w:rsidRPr="00581F1C">
              <w:t xml:space="preserve">The total number of water distribution zones which are </w:t>
            </w:r>
            <w:r w:rsidR="0016506D">
              <w:t xml:space="preserve">identified for </w:t>
            </w:r>
            <w:r w:rsidR="00D92DFE">
              <w:t xml:space="preserve">a programme of </w:t>
            </w:r>
            <w:r w:rsidR="0016506D">
              <w:t xml:space="preserve">works in the </w:t>
            </w:r>
            <w:r w:rsidR="00311012">
              <w:t>Long Term Plan</w:t>
            </w:r>
            <w:r w:rsidR="00D130D7">
              <w:t xml:space="preserve">. </w:t>
            </w:r>
            <w:r w:rsidR="00DB53FC">
              <w:t xml:space="preserve">Please use the annual average across all years in the Long Term Plan. </w:t>
            </w:r>
            <w:r w:rsidRPr="00581F1C">
              <w:t>Water distribution zone is defined as an identifiable part of the water supply network. This is in line with the Drinking-water Standards for New Zealand 2005 (Revised 2018).</w:t>
            </w:r>
          </w:p>
        </w:tc>
      </w:tr>
      <w:tr w:rsidR="00664A32" w:rsidRPr="004D7EDC" w14:paraId="77EA84BE"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610A4C1C" w14:textId="77777777" w:rsidR="00664A32" w:rsidRPr="006D389B" w:rsidRDefault="00664A32" w:rsidP="00EF4303">
            <w:pPr>
              <w:pStyle w:val="Bodyromannumerals"/>
              <w:rPr>
                <w:bCs/>
                <w:i/>
              </w:rPr>
            </w:pPr>
            <w:r w:rsidRPr="006D389B">
              <w:rPr>
                <w:bCs/>
                <w:i/>
              </w:rPr>
              <w:t>Processing rules:</w:t>
            </w:r>
          </w:p>
        </w:tc>
        <w:tc>
          <w:tcPr>
            <w:tcW w:w="3790" w:type="pct"/>
            <w:gridSpan w:val="2"/>
            <w:tcBorders>
              <w:top w:val="nil"/>
              <w:left w:val="nil"/>
              <w:bottom w:val="nil"/>
              <w:right w:val="nil"/>
            </w:tcBorders>
          </w:tcPr>
          <w:p w14:paraId="6316ACA8" w14:textId="77777777" w:rsidR="00664A32" w:rsidRPr="004D7EDC" w:rsidRDefault="00664A32" w:rsidP="00EF4303">
            <w:pPr>
              <w:pStyle w:val="Bodyromannumerals"/>
            </w:pPr>
            <w:r>
              <w:t>Input field</w:t>
            </w:r>
          </w:p>
        </w:tc>
      </w:tr>
      <w:tr w:rsidR="00581F1C" w:rsidRPr="006466B5" w14:paraId="41B19342" w14:textId="77777777" w:rsidTr="00EF4303">
        <w:tc>
          <w:tcPr>
            <w:tcW w:w="756" w:type="pct"/>
          </w:tcPr>
          <w:p w14:paraId="296E1721" w14:textId="0F881B6A" w:rsidR="00581F1C" w:rsidRPr="009254DD" w:rsidRDefault="00581F1C" w:rsidP="00581F1C">
            <w:pPr>
              <w:pStyle w:val="Bodyromannumerals"/>
              <w:rPr>
                <w:b/>
                <w:bCs/>
              </w:rPr>
            </w:pPr>
            <w:r w:rsidRPr="00571C50">
              <w:rPr>
                <w:b/>
                <w:bCs/>
              </w:rPr>
              <w:t>C7.3</w:t>
            </w:r>
          </w:p>
        </w:tc>
        <w:tc>
          <w:tcPr>
            <w:tcW w:w="3472" w:type="pct"/>
            <w:gridSpan w:val="2"/>
          </w:tcPr>
          <w:p w14:paraId="7F7A1BF6" w14:textId="243EE681" w:rsidR="00581F1C" w:rsidRPr="009254DD" w:rsidRDefault="00581F1C" w:rsidP="00581F1C">
            <w:pPr>
              <w:pStyle w:val="Bodyromannumerals"/>
              <w:rPr>
                <w:b/>
                <w:bCs/>
                <w:bdr w:val="single" w:sz="4" w:space="0" w:color="auto"/>
              </w:rPr>
            </w:pPr>
            <w:r w:rsidRPr="00571C50">
              <w:rPr>
                <w:b/>
                <w:bCs/>
              </w:rPr>
              <w:t xml:space="preserve">Length of mains for replacement </w:t>
            </w:r>
            <w:r w:rsidR="003D5B70">
              <w:rPr>
                <w:b/>
                <w:bCs/>
              </w:rPr>
              <w:t xml:space="preserve">as set out in the </w:t>
            </w:r>
            <w:r w:rsidR="00311012">
              <w:rPr>
                <w:b/>
                <w:bCs/>
              </w:rPr>
              <w:t>Long Term Plan (annual average)</w:t>
            </w:r>
          </w:p>
        </w:tc>
        <w:tc>
          <w:tcPr>
            <w:tcW w:w="772" w:type="pct"/>
          </w:tcPr>
          <w:p w14:paraId="0A8F9771" w14:textId="075EF3A0" w:rsidR="00581F1C" w:rsidRPr="006466B5" w:rsidRDefault="00581F1C" w:rsidP="00581F1C">
            <w:pPr>
              <w:pStyle w:val="Bodyromannumerals"/>
              <w:rPr>
                <w:b/>
                <w:bdr w:val="single" w:sz="4" w:space="0" w:color="auto"/>
              </w:rPr>
            </w:pPr>
            <w:r w:rsidRPr="00571C50">
              <w:rPr>
                <w:b/>
                <w:bCs/>
              </w:rPr>
              <w:t>Km</w:t>
            </w:r>
          </w:p>
        </w:tc>
      </w:tr>
      <w:tr w:rsidR="00581F1C" w:rsidRPr="00A83F00" w14:paraId="4F6E020A"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546B1036" w14:textId="77777777" w:rsidR="00581F1C" w:rsidRPr="006D389B" w:rsidRDefault="00581F1C" w:rsidP="00581F1C">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2A59BB2A" w14:textId="6CDD2957" w:rsidR="00581F1C" w:rsidRPr="00A83F00" w:rsidRDefault="00581F1C" w:rsidP="00581F1C">
            <w:pPr>
              <w:pStyle w:val="Bodyromannumerals"/>
            </w:pPr>
            <w:r w:rsidRPr="00581F1C">
              <w:t xml:space="preserve">The total length of mains which is to be replaced as </w:t>
            </w:r>
            <w:r w:rsidR="0016506D">
              <w:t xml:space="preserve">set out in the </w:t>
            </w:r>
            <w:r w:rsidR="00311012">
              <w:t>Long Term Plan</w:t>
            </w:r>
            <w:r w:rsidR="00D130D7">
              <w:t>.</w:t>
            </w:r>
            <w:r w:rsidR="00DB53FC">
              <w:t xml:space="preserve"> Please use the annual average across all years in the Long Term Plan.</w:t>
            </w:r>
          </w:p>
        </w:tc>
      </w:tr>
      <w:tr w:rsidR="00581F1C" w:rsidRPr="004D7EDC" w14:paraId="04CAA73A"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4A5113EC" w14:textId="77777777" w:rsidR="00581F1C" w:rsidRPr="006D389B" w:rsidRDefault="00581F1C" w:rsidP="00581F1C">
            <w:pPr>
              <w:pStyle w:val="Bodyromannumerals"/>
              <w:rPr>
                <w:bCs/>
                <w:i/>
              </w:rPr>
            </w:pPr>
            <w:r w:rsidRPr="006D389B">
              <w:rPr>
                <w:bCs/>
                <w:i/>
              </w:rPr>
              <w:t>Processing rules:</w:t>
            </w:r>
          </w:p>
        </w:tc>
        <w:tc>
          <w:tcPr>
            <w:tcW w:w="3790" w:type="pct"/>
            <w:gridSpan w:val="2"/>
            <w:tcBorders>
              <w:top w:val="nil"/>
              <w:left w:val="nil"/>
              <w:bottom w:val="nil"/>
              <w:right w:val="nil"/>
            </w:tcBorders>
          </w:tcPr>
          <w:p w14:paraId="237619DB" w14:textId="77777777" w:rsidR="00581F1C" w:rsidRPr="004D7EDC" w:rsidRDefault="00581F1C" w:rsidP="00581F1C">
            <w:pPr>
              <w:pStyle w:val="Bodyromannumerals"/>
            </w:pPr>
            <w:r>
              <w:t>Input field</w:t>
            </w:r>
          </w:p>
        </w:tc>
      </w:tr>
    </w:tbl>
    <w:p w14:paraId="24CCF2F9" w14:textId="77777777" w:rsidR="00F0345D" w:rsidRDefault="00F0345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581F1C" w:rsidRPr="006466B5" w14:paraId="39EC9FDC" w14:textId="77777777" w:rsidTr="00EF4303">
        <w:tc>
          <w:tcPr>
            <w:tcW w:w="756" w:type="pct"/>
          </w:tcPr>
          <w:p w14:paraId="6D7E062D" w14:textId="341500D0" w:rsidR="00581F1C" w:rsidRPr="009254DD" w:rsidRDefault="00581F1C" w:rsidP="00581F1C">
            <w:pPr>
              <w:pStyle w:val="Bodyromannumerals"/>
              <w:rPr>
                <w:b/>
                <w:bCs/>
              </w:rPr>
            </w:pPr>
            <w:r w:rsidRPr="00571C50">
              <w:rPr>
                <w:b/>
                <w:bCs/>
              </w:rPr>
              <w:t>C7.4</w:t>
            </w:r>
          </w:p>
        </w:tc>
        <w:tc>
          <w:tcPr>
            <w:tcW w:w="3472" w:type="pct"/>
            <w:gridSpan w:val="2"/>
          </w:tcPr>
          <w:p w14:paraId="16BFEFB3" w14:textId="7B87D195" w:rsidR="00581F1C" w:rsidRPr="009254DD" w:rsidRDefault="00581F1C" w:rsidP="00581F1C">
            <w:pPr>
              <w:pStyle w:val="Bodyromannumerals"/>
              <w:rPr>
                <w:b/>
                <w:bCs/>
                <w:bdr w:val="single" w:sz="4" w:space="0" w:color="auto"/>
              </w:rPr>
            </w:pPr>
            <w:r w:rsidRPr="00571C50">
              <w:rPr>
                <w:b/>
                <w:bCs/>
              </w:rPr>
              <w:t xml:space="preserve">Length of mains for relining </w:t>
            </w:r>
            <w:r w:rsidR="00105591">
              <w:rPr>
                <w:b/>
                <w:bCs/>
              </w:rPr>
              <w:t xml:space="preserve">as set out in the </w:t>
            </w:r>
            <w:r w:rsidR="00311012">
              <w:rPr>
                <w:b/>
                <w:bCs/>
              </w:rPr>
              <w:t>Long Term Plan (annual average)</w:t>
            </w:r>
          </w:p>
        </w:tc>
        <w:tc>
          <w:tcPr>
            <w:tcW w:w="772" w:type="pct"/>
          </w:tcPr>
          <w:p w14:paraId="5C5B6989" w14:textId="3C69B479" w:rsidR="00581F1C" w:rsidRPr="006466B5" w:rsidRDefault="00581F1C" w:rsidP="00581F1C">
            <w:pPr>
              <w:pStyle w:val="Bodyromannumerals"/>
              <w:rPr>
                <w:b/>
                <w:bdr w:val="single" w:sz="4" w:space="0" w:color="auto"/>
              </w:rPr>
            </w:pPr>
            <w:r w:rsidRPr="00571C50">
              <w:rPr>
                <w:b/>
                <w:bCs/>
              </w:rPr>
              <w:t>Km</w:t>
            </w:r>
          </w:p>
        </w:tc>
      </w:tr>
      <w:tr w:rsidR="00581F1C" w:rsidRPr="00A83F00" w14:paraId="5AFF50FA"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45BD94C3" w14:textId="77777777" w:rsidR="00581F1C" w:rsidRPr="006D389B" w:rsidRDefault="00581F1C" w:rsidP="00581F1C">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1500CE84" w14:textId="630AB853" w:rsidR="00581F1C" w:rsidRPr="00A83F00" w:rsidRDefault="00581F1C" w:rsidP="00581F1C">
            <w:pPr>
              <w:pStyle w:val="Bodyromannumerals"/>
            </w:pPr>
            <w:r w:rsidRPr="00581F1C">
              <w:t xml:space="preserve">The total length of mains which is to be relined as </w:t>
            </w:r>
            <w:r w:rsidR="0016506D">
              <w:t xml:space="preserve">set out in the </w:t>
            </w:r>
            <w:r w:rsidR="00311012">
              <w:t>Long Term Plan</w:t>
            </w:r>
            <w:r w:rsidR="00D130D7">
              <w:t xml:space="preserve">. </w:t>
            </w:r>
            <w:r w:rsidR="00DB53FC">
              <w:t>Please use the annual average across all years in the Long Term Plan.</w:t>
            </w:r>
          </w:p>
        </w:tc>
      </w:tr>
      <w:tr w:rsidR="00581F1C" w:rsidRPr="004D7EDC" w14:paraId="46A7E188"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0FD27B69" w14:textId="77777777" w:rsidR="00581F1C" w:rsidRPr="006D389B" w:rsidRDefault="00581F1C" w:rsidP="00581F1C">
            <w:pPr>
              <w:pStyle w:val="Bodyromannumerals"/>
              <w:rPr>
                <w:bCs/>
                <w:i/>
              </w:rPr>
            </w:pPr>
            <w:r w:rsidRPr="006D389B">
              <w:rPr>
                <w:bCs/>
                <w:i/>
              </w:rPr>
              <w:t>Processing rules:</w:t>
            </w:r>
          </w:p>
        </w:tc>
        <w:tc>
          <w:tcPr>
            <w:tcW w:w="3790" w:type="pct"/>
            <w:gridSpan w:val="2"/>
            <w:tcBorders>
              <w:top w:val="nil"/>
              <w:left w:val="nil"/>
              <w:bottom w:val="nil"/>
              <w:right w:val="nil"/>
            </w:tcBorders>
          </w:tcPr>
          <w:p w14:paraId="18D536E6" w14:textId="77777777" w:rsidR="00581F1C" w:rsidRPr="004D7EDC" w:rsidRDefault="00581F1C" w:rsidP="00581F1C">
            <w:pPr>
              <w:pStyle w:val="Bodyromannumerals"/>
            </w:pPr>
            <w:r>
              <w:t>Input field</w:t>
            </w:r>
          </w:p>
        </w:tc>
      </w:tr>
    </w:tbl>
    <w:p w14:paraId="06F75BD4" w14:textId="7A6C9165" w:rsidR="007B444A" w:rsidRDefault="007B44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581F1C" w:rsidRPr="006466B5" w14:paraId="2DA4BFE4" w14:textId="77777777" w:rsidTr="00EF4303">
        <w:tc>
          <w:tcPr>
            <w:tcW w:w="756" w:type="pct"/>
          </w:tcPr>
          <w:p w14:paraId="3183FF4A" w14:textId="5BDB4BCA" w:rsidR="00581F1C" w:rsidRPr="009254DD" w:rsidRDefault="00581F1C" w:rsidP="00581F1C">
            <w:pPr>
              <w:pStyle w:val="Bodyromannumerals"/>
              <w:rPr>
                <w:b/>
                <w:bCs/>
              </w:rPr>
            </w:pPr>
            <w:r w:rsidRPr="00571C50">
              <w:rPr>
                <w:b/>
                <w:bCs/>
              </w:rPr>
              <w:t>C7.5</w:t>
            </w:r>
          </w:p>
        </w:tc>
        <w:tc>
          <w:tcPr>
            <w:tcW w:w="3472" w:type="pct"/>
            <w:gridSpan w:val="2"/>
          </w:tcPr>
          <w:p w14:paraId="2FE58E67" w14:textId="25AC1708" w:rsidR="00581F1C" w:rsidRPr="009254DD" w:rsidRDefault="00581F1C" w:rsidP="00581F1C">
            <w:pPr>
              <w:pStyle w:val="Bodyromannumerals"/>
              <w:rPr>
                <w:b/>
                <w:bCs/>
                <w:bdr w:val="single" w:sz="4" w:space="0" w:color="auto"/>
              </w:rPr>
            </w:pPr>
            <w:r w:rsidRPr="00571C50">
              <w:rPr>
                <w:b/>
                <w:bCs/>
              </w:rPr>
              <w:t>Length of mains replaced in report year</w:t>
            </w:r>
          </w:p>
        </w:tc>
        <w:tc>
          <w:tcPr>
            <w:tcW w:w="772" w:type="pct"/>
          </w:tcPr>
          <w:p w14:paraId="1494DB10" w14:textId="55FC4188" w:rsidR="00581F1C" w:rsidRPr="006466B5" w:rsidRDefault="00581F1C" w:rsidP="00581F1C">
            <w:pPr>
              <w:pStyle w:val="Bodyromannumerals"/>
              <w:rPr>
                <w:b/>
                <w:bdr w:val="single" w:sz="4" w:space="0" w:color="auto"/>
              </w:rPr>
            </w:pPr>
            <w:r w:rsidRPr="00571C50">
              <w:rPr>
                <w:b/>
                <w:bCs/>
              </w:rPr>
              <w:t>Km</w:t>
            </w:r>
          </w:p>
        </w:tc>
      </w:tr>
      <w:tr w:rsidR="00581F1C" w:rsidRPr="00A83F00" w14:paraId="19C304EB"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246267D2" w14:textId="77777777" w:rsidR="00581F1C" w:rsidRPr="006D389B" w:rsidRDefault="00581F1C" w:rsidP="00581F1C">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6E359C88" w14:textId="014EF440" w:rsidR="00581F1C" w:rsidRPr="00A83F00" w:rsidRDefault="00581F1C" w:rsidP="00581F1C">
            <w:pPr>
              <w:pStyle w:val="Bodyromannumerals"/>
            </w:pPr>
            <w:r w:rsidRPr="00581F1C">
              <w:t>The total length of mains replaced during the report year.</w:t>
            </w:r>
          </w:p>
        </w:tc>
      </w:tr>
      <w:tr w:rsidR="00581F1C" w:rsidRPr="004D7EDC" w14:paraId="30E47205"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69A07A6B" w14:textId="77777777" w:rsidR="00581F1C" w:rsidRPr="006D389B" w:rsidRDefault="00581F1C" w:rsidP="00581F1C">
            <w:pPr>
              <w:pStyle w:val="Bodyromannumerals"/>
              <w:rPr>
                <w:bCs/>
                <w:i/>
              </w:rPr>
            </w:pPr>
            <w:r w:rsidRPr="006D389B">
              <w:rPr>
                <w:bCs/>
                <w:i/>
              </w:rPr>
              <w:t>Processing rules:</w:t>
            </w:r>
          </w:p>
        </w:tc>
        <w:tc>
          <w:tcPr>
            <w:tcW w:w="3790" w:type="pct"/>
            <w:gridSpan w:val="2"/>
            <w:tcBorders>
              <w:top w:val="nil"/>
              <w:left w:val="nil"/>
              <w:bottom w:val="nil"/>
              <w:right w:val="nil"/>
            </w:tcBorders>
          </w:tcPr>
          <w:p w14:paraId="4C854CE9" w14:textId="77777777" w:rsidR="00581F1C" w:rsidRPr="004D7EDC" w:rsidRDefault="00581F1C" w:rsidP="00581F1C">
            <w:pPr>
              <w:pStyle w:val="Bodyromannumerals"/>
            </w:pPr>
            <w:r>
              <w:t>Input field</w:t>
            </w:r>
          </w:p>
        </w:tc>
      </w:tr>
      <w:tr w:rsidR="00581F1C" w:rsidRPr="006466B5" w14:paraId="6A1DD446" w14:textId="77777777" w:rsidTr="00EF4303">
        <w:tc>
          <w:tcPr>
            <w:tcW w:w="756" w:type="pct"/>
          </w:tcPr>
          <w:p w14:paraId="46F6E875" w14:textId="75E0D65D" w:rsidR="00581F1C" w:rsidRPr="009254DD" w:rsidRDefault="00581F1C" w:rsidP="00581F1C">
            <w:pPr>
              <w:pStyle w:val="Bodyromannumerals"/>
              <w:rPr>
                <w:b/>
                <w:bCs/>
              </w:rPr>
            </w:pPr>
            <w:r w:rsidRPr="00571C50">
              <w:rPr>
                <w:b/>
                <w:bCs/>
              </w:rPr>
              <w:t>C7.6</w:t>
            </w:r>
          </w:p>
        </w:tc>
        <w:tc>
          <w:tcPr>
            <w:tcW w:w="3472" w:type="pct"/>
            <w:gridSpan w:val="2"/>
          </w:tcPr>
          <w:p w14:paraId="0940A4A7" w14:textId="6998016B" w:rsidR="00581F1C" w:rsidRPr="009254DD" w:rsidRDefault="00581F1C" w:rsidP="00581F1C">
            <w:pPr>
              <w:pStyle w:val="Bodyromannumerals"/>
              <w:rPr>
                <w:b/>
                <w:bCs/>
                <w:bdr w:val="single" w:sz="4" w:space="0" w:color="auto"/>
              </w:rPr>
            </w:pPr>
            <w:r w:rsidRPr="00571C50">
              <w:rPr>
                <w:b/>
                <w:bCs/>
              </w:rPr>
              <w:t>Length of mains relined in report year</w:t>
            </w:r>
          </w:p>
        </w:tc>
        <w:tc>
          <w:tcPr>
            <w:tcW w:w="772" w:type="pct"/>
          </w:tcPr>
          <w:p w14:paraId="0FF94D79" w14:textId="27EA80DF" w:rsidR="00581F1C" w:rsidRPr="006466B5" w:rsidRDefault="00581F1C" w:rsidP="00581F1C">
            <w:pPr>
              <w:pStyle w:val="Bodyromannumerals"/>
              <w:rPr>
                <w:b/>
                <w:bdr w:val="single" w:sz="4" w:space="0" w:color="auto"/>
              </w:rPr>
            </w:pPr>
            <w:r w:rsidRPr="00571C50">
              <w:rPr>
                <w:b/>
                <w:bCs/>
              </w:rPr>
              <w:t>Km</w:t>
            </w:r>
          </w:p>
        </w:tc>
      </w:tr>
      <w:tr w:rsidR="00581F1C" w:rsidRPr="00A83F00" w14:paraId="0CC66B96"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15657FE9" w14:textId="77777777" w:rsidR="00581F1C" w:rsidRPr="006D389B" w:rsidRDefault="00581F1C" w:rsidP="00581F1C">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71E8D87F" w14:textId="64ABFA17" w:rsidR="00581F1C" w:rsidRPr="00A83F00" w:rsidRDefault="00581F1C" w:rsidP="00581F1C">
            <w:pPr>
              <w:pStyle w:val="Bodyromannumerals"/>
            </w:pPr>
            <w:r w:rsidRPr="006466B5">
              <w:t>The total length of mains relined during the report year.</w:t>
            </w:r>
          </w:p>
        </w:tc>
      </w:tr>
      <w:tr w:rsidR="00581F1C" w:rsidRPr="004D7EDC" w14:paraId="5100C0EA"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331A1F40" w14:textId="77777777" w:rsidR="00581F1C" w:rsidRPr="006D389B" w:rsidRDefault="00581F1C" w:rsidP="00581F1C">
            <w:pPr>
              <w:pStyle w:val="Bodyromannumerals"/>
              <w:rPr>
                <w:bCs/>
                <w:i/>
              </w:rPr>
            </w:pPr>
            <w:r w:rsidRPr="006D389B">
              <w:rPr>
                <w:bCs/>
                <w:i/>
              </w:rPr>
              <w:t>Processing rules:</w:t>
            </w:r>
          </w:p>
        </w:tc>
        <w:tc>
          <w:tcPr>
            <w:tcW w:w="3790" w:type="pct"/>
            <w:gridSpan w:val="2"/>
            <w:tcBorders>
              <w:top w:val="nil"/>
              <w:left w:val="nil"/>
              <w:bottom w:val="nil"/>
              <w:right w:val="nil"/>
            </w:tcBorders>
          </w:tcPr>
          <w:p w14:paraId="0C2DB837" w14:textId="77777777" w:rsidR="00581F1C" w:rsidRPr="004D7EDC" w:rsidRDefault="00581F1C" w:rsidP="00581F1C">
            <w:pPr>
              <w:pStyle w:val="Bodyromannumerals"/>
            </w:pPr>
            <w:r>
              <w:t>Input field</w:t>
            </w:r>
          </w:p>
        </w:tc>
      </w:tr>
      <w:tr w:rsidR="00581F1C" w:rsidRPr="006466B5" w14:paraId="0086F228" w14:textId="77777777" w:rsidTr="00EF4303">
        <w:tc>
          <w:tcPr>
            <w:tcW w:w="756" w:type="pct"/>
          </w:tcPr>
          <w:p w14:paraId="24F5ADEC" w14:textId="41626F83" w:rsidR="00581F1C" w:rsidRPr="009254DD" w:rsidRDefault="00581F1C" w:rsidP="00581F1C">
            <w:pPr>
              <w:pStyle w:val="Bodyromannumerals"/>
              <w:rPr>
                <w:b/>
                <w:bCs/>
              </w:rPr>
            </w:pPr>
            <w:r w:rsidRPr="00571C50">
              <w:rPr>
                <w:b/>
                <w:bCs/>
              </w:rPr>
              <w:t>C7.7</w:t>
            </w:r>
          </w:p>
        </w:tc>
        <w:tc>
          <w:tcPr>
            <w:tcW w:w="3472" w:type="pct"/>
            <w:gridSpan w:val="2"/>
          </w:tcPr>
          <w:p w14:paraId="001DF335" w14:textId="785CC715" w:rsidR="00581F1C" w:rsidRPr="009254DD" w:rsidRDefault="00581F1C" w:rsidP="00581F1C">
            <w:pPr>
              <w:pStyle w:val="Bodyromannumerals"/>
              <w:rPr>
                <w:b/>
                <w:bCs/>
                <w:bdr w:val="single" w:sz="4" w:space="0" w:color="auto"/>
              </w:rPr>
            </w:pPr>
            <w:r w:rsidRPr="00571C50">
              <w:rPr>
                <w:b/>
                <w:bCs/>
              </w:rPr>
              <w:t>Length of mains with completed and acceptable post-surveys</w:t>
            </w:r>
          </w:p>
        </w:tc>
        <w:tc>
          <w:tcPr>
            <w:tcW w:w="772" w:type="pct"/>
          </w:tcPr>
          <w:p w14:paraId="1807DBC6" w14:textId="1A4E704F" w:rsidR="00581F1C" w:rsidRPr="006466B5" w:rsidRDefault="00581F1C" w:rsidP="00581F1C">
            <w:pPr>
              <w:pStyle w:val="Bodyromannumerals"/>
              <w:rPr>
                <w:b/>
                <w:bdr w:val="single" w:sz="4" w:space="0" w:color="auto"/>
              </w:rPr>
            </w:pPr>
            <w:r w:rsidRPr="00571C50">
              <w:rPr>
                <w:b/>
                <w:bCs/>
              </w:rPr>
              <w:t>Km</w:t>
            </w:r>
          </w:p>
        </w:tc>
      </w:tr>
      <w:tr w:rsidR="00581F1C" w:rsidRPr="00A83F00" w14:paraId="60EEA9C9"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5404A55A" w14:textId="77777777" w:rsidR="00581F1C" w:rsidRPr="006D389B" w:rsidRDefault="00581F1C" w:rsidP="00581F1C">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51486244" w14:textId="584E8DAA" w:rsidR="00581F1C" w:rsidRPr="00A83F00" w:rsidRDefault="00581F1C" w:rsidP="00581F1C">
            <w:pPr>
              <w:pStyle w:val="Bodyromannumerals"/>
            </w:pPr>
            <w:r w:rsidRPr="00581F1C">
              <w:t>The total length of mains where a post-work survey has been undertaken and the results have been acceptable.</w:t>
            </w:r>
          </w:p>
        </w:tc>
      </w:tr>
      <w:tr w:rsidR="00581F1C" w:rsidRPr="004D7EDC" w14:paraId="34D1F882"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3EF4711E" w14:textId="77777777" w:rsidR="00581F1C" w:rsidRPr="006D389B" w:rsidRDefault="00581F1C" w:rsidP="00581F1C">
            <w:pPr>
              <w:pStyle w:val="Bodyromannumerals"/>
              <w:rPr>
                <w:bCs/>
                <w:i/>
              </w:rPr>
            </w:pPr>
            <w:r w:rsidRPr="006D389B">
              <w:rPr>
                <w:bCs/>
                <w:i/>
              </w:rPr>
              <w:t>Processing rules:</w:t>
            </w:r>
          </w:p>
        </w:tc>
        <w:tc>
          <w:tcPr>
            <w:tcW w:w="3790" w:type="pct"/>
            <w:gridSpan w:val="2"/>
            <w:tcBorders>
              <w:top w:val="nil"/>
              <w:left w:val="nil"/>
              <w:bottom w:val="nil"/>
              <w:right w:val="nil"/>
            </w:tcBorders>
          </w:tcPr>
          <w:p w14:paraId="42A4515B" w14:textId="77777777" w:rsidR="00581F1C" w:rsidRPr="004D7EDC" w:rsidRDefault="00581F1C" w:rsidP="00581F1C">
            <w:pPr>
              <w:pStyle w:val="Bodyromannumerals"/>
            </w:pPr>
            <w:r>
              <w:t>Input field</w:t>
            </w:r>
          </w:p>
        </w:tc>
      </w:tr>
      <w:tr w:rsidR="00581F1C" w:rsidRPr="006466B5" w14:paraId="0113DA6E" w14:textId="77777777" w:rsidTr="00EF4303">
        <w:tc>
          <w:tcPr>
            <w:tcW w:w="756" w:type="pct"/>
          </w:tcPr>
          <w:p w14:paraId="76377501" w14:textId="02995F45" w:rsidR="00581F1C" w:rsidRPr="009254DD" w:rsidRDefault="00581F1C" w:rsidP="00581F1C">
            <w:pPr>
              <w:pStyle w:val="Bodyromannumerals"/>
              <w:rPr>
                <w:b/>
                <w:bCs/>
              </w:rPr>
            </w:pPr>
            <w:r w:rsidRPr="00571C50">
              <w:rPr>
                <w:b/>
                <w:bCs/>
              </w:rPr>
              <w:t>C7.8</w:t>
            </w:r>
          </w:p>
        </w:tc>
        <w:tc>
          <w:tcPr>
            <w:tcW w:w="3472" w:type="pct"/>
            <w:gridSpan w:val="2"/>
          </w:tcPr>
          <w:p w14:paraId="4890A924" w14:textId="728B295F" w:rsidR="00581F1C" w:rsidRPr="009254DD" w:rsidRDefault="00581F1C" w:rsidP="00581F1C">
            <w:pPr>
              <w:pStyle w:val="Bodyromannumerals"/>
              <w:rPr>
                <w:b/>
                <w:bCs/>
                <w:bdr w:val="single" w:sz="4" w:space="0" w:color="auto"/>
              </w:rPr>
            </w:pPr>
            <w:r w:rsidRPr="00571C50">
              <w:rPr>
                <w:b/>
                <w:bCs/>
              </w:rPr>
              <w:t>N</w:t>
            </w:r>
            <w:r w:rsidR="00861ECD">
              <w:rPr>
                <w:b/>
                <w:bCs/>
              </w:rPr>
              <w:t>umber</w:t>
            </w:r>
            <w:r w:rsidRPr="00571C50">
              <w:rPr>
                <w:b/>
                <w:bCs/>
              </w:rPr>
              <w:t xml:space="preserve"> of water </w:t>
            </w:r>
            <w:r>
              <w:rPr>
                <w:b/>
                <w:bCs/>
              </w:rPr>
              <w:t>distribution</w:t>
            </w:r>
            <w:r w:rsidRPr="00571C50">
              <w:rPr>
                <w:b/>
                <w:bCs/>
              </w:rPr>
              <w:t xml:space="preserve"> zones where </w:t>
            </w:r>
            <w:r w:rsidR="00D92DFE">
              <w:rPr>
                <w:b/>
                <w:bCs/>
              </w:rPr>
              <w:t>a programme of works</w:t>
            </w:r>
            <w:r w:rsidRPr="00571C50">
              <w:rPr>
                <w:b/>
                <w:bCs/>
              </w:rPr>
              <w:t xml:space="preserve"> </w:t>
            </w:r>
            <w:r w:rsidR="00D92DFE" w:rsidRPr="00571C50">
              <w:rPr>
                <w:b/>
                <w:bCs/>
              </w:rPr>
              <w:t>ha</w:t>
            </w:r>
            <w:r w:rsidR="00D92DFE">
              <w:rPr>
                <w:b/>
                <w:bCs/>
              </w:rPr>
              <w:t>s</w:t>
            </w:r>
            <w:r w:rsidR="00D92DFE" w:rsidRPr="00571C50">
              <w:rPr>
                <w:b/>
                <w:bCs/>
              </w:rPr>
              <w:t xml:space="preserve"> </w:t>
            </w:r>
            <w:r w:rsidRPr="00571C50">
              <w:rPr>
                <w:b/>
                <w:bCs/>
              </w:rPr>
              <w:t>been completed</w:t>
            </w:r>
          </w:p>
        </w:tc>
        <w:tc>
          <w:tcPr>
            <w:tcW w:w="772" w:type="pct"/>
          </w:tcPr>
          <w:p w14:paraId="70B594A1" w14:textId="0249192B" w:rsidR="00581F1C" w:rsidRPr="006466B5" w:rsidRDefault="00581F1C" w:rsidP="00581F1C">
            <w:pPr>
              <w:pStyle w:val="Bodyromannumerals"/>
              <w:rPr>
                <w:b/>
                <w:bdr w:val="single" w:sz="4" w:space="0" w:color="auto"/>
              </w:rPr>
            </w:pPr>
            <w:r w:rsidRPr="00571C50">
              <w:rPr>
                <w:b/>
                <w:bCs/>
              </w:rPr>
              <w:t>Nr.</w:t>
            </w:r>
          </w:p>
        </w:tc>
      </w:tr>
      <w:tr w:rsidR="00581F1C" w:rsidRPr="00A83F00" w14:paraId="48D3EE99"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71AF5DD6" w14:textId="77777777" w:rsidR="00581F1C" w:rsidRPr="006D389B" w:rsidRDefault="00581F1C" w:rsidP="00581F1C">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6FAFDD91" w14:textId="2B6948B4" w:rsidR="00581F1C" w:rsidRPr="00A83F00" w:rsidRDefault="00581F1C" w:rsidP="00581F1C">
            <w:pPr>
              <w:pStyle w:val="Bodyromannumerals"/>
            </w:pPr>
            <w:r w:rsidRPr="00581F1C">
              <w:t xml:space="preserve">The total number of water distribution zones where programmes of work </w:t>
            </w:r>
            <w:r w:rsidR="0016506D">
              <w:t xml:space="preserve">identified in the </w:t>
            </w:r>
            <w:r w:rsidR="00311012">
              <w:t xml:space="preserve">Long Term Plan </w:t>
            </w:r>
            <w:r w:rsidRPr="00581F1C">
              <w:t>have been completed.</w:t>
            </w:r>
          </w:p>
        </w:tc>
      </w:tr>
      <w:tr w:rsidR="00581F1C" w:rsidRPr="004D7EDC" w14:paraId="6969874C"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05754538" w14:textId="77777777" w:rsidR="00581F1C" w:rsidRPr="006D389B" w:rsidRDefault="00581F1C" w:rsidP="00581F1C">
            <w:pPr>
              <w:pStyle w:val="Bodyromannumerals"/>
              <w:rPr>
                <w:bCs/>
                <w:i/>
              </w:rPr>
            </w:pPr>
            <w:r w:rsidRPr="006D389B">
              <w:rPr>
                <w:bCs/>
                <w:i/>
              </w:rPr>
              <w:t>Processing rules:</w:t>
            </w:r>
          </w:p>
        </w:tc>
        <w:tc>
          <w:tcPr>
            <w:tcW w:w="3790" w:type="pct"/>
            <w:gridSpan w:val="2"/>
            <w:tcBorders>
              <w:top w:val="nil"/>
              <w:left w:val="nil"/>
              <w:bottom w:val="nil"/>
              <w:right w:val="nil"/>
            </w:tcBorders>
          </w:tcPr>
          <w:p w14:paraId="7EED1C74" w14:textId="77777777" w:rsidR="00581F1C" w:rsidRPr="004D7EDC" w:rsidRDefault="00581F1C" w:rsidP="00581F1C">
            <w:pPr>
              <w:pStyle w:val="Bodyromannumerals"/>
            </w:pPr>
            <w:r>
              <w:t>Input field</w:t>
            </w:r>
          </w:p>
        </w:tc>
      </w:tr>
    </w:tbl>
    <w:p w14:paraId="56F6BCBB" w14:textId="77777777" w:rsidR="00F0345D" w:rsidRDefault="00F0345D" w:rsidP="00571C50">
      <w:pPr>
        <w:pStyle w:val="Sectionsub-heading"/>
      </w:pPr>
      <w:r>
        <w:br w:type="page"/>
      </w:r>
    </w:p>
    <w:p w14:paraId="2F456436" w14:textId="2AFA14A5" w:rsidR="00940E3A" w:rsidRDefault="00940E3A" w:rsidP="00571C50">
      <w:pPr>
        <w:pStyle w:val="Sectionsub-heading"/>
      </w:pPr>
      <w:r w:rsidRPr="00F24151">
        <w:t xml:space="preserve">BLOCK 2: </w:t>
      </w:r>
      <w:r w:rsidR="00584F14" w:rsidRPr="00F24151">
        <w:t>WATER RESOURCE PLANNING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584F14" w:rsidRPr="006466B5" w14:paraId="0EC2C675" w14:textId="77777777" w:rsidTr="00EF4303">
        <w:tc>
          <w:tcPr>
            <w:tcW w:w="756" w:type="pct"/>
          </w:tcPr>
          <w:p w14:paraId="62749DAC" w14:textId="4A27212A" w:rsidR="00584F14" w:rsidRPr="009254DD" w:rsidRDefault="00584F14" w:rsidP="00584F14">
            <w:pPr>
              <w:pStyle w:val="Bodyromannumerals"/>
              <w:rPr>
                <w:b/>
                <w:bCs/>
              </w:rPr>
            </w:pPr>
            <w:r w:rsidRPr="00571C50">
              <w:rPr>
                <w:b/>
                <w:bCs/>
              </w:rPr>
              <w:t>C7.9</w:t>
            </w:r>
          </w:p>
        </w:tc>
        <w:tc>
          <w:tcPr>
            <w:tcW w:w="3472" w:type="pct"/>
            <w:gridSpan w:val="2"/>
          </w:tcPr>
          <w:p w14:paraId="2ED1B2D8" w14:textId="5854DD11" w:rsidR="00584F14" w:rsidRPr="009254DD" w:rsidRDefault="00584F14" w:rsidP="00584F14">
            <w:pPr>
              <w:pStyle w:val="Bodyromannumerals"/>
              <w:rPr>
                <w:b/>
                <w:bCs/>
                <w:bdr w:val="single" w:sz="4" w:space="0" w:color="auto"/>
              </w:rPr>
            </w:pPr>
            <w:r w:rsidRPr="00571C50">
              <w:rPr>
                <w:b/>
                <w:bCs/>
              </w:rPr>
              <w:t xml:space="preserve">Total number of metered areas in </w:t>
            </w:r>
            <w:r w:rsidR="00734F8A">
              <w:rPr>
                <w:b/>
                <w:bCs/>
              </w:rPr>
              <w:t xml:space="preserve">Local </w:t>
            </w:r>
            <w:r w:rsidRPr="00571C50">
              <w:rPr>
                <w:b/>
                <w:bCs/>
              </w:rPr>
              <w:t>Authority supply area</w:t>
            </w:r>
          </w:p>
        </w:tc>
        <w:tc>
          <w:tcPr>
            <w:tcW w:w="772" w:type="pct"/>
          </w:tcPr>
          <w:p w14:paraId="3DC6CD67" w14:textId="058474A5" w:rsidR="00584F14" w:rsidRPr="006466B5" w:rsidRDefault="00584F14" w:rsidP="00584F14">
            <w:pPr>
              <w:pStyle w:val="Bodyromannumerals"/>
              <w:rPr>
                <w:b/>
                <w:bdr w:val="single" w:sz="4" w:space="0" w:color="auto"/>
              </w:rPr>
            </w:pPr>
            <w:r w:rsidRPr="00571C50">
              <w:rPr>
                <w:b/>
                <w:bCs/>
              </w:rPr>
              <w:t>Nr.</w:t>
            </w:r>
          </w:p>
        </w:tc>
      </w:tr>
      <w:tr w:rsidR="00584F14" w:rsidRPr="00A83F00" w14:paraId="34D6223F"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61442868" w14:textId="77777777" w:rsidR="00584F14" w:rsidRPr="006D389B" w:rsidRDefault="00584F14" w:rsidP="00EF4303">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0ECEF693" w14:textId="46AAC0D8" w:rsidR="00584F14" w:rsidRPr="00A83F00" w:rsidRDefault="00584F14" w:rsidP="00EF4303">
            <w:pPr>
              <w:pStyle w:val="Bodyromannumerals"/>
            </w:pPr>
            <w:r w:rsidRPr="00584F14">
              <w:t xml:space="preserve">Total number of </w:t>
            </w:r>
            <w:r w:rsidR="0016506D">
              <w:t>areas that are metered</w:t>
            </w:r>
            <w:r w:rsidRPr="00584F14">
              <w:t xml:space="preserve"> contained within the total water supply area of the </w:t>
            </w:r>
            <w:r w:rsidR="000011BB">
              <w:t>Local</w:t>
            </w:r>
            <w:r w:rsidRPr="00584F14">
              <w:t xml:space="preserve"> Authority.</w:t>
            </w:r>
            <w:r w:rsidR="0016506D">
              <w:t xml:space="preserve"> In the UK, for example, water company sub-areas are metered in order to monitor water flows at an aggregate level (e.g. for monitoring leakage). </w:t>
            </w:r>
          </w:p>
        </w:tc>
      </w:tr>
      <w:tr w:rsidR="00584F14" w:rsidRPr="004D7EDC" w14:paraId="4B81A957"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15EC913F" w14:textId="77777777" w:rsidR="00584F14" w:rsidRPr="006D389B" w:rsidRDefault="00584F14" w:rsidP="00EF4303">
            <w:pPr>
              <w:pStyle w:val="Bodyromannumerals"/>
              <w:rPr>
                <w:bCs/>
                <w:i/>
              </w:rPr>
            </w:pPr>
            <w:r w:rsidRPr="006D389B">
              <w:rPr>
                <w:bCs/>
                <w:i/>
              </w:rPr>
              <w:t>Processing rules:</w:t>
            </w:r>
          </w:p>
        </w:tc>
        <w:tc>
          <w:tcPr>
            <w:tcW w:w="3790" w:type="pct"/>
            <w:gridSpan w:val="2"/>
            <w:tcBorders>
              <w:top w:val="nil"/>
              <w:left w:val="nil"/>
              <w:bottom w:val="nil"/>
              <w:right w:val="nil"/>
            </w:tcBorders>
          </w:tcPr>
          <w:p w14:paraId="2F8CE6DE" w14:textId="77777777" w:rsidR="00584F14" w:rsidRPr="004D7EDC" w:rsidRDefault="00584F14" w:rsidP="00EF4303">
            <w:pPr>
              <w:pStyle w:val="Bodyromannumerals"/>
            </w:pPr>
            <w:r>
              <w:t>Input field</w:t>
            </w:r>
          </w:p>
        </w:tc>
      </w:tr>
      <w:tr w:rsidR="00584F14" w:rsidRPr="006466B5" w14:paraId="357796D3" w14:textId="77777777" w:rsidTr="00EF4303">
        <w:tc>
          <w:tcPr>
            <w:tcW w:w="756" w:type="pct"/>
          </w:tcPr>
          <w:p w14:paraId="06754E64" w14:textId="5160D9DB" w:rsidR="00584F14" w:rsidRPr="009254DD" w:rsidRDefault="00584F14" w:rsidP="00584F14">
            <w:pPr>
              <w:pStyle w:val="Bodyromannumerals"/>
              <w:rPr>
                <w:b/>
                <w:bCs/>
              </w:rPr>
            </w:pPr>
            <w:r w:rsidRPr="00571C50">
              <w:rPr>
                <w:b/>
                <w:bCs/>
              </w:rPr>
              <w:t>C7.10</w:t>
            </w:r>
          </w:p>
        </w:tc>
        <w:tc>
          <w:tcPr>
            <w:tcW w:w="3472" w:type="pct"/>
            <w:gridSpan w:val="2"/>
          </w:tcPr>
          <w:p w14:paraId="5D4D0E92" w14:textId="7AC3D618" w:rsidR="00584F14" w:rsidRPr="009254DD" w:rsidRDefault="00584F14" w:rsidP="00584F14">
            <w:pPr>
              <w:pStyle w:val="Bodyromannumerals"/>
              <w:rPr>
                <w:b/>
                <w:bCs/>
                <w:bdr w:val="single" w:sz="4" w:space="0" w:color="auto"/>
              </w:rPr>
            </w:pPr>
            <w:r w:rsidRPr="00571C50">
              <w:rPr>
                <w:b/>
                <w:bCs/>
              </w:rPr>
              <w:t xml:space="preserve">Number of areas </w:t>
            </w:r>
            <w:r w:rsidR="00E216E0">
              <w:rPr>
                <w:b/>
                <w:bCs/>
              </w:rPr>
              <w:t>metered</w:t>
            </w:r>
            <w:r w:rsidR="00E216E0" w:rsidRPr="00571C50">
              <w:rPr>
                <w:b/>
                <w:bCs/>
              </w:rPr>
              <w:t xml:space="preserve"> </w:t>
            </w:r>
            <w:r w:rsidRPr="00571C50">
              <w:rPr>
                <w:b/>
                <w:bCs/>
              </w:rPr>
              <w:t xml:space="preserve">in </w:t>
            </w:r>
            <w:r w:rsidR="00E216E0">
              <w:rPr>
                <w:b/>
                <w:bCs/>
              </w:rPr>
              <w:t xml:space="preserve">the </w:t>
            </w:r>
            <w:r w:rsidRPr="00571C50">
              <w:rPr>
                <w:b/>
                <w:bCs/>
              </w:rPr>
              <w:t>report year</w:t>
            </w:r>
          </w:p>
        </w:tc>
        <w:tc>
          <w:tcPr>
            <w:tcW w:w="772" w:type="pct"/>
          </w:tcPr>
          <w:p w14:paraId="7034D260" w14:textId="706522B7" w:rsidR="00584F14" w:rsidRPr="006466B5" w:rsidRDefault="00584F14" w:rsidP="00584F14">
            <w:pPr>
              <w:pStyle w:val="Bodyromannumerals"/>
              <w:rPr>
                <w:b/>
                <w:bdr w:val="single" w:sz="4" w:space="0" w:color="auto"/>
              </w:rPr>
            </w:pPr>
            <w:r w:rsidRPr="00571C50">
              <w:rPr>
                <w:b/>
                <w:bCs/>
              </w:rPr>
              <w:t>Nr.</w:t>
            </w:r>
          </w:p>
        </w:tc>
      </w:tr>
      <w:tr w:rsidR="00584F14" w:rsidRPr="00A83F00" w14:paraId="013B048E"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47E1F07F" w14:textId="77777777" w:rsidR="00584F14" w:rsidRPr="006D389B" w:rsidRDefault="00584F14" w:rsidP="00584F14">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41D41BCB" w14:textId="45F95845" w:rsidR="00584F14" w:rsidRPr="00A83F00" w:rsidRDefault="00584F14" w:rsidP="00584F14">
            <w:pPr>
              <w:pStyle w:val="Bodyromannumerals"/>
            </w:pPr>
            <w:r w:rsidRPr="00584F14">
              <w:t xml:space="preserve">Number of </w:t>
            </w:r>
            <w:r w:rsidR="0016506D">
              <w:t>areas that are metered</w:t>
            </w:r>
            <w:r w:rsidR="0016506D" w:rsidRPr="00584F14">
              <w:t xml:space="preserve"> </w:t>
            </w:r>
            <w:r w:rsidRPr="00584F14">
              <w:t>during the report year.</w:t>
            </w:r>
            <w:r w:rsidR="00E216E0">
              <w:t xml:space="preserve"> </w:t>
            </w:r>
          </w:p>
        </w:tc>
      </w:tr>
      <w:tr w:rsidR="00584F14" w:rsidRPr="004D7EDC" w14:paraId="4240D29A"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502A6BD7" w14:textId="77777777" w:rsidR="00584F14" w:rsidRPr="006D389B" w:rsidRDefault="00584F14" w:rsidP="00584F14">
            <w:pPr>
              <w:pStyle w:val="Bodyromannumerals"/>
              <w:rPr>
                <w:bCs/>
                <w:i/>
              </w:rPr>
            </w:pPr>
            <w:r w:rsidRPr="006D389B">
              <w:rPr>
                <w:bCs/>
                <w:i/>
              </w:rPr>
              <w:t>Processing rules:</w:t>
            </w:r>
          </w:p>
        </w:tc>
        <w:tc>
          <w:tcPr>
            <w:tcW w:w="3790" w:type="pct"/>
            <w:gridSpan w:val="2"/>
            <w:tcBorders>
              <w:top w:val="nil"/>
              <w:left w:val="nil"/>
              <w:bottom w:val="nil"/>
              <w:right w:val="nil"/>
            </w:tcBorders>
          </w:tcPr>
          <w:p w14:paraId="0677F00D" w14:textId="77777777" w:rsidR="00584F14" w:rsidRPr="004D7EDC" w:rsidRDefault="00584F14" w:rsidP="00584F14">
            <w:pPr>
              <w:pStyle w:val="Bodyromannumerals"/>
            </w:pPr>
            <w:r>
              <w:t>Input field</w:t>
            </w:r>
          </w:p>
        </w:tc>
      </w:tr>
      <w:tr w:rsidR="00584F14" w:rsidRPr="006466B5" w14:paraId="37DE0ECF" w14:textId="77777777" w:rsidTr="00EF4303">
        <w:tc>
          <w:tcPr>
            <w:tcW w:w="756" w:type="pct"/>
          </w:tcPr>
          <w:p w14:paraId="5273FEAE" w14:textId="5A8A8684" w:rsidR="00584F14" w:rsidRPr="009254DD" w:rsidRDefault="00584F14" w:rsidP="00584F14">
            <w:pPr>
              <w:pStyle w:val="Bodyromannumerals"/>
              <w:rPr>
                <w:b/>
                <w:bCs/>
              </w:rPr>
            </w:pPr>
            <w:r w:rsidRPr="00571C50">
              <w:rPr>
                <w:b/>
                <w:bCs/>
              </w:rPr>
              <w:t>C7.11</w:t>
            </w:r>
          </w:p>
        </w:tc>
        <w:tc>
          <w:tcPr>
            <w:tcW w:w="3472" w:type="pct"/>
            <w:gridSpan w:val="2"/>
          </w:tcPr>
          <w:p w14:paraId="46FE43AF" w14:textId="12D05A14" w:rsidR="00584F14" w:rsidRPr="009254DD" w:rsidRDefault="00584F14" w:rsidP="00584F14">
            <w:pPr>
              <w:pStyle w:val="Bodyromannumerals"/>
              <w:rPr>
                <w:b/>
                <w:bCs/>
                <w:bdr w:val="single" w:sz="4" w:space="0" w:color="auto"/>
              </w:rPr>
            </w:pPr>
            <w:r w:rsidRPr="00571C50">
              <w:rPr>
                <w:b/>
                <w:bCs/>
              </w:rPr>
              <w:t xml:space="preserve">Number of areas currently being </w:t>
            </w:r>
            <w:r w:rsidR="00E216E0">
              <w:rPr>
                <w:b/>
                <w:bCs/>
              </w:rPr>
              <w:t>metered</w:t>
            </w:r>
          </w:p>
        </w:tc>
        <w:tc>
          <w:tcPr>
            <w:tcW w:w="772" w:type="pct"/>
          </w:tcPr>
          <w:p w14:paraId="23776EB0" w14:textId="360D736A" w:rsidR="00584F14" w:rsidRPr="006466B5" w:rsidRDefault="00584F14" w:rsidP="00584F14">
            <w:pPr>
              <w:pStyle w:val="Bodyromannumerals"/>
              <w:rPr>
                <w:b/>
                <w:bdr w:val="single" w:sz="4" w:space="0" w:color="auto"/>
              </w:rPr>
            </w:pPr>
            <w:r w:rsidRPr="00571C50">
              <w:rPr>
                <w:b/>
                <w:bCs/>
              </w:rPr>
              <w:t>Nr.</w:t>
            </w:r>
          </w:p>
        </w:tc>
      </w:tr>
      <w:tr w:rsidR="00584F14" w:rsidRPr="00A83F00" w14:paraId="0CB2C946"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5CEAEFDE" w14:textId="77777777" w:rsidR="00584F14" w:rsidRPr="006D389B" w:rsidRDefault="00584F14" w:rsidP="00584F14">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3C00FB3B" w14:textId="00F8AE38" w:rsidR="00584F14" w:rsidRPr="00A83F00" w:rsidRDefault="00584F14" w:rsidP="00584F14">
            <w:pPr>
              <w:pStyle w:val="Bodyromannumerals"/>
            </w:pPr>
            <w:r w:rsidRPr="006466B5">
              <w:t xml:space="preserve">Number of areas being </w:t>
            </w:r>
            <w:r w:rsidR="00E216E0">
              <w:t>metered</w:t>
            </w:r>
            <w:r w:rsidR="00E216E0" w:rsidRPr="006466B5">
              <w:t xml:space="preserve"> </w:t>
            </w:r>
            <w:r w:rsidRPr="006466B5">
              <w:t>at Report Year end.</w:t>
            </w:r>
          </w:p>
        </w:tc>
      </w:tr>
      <w:tr w:rsidR="00584F14" w:rsidRPr="004D7EDC" w14:paraId="02101EB9"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41E036CE" w14:textId="77777777" w:rsidR="00584F14" w:rsidRPr="006D389B" w:rsidRDefault="00584F14" w:rsidP="00584F14">
            <w:pPr>
              <w:pStyle w:val="Bodyromannumerals"/>
              <w:rPr>
                <w:bCs/>
                <w:i/>
              </w:rPr>
            </w:pPr>
            <w:r w:rsidRPr="006D389B">
              <w:rPr>
                <w:bCs/>
                <w:i/>
              </w:rPr>
              <w:t>Processing rules:</w:t>
            </w:r>
          </w:p>
        </w:tc>
        <w:tc>
          <w:tcPr>
            <w:tcW w:w="3790" w:type="pct"/>
            <w:gridSpan w:val="2"/>
            <w:tcBorders>
              <w:top w:val="nil"/>
              <w:left w:val="nil"/>
              <w:bottom w:val="nil"/>
              <w:right w:val="nil"/>
            </w:tcBorders>
          </w:tcPr>
          <w:p w14:paraId="51A35567" w14:textId="77777777" w:rsidR="00584F14" w:rsidRPr="004D7EDC" w:rsidRDefault="00584F14" w:rsidP="00584F14">
            <w:pPr>
              <w:pStyle w:val="Bodyromannumerals"/>
            </w:pPr>
            <w:r>
              <w:t>Input field</w:t>
            </w:r>
          </w:p>
        </w:tc>
      </w:tr>
      <w:tr w:rsidR="00584F14" w:rsidRPr="006466B5" w14:paraId="7078460D" w14:textId="77777777" w:rsidTr="00EF4303">
        <w:tc>
          <w:tcPr>
            <w:tcW w:w="756" w:type="pct"/>
          </w:tcPr>
          <w:p w14:paraId="3F774B91" w14:textId="69DF920A" w:rsidR="00584F14" w:rsidRPr="009254DD" w:rsidRDefault="00584F14" w:rsidP="00584F14">
            <w:pPr>
              <w:pStyle w:val="Bodyromannumerals"/>
              <w:rPr>
                <w:b/>
                <w:bCs/>
              </w:rPr>
            </w:pPr>
            <w:r w:rsidRPr="00571C50">
              <w:rPr>
                <w:b/>
                <w:bCs/>
              </w:rPr>
              <w:t>C7.12</w:t>
            </w:r>
          </w:p>
        </w:tc>
        <w:tc>
          <w:tcPr>
            <w:tcW w:w="3472" w:type="pct"/>
            <w:gridSpan w:val="2"/>
          </w:tcPr>
          <w:p w14:paraId="5E9AC188" w14:textId="0D661701" w:rsidR="00584F14" w:rsidRPr="009254DD" w:rsidRDefault="00584F14" w:rsidP="00584F14">
            <w:pPr>
              <w:pStyle w:val="Bodyromannumerals"/>
              <w:rPr>
                <w:b/>
                <w:bCs/>
                <w:bdr w:val="single" w:sz="4" w:space="0" w:color="auto"/>
              </w:rPr>
            </w:pPr>
            <w:r w:rsidRPr="00571C50">
              <w:rPr>
                <w:b/>
                <w:bCs/>
              </w:rPr>
              <w:t xml:space="preserve">Percentage of population </w:t>
            </w:r>
            <w:r w:rsidR="00E216E0">
              <w:rPr>
                <w:b/>
                <w:bCs/>
              </w:rPr>
              <w:t>in the</w:t>
            </w:r>
            <w:r w:rsidRPr="00571C50">
              <w:rPr>
                <w:b/>
                <w:bCs/>
              </w:rPr>
              <w:t xml:space="preserve"> </w:t>
            </w:r>
            <w:r w:rsidR="00E216E0">
              <w:rPr>
                <w:b/>
                <w:bCs/>
              </w:rPr>
              <w:t>areas metered in the report year</w:t>
            </w:r>
          </w:p>
        </w:tc>
        <w:tc>
          <w:tcPr>
            <w:tcW w:w="772" w:type="pct"/>
          </w:tcPr>
          <w:p w14:paraId="71FF76AA" w14:textId="3356CBA6" w:rsidR="00584F14" w:rsidRPr="006466B5" w:rsidRDefault="00584F14" w:rsidP="00584F14">
            <w:pPr>
              <w:pStyle w:val="Bodyromannumerals"/>
              <w:rPr>
                <w:b/>
                <w:bdr w:val="single" w:sz="4" w:space="0" w:color="auto"/>
              </w:rPr>
            </w:pPr>
            <w:r w:rsidRPr="00571C50">
              <w:rPr>
                <w:b/>
                <w:bCs/>
              </w:rPr>
              <w:t>%</w:t>
            </w:r>
          </w:p>
        </w:tc>
      </w:tr>
      <w:tr w:rsidR="00584F14" w:rsidRPr="00A83F00" w14:paraId="00C522D2"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512448F2" w14:textId="77777777" w:rsidR="00584F14" w:rsidRPr="006D389B" w:rsidRDefault="00584F14" w:rsidP="00584F14">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4CD5E5A7" w14:textId="248C7916" w:rsidR="00DE2849" w:rsidRDefault="00DE2849" w:rsidP="00DE2849">
            <w:pPr>
              <w:pStyle w:val="Bodyromannumerals"/>
            </w:pPr>
            <w:r>
              <w:t xml:space="preserve">Total percentage of the population served by the </w:t>
            </w:r>
            <w:r w:rsidR="000011BB">
              <w:t>Local</w:t>
            </w:r>
            <w:r>
              <w:t xml:space="preserve"> Authority residing within area</w:t>
            </w:r>
            <w:r w:rsidR="00E216E0">
              <w:t>s</w:t>
            </w:r>
            <w:r w:rsidR="00482480">
              <w:t xml:space="preserve"> metered in the report year</w:t>
            </w:r>
            <w:r w:rsidR="00E216E0">
              <w:t xml:space="preserve"> as reported in Line C7.10</w:t>
            </w:r>
            <w:r>
              <w:t xml:space="preserve">. </w:t>
            </w:r>
          </w:p>
          <w:p w14:paraId="44D80E83" w14:textId="77777777" w:rsidR="00DE2849" w:rsidRDefault="00DE2849" w:rsidP="00DE2849">
            <w:pPr>
              <w:pStyle w:val="Bodyromannumerals"/>
            </w:pPr>
            <w:r>
              <w:t>Formula to be used:</w:t>
            </w:r>
          </w:p>
          <w:p w14:paraId="780F5F3A" w14:textId="0361D7FA" w:rsidR="00584F14" w:rsidRPr="00A83F00" w:rsidRDefault="00DE2849" w:rsidP="00DE2849">
            <w:pPr>
              <w:pStyle w:val="Bodyromannumerals"/>
            </w:pPr>
            <w:r>
              <w:t xml:space="preserve">(Total number of population residing within </w:t>
            </w:r>
            <w:r w:rsidR="00E216E0">
              <w:t>areas metered in the report year</w:t>
            </w:r>
            <w:r>
              <w:t>/Total population served by authority) x100</w:t>
            </w:r>
          </w:p>
        </w:tc>
      </w:tr>
      <w:tr w:rsidR="00584F14" w:rsidRPr="004D7EDC" w14:paraId="24A7D102"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25D57163" w14:textId="77777777" w:rsidR="00584F14" w:rsidRPr="006D389B" w:rsidRDefault="00584F14" w:rsidP="00584F14">
            <w:pPr>
              <w:pStyle w:val="Bodyromannumerals"/>
              <w:rPr>
                <w:bCs/>
                <w:i/>
              </w:rPr>
            </w:pPr>
            <w:r w:rsidRPr="006D389B">
              <w:rPr>
                <w:bCs/>
                <w:i/>
              </w:rPr>
              <w:t>Processing rules:</w:t>
            </w:r>
          </w:p>
        </w:tc>
        <w:tc>
          <w:tcPr>
            <w:tcW w:w="3790" w:type="pct"/>
            <w:gridSpan w:val="2"/>
            <w:tcBorders>
              <w:top w:val="nil"/>
              <w:left w:val="nil"/>
              <w:bottom w:val="nil"/>
              <w:right w:val="nil"/>
            </w:tcBorders>
          </w:tcPr>
          <w:p w14:paraId="086BA50E" w14:textId="77777777" w:rsidR="00584F14" w:rsidRPr="004D7EDC" w:rsidRDefault="00584F14" w:rsidP="00584F14">
            <w:pPr>
              <w:pStyle w:val="Bodyromannumerals"/>
            </w:pPr>
            <w:r>
              <w:t>Input field</w:t>
            </w:r>
          </w:p>
        </w:tc>
      </w:tr>
      <w:tr w:rsidR="00DE2849" w:rsidRPr="006466B5" w14:paraId="3C96C19A" w14:textId="77777777" w:rsidTr="00EF4303">
        <w:tc>
          <w:tcPr>
            <w:tcW w:w="756" w:type="pct"/>
          </w:tcPr>
          <w:p w14:paraId="5509FD6C" w14:textId="5F9DE0E8" w:rsidR="00DE2849" w:rsidRPr="009254DD" w:rsidRDefault="00DE2849" w:rsidP="00DE2849">
            <w:pPr>
              <w:pStyle w:val="Bodyromannumerals"/>
              <w:rPr>
                <w:b/>
                <w:bCs/>
              </w:rPr>
            </w:pPr>
            <w:r w:rsidRPr="00571C50">
              <w:rPr>
                <w:b/>
                <w:bCs/>
              </w:rPr>
              <w:t>C7.13</w:t>
            </w:r>
          </w:p>
        </w:tc>
        <w:tc>
          <w:tcPr>
            <w:tcW w:w="3472" w:type="pct"/>
            <w:gridSpan w:val="2"/>
          </w:tcPr>
          <w:p w14:paraId="7B4C098F" w14:textId="3D678BC5" w:rsidR="00DE2849" w:rsidRPr="009254DD" w:rsidRDefault="00DE2849" w:rsidP="00DE2849">
            <w:pPr>
              <w:pStyle w:val="Bodyromannumerals"/>
              <w:rPr>
                <w:b/>
                <w:bCs/>
                <w:bdr w:val="single" w:sz="4" w:space="0" w:color="auto"/>
              </w:rPr>
            </w:pPr>
            <w:r w:rsidRPr="00571C50">
              <w:rPr>
                <w:b/>
                <w:bCs/>
              </w:rPr>
              <w:t xml:space="preserve">Percentage of total network </w:t>
            </w:r>
            <w:r w:rsidR="00E216E0">
              <w:rPr>
                <w:b/>
                <w:bCs/>
              </w:rPr>
              <w:t>in the</w:t>
            </w:r>
            <w:r w:rsidR="002A54E2">
              <w:rPr>
                <w:b/>
                <w:bCs/>
              </w:rPr>
              <w:t xml:space="preserve"> </w:t>
            </w:r>
            <w:r w:rsidR="00E216E0">
              <w:rPr>
                <w:b/>
                <w:bCs/>
              </w:rPr>
              <w:t>areas metered in the report year</w:t>
            </w:r>
          </w:p>
        </w:tc>
        <w:tc>
          <w:tcPr>
            <w:tcW w:w="772" w:type="pct"/>
          </w:tcPr>
          <w:p w14:paraId="2F17BC12" w14:textId="4F6E6E31" w:rsidR="00DE2849" w:rsidRPr="006466B5" w:rsidRDefault="00DE2849" w:rsidP="00DE2849">
            <w:pPr>
              <w:pStyle w:val="Bodyromannumerals"/>
              <w:rPr>
                <w:b/>
                <w:bdr w:val="single" w:sz="4" w:space="0" w:color="auto"/>
              </w:rPr>
            </w:pPr>
            <w:r w:rsidRPr="00571C50">
              <w:rPr>
                <w:b/>
                <w:bCs/>
              </w:rPr>
              <w:t>%</w:t>
            </w:r>
          </w:p>
        </w:tc>
      </w:tr>
      <w:tr w:rsidR="00DE2849" w:rsidRPr="00A83F00" w14:paraId="577EFFED"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7E8DFA39" w14:textId="77777777" w:rsidR="00DE2849" w:rsidRPr="006D389B" w:rsidRDefault="00DE2849" w:rsidP="00DE2849">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77D117E3" w14:textId="6DA6802F" w:rsidR="00DE2849" w:rsidRDefault="00DE2849" w:rsidP="00DE2849">
            <w:pPr>
              <w:pStyle w:val="Bodyromannumerals"/>
            </w:pPr>
            <w:r w:rsidRPr="00DE2849">
              <w:t>Percentage of the total network covered area</w:t>
            </w:r>
            <w:r w:rsidR="00E216E0">
              <w:t>s</w:t>
            </w:r>
            <w:r w:rsidR="00482480">
              <w:t xml:space="preserve"> metered in the report year</w:t>
            </w:r>
            <w:r w:rsidR="00E216E0">
              <w:t xml:space="preserve"> as reported in Line C7.10</w:t>
            </w:r>
            <w:r w:rsidRPr="00DE2849">
              <w:t>.</w:t>
            </w:r>
          </w:p>
          <w:p w14:paraId="70548C92" w14:textId="77777777" w:rsidR="00DE2849" w:rsidRDefault="00DE2849" w:rsidP="00DE2849">
            <w:pPr>
              <w:pStyle w:val="Bodyromannumerals"/>
            </w:pPr>
            <w:r w:rsidRPr="006466B5">
              <w:t>Formula to be used:</w:t>
            </w:r>
            <w:r w:rsidRPr="00DE2849">
              <w:t xml:space="preserve"> </w:t>
            </w:r>
          </w:p>
          <w:p w14:paraId="27C54F46" w14:textId="6A9BA9D2" w:rsidR="00DE2849" w:rsidRPr="00A83F00" w:rsidRDefault="00DE2849" w:rsidP="00DE2849">
            <w:pPr>
              <w:pStyle w:val="Bodyromannumerals"/>
            </w:pPr>
            <w:r w:rsidRPr="00DE2849">
              <w:t xml:space="preserve">(Total length of mains covered by </w:t>
            </w:r>
            <w:r w:rsidR="00E216E0">
              <w:t>areas metered in the report year</w:t>
            </w:r>
            <w:r w:rsidRPr="00DE2849">
              <w:t>/Total length of mains in Authority area) x100</w:t>
            </w:r>
          </w:p>
        </w:tc>
      </w:tr>
      <w:tr w:rsidR="00DE2849" w:rsidRPr="004D7EDC" w14:paraId="376A1AF8"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3E2D1C96" w14:textId="77777777" w:rsidR="00DE2849" w:rsidRPr="006D389B" w:rsidRDefault="00DE2849" w:rsidP="00DE2849">
            <w:pPr>
              <w:pStyle w:val="Bodyromannumerals"/>
              <w:rPr>
                <w:bCs/>
                <w:i/>
              </w:rPr>
            </w:pPr>
            <w:r w:rsidRPr="006D389B">
              <w:rPr>
                <w:bCs/>
                <w:i/>
              </w:rPr>
              <w:t>Processing rules:</w:t>
            </w:r>
          </w:p>
        </w:tc>
        <w:tc>
          <w:tcPr>
            <w:tcW w:w="3790" w:type="pct"/>
            <w:gridSpan w:val="2"/>
            <w:tcBorders>
              <w:top w:val="nil"/>
              <w:left w:val="nil"/>
              <w:bottom w:val="nil"/>
              <w:right w:val="nil"/>
            </w:tcBorders>
          </w:tcPr>
          <w:p w14:paraId="63AE7923" w14:textId="77777777" w:rsidR="00DE2849" w:rsidRPr="004D7EDC" w:rsidRDefault="00DE2849" w:rsidP="00DE2849">
            <w:pPr>
              <w:pStyle w:val="Bodyromannumerals"/>
            </w:pPr>
            <w:r>
              <w:t>Input field</w:t>
            </w:r>
          </w:p>
        </w:tc>
      </w:tr>
    </w:tbl>
    <w:p w14:paraId="71194618" w14:textId="0C09B001" w:rsidR="00940E3A" w:rsidRPr="006466B5" w:rsidRDefault="00584F14" w:rsidP="00134721">
      <w:pPr>
        <w:pStyle w:val="Title1"/>
      </w:pPr>
      <w:r>
        <w:t>TABLE</w:t>
      </w:r>
      <w:r w:rsidR="00940E3A" w:rsidRPr="006466B5">
        <w:t xml:space="preserve"> C8: WASTEWATER QUALITY OUTPUTS – SEWER ACTIVITIES</w:t>
      </w:r>
    </w:p>
    <w:p w14:paraId="71A30D36" w14:textId="70CEC789" w:rsidR="00940E3A" w:rsidRPr="007013F6" w:rsidRDefault="00940E3A" w:rsidP="2F76CC7E">
      <w:pPr>
        <w:pStyle w:val="Bodynumbercopy"/>
        <w:numPr>
          <w:ilvl w:val="0"/>
          <w:numId w:val="2"/>
        </w:numPr>
        <w:rPr>
          <w:rFonts w:asciiTheme="minorHAnsi" w:eastAsiaTheme="minorEastAsia" w:hAnsiTheme="minorHAnsi" w:cstheme="minorBidi"/>
        </w:rPr>
      </w:pPr>
      <w:r>
        <w:t xml:space="preserve">This table relates to sewer rehabilitation work undertaken and work carried out on gathering effective information needed for good practice </w:t>
      </w:r>
      <w:r w:rsidR="00D76445">
        <w:t>wastewater</w:t>
      </w:r>
      <w:r>
        <w:t xml:space="preserve"> resource planning, during the report year.</w:t>
      </w:r>
    </w:p>
    <w:p w14:paraId="39673F69" w14:textId="710CBEE1" w:rsidR="00D4561C" w:rsidRDefault="00CF4715" w:rsidP="00D4561C">
      <w:pPr>
        <w:pStyle w:val="Bodynumbercopy"/>
        <w:numPr>
          <w:ilvl w:val="0"/>
          <w:numId w:val="2"/>
        </w:numPr>
        <w:jc w:val="both"/>
      </w:pPr>
      <w:r>
        <w:t>Drainage areas are defined based on the</w:t>
      </w:r>
      <w:r w:rsidR="00D4561C" w:rsidRPr="007607EA">
        <w:t xml:space="preserve"> extent of the </w:t>
      </w:r>
      <w:r w:rsidR="009504BF">
        <w:t>wastewater</w:t>
      </w:r>
      <w:r w:rsidR="00D4561C" w:rsidRPr="007607EA">
        <w:t xml:space="preserve"> area draining to a particular wastewater </w:t>
      </w:r>
      <w:r w:rsidR="00D4561C" w:rsidRPr="004551AE">
        <w:t>treatment</w:t>
      </w:r>
      <w:r w:rsidR="00D4561C" w:rsidRPr="007607EA">
        <w:t xml:space="preserve"> works.</w:t>
      </w:r>
      <w:r w:rsidR="00D4561C">
        <w:t xml:space="preserve">    </w:t>
      </w:r>
    </w:p>
    <w:p w14:paraId="173ED29F" w14:textId="0B641777" w:rsidR="00940E3A" w:rsidRPr="006466B5" w:rsidRDefault="00940E3A" w:rsidP="00571C50">
      <w:pPr>
        <w:pStyle w:val="Sectionsub-heading"/>
      </w:pPr>
      <w:r w:rsidRPr="006466B5">
        <w:t xml:space="preserve">Guidance to the </w:t>
      </w:r>
      <w:r w:rsidR="000011BB">
        <w:t>Local</w:t>
      </w:r>
      <w:r w:rsidR="00CB13FA">
        <w:t xml:space="preserve"> Authority</w:t>
      </w:r>
    </w:p>
    <w:p w14:paraId="6022D6EE" w14:textId="4B64ABA3" w:rsidR="00940E3A" w:rsidRPr="006466B5" w:rsidRDefault="00940E3A" w:rsidP="00B93181">
      <w:pPr>
        <w:pStyle w:val="Bodynumbercopy"/>
        <w:numPr>
          <w:ilvl w:val="0"/>
          <w:numId w:val="2"/>
        </w:numPr>
      </w:pPr>
      <w:r>
        <w:t xml:space="preserve">On completion of Table C8 the company should ensure that no input cell is left blank. </w:t>
      </w:r>
    </w:p>
    <w:p w14:paraId="38520399" w14:textId="2FDCF6C5" w:rsidR="00B27A3B" w:rsidRDefault="00940E3A" w:rsidP="00571C50">
      <w:pPr>
        <w:pStyle w:val="Sectionsub-heading"/>
      </w:pPr>
      <w:r w:rsidRPr="006466B5">
        <w:t xml:space="preserve">BLOCK 1: </w:t>
      </w:r>
      <w:r w:rsidR="009504BF" w:rsidRPr="006466B5">
        <w:t>SEWER REHABILITATION PROGRAMME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D53A8D" w:rsidRPr="006466B5" w14:paraId="25CADDB4" w14:textId="77777777" w:rsidTr="008030FA">
        <w:tc>
          <w:tcPr>
            <w:tcW w:w="756" w:type="pct"/>
          </w:tcPr>
          <w:p w14:paraId="2445B3EF" w14:textId="778732AA" w:rsidR="00D53A8D" w:rsidRPr="009254DD" w:rsidRDefault="00D53A8D" w:rsidP="00D53A8D">
            <w:pPr>
              <w:pStyle w:val="Bodyromannumerals"/>
              <w:rPr>
                <w:b/>
                <w:bCs/>
              </w:rPr>
            </w:pPr>
            <w:r w:rsidRPr="00571C50">
              <w:rPr>
                <w:b/>
                <w:bCs/>
              </w:rPr>
              <w:t>C8.1</w:t>
            </w:r>
          </w:p>
        </w:tc>
        <w:tc>
          <w:tcPr>
            <w:tcW w:w="3472" w:type="pct"/>
            <w:gridSpan w:val="2"/>
          </w:tcPr>
          <w:p w14:paraId="21149F9C" w14:textId="47C9C256" w:rsidR="00D53A8D" w:rsidRPr="009254DD" w:rsidRDefault="00D53A8D" w:rsidP="00D53A8D">
            <w:pPr>
              <w:pStyle w:val="Bodyromannumerals"/>
              <w:rPr>
                <w:b/>
                <w:bCs/>
                <w:bdr w:val="single" w:sz="4" w:space="0" w:color="auto"/>
              </w:rPr>
            </w:pPr>
            <w:r w:rsidRPr="00571C50">
              <w:rPr>
                <w:b/>
                <w:bCs/>
              </w:rPr>
              <w:t xml:space="preserve">Number of </w:t>
            </w:r>
            <w:r w:rsidR="000011BB">
              <w:rPr>
                <w:b/>
                <w:bCs/>
              </w:rPr>
              <w:t>wastewater</w:t>
            </w:r>
            <w:r w:rsidRPr="00571C50">
              <w:rPr>
                <w:b/>
                <w:bCs/>
              </w:rPr>
              <w:t xml:space="preserve"> drainage areas</w:t>
            </w:r>
          </w:p>
        </w:tc>
        <w:tc>
          <w:tcPr>
            <w:tcW w:w="772" w:type="pct"/>
          </w:tcPr>
          <w:p w14:paraId="2F3BD799" w14:textId="2396D889" w:rsidR="00D53A8D" w:rsidRPr="006466B5" w:rsidRDefault="00D53A8D" w:rsidP="00D53A8D">
            <w:pPr>
              <w:pStyle w:val="Bodyromannumerals"/>
              <w:rPr>
                <w:b/>
                <w:bdr w:val="single" w:sz="4" w:space="0" w:color="auto"/>
              </w:rPr>
            </w:pPr>
            <w:r w:rsidRPr="00571C50">
              <w:rPr>
                <w:b/>
                <w:bCs/>
              </w:rPr>
              <w:t>Nr.</w:t>
            </w:r>
          </w:p>
        </w:tc>
      </w:tr>
      <w:tr w:rsidR="00134721" w:rsidRPr="00A83F00" w14:paraId="73444B15"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72A8030D" w14:textId="77777777" w:rsidR="00134721" w:rsidRPr="006D389B" w:rsidRDefault="00134721"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328A008F" w14:textId="223148EB" w:rsidR="00134721" w:rsidRPr="00A83F00" w:rsidRDefault="00D53A8D" w:rsidP="008030FA">
            <w:pPr>
              <w:pStyle w:val="Bodyromannumerals"/>
            </w:pPr>
            <w:r w:rsidRPr="00D53A8D">
              <w:t xml:space="preserve">The total number of </w:t>
            </w:r>
            <w:r w:rsidR="000011BB">
              <w:t>wastewater</w:t>
            </w:r>
            <w:r w:rsidRPr="00D53A8D">
              <w:t xml:space="preserve"> drainage areas within the </w:t>
            </w:r>
            <w:r w:rsidR="000011BB">
              <w:t>Local</w:t>
            </w:r>
            <w:r w:rsidR="001B572F">
              <w:t xml:space="preserve"> Author</w:t>
            </w:r>
            <w:r w:rsidR="00CB019E">
              <w:t>ity</w:t>
            </w:r>
            <w:r w:rsidR="001B572F" w:rsidRPr="00D53A8D">
              <w:t xml:space="preserve">’s </w:t>
            </w:r>
            <w:r w:rsidRPr="00D53A8D">
              <w:t>area.</w:t>
            </w:r>
          </w:p>
        </w:tc>
      </w:tr>
      <w:tr w:rsidR="00134721" w:rsidRPr="00A83F00" w14:paraId="2339FB36"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015C5E" w14:textId="77777777" w:rsidR="00134721" w:rsidRPr="006D389B" w:rsidRDefault="00134721"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413FD1" w14:textId="77777777" w:rsidR="00134721" w:rsidRPr="00A83F00" w:rsidRDefault="00134721" w:rsidP="008030FA">
            <w:pPr>
              <w:pStyle w:val="Bodyromannumerals"/>
            </w:pPr>
            <w:r>
              <w:t>Input field</w:t>
            </w:r>
          </w:p>
        </w:tc>
      </w:tr>
      <w:tr w:rsidR="00D53A8D" w:rsidRPr="006466B5" w14:paraId="172FBC69" w14:textId="77777777" w:rsidTr="008030FA">
        <w:tc>
          <w:tcPr>
            <w:tcW w:w="756" w:type="pct"/>
          </w:tcPr>
          <w:p w14:paraId="026708A2" w14:textId="2709930A" w:rsidR="00D53A8D" w:rsidRPr="009254DD" w:rsidRDefault="00D53A8D" w:rsidP="00D53A8D">
            <w:pPr>
              <w:pStyle w:val="Bodyromannumerals"/>
              <w:rPr>
                <w:b/>
                <w:bCs/>
              </w:rPr>
            </w:pPr>
            <w:r w:rsidRPr="00571C50">
              <w:rPr>
                <w:b/>
                <w:bCs/>
              </w:rPr>
              <w:t>C8.2</w:t>
            </w:r>
          </w:p>
        </w:tc>
        <w:tc>
          <w:tcPr>
            <w:tcW w:w="3472" w:type="pct"/>
            <w:gridSpan w:val="2"/>
          </w:tcPr>
          <w:p w14:paraId="45C2E34D" w14:textId="0116E880" w:rsidR="00D53A8D" w:rsidRPr="009254DD" w:rsidRDefault="00D53A8D" w:rsidP="00D53A8D">
            <w:pPr>
              <w:pStyle w:val="Bodyromannumerals"/>
              <w:rPr>
                <w:b/>
                <w:bCs/>
                <w:bdr w:val="single" w:sz="4" w:space="0" w:color="auto"/>
              </w:rPr>
            </w:pPr>
            <w:r w:rsidRPr="00571C50">
              <w:rPr>
                <w:b/>
                <w:bCs/>
              </w:rPr>
              <w:t xml:space="preserve">Number of </w:t>
            </w:r>
            <w:r w:rsidR="000011BB">
              <w:rPr>
                <w:b/>
                <w:bCs/>
              </w:rPr>
              <w:t>wastewater</w:t>
            </w:r>
            <w:r w:rsidRPr="00571C50">
              <w:rPr>
                <w:b/>
                <w:bCs/>
              </w:rPr>
              <w:t xml:space="preserve"> drainage areas </w:t>
            </w:r>
            <w:r w:rsidR="00D92DFE">
              <w:rPr>
                <w:b/>
                <w:bCs/>
              </w:rPr>
              <w:t xml:space="preserve">identified for a programme of works in the </w:t>
            </w:r>
            <w:r w:rsidR="00311012">
              <w:rPr>
                <w:b/>
                <w:bCs/>
              </w:rPr>
              <w:t>Long Term Plan (annual average)</w:t>
            </w:r>
          </w:p>
        </w:tc>
        <w:tc>
          <w:tcPr>
            <w:tcW w:w="772" w:type="pct"/>
          </w:tcPr>
          <w:p w14:paraId="6096E082" w14:textId="755A5657" w:rsidR="00D53A8D" w:rsidRPr="006466B5" w:rsidRDefault="00D53A8D" w:rsidP="00D53A8D">
            <w:pPr>
              <w:pStyle w:val="Bodyromannumerals"/>
              <w:rPr>
                <w:b/>
                <w:bdr w:val="single" w:sz="4" w:space="0" w:color="auto"/>
              </w:rPr>
            </w:pPr>
            <w:r w:rsidRPr="00571C50">
              <w:rPr>
                <w:b/>
                <w:bCs/>
              </w:rPr>
              <w:t>Nr.</w:t>
            </w:r>
          </w:p>
        </w:tc>
      </w:tr>
      <w:tr w:rsidR="00134721" w:rsidRPr="00A83F00" w14:paraId="5BCAC0CD" w14:textId="77777777" w:rsidTr="008030FA">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1D5BD22D" w14:textId="77777777" w:rsidR="00134721" w:rsidRPr="006D389B" w:rsidRDefault="00134721" w:rsidP="008030FA">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669ACD81" w14:textId="6D00F486" w:rsidR="00134721" w:rsidRPr="00A83F00" w:rsidRDefault="00D53A8D" w:rsidP="008030FA">
            <w:pPr>
              <w:pStyle w:val="Bodyromannumerals"/>
            </w:pPr>
            <w:r w:rsidRPr="00D53A8D">
              <w:t xml:space="preserve">The total number of </w:t>
            </w:r>
            <w:r w:rsidR="000011BB">
              <w:t>wastewater</w:t>
            </w:r>
            <w:r w:rsidRPr="00D53A8D">
              <w:t xml:space="preserve"> drainage areas </w:t>
            </w:r>
            <w:r w:rsidR="00D92DFE">
              <w:t>identified for a</w:t>
            </w:r>
            <w:r w:rsidRPr="00D53A8D">
              <w:t xml:space="preserve"> programme of work</w:t>
            </w:r>
            <w:r w:rsidR="00D92DFE">
              <w:t xml:space="preserve">s in the </w:t>
            </w:r>
            <w:r w:rsidR="00311012">
              <w:t>Long Term Plan</w:t>
            </w:r>
            <w:r w:rsidR="00D130D7">
              <w:t xml:space="preserve">. Please </w:t>
            </w:r>
            <w:r w:rsidR="00DB53FC">
              <w:t>use</w:t>
            </w:r>
            <w:r w:rsidR="00D130D7">
              <w:t xml:space="preserve"> the annual average across all years</w:t>
            </w:r>
            <w:r w:rsidR="00DB53FC">
              <w:t xml:space="preserve"> in the Long Term Plan</w:t>
            </w:r>
            <w:r w:rsidR="00D130D7">
              <w:t>.</w:t>
            </w:r>
          </w:p>
        </w:tc>
      </w:tr>
      <w:tr w:rsidR="00134721" w:rsidRPr="00A83F00" w14:paraId="6E60160A" w14:textId="77777777" w:rsidTr="008030FA">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0C536ABE" w14:textId="77777777" w:rsidR="00134721" w:rsidRPr="006D389B" w:rsidRDefault="00134721" w:rsidP="008030FA">
            <w:pPr>
              <w:pStyle w:val="Bodyromannumerals"/>
              <w:rPr>
                <w:bCs/>
                <w:i/>
              </w:rPr>
            </w:pPr>
            <w:r w:rsidRPr="006D389B">
              <w:rPr>
                <w:bCs/>
                <w:i/>
              </w:rPr>
              <w:t>Processing rules:</w:t>
            </w:r>
          </w:p>
        </w:tc>
        <w:tc>
          <w:tcPr>
            <w:tcW w:w="3790" w:type="pct"/>
            <w:gridSpan w:val="2"/>
            <w:tcBorders>
              <w:top w:val="nil"/>
              <w:left w:val="nil"/>
              <w:bottom w:val="nil"/>
              <w:right w:val="nil"/>
            </w:tcBorders>
          </w:tcPr>
          <w:p w14:paraId="7732AE92" w14:textId="77777777" w:rsidR="00134721" w:rsidRPr="004D7EDC" w:rsidRDefault="00134721" w:rsidP="008030FA">
            <w:pPr>
              <w:pStyle w:val="Bodyromannumerals"/>
            </w:pPr>
            <w:r>
              <w:t>Input field</w:t>
            </w:r>
          </w:p>
        </w:tc>
      </w:tr>
      <w:tr w:rsidR="00D53A8D" w:rsidRPr="006466B5" w14:paraId="669FB906" w14:textId="77777777" w:rsidTr="008030FA">
        <w:tc>
          <w:tcPr>
            <w:tcW w:w="756" w:type="pct"/>
          </w:tcPr>
          <w:p w14:paraId="43968506" w14:textId="1A899A7B" w:rsidR="00D53A8D" w:rsidRPr="009254DD" w:rsidRDefault="00D53A8D" w:rsidP="00D53A8D">
            <w:pPr>
              <w:pStyle w:val="Bodyromannumerals"/>
              <w:rPr>
                <w:b/>
                <w:bCs/>
              </w:rPr>
            </w:pPr>
            <w:r w:rsidRPr="00571C50">
              <w:rPr>
                <w:b/>
                <w:bCs/>
              </w:rPr>
              <w:t>C8.3</w:t>
            </w:r>
          </w:p>
        </w:tc>
        <w:tc>
          <w:tcPr>
            <w:tcW w:w="3472" w:type="pct"/>
            <w:gridSpan w:val="2"/>
          </w:tcPr>
          <w:p w14:paraId="007A1A77" w14:textId="1E38AAB6" w:rsidR="00D53A8D" w:rsidRPr="009254DD" w:rsidRDefault="00D53A8D" w:rsidP="00D53A8D">
            <w:pPr>
              <w:pStyle w:val="Bodyromannumerals"/>
              <w:rPr>
                <w:b/>
                <w:bCs/>
                <w:bdr w:val="single" w:sz="4" w:space="0" w:color="auto"/>
              </w:rPr>
            </w:pPr>
            <w:r w:rsidRPr="00571C50">
              <w:rPr>
                <w:b/>
                <w:bCs/>
              </w:rPr>
              <w:t xml:space="preserve">Length of sewers for replacement </w:t>
            </w:r>
            <w:r w:rsidR="00D92DFE">
              <w:rPr>
                <w:b/>
                <w:bCs/>
              </w:rPr>
              <w:t>as identified</w:t>
            </w:r>
            <w:r w:rsidRPr="00571C50">
              <w:rPr>
                <w:b/>
                <w:bCs/>
              </w:rPr>
              <w:t xml:space="preserve"> </w:t>
            </w:r>
            <w:r w:rsidR="00D92DFE">
              <w:rPr>
                <w:b/>
                <w:bCs/>
              </w:rPr>
              <w:t xml:space="preserve">for a programme of works in the </w:t>
            </w:r>
            <w:r w:rsidR="00311012">
              <w:rPr>
                <w:b/>
                <w:bCs/>
              </w:rPr>
              <w:t>Long Term Plan (annual average)</w:t>
            </w:r>
            <w:r w:rsidRPr="00571C50">
              <w:rPr>
                <w:b/>
                <w:bCs/>
              </w:rPr>
              <w:t xml:space="preserve"> (excluding combined sewers)</w:t>
            </w:r>
          </w:p>
        </w:tc>
        <w:tc>
          <w:tcPr>
            <w:tcW w:w="772" w:type="pct"/>
          </w:tcPr>
          <w:p w14:paraId="6755EE31" w14:textId="6BED03BB" w:rsidR="00D53A8D" w:rsidRPr="006466B5" w:rsidRDefault="00D53A8D" w:rsidP="00D53A8D">
            <w:pPr>
              <w:pStyle w:val="Bodyromannumerals"/>
              <w:rPr>
                <w:b/>
                <w:bdr w:val="single" w:sz="4" w:space="0" w:color="auto"/>
              </w:rPr>
            </w:pPr>
            <w:r w:rsidRPr="00571C50">
              <w:rPr>
                <w:b/>
                <w:bCs/>
              </w:rPr>
              <w:t>Km</w:t>
            </w:r>
          </w:p>
        </w:tc>
      </w:tr>
      <w:tr w:rsidR="00D53A8D" w:rsidRPr="00A83F00" w14:paraId="53AD9A1E" w14:textId="77777777" w:rsidTr="008030FA">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1889FDB7" w14:textId="77777777" w:rsidR="00D53A8D" w:rsidRPr="006D389B" w:rsidRDefault="00D53A8D" w:rsidP="008030FA">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00D7037E" w14:textId="1C974AA0" w:rsidR="00D53A8D" w:rsidRPr="00A83F00" w:rsidRDefault="00D53A8D" w:rsidP="008030FA">
            <w:pPr>
              <w:pStyle w:val="Bodyromannumerals"/>
            </w:pPr>
            <w:r w:rsidRPr="00D53A8D">
              <w:t>The total length of sewers (excluding combined sewers) which is to be replaced as part of the agreed programme of works</w:t>
            </w:r>
            <w:r w:rsidR="00D92DFE">
              <w:t xml:space="preserve"> in the </w:t>
            </w:r>
            <w:r w:rsidR="00311012">
              <w:t>Long Term Plan</w:t>
            </w:r>
            <w:r w:rsidR="00DB53FC">
              <w:t>. Please use the annual average across all years in the Long Term Plan.</w:t>
            </w:r>
            <w:r w:rsidR="00311012">
              <w:t xml:space="preserve"> </w:t>
            </w:r>
          </w:p>
        </w:tc>
      </w:tr>
      <w:tr w:rsidR="00D53A8D" w:rsidRPr="00A83F00" w14:paraId="037793FF" w14:textId="77777777" w:rsidTr="008030FA">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45FE4438" w14:textId="77777777" w:rsidR="00D53A8D" w:rsidRPr="006D389B" w:rsidRDefault="00D53A8D" w:rsidP="008030FA">
            <w:pPr>
              <w:pStyle w:val="Bodyromannumerals"/>
              <w:rPr>
                <w:bCs/>
                <w:i/>
              </w:rPr>
            </w:pPr>
            <w:r w:rsidRPr="006D389B">
              <w:rPr>
                <w:bCs/>
                <w:i/>
              </w:rPr>
              <w:t>Processing rules:</w:t>
            </w:r>
          </w:p>
        </w:tc>
        <w:tc>
          <w:tcPr>
            <w:tcW w:w="3790" w:type="pct"/>
            <w:gridSpan w:val="2"/>
            <w:tcBorders>
              <w:top w:val="nil"/>
              <w:left w:val="nil"/>
              <w:bottom w:val="nil"/>
              <w:right w:val="nil"/>
            </w:tcBorders>
          </w:tcPr>
          <w:p w14:paraId="468BFD0C" w14:textId="77777777" w:rsidR="00D53A8D" w:rsidRPr="004D7EDC" w:rsidRDefault="00D53A8D" w:rsidP="008030FA">
            <w:pPr>
              <w:pStyle w:val="Bodyromannumerals"/>
            </w:pPr>
            <w:r>
              <w:t>Input field</w:t>
            </w:r>
          </w:p>
        </w:tc>
      </w:tr>
    </w:tbl>
    <w:p w14:paraId="4CA9BD87" w14:textId="77777777" w:rsidR="00B30600" w:rsidRDefault="00B3060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D53A8D" w:rsidRPr="006466B5" w14:paraId="26CE373E" w14:textId="77777777" w:rsidTr="008030FA">
        <w:tc>
          <w:tcPr>
            <w:tcW w:w="756" w:type="pct"/>
          </w:tcPr>
          <w:p w14:paraId="638D7D5A" w14:textId="10880162" w:rsidR="00D53A8D" w:rsidRPr="009254DD" w:rsidRDefault="00D53A8D" w:rsidP="00D53A8D">
            <w:pPr>
              <w:pStyle w:val="Bodyromannumerals"/>
              <w:rPr>
                <w:b/>
                <w:bCs/>
              </w:rPr>
            </w:pPr>
            <w:r w:rsidRPr="00571C50">
              <w:rPr>
                <w:b/>
                <w:bCs/>
              </w:rPr>
              <w:t>C8.3b</w:t>
            </w:r>
          </w:p>
        </w:tc>
        <w:tc>
          <w:tcPr>
            <w:tcW w:w="3472" w:type="pct"/>
            <w:gridSpan w:val="2"/>
          </w:tcPr>
          <w:p w14:paraId="460EE141" w14:textId="6B2F5AC0" w:rsidR="00D53A8D" w:rsidRPr="009254DD" w:rsidRDefault="00D53A8D" w:rsidP="00D53A8D">
            <w:pPr>
              <w:pStyle w:val="Bodyromannumerals"/>
              <w:rPr>
                <w:b/>
                <w:bCs/>
                <w:bdr w:val="single" w:sz="4" w:space="0" w:color="auto"/>
              </w:rPr>
            </w:pPr>
            <w:r w:rsidRPr="00571C50">
              <w:rPr>
                <w:b/>
                <w:bCs/>
              </w:rPr>
              <w:t xml:space="preserve">Length of combined sewers for replacement </w:t>
            </w:r>
            <w:r w:rsidR="00D92DFE">
              <w:rPr>
                <w:b/>
                <w:bCs/>
              </w:rPr>
              <w:t>as identified</w:t>
            </w:r>
            <w:r w:rsidR="00D92DFE" w:rsidRPr="00571C50">
              <w:rPr>
                <w:b/>
                <w:bCs/>
              </w:rPr>
              <w:t xml:space="preserve"> </w:t>
            </w:r>
            <w:r w:rsidR="00D92DFE">
              <w:rPr>
                <w:b/>
                <w:bCs/>
              </w:rPr>
              <w:t xml:space="preserve">for a programme of works in the </w:t>
            </w:r>
            <w:r w:rsidR="00311012">
              <w:rPr>
                <w:b/>
                <w:bCs/>
              </w:rPr>
              <w:t>Long Term Plan (annual average)</w:t>
            </w:r>
          </w:p>
        </w:tc>
        <w:tc>
          <w:tcPr>
            <w:tcW w:w="772" w:type="pct"/>
          </w:tcPr>
          <w:p w14:paraId="43E4423F" w14:textId="220AC2E4" w:rsidR="00D53A8D" w:rsidRPr="006466B5" w:rsidRDefault="00D53A8D" w:rsidP="00D53A8D">
            <w:pPr>
              <w:pStyle w:val="Bodyromannumerals"/>
              <w:rPr>
                <w:b/>
                <w:bdr w:val="single" w:sz="4" w:space="0" w:color="auto"/>
              </w:rPr>
            </w:pPr>
            <w:r w:rsidRPr="00571C50">
              <w:rPr>
                <w:b/>
                <w:bCs/>
              </w:rPr>
              <w:t>Km</w:t>
            </w:r>
          </w:p>
        </w:tc>
      </w:tr>
      <w:tr w:rsidR="00D53A8D" w:rsidRPr="00A83F00" w14:paraId="498B7EBC" w14:textId="77777777" w:rsidTr="008030FA">
        <w:tblPrEx>
          <w:tblLook w:val="04A0" w:firstRow="1" w:lastRow="0" w:firstColumn="1" w:lastColumn="0" w:noHBand="0" w:noVBand="1"/>
        </w:tblPrEx>
        <w:tc>
          <w:tcPr>
            <w:tcW w:w="1210" w:type="pct"/>
            <w:gridSpan w:val="2"/>
            <w:tcBorders>
              <w:left w:val="single" w:sz="4" w:space="0" w:color="FFFFFF" w:themeColor="background1"/>
              <w:bottom w:val="single" w:sz="4" w:space="0" w:color="FFFFFF" w:themeColor="background1"/>
              <w:right w:val="single" w:sz="4" w:space="0" w:color="FFFFFF" w:themeColor="background1"/>
            </w:tcBorders>
          </w:tcPr>
          <w:p w14:paraId="5029FC85" w14:textId="77777777" w:rsidR="00D53A8D" w:rsidRPr="006D389B" w:rsidRDefault="00D53A8D" w:rsidP="008030FA">
            <w:pPr>
              <w:pStyle w:val="Bodyromannumerals"/>
              <w:rPr>
                <w:bCs/>
                <w:i/>
              </w:rPr>
            </w:pPr>
            <w:r w:rsidRPr="006D389B">
              <w:rPr>
                <w:bCs/>
                <w:i/>
              </w:rPr>
              <w:t>Definition:</w:t>
            </w:r>
          </w:p>
        </w:tc>
        <w:tc>
          <w:tcPr>
            <w:tcW w:w="3790" w:type="pct"/>
            <w:gridSpan w:val="2"/>
            <w:tcBorders>
              <w:left w:val="single" w:sz="4" w:space="0" w:color="FFFFFF" w:themeColor="background1"/>
              <w:bottom w:val="single" w:sz="4" w:space="0" w:color="FFFFFF" w:themeColor="background1"/>
              <w:right w:val="single" w:sz="4" w:space="0" w:color="FFFFFF" w:themeColor="background1"/>
            </w:tcBorders>
          </w:tcPr>
          <w:p w14:paraId="75C96097" w14:textId="6C0C4B0E" w:rsidR="00D53A8D" w:rsidRPr="00A83F00" w:rsidRDefault="00D53A8D" w:rsidP="008030FA">
            <w:pPr>
              <w:pStyle w:val="Bodyromannumerals"/>
            </w:pPr>
            <w:r w:rsidRPr="00D53A8D">
              <w:t>The total length of sewers which is to be replaced as part of the agreed programme of works</w:t>
            </w:r>
            <w:r w:rsidR="00D92DFE">
              <w:t xml:space="preserve"> in the </w:t>
            </w:r>
            <w:r w:rsidR="00311012">
              <w:t>Long Term Plan</w:t>
            </w:r>
            <w:r w:rsidR="00DB53FC">
              <w:t>. Please use the annual average across all years in the Long Term Plan.</w:t>
            </w:r>
          </w:p>
        </w:tc>
      </w:tr>
      <w:tr w:rsidR="00D53A8D" w:rsidRPr="00A83F00" w14:paraId="6FD9C29B" w14:textId="77777777" w:rsidTr="008030FA">
        <w:tblPrEx>
          <w:tblLook w:val="04A0" w:firstRow="1" w:lastRow="0" w:firstColumn="1" w:lastColumn="0" w:noHBand="0" w:noVBand="1"/>
        </w:tblPrEx>
        <w:tc>
          <w:tcPr>
            <w:tcW w:w="121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89D222" w14:textId="77777777" w:rsidR="00D53A8D" w:rsidRPr="006D389B" w:rsidRDefault="00D53A8D" w:rsidP="008030FA">
            <w:pPr>
              <w:pStyle w:val="Bodyromannumerals"/>
              <w:rPr>
                <w:bCs/>
                <w:i/>
              </w:rPr>
            </w:pPr>
            <w:r w:rsidRPr="006D389B">
              <w:rPr>
                <w:bCs/>
                <w:i/>
              </w:rPr>
              <w:t>Processing rules:</w:t>
            </w:r>
          </w:p>
        </w:tc>
        <w:tc>
          <w:tcPr>
            <w:tcW w:w="3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4F220A" w14:textId="77777777" w:rsidR="00D53A8D" w:rsidRPr="00A83F00" w:rsidRDefault="00D53A8D" w:rsidP="008030FA">
            <w:pPr>
              <w:pStyle w:val="Bodyromannumerals"/>
            </w:pPr>
            <w:r>
              <w:t>Input field</w:t>
            </w:r>
          </w:p>
        </w:tc>
      </w:tr>
    </w:tbl>
    <w:p w14:paraId="7C6804BD" w14:textId="56891979" w:rsidR="00B93181" w:rsidRDefault="00B931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D53A8D" w:rsidRPr="006466B5" w14:paraId="46CF7405" w14:textId="77777777" w:rsidTr="008030FA">
        <w:tc>
          <w:tcPr>
            <w:tcW w:w="756" w:type="pct"/>
          </w:tcPr>
          <w:p w14:paraId="100BA082" w14:textId="7BAB79AE" w:rsidR="00D53A8D" w:rsidRPr="009254DD" w:rsidRDefault="00D53A8D" w:rsidP="00D53A8D">
            <w:pPr>
              <w:pStyle w:val="Bodyromannumerals"/>
              <w:rPr>
                <w:b/>
                <w:bCs/>
              </w:rPr>
            </w:pPr>
            <w:r w:rsidRPr="00571C50">
              <w:rPr>
                <w:b/>
                <w:bCs/>
              </w:rPr>
              <w:t>C8.4</w:t>
            </w:r>
          </w:p>
        </w:tc>
        <w:tc>
          <w:tcPr>
            <w:tcW w:w="3472" w:type="pct"/>
            <w:gridSpan w:val="2"/>
          </w:tcPr>
          <w:p w14:paraId="291959CB" w14:textId="080BF0D5" w:rsidR="00D53A8D" w:rsidRPr="009254DD" w:rsidRDefault="00D53A8D" w:rsidP="00D53A8D">
            <w:pPr>
              <w:pStyle w:val="Bodyromannumerals"/>
              <w:rPr>
                <w:b/>
                <w:bCs/>
                <w:bdr w:val="single" w:sz="4" w:space="0" w:color="auto"/>
              </w:rPr>
            </w:pPr>
            <w:r w:rsidRPr="00571C50">
              <w:rPr>
                <w:b/>
                <w:bCs/>
              </w:rPr>
              <w:t>Length of sewers for rehabilitation (excluding combined sewers)</w:t>
            </w:r>
          </w:p>
        </w:tc>
        <w:tc>
          <w:tcPr>
            <w:tcW w:w="772" w:type="pct"/>
          </w:tcPr>
          <w:p w14:paraId="4C968DEC" w14:textId="2FCA7F28" w:rsidR="00D53A8D" w:rsidRPr="006466B5" w:rsidRDefault="00D53A8D" w:rsidP="00D53A8D">
            <w:pPr>
              <w:pStyle w:val="Bodyromannumerals"/>
              <w:rPr>
                <w:b/>
                <w:bdr w:val="single" w:sz="4" w:space="0" w:color="auto"/>
              </w:rPr>
            </w:pPr>
            <w:r w:rsidRPr="00571C50">
              <w:rPr>
                <w:b/>
                <w:bCs/>
              </w:rPr>
              <w:t>Km</w:t>
            </w:r>
          </w:p>
        </w:tc>
      </w:tr>
      <w:tr w:rsidR="00D53A8D" w:rsidRPr="00A83F00" w14:paraId="0D0CAFCD" w14:textId="77777777" w:rsidTr="008030FA">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1FA2C321" w14:textId="77777777" w:rsidR="00D53A8D" w:rsidRPr="006D389B" w:rsidRDefault="00D53A8D" w:rsidP="008030FA">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42247E43" w14:textId="26673258" w:rsidR="00D53A8D" w:rsidRPr="00A83F00" w:rsidRDefault="00D53A8D" w:rsidP="008030FA">
            <w:pPr>
              <w:pStyle w:val="Bodyromannumerals"/>
            </w:pPr>
            <w:r w:rsidRPr="00D53A8D">
              <w:t xml:space="preserve">The total length of sewers (excluding combined sewers) which is to be rehabilitated </w:t>
            </w:r>
            <w:r w:rsidR="00D92DFE">
              <w:t xml:space="preserve">in the </w:t>
            </w:r>
            <w:r w:rsidR="00311012">
              <w:t>Long Term Plan</w:t>
            </w:r>
            <w:r w:rsidR="00DB53FC">
              <w:t>. Please use the annual average across all years in the Long Term Plan.</w:t>
            </w:r>
          </w:p>
        </w:tc>
      </w:tr>
      <w:tr w:rsidR="00D53A8D" w:rsidRPr="00A83F00" w14:paraId="5FA5FDB4" w14:textId="77777777" w:rsidTr="008030FA">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3AC10EAF" w14:textId="77777777" w:rsidR="00D53A8D" w:rsidRPr="006D389B" w:rsidRDefault="00D53A8D" w:rsidP="008030FA">
            <w:pPr>
              <w:pStyle w:val="Bodyromannumerals"/>
              <w:rPr>
                <w:bCs/>
                <w:i/>
              </w:rPr>
            </w:pPr>
            <w:r w:rsidRPr="006D389B">
              <w:rPr>
                <w:bCs/>
                <w:i/>
              </w:rPr>
              <w:t>Processing rules:</w:t>
            </w:r>
          </w:p>
        </w:tc>
        <w:tc>
          <w:tcPr>
            <w:tcW w:w="3790" w:type="pct"/>
            <w:gridSpan w:val="2"/>
            <w:tcBorders>
              <w:top w:val="nil"/>
              <w:left w:val="nil"/>
              <w:bottom w:val="nil"/>
              <w:right w:val="nil"/>
            </w:tcBorders>
          </w:tcPr>
          <w:p w14:paraId="1B5D26CB" w14:textId="77777777" w:rsidR="00D53A8D" w:rsidRPr="004D7EDC" w:rsidRDefault="00D53A8D" w:rsidP="008030FA">
            <w:pPr>
              <w:pStyle w:val="Bodyromannumerals"/>
            </w:pPr>
            <w:r>
              <w:t>Input field</w:t>
            </w:r>
          </w:p>
        </w:tc>
      </w:tr>
      <w:tr w:rsidR="00D53A8D" w:rsidRPr="006466B5" w14:paraId="4718DE48" w14:textId="77777777" w:rsidTr="008030FA">
        <w:tc>
          <w:tcPr>
            <w:tcW w:w="756" w:type="pct"/>
          </w:tcPr>
          <w:p w14:paraId="7E02D8EC" w14:textId="2FD2D07A" w:rsidR="00D53A8D" w:rsidRPr="009254DD" w:rsidRDefault="00D53A8D" w:rsidP="00D53A8D">
            <w:pPr>
              <w:pStyle w:val="Bodyromannumerals"/>
              <w:rPr>
                <w:b/>
                <w:bCs/>
              </w:rPr>
            </w:pPr>
            <w:r w:rsidRPr="006466B5">
              <w:rPr>
                <w:b/>
              </w:rPr>
              <w:t>C8.4b</w:t>
            </w:r>
          </w:p>
        </w:tc>
        <w:tc>
          <w:tcPr>
            <w:tcW w:w="3472" w:type="pct"/>
            <w:gridSpan w:val="2"/>
          </w:tcPr>
          <w:p w14:paraId="4E48E393" w14:textId="435090E9" w:rsidR="00D53A8D" w:rsidRPr="009254DD" w:rsidRDefault="00D53A8D" w:rsidP="00D53A8D">
            <w:pPr>
              <w:pStyle w:val="Bodyromannumerals"/>
              <w:rPr>
                <w:b/>
                <w:bCs/>
                <w:bdr w:val="single" w:sz="4" w:space="0" w:color="auto"/>
              </w:rPr>
            </w:pPr>
            <w:r w:rsidRPr="006466B5">
              <w:rPr>
                <w:b/>
              </w:rPr>
              <w:t xml:space="preserve">Length of combined sewers for rehabilitation </w:t>
            </w:r>
          </w:p>
        </w:tc>
        <w:tc>
          <w:tcPr>
            <w:tcW w:w="772" w:type="pct"/>
          </w:tcPr>
          <w:p w14:paraId="5D4F5265" w14:textId="753B9849" w:rsidR="00D53A8D" w:rsidRPr="006466B5" w:rsidRDefault="00D53A8D" w:rsidP="00D53A8D">
            <w:pPr>
              <w:pStyle w:val="Bodyromannumerals"/>
              <w:rPr>
                <w:b/>
                <w:bdr w:val="single" w:sz="4" w:space="0" w:color="auto"/>
              </w:rPr>
            </w:pPr>
            <w:r w:rsidRPr="006466B5">
              <w:rPr>
                <w:b/>
              </w:rPr>
              <w:t>Km</w:t>
            </w:r>
          </w:p>
        </w:tc>
      </w:tr>
      <w:tr w:rsidR="00D53A8D" w:rsidRPr="00A83F00" w14:paraId="2C5AAC89" w14:textId="77777777" w:rsidTr="008030FA">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20145816" w14:textId="77777777" w:rsidR="00D53A8D" w:rsidRPr="006D389B" w:rsidRDefault="00D53A8D" w:rsidP="008030FA">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4783F4FF" w14:textId="430F0FDA" w:rsidR="00D53A8D" w:rsidRPr="00A83F00" w:rsidRDefault="00D53A8D" w:rsidP="008030FA">
            <w:pPr>
              <w:pStyle w:val="Bodyromannumerals"/>
            </w:pPr>
            <w:r w:rsidRPr="00D53A8D">
              <w:t xml:space="preserve">The total length of sewers which is to be rehabilitated </w:t>
            </w:r>
            <w:r w:rsidR="00D92DFE">
              <w:t xml:space="preserve">in the </w:t>
            </w:r>
            <w:r w:rsidR="00311012">
              <w:t xml:space="preserve">Long Term </w:t>
            </w:r>
            <w:r w:rsidR="00B21BD6">
              <w:t>Plan. Please use the annual average across all years in the Long Term Plan.</w:t>
            </w:r>
          </w:p>
        </w:tc>
      </w:tr>
      <w:tr w:rsidR="00D53A8D" w:rsidRPr="00A83F00" w14:paraId="2BE6DC7E" w14:textId="77777777" w:rsidTr="008030FA">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2D99CBB4" w14:textId="77777777" w:rsidR="00D53A8D" w:rsidRPr="006D389B" w:rsidRDefault="00D53A8D" w:rsidP="008030FA">
            <w:pPr>
              <w:pStyle w:val="Bodyromannumerals"/>
              <w:rPr>
                <w:bCs/>
                <w:i/>
              </w:rPr>
            </w:pPr>
            <w:r w:rsidRPr="006D389B">
              <w:rPr>
                <w:bCs/>
                <w:i/>
              </w:rPr>
              <w:t>Processing rules:</w:t>
            </w:r>
          </w:p>
        </w:tc>
        <w:tc>
          <w:tcPr>
            <w:tcW w:w="3790" w:type="pct"/>
            <w:gridSpan w:val="2"/>
            <w:tcBorders>
              <w:top w:val="nil"/>
              <w:left w:val="nil"/>
              <w:bottom w:val="nil"/>
              <w:right w:val="nil"/>
            </w:tcBorders>
          </w:tcPr>
          <w:p w14:paraId="00287A42" w14:textId="77777777" w:rsidR="00D53A8D" w:rsidRPr="004D7EDC" w:rsidRDefault="00D53A8D" w:rsidP="008030FA">
            <w:pPr>
              <w:pStyle w:val="Bodyromannumerals"/>
            </w:pPr>
            <w:r>
              <w:t>Input field</w:t>
            </w:r>
          </w:p>
        </w:tc>
      </w:tr>
      <w:tr w:rsidR="00D53A8D" w:rsidRPr="006466B5" w14:paraId="2C51939F" w14:textId="77777777" w:rsidTr="008030FA">
        <w:tc>
          <w:tcPr>
            <w:tcW w:w="756" w:type="pct"/>
          </w:tcPr>
          <w:p w14:paraId="70BB3569" w14:textId="7D7BE697" w:rsidR="00D53A8D" w:rsidRPr="009254DD" w:rsidRDefault="00D53A8D" w:rsidP="00D53A8D">
            <w:pPr>
              <w:pStyle w:val="Bodyromannumerals"/>
              <w:rPr>
                <w:b/>
                <w:bCs/>
              </w:rPr>
            </w:pPr>
            <w:r w:rsidRPr="006466B5">
              <w:rPr>
                <w:b/>
              </w:rPr>
              <w:t>C8.5</w:t>
            </w:r>
          </w:p>
        </w:tc>
        <w:tc>
          <w:tcPr>
            <w:tcW w:w="3472" w:type="pct"/>
            <w:gridSpan w:val="2"/>
          </w:tcPr>
          <w:p w14:paraId="58FCF88D" w14:textId="154A1EE0" w:rsidR="00D53A8D" w:rsidRPr="009254DD" w:rsidRDefault="00D53A8D" w:rsidP="00D53A8D">
            <w:pPr>
              <w:pStyle w:val="Bodyromannumerals"/>
              <w:rPr>
                <w:b/>
                <w:bCs/>
                <w:bdr w:val="single" w:sz="4" w:space="0" w:color="auto"/>
              </w:rPr>
            </w:pPr>
            <w:r w:rsidRPr="006466B5">
              <w:rPr>
                <w:b/>
              </w:rPr>
              <w:t>Length of sewers replaced in report year (excluding combined sewers)</w:t>
            </w:r>
          </w:p>
        </w:tc>
        <w:tc>
          <w:tcPr>
            <w:tcW w:w="772" w:type="pct"/>
          </w:tcPr>
          <w:p w14:paraId="7BD8195A" w14:textId="578F4021" w:rsidR="00D53A8D" w:rsidRPr="006466B5" w:rsidRDefault="00D53A8D" w:rsidP="00D53A8D">
            <w:pPr>
              <w:pStyle w:val="Bodyromannumerals"/>
              <w:rPr>
                <w:b/>
                <w:bdr w:val="single" w:sz="4" w:space="0" w:color="auto"/>
              </w:rPr>
            </w:pPr>
            <w:r w:rsidRPr="006466B5">
              <w:rPr>
                <w:b/>
              </w:rPr>
              <w:t>Km</w:t>
            </w:r>
          </w:p>
        </w:tc>
      </w:tr>
      <w:tr w:rsidR="00D53A8D" w:rsidRPr="00A83F00" w14:paraId="1EBACD8A" w14:textId="77777777" w:rsidTr="008030FA">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50991367" w14:textId="77777777" w:rsidR="00D53A8D" w:rsidRPr="006D389B" w:rsidRDefault="00D53A8D" w:rsidP="008030FA">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1B8A2BB0" w14:textId="0CA18E48" w:rsidR="00D53A8D" w:rsidRPr="00A83F00" w:rsidRDefault="00D53A8D" w:rsidP="008030FA">
            <w:pPr>
              <w:pStyle w:val="Bodyromannumerals"/>
            </w:pPr>
            <w:r w:rsidRPr="00D53A8D">
              <w:t>The total length of sewers (excluding combined sewers) replaced during the report year.</w:t>
            </w:r>
          </w:p>
        </w:tc>
      </w:tr>
      <w:tr w:rsidR="00D53A8D" w:rsidRPr="00A83F00" w14:paraId="7A7CF125" w14:textId="77777777" w:rsidTr="008030FA">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7F6BEF5C" w14:textId="77777777" w:rsidR="00D53A8D" w:rsidRPr="006D389B" w:rsidRDefault="00D53A8D" w:rsidP="008030FA">
            <w:pPr>
              <w:pStyle w:val="Bodyromannumerals"/>
              <w:rPr>
                <w:bCs/>
                <w:i/>
              </w:rPr>
            </w:pPr>
            <w:r w:rsidRPr="006D389B">
              <w:rPr>
                <w:bCs/>
                <w:i/>
              </w:rPr>
              <w:t>Processing rules:</w:t>
            </w:r>
          </w:p>
        </w:tc>
        <w:tc>
          <w:tcPr>
            <w:tcW w:w="3790" w:type="pct"/>
            <w:gridSpan w:val="2"/>
            <w:tcBorders>
              <w:top w:val="nil"/>
              <w:left w:val="nil"/>
              <w:bottom w:val="nil"/>
              <w:right w:val="nil"/>
            </w:tcBorders>
          </w:tcPr>
          <w:p w14:paraId="6ACAA085" w14:textId="77777777" w:rsidR="00D53A8D" w:rsidRPr="004D7EDC" w:rsidRDefault="00D53A8D" w:rsidP="008030FA">
            <w:pPr>
              <w:pStyle w:val="Bodyromannumerals"/>
            </w:pPr>
            <w:r>
              <w:t>Input field</w:t>
            </w:r>
          </w:p>
        </w:tc>
      </w:tr>
      <w:tr w:rsidR="00D53A8D" w:rsidRPr="006466B5" w14:paraId="47AD9DBA" w14:textId="77777777" w:rsidTr="008030FA">
        <w:tc>
          <w:tcPr>
            <w:tcW w:w="756" w:type="pct"/>
          </w:tcPr>
          <w:p w14:paraId="263C08C3" w14:textId="3D48A6CA" w:rsidR="00D53A8D" w:rsidRPr="009254DD" w:rsidRDefault="00D53A8D" w:rsidP="00D53A8D">
            <w:pPr>
              <w:pStyle w:val="Bodyromannumerals"/>
              <w:rPr>
                <w:b/>
                <w:bCs/>
              </w:rPr>
            </w:pPr>
            <w:r w:rsidRPr="006466B5">
              <w:rPr>
                <w:b/>
              </w:rPr>
              <w:t>C8.5b</w:t>
            </w:r>
          </w:p>
        </w:tc>
        <w:tc>
          <w:tcPr>
            <w:tcW w:w="3472" w:type="pct"/>
            <w:gridSpan w:val="2"/>
          </w:tcPr>
          <w:p w14:paraId="6828DF1A" w14:textId="27335C37" w:rsidR="00D53A8D" w:rsidRPr="009254DD" w:rsidRDefault="00D53A8D" w:rsidP="00D53A8D">
            <w:pPr>
              <w:pStyle w:val="Bodyromannumerals"/>
              <w:rPr>
                <w:b/>
                <w:bCs/>
                <w:bdr w:val="single" w:sz="4" w:space="0" w:color="auto"/>
              </w:rPr>
            </w:pPr>
            <w:r w:rsidRPr="006466B5">
              <w:rPr>
                <w:b/>
              </w:rPr>
              <w:t>Length of combined sewers replaced in report year</w:t>
            </w:r>
          </w:p>
        </w:tc>
        <w:tc>
          <w:tcPr>
            <w:tcW w:w="772" w:type="pct"/>
          </w:tcPr>
          <w:p w14:paraId="0303E67B" w14:textId="786572BC" w:rsidR="00D53A8D" w:rsidRPr="006466B5" w:rsidRDefault="00D53A8D" w:rsidP="00D53A8D">
            <w:pPr>
              <w:pStyle w:val="Bodyromannumerals"/>
              <w:rPr>
                <w:b/>
                <w:bdr w:val="single" w:sz="4" w:space="0" w:color="auto"/>
              </w:rPr>
            </w:pPr>
            <w:r w:rsidRPr="006466B5">
              <w:rPr>
                <w:b/>
              </w:rPr>
              <w:t>Km</w:t>
            </w:r>
          </w:p>
        </w:tc>
      </w:tr>
      <w:tr w:rsidR="00D53A8D" w:rsidRPr="00A83F00" w14:paraId="641A1AD1" w14:textId="77777777" w:rsidTr="008030FA">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6A88C661" w14:textId="77777777" w:rsidR="00D53A8D" w:rsidRPr="006D389B" w:rsidRDefault="00D53A8D" w:rsidP="008030FA">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1C2F77F8" w14:textId="57887AFB" w:rsidR="00D53A8D" w:rsidRPr="00A83F00" w:rsidRDefault="00D53A8D" w:rsidP="008030FA">
            <w:pPr>
              <w:pStyle w:val="Bodyromannumerals"/>
            </w:pPr>
            <w:r w:rsidRPr="00D53A8D">
              <w:t>The total length of sewers replaced during the report year.</w:t>
            </w:r>
          </w:p>
        </w:tc>
      </w:tr>
      <w:tr w:rsidR="00D53A8D" w:rsidRPr="00A83F00" w14:paraId="29292C89" w14:textId="77777777" w:rsidTr="008030FA">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5883A6D4" w14:textId="77777777" w:rsidR="00D53A8D" w:rsidRPr="006D389B" w:rsidRDefault="00D53A8D" w:rsidP="008030FA">
            <w:pPr>
              <w:pStyle w:val="Bodyromannumerals"/>
              <w:rPr>
                <w:bCs/>
                <w:i/>
              </w:rPr>
            </w:pPr>
            <w:r w:rsidRPr="006D389B">
              <w:rPr>
                <w:bCs/>
                <w:i/>
              </w:rPr>
              <w:t>Processing rules:</w:t>
            </w:r>
          </w:p>
        </w:tc>
        <w:tc>
          <w:tcPr>
            <w:tcW w:w="3790" w:type="pct"/>
            <w:gridSpan w:val="2"/>
            <w:tcBorders>
              <w:top w:val="nil"/>
              <w:left w:val="nil"/>
              <w:bottom w:val="nil"/>
              <w:right w:val="nil"/>
            </w:tcBorders>
          </w:tcPr>
          <w:p w14:paraId="4DA40A3A" w14:textId="77777777" w:rsidR="00D53A8D" w:rsidRPr="004D7EDC" w:rsidRDefault="00D53A8D" w:rsidP="008030FA">
            <w:pPr>
              <w:pStyle w:val="Bodyromannumerals"/>
            </w:pPr>
            <w:r>
              <w:t>Input field</w:t>
            </w:r>
          </w:p>
        </w:tc>
      </w:tr>
    </w:tbl>
    <w:p w14:paraId="677D104B" w14:textId="77777777" w:rsidR="00B30600" w:rsidRDefault="00B3060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D53A8D" w:rsidRPr="006466B5" w14:paraId="147F8327" w14:textId="77777777" w:rsidTr="008030FA">
        <w:tc>
          <w:tcPr>
            <w:tcW w:w="756" w:type="pct"/>
          </w:tcPr>
          <w:p w14:paraId="2B9E58F7" w14:textId="26D8D556" w:rsidR="00D53A8D" w:rsidRPr="009254DD" w:rsidRDefault="00D53A8D" w:rsidP="00D53A8D">
            <w:pPr>
              <w:pStyle w:val="Bodyromannumerals"/>
              <w:rPr>
                <w:b/>
                <w:bCs/>
              </w:rPr>
            </w:pPr>
            <w:r w:rsidRPr="006466B5">
              <w:rPr>
                <w:b/>
              </w:rPr>
              <w:t>C8.6</w:t>
            </w:r>
          </w:p>
        </w:tc>
        <w:tc>
          <w:tcPr>
            <w:tcW w:w="3472" w:type="pct"/>
            <w:gridSpan w:val="2"/>
          </w:tcPr>
          <w:p w14:paraId="74C7C35C" w14:textId="5FBF0B75" w:rsidR="00D53A8D" w:rsidRPr="009254DD" w:rsidRDefault="00D53A8D" w:rsidP="00D53A8D">
            <w:pPr>
              <w:pStyle w:val="Bodyromannumerals"/>
              <w:rPr>
                <w:b/>
                <w:bCs/>
                <w:bdr w:val="single" w:sz="4" w:space="0" w:color="auto"/>
              </w:rPr>
            </w:pPr>
            <w:r w:rsidRPr="006466B5">
              <w:rPr>
                <w:b/>
              </w:rPr>
              <w:t xml:space="preserve">Length of sewers </w:t>
            </w:r>
            <w:r w:rsidR="00D92DFE">
              <w:rPr>
                <w:b/>
              </w:rPr>
              <w:t>rehabilitated</w:t>
            </w:r>
            <w:r w:rsidR="00D92DFE" w:rsidRPr="006466B5">
              <w:rPr>
                <w:b/>
              </w:rPr>
              <w:t xml:space="preserve"> </w:t>
            </w:r>
            <w:r w:rsidR="00936344">
              <w:rPr>
                <w:b/>
              </w:rPr>
              <w:t xml:space="preserve">in </w:t>
            </w:r>
            <w:r w:rsidR="00BE5716">
              <w:rPr>
                <w:b/>
              </w:rPr>
              <w:t>report year</w:t>
            </w:r>
            <w:r w:rsidR="00D92DFE" w:rsidRPr="006466B5">
              <w:rPr>
                <w:b/>
              </w:rPr>
              <w:t xml:space="preserve"> </w:t>
            </w:r>
            <w:r w:rsidRPr="006466B5">
              <w:rPr>
                <w:b/>
              </w:rPr>
              <w:t>(excluding combined sewers)</w:t>
            </w:r>
          </w:p>
        </w:tc>
        <w:tc>
          <w:tcPr>
            <w:tcW w:w="772" w:type="pct"/>
          </w:tcPr>
          <w:p w14:paraId="2E9E9323" w14:textId="5578E2DF" w:rsidR="00D53A8D" w:rsidRPr="006466B5" w:rsidRDefault="00D53A8D" w:rsidP="00D53A8D">
            <w:pPr>
              <w:pStyle w:val="Bodyromannumerals"/>
              <w:rPr>
                <w:b/>
                <w:bdr w:val="single" w:sz="4" w:space="0" w:color="auto"/>
              </w:rPr>
            </w:pPr>
            <w:r w:rsidRPr="006466B5">
              <w:rPr>
                <w:b/>
              </w:rPr>
              <w:t>Km</w:t>
            </w:r>
          </w:p>
        </w:tc>
      </w:tr>
      <w:tr w:rsidR="00D53A8D" w:rsidRPr="00A83F00" w14:paraId="40AAB32E" w14:textId="77777777" w:rsidTr="008030FA">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7AD7360C" w14:textId="77777777" w:rsidR="00D53A8D" w:rsidRPr="006D389B" w:rsidRDefault="00D53A8D" w:rsidP="008030FA">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2D41641F" w14:textId="700B3109" w:rsidR="00D53A8D" w:rsidRPr="00A83F00" w:rsidRDefault="00D53A8D" w:rsidP="008030FA">
            <w:pPr>
              <w:pStyle w:val="Bodyromannumerals"/>
            </w:pPr>
            <w:r w:rsidRPr="00D53A8D">
              <w:t>The total length of sewers (excluding combined sewers) rehabilitated during the report year.</w:t>
            </w:r>
          </w:p>
        </w:tc>
      </w:tr>
      <w:tr w:rsidR="00D53A8D" w:rsidRPr="00A83F00" w14:paraId="47E034CE" w14:textId="77777777" w:rsidTr="008030FA">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6FA8D535" w14:textId="77777777" w:rsidR="00D53A8D" w:rsidRPr="006D389B" w:rsidRDefault="00D53A8D" w:rsidP="008030FA">
            <w:pPr>
              <w:pStyle w:val="Bodyromannumerals"/>
              <w:rPr>
                <w:bCs/>
                <w:i/>
              </w:rPr>
            </w:pPr>
            <w:r w:rsidRPr="006D389B">
              <w:rPr>
                <w:bCs/>
                <w:i/>
              </w:rPr>
              <w:t>Processing rules:</w:t>
            </w:r>
          </w:p>
        </w:tc>
        <w:tc>
          <w:tcPr>
            <w:tcW w:w="3790" w:type="pct"/>
            <w:gridSpan w:val="2"/>
            <w:tcBorders>
              <w:top w:val="nil"/>
              <w:left w:val="nil"/>
              <w:bottom w:val="nil"/>
              <w:right w:val="nil"/>
            </w:tcBorders>
          </w:tcPr>
          <w:p w14:paraId="3B0848DE" w14:textId="77777777" w:rsidR="00D53A8D" w:rsidRPr="004D7EDC" w:rsidRDefault="00D53A8D" w:rsidP="008030FA">
            <w:pPr>
              <w:pStyle w:val="Bodyromannumerals"/>
            </w:pPr>
            <w:r>
              <w:t>Input field</w:t>
            </w:r>
          </w:p>
        </w:tc>
      </w:tr>
      <w:tr w:rsidR="00D53A8D" w:rsidRPr="006466B5" w14:paraId="34A67A8A" w14:textId="77777777" w:rsidTr="008030FA">
        <w:tc>
          <w:tcPr>
            <w:tcW w:w="756" w:type="pct"/>
          </w:tcPr>
          <w:p w14:paraId="7F569999" w14:textId="6643F6D4" w:rsidR="00D53A8D" w:rsidRPr="009254DD" w:rsidRDefault="00D53A8D" w:rsidP="00D53A8D">
            <w:pPr>
              <w:pStyle w:val="Bodyromannumerals"/>
              <w:rPr>
                <w:b/>
                <w:bCs/>
              </w:rPr>
            </w:pPr>
            <w:r w:rsidRPr="006466B5">
              <w:rPr>
                <w:b/>
              </w:rPr>
              <w:t>C8.6b</w:t>
            </w:r>
          </w:p>
        </w:tc>
        <w:tc>
          <w:tcPr>
            <w:tcW w:w="3472" w:type="pct"/>
            <w:gridSpan w:val="2"/>
          </w:tcPr>
          <w:p w14:paraId="384F8FD3" w14:textId="3F2781B6" w:rsidR="00D53A8D" w:rsidRPr="009254DD" w:rsidRDefault="00D53A8D" w:rsidP="00D53A8D">
            <w:pPr>
              <w:pStyle w:val="Bodyromannumerals"/>
              <w:rPr>
                <w:b/>
                <w:bCs/>
                <w:bdr w:val="single" w:sz="4" w:space="0" w:color="auto"/>
              </w:rPr>
            </w:pPr>
            <w:r w:rsidRPr="006466B5">
              <w:rPr>
                <w:b/>
              </w:rPr>
              <w:t xml:space="preserve">Length of combined sewers </w:t>
            </w:r>
            <w:r w:rsidR="003D4C3B">
              <w:rPr>
                <w:b/>
              </w:rPr>
              <w:t>rehabilitated in the report year</w:t>
            </w:r>
          </w:p>
        </w:tc>
        <w:tc>
          <w:tcPr>
            <w:tcW w:w="772" w:type="pct"/>
          </w:tcPr>
          <w:p w14:paraId="5F4D5443" w14:textId="1F4C4724" w:rsidR="00D53A8D" w:rsidRPr="006466B5" w:rsidRDefault="00D53A8D" w:rsidP="00D53A8D">
            <w:pPr>
              <w:pStyle w:val="Bodyromannumerals"/>
              <w:rPr>
                <w:b/>
                <w:bdr w:val="single" w:sz="4" w:space="0" w:color="auto"/>
              </w:rPr>
            </w:pPr>
            <w:r w:rsidRPr="006466B5">
              <w:rPr>
                <w:b/>
              </w:rPr>
              <w:t>Km</w:t>
            </w:r>
          </w:p>
        </w:tc>
      </w:tr>
      <w:tr w:rsidR="00D53A8D" w:rsidRPr="00A83F00" w14:paraId="0CC3F654" w14:textId="77777777" w:rsidTr="008030FA">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71B7BEB2" w14:textId="77777777" w:rsidR="00D53A8D" w:rsidRPr="006D389B" w:rsidRDefault="00D53A8D" w:rsidP="008030FA">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311BA634" w14:textId="03B0CF0D" w:rsidR="00D53A8D" w:rsidRPr="00A83F00" w:rsidRDefault="00D53A8D" w:rsidP="008030FA">
            <w:pPr>
              <w:pStyle w:val="Bodyromannumerals"/>
            </w:pPr>
            <w:r w:rsidRPr="00D53A8D">
              <w:t xml:space="preserve">The total length of </w:t>
            </w:r>
            <w:r w:rsidR="003D4C3B">
              <w:t xml:space="preserve">combined </w:t>
            </w:r>
            <w:r w:rsidRPr="00D53A8D">
              <w:t>sewers rehabilitated during the report year.</w:t>
            </w:r>
          </w:p>
        </w:tc>
      </w:tr>
      <w:tr w:rsidR="00D53A8D" w:rsidRPr="00A83F00" w14:paraId="1E131AFD" w14:textId="77777777" w:rsidTr="008030FA">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54CDBB66" w14:textId="77777777" w:rsidR="00D53A8D" w:rsidRPr="006D389B" w:rsidRDefault="00D53A8D" w:rsidP="008030FA">
            <w:pPr>
              <w:pStyle w:val="Bodyromannumerals"/>
              <w:rPr>
                <w:bCs/>
                <w:i/>
              </w:rPr>
            </w:pPr>
            <w:r w:rsidRPr="006D389B">
              <w:rPr>
                <w:bCs/>
                <w:i/>
              </w:rPr>
              <w:t>Processing rules:</w:t>
            </w:r>
          </w:p>
        </w:tc>
        <w:tc>
          <w:tcPr>
            <w:tcW w:w="3790" w:type="pct"/>
            <w:gridSpan w:val="2"/>
            <w:tcBorders>
              <w:top w:val="nil"/>
              <w:left w:val="nil"/>
              <w:bottom w:val="nil"/>
              <w:right w:val="nil"/>
            </w:tcBorders>
          </w:tcPr>
          <w:p w14:paraId="739B0B72" w14:textId="77777777" w:rsidR="00D53A8D" w:rsidRPr="004D7EDC" w:rsidRDefault="00D53A8D" w:rsidP="008030FA">
            <w:pPr>
              <w:pStyle w:val="Bodyromannumerals"/>
            </w:pPr>
            <w:r>
              <w:t>Input field</w:t>
            </w:r>
          </w:p>
        </w:tc>
      </w:tr>
    </w:tbl>
    <w:p w14:paraId="0F5AE547" w14:textId="64A3276C" w:rsidR="00B93181" w:rsidRDefault="00B931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D53A8D" w:rsidRPr="006466B5" w14:paraId="415B380E" w14:textId="77777777" w:rsidTr="008030FA">
        <w:tc>
          <w:tcPr>
            <w:tcW w:w="756" w:type="pct"/>
          </w:tcPr>
          <w:p w14:paraId="5DFF1813" w14:textId="3D8AC2AB" w:rsidR="00D53A8D" w:rsidRPr="009254DD" w:rsidRDefault="00D53A8D" w:rsidP="00D53A8D">
            <w:pPr>
              <w:pStyle w:val="Bodyromannumerals"/>
              <w:rPr>
                <w:b/>
                <w:bCs/>
              </w:rPr>
            </w:pPr>
            <w:r w:rsidRPr="006466B5">
              <w:rPr>
                <w:b/>
              </w:rPr>
              <w:t>C8.7</w:t>
            </w:r>
          </w:p>
        </w:tc>
        <w:tc>
          <w:tcPr>
            <w:tcW w:w="3472" w:type="pct"/>
            <w:gridSpan w:val="2"/>
          </w:tcPr>
          <w:p w14:paraId="1E4B8BA3" w14:textId="060F0540" w:rsidR="00D53A8D" w:rsidRPr="009254DD" w:rsidRDefault="00D53A8D" w:rsidP="00D53A8D">
            <w:pPr>
              <w:pStyle w:val="Bodyromannumerals"/>
              <w:rPr>
                <w:b/>
                <w:bCs/>
                <w:bdr w:val="single" w:sz="4" w:space="0" w:color="auto"/>
              </w:rPr>
            </w:pPr>
            <w:r w:rsidRPr="006466B5">
              <w:rPr>
                <w:b/>
              </w:rPr>
              <w:t xml:space="preserve">Length of sewers </w:t>
            </w:r>
            <w:r w:rsidR="003D4C3B">
              <w:rPr>
                <w:b/>
              </w:rPr>
              <w:t>with completed and acceptable post-surveys</w:t>
            </w:r>
            <w:r w:rsidRPr="006466B5">
              <w:rPr>
                <w:b/>
              </w:rPr>
              <w:t xml:space="preserve"> (excluding combined sewers)</w:t>
            </w:r>
          </w:p>
        </w:tc>
        <w:tc>
          <w:tcPr>
            <w:tcW w:w="772" w:type="pct"/>
          </w:tcPr>
          <w:p w14:paraId="5338B3EC" w14:textId="5B5984AB" w:rsidR="00D53A8D" w:rsidRPr="006466B5" w:rsidRDefault="00D53A8D" w:rsidP="00D53A8D">
            <w:pPr>
              <w:pStyle w:val="Bodyromannumerals"/>
              <w:rPr>
                <w:b/>
                <w:bdr w:val="single" w:sz="4" w:space="0" w:color="auto"/>
              </w:rPr>
            </w:pPr>
            <w:r w:rsidRPr="006466B5">
              <w:rPr>
                <w:b/>
              </w:rPr>
              <w:t>Km</w:t>
            </w:r>
          </w:p>
        </w:tc>
      </w:tr>
      <w:tr w:rsidR="00D53A8D" w:rsidRPr="00A83F00" w14:paraId="3E120AD5" w14:textId="77777777" w:rsidTr="008030FA">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63824A53" w14:textId="77777777" w:rsidR="00D53A8D" w:rsidRPr="006D389B" w:rsidRDefault="00D53A8D" w:rsidP="008030FA">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186A38CF" w14:textId="2CD22397" w:rsidR="00D53A8D" w:rsidRPr="00A83F00" w:rsidRDefault="00D53A8D" w:rsidP="008030FA">
            <w:pPr>
              <w:pStyle w:val="Bodyromannumerals"/>
            </w:pPr>
            <w:r w:rsidRPr="00D53A8D">
              <w:t>The total length of sewers (excluding combined sewers) where a post-work survey has been undertaken and the results have been acceptable.</w:t>
            </w:r>
          </w:p>
        </w:tc>
      </w:tr>
      <w:tr w:rsidR="00D53A8D" w:rsidRPr="00A83F00" w14:paraId="02E5472B" w14:textId="77777777" w:rsidTr="008030FA">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5536589B" w14:textId="77777777" w:rsidR="00D53A8D" w:rsidRPr="006D389B" w:rsidRDefault="00D53A8D" w:rsidP="008030FA">
            <w:pPr>
              <w:pStyle w:val="Bodyromannumerals"/>
              <w:rPr>
                <w:bCs/>
                <w:i/>
              </w:rPr>
            </w:pPr>
            <w:r w:rsidRPr="006D389B">
              <w:rPr>
                <w:bCs/>
                <w:i/>
              </w:rPr>
              <w:t>Processing rules:</w:t>
            </w:r>
          </w:p>
        </w:tc>
        <w:tc>
          <w:tcPr>
            <w:tcW w:w="3790" w:type="pct"/>
            <w:gridSpan w:val="2"/>
            <w:tcBorders>
              <w:top w:val="nil"/>
              <w:left w:val="nil"/>
              <w:bottom w:val="nil"/>
              <w:right w:val="nil"/>
            </w:tcBorders>
          </w:tcPr>
          <w:p w14:paraId="20F21A3D" w14:textId="77777777" w:rsidR="00D53A8D" w:rsidRPr="004D7EDC" w:rsidRDefault="00D53A8D" w:rsidP="008030FA">
            <w:pPr>
              <w:pStyle w:val="Bodyromannumerals"/>
            </w:pPr>
            <w:r>
              <w:t>Input field</w:t>
            </w:r>
          </w:p>
        </w:tc>
      </w:tr>
      <w:tr w:rsidR="00D53A8D" w:rsidRPr="006466B5" w14:paraId="34BCB6E5" w14:textId="77777777" w:rsidTr="008030FA">
        <w:tc>
          <w:tcPr>
            <w:tcW w:w="756" w:type="pct"/>
          </w:tcPr>
          <w:p w14:paraId="30E7E828" w14:textId="2FFA78FB" w:rsidR="00D53A8D" w:rsidRPr="009254DD" w:rsidRDefault="00D53A8D" w:rsidP="00D53A8D">
            <w:pPr>
              <w:pStyle w:val="Bodyromannumerals"/>
              <w:rPr>
                <w:b/>
                <w:bCs/>
              </w:rPr>
            </w:pPr>
            <w:r w:rsidRPr="006466B5">
              <w:rPr>
                <w:b/>
              </w:rPr>
              <w:t>C8.7b</w:t>
            </w:r>
          </w:p>
        </w:tc>
        <w:tc>
          <w:tcPr>
            <w:tcW w:w="3472" w:type="pct"/>
            <w:gridSpan w:val="2"/>
          </w:tcPr>
          <w:p w14:paraId="4BC20E77" w14:textId="0949229F" w:rsidR="00D53A8D" w:rsidRPr="009254DD" w:rsidRDefault="00D53A8D" w:rsidP="00D53A8D">
            <w:pPr>
              <w:pStyle w:val="Bodyromannumerals"/>
              <w:rPr>
                <w:b/>
                <w:bCs/>
                <w:bdr w:val="single" w:sz="4" w:space="0" w:color="auto"/>
              </w:rPr>
            </w:pPr>
            <w:r w:rsidRPr="006466B5">
              <w:rPr>
                <w:b/>
              </w:rPr>
              <w:t xml:space="preserve">Length of combined sewers </w:t>
            </w:r>
            <w:r w:rsidR="003D4C3B">
              <w:rPr>
                <w:b/>
              </w:rPr>
              <w:t>with completed and acceptable post-surveys</w:t>
            </w:r>
          </w:p>
        </w:tc>
        <w:tc>
          <w:tcPr>
            <w:tcW w:w="772" w:type="pct"/>
          </w:tcPr>
          <w:p w14:paraId="6EB1C418" w14:textId="164D81E0" w:rsidR="00D53A8D" w:rsidRPr="006466B5" w:rsidRDefault="00D53A8D" w:rsidP="00D53A8D">
            <w:pPr>
              <w:pStyle w:val="Bodyromannumerals"/>
              <w:rPr>
                <w:b/>
                <w:bdr w:val="single" w:sz="4" w:space="0" w:color="auto"/>
              </w:rPr>
            </w:pPr>
            <w:r w:rsidRPr="006466B5">
              <w:rPr>
                <w:b/>
              </w:rPr>
              <w:t>Km</w:t>
            </w:r>
          </w:p>
        </w:tc>
      </w:tr>
      <w:tr w:rsidR="00D53A8D" w:rsidRPr="00A83F00" w14:paraId="791BEA7C" w14:textId="77777777" w:rsidTr="008030FA">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46C13181" w14:textId="77777777" w:rsidR="00D53A8D" w:rsidRPr="006D389B" w:rsidRDefault="00D53A8D" w:rsidP="008030FA">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7C94F22F" w14:textId="020F2B29" w:rsidR="00D53A8D" w:rsidRPr="00A83F00" w:rsidRDefault="00D53A8D" w:rsidP="008030FA">
            <w:pPr>
              <w:pStyle w:val="Bodyromannumerals"/>
            </w:pPr>
            <w:r w:rsidRPr="00D53A8D">
              <w:t>The total length of sewers where a post-work survey has been undertaken and the results have been acceptable.</w:t>
            </w:r>
          </w:p>
        </w:tc>
      </w:tr>
      <w:tr w:rsidR="00D53A8D" w:rsidRPr="00A83F00" w14:paraId="1C39AA8D" w14:textId="77777777" w:rsidTr="008030FA">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3EFF892A" w14:textId="77777777" w:rsidR="00D53A8D" w:rsidRPr="006D389B" w:rsidRDefault="00D53A8D" w:rsidP="008030FA">
            <w:pPr>
              <w:pStyle w:val="Bodyromannumerals"/>
              <w:rPr>
                <w:bCs/>
                <w:i/>
              </w:rPr>
            </w:pPr>
            <w:r w:rsidRPr="006D389B">
              <w:rPr>
                <w:bCs/>
                <w:i/>
              </w:rPr>
              <w:t>Processing rules:</w:t>
            </w:r>
          </w:p>
        </w:tc>
        <w:tc>
          <w:tcPr>
            <w:tcW w:w="3790" w:type="pct"/>
            <w:gridSpan w:val="2"/>
            <w:tcBorders>
              <w:top w:val="nil"/>
              <w:left w:val="nil"/>
              <w:bottom w:val="nil"/>
              <w:right w:val="nil"/>
            </w:tcBorders>
          </w:tcPr>
          <w:p w14:paraId="6C3DDC4F" w14:textId="77777777" w:rsidR="00D53A8D" w:rsidRPr="004D7EDC" w:rsidRDefault="00D53A8D" w:rsidP="008030FA">
            <w:pPr>
              <w:pStyle w:val="Bodyromannumerals"/>
            </w:pPr>
            <w:r>
              <w:t>Input field</w:t>
            </w:r>
          </w:p>
        </w:tc>
      </w:tr>
      <w:tr w:rsidR="00D53A8D" w:rsidRPr="006466B5" w14:paraId="7DB45382" w14:textId="77777777" w:rsidTr="008030FA">
        <w:tc>
          <w:tcPr>
            <w:tcW w:w="756" w:type="pct"/>
          </w:tcPr>
          <w:p w14:paraId="6B50B3C5" w14:textId="2556E899" w:rsidR="00D53A8D" w:rsidRPr="009254DD" w:rsidRDefault="00D53A8D" w:rsidP="00D53A8D">
            <w:pPr>
              <w:pStyle w:val="Bodyromannumerals"/>
              <w:rPr>
                <w:b/>
                <w:bCs/>
              </w:rPr>
            </w:pPr>
            <w:r w:rsidRPr="006466B5">
              <w:rPr>
                <w:b/>
              </w:rPr>
              <w:t>C8.8</w:t>
            </w:r>
          </w:p>
        </w:tc>
        <w:tc>
          <w:tcPr>
            <w:tcW w:w="3472" w:type="pct"/>
            <w:gridSpan w:val="2"/>
          </w:tcPr>
          <w:p w14:paraId="120D7086" w14:textId="69A806C5" w:rsidR="00D53A8D" w:rsidRPr="009254DD" w:rsidRDefault="00D53A8D" w:rsidP="00D53A8D">
            <w:pPr>
              <w:pStyle w:val="Bodyromannumerals"/>
              <w:rPr>
                <w:b/>
                <w:bCs/>
                <w:bdr w:val="single" w:sz="4" w:space="0" w:color="auto"/>
              </w:rPr>
            </w:pPr>
            <w:r w:rsidRPr="006466B5">
              <w:rPr>
                <w:b/>
              </w:rPr>
              <w:t>N</w:t>
            </w:r>
            <w:r w:rsidR="00781913">
              <w:rPr>
                <w:b/>
              </w:rPr>
              <w:t>umber</w:t>
            </w:r>
            <w:r w:rsidRPr="006466B5">
              <w:rPr>
                <w:b/>
              </w:rPr>
              <w:t xml:space="preserve"> of </w:t>
            </w:r>
            <w:r w:rsidR="000011BB">
              <w:rPr>
                <w:b/>
              </w:rPr>
              <w:t>wastewater</w:t>
            </w:r>
            <w:r w:rsidRPr="006466B5">
              <w:rPr>
                <w:b/>
              </w:rPr>
              <w:t xml:space="preserve"> drainage areas where programmes of work</w:t>
            </w:r>
            <w:r w:rsidR="00C402A9">
              <w:rPr>
                <w:b/>
              </w:rPr>
              <w:t>s</w:t>
            </w:r>
            <w:r w:rsidRPr="006466B5">
              <w:rPr>
                <w:b/>
              </w:rPr>
              <w:t xml:space="preserve"> have been completed</w:t>
            </w:r>
          </w:p>
        </w:tc>
        <w:tc>
          <w:tcPr>
            <w:tcW w:w="772" w:type="pct"/>
          </w:tcPr>
          <w:p w14:paraId="28A28425" w14:textId="58D717A8" w:rsidR="00D53A8D" w:rsidRPr="006466B5" w:rsidRDefault="00D53A8D" w:rsidP="00D53A8D">
            <w:pPr>
              <w:pStyle w:val="Bodyromannumerals"/>
              <w:rPr>
                <w:b/>
                <w:bdr w:val="single" w:sz="4" w:space="0" w:color="auto"/>
              </w:rPr>
            </w:pPr>
            <w:r w:rsidRPr="006466B5">
              <w:rPr>
                <w:b/>
              </w:rPr>
              <w:t>Nr</w:t>
            </w:r>
          </w:p>
        </w:tc>
      </w:tr>
      <w:tr w:rsidR="00D53A8D" w:rsidRPr="00A83F00" w14:paraId="28D9FA44" w14:textId="77777777" w:rsidTr="008030FA">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09F49ACA" w14:textId="77777777" w:rsidR="00D53A8D" w:rsidRPr="006D389B" w:rsidRDefault="00D53A8D" w:rsidP="008030FA">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07E2F4E7" w14:textId="3149CDCE" w:rsidR="00D53A8D" w:rsidRPr="00A83F00" w:rsidRDefault="00D53A8D" w:rsidP="008030FA">
            <w:pPr>
              <w:pStyle w:val="Bodyromannumerals"/>
            </w:pPr>
            <w:r w:rsidRPr="00D53A8D">
              <w:t xml:space="preserve">The total number of </w:t>
            </w:r>
            <w:r w:rsidR="000011BB">
              <w:t>wastewater</w:t>
            </w:r>
            <w:r w:rsidRPr="00D53A8D">
              <w:t xml:space="preserve"> drainage areas where programmes of work </w:t>
            </w:r>
            <w:r w:rsidR="003D4C3B">
              <w:t xml:space="preserve">identified in the </w:t>
            </w:r>
            <w:r w:rsidR="00311012">
              <w:t xml:space="preserve">Long Term Plan </w:t>
            </w:r>
            <w:r w:rsidRPr="00D53A8D">
              <w:t>have been completed.</w:t>
            </w:r>
          </w:p>
        </w:tc>
      </w:tr>
      <w:tr w:rsidR="00D53A8D" w:rsidRPr="00A83F00" w14:paraId="3EC54BC1" w14:textId="77777777" w:rsidTr="008030FA">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4D62CCF5" w14:textId="77777777" w:rsidR="00D53A8D" w:rsidRPr="006D389B" w:rsidRDefault="00D53A8D" w:rsidP="008030FA">
            <w:pPr>
              <w:pStyle w:val="Bodyromannumerals"/>
              <w:rPr>
                <w:bCs/>
                <w:i/>
              </w:rPr>
            </w:pPr>
            <w:r w:rsidRPr="006D389B">
              <w:rPr>
                <w:bCs/>
                <w:i/>
              </w:rPr>
              <w:t>Processing rules:</w:t>
            </w:r>
          </w:p>
        </w:tc>
        <w:tc>
          <w:tcPr>
            <w:tcW w:w="3790" w:type="pct"/>
            <w:gridSpan w:val="2"/>
            <w:tcBorders>
              <w:top w:val="nil"/>
              <w:left w:val="nil"/>
              <w:bottom w:val="nil"/>
              <w:right w:val="nil"/>
            </w:tcBorders>
          </w:tcPr>
          <w:p w14:paraId="625DAD11" w14:textId="77777777" w:rsidR="00D53A8D" w:rsidRPr="004D7EDC" w:rsidRDefault="00D53A8D" w:rsidP="008030FA">
            <w:pPr>
              <w:pStyle w:val="Bodyromannumerals"/>
            </w:pPr>
            <w:r>
              <w:t>Input field</w:t>
            </w:r>
          </w:p>
        </w:tc>
      </w:tr>
    </w:tbl>
    <w:p w14:paraId="039494B5" w14:textId="77777777" w:rsidR="00B30600" w:rsidRDefault="00B30600" w:rsidP="008B7423">
      <w:pPr>
        <w:pStyle w:val="Sectionsub-heading"/>
      </w:pPr>
      <w:r>
        <w:br w:type="page"/>
      </w:r>
    </w:p>
    <w:p w14:paraId="7FC477F9" w14:textId="0E55907C" w:rsidR="00F878B5" w:rsidRDefault="00940E3A" w:rsidP="008B7423">
      <w:pPr>
        <w:pStyle w:val="Sectionsub-heading"/>
      </w:pPr>
      <w:r w:rsidRPr="008430BE">
        <w:t xml:space="preserve">BLOCK </w:t>
      </w:r>
      <w:r w:rsidR="00DA34A0">
        <w:t>2</w:t>
      </w:r>
      <w:r w:rsidRPr="008430BE">
        <w:t xml:space="preserve">: </w:t>
      </w:r>
      <w:r w:rsidR="009504BF" w:rsidRPr="008430BE">
        <w:t>DRAINAGE AREA PLANS</w:t>
      </w:r>
      <w:r w:rsidR="009504BF" w:rsidRPr="006466B5">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F878B5" w:rsidRPr="006466B5" w14:paraId="21BBA79A" w14:textId="77777777" w:rsidTr="00EF4303">
        <w:tc>
          <w:tcPr>
            <w:tcW w:w="756" w:type="pct"/>
          </w:tcPr>
          <w:p w14:paraId="0ED51B71" w14:textId="55091C94" w:rsidR="00F878B5" w:rsidRPr="009254DD" w:rsidRDefault="00F878B5" w:rsidP="00F878B5">
            <w:pPr>
              <w:pStyle w:val="Bodyromannumerals"/>
              <w:rPr>
                <w:b/>
                <w:bCs/>
              </w:rPr>
            </w:pPr>
            <w:r w:rsidRPr="008B7423">
              <w:rPr>
                <w:b/>
                <w:bCs/>
              </w:rPr>
              <w:t>C8.12</w:t>
            </w:r>
          </w:p>
        </w:tc>
        <w:tc>
          <w:tcPr>
            <w:tcW w:w="3472" w:type="pct"/>
            <w:gridSpan w:val="2"/>
          </w:tcPr>
          <w:p w14:paraId="208A86F5" w14:textId="3D934398" w:rsidR="00F878B5" w:rsidRPr="009254DD" w:rsidRDefault="00F878B5" w:rsidP="00F878B5">
            <w:pPr>
              <w:pStyle w:val="Bodyromannumerals"/>
              <w:rPr>
                <w:b/>
                <w:bCs/>
                <w:bdr w:val="single" w:sz="4" w:space="0" w:color="auto"/>
              </w:rPr>
            </w:pPr>
            <w:r w:rsidRPr="008B7423">
              <w:rPr>
                <w:b/>
                <w:bCs/>
              </w:rPr>
              <w:t xml:space="preserve">Drainage area plans </w:t>
            </w:r>
            <w:r w:rsidR="0066398D">
              <w:rPr>
                <w:b/>
                <w:bCs/>
              </w:rPr>
              <w:t>in place</w:t>
            </w:r>
          </w:p>
        </w:tc>
        <w:tc>
          <w:tcPr>
            <w:tcW w:w="772" w:type="pct"/>
          </w:tcPr>
          <w:p w14:paraId="7D6834B9" w14:textId="0BD751B1" w:rsidR="00F878B5" w:rsidRPr="006466B5" w:rsidRDefault="00F878B5" w:rsidP="00F878B5">
            <w:pPr>
              <w:pStyle w:val="Bodyromannumerals"/>
              <w:rPr>
                <w:b/>
                <w:bdr w:val="single" w:sz="4" w:space="0" w:color="auto"/>
              </w:rPr>
            </w:pPr>
            <w:r w:rsidRPr="008B7423">
              <w:rPr>
                <w:b/>
                <w:bCs/>
              </w:rPr>
              <w:t>Nr</w:t>
            </w:r>
            <w:r>
              <w:rPr>
                <w:b/>
                <w:bCs/>
              </w:rPr>
              <w:t>.</w:t>
            </w:r>
          </w:p>
        </w:tc>
      </w:tr>
      <w:tr w:rsidR="00F878B5" w:rsidRPr="00A83F00" w14:paraId="6A2D5C1E"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3719854E" w14:textId="77777777" w:rsidR="00F878B5" w:rsidRPr="006D389B" w:rsidRDefault="00F878B5" w:rsidP="00EF4303">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691BCA50" w14:textId="1A0B067B" w:rsidR="00F878B5" w:rsidRPr="00A83F00" w:rsidRDefault="0066398D" w:rsidP="00F878B5">
            <w:pPr>
              <w:pStyle w:val="Bodyromannumerals"/>
            </w:pPr>
            <w:r>
              <w:t>N</w:t>
            </w:r>
            <w:r w:rsidR="00F878B5">
              <w:t xml:space="preserve">umber of drainage area plans </w:t>
            </w:r>
            <w:r>
              <w:t>in place at</w:t>
            </w:r>
            <w:r w:rsidR="00F878B5">
              <w:t xml:space="preserve"> the end of the report year. Abbreviated investigations may be substituted where it is clear that there are no hydraulic problems with the sewers in the relevant drainage are. Where separate models cover several drainage areas (such as for modelling interceptor sewers) then these can be included as part of the total number of plans.</w:t>
            </w:r>
          </w:p>
        </w:tc>
      </w:tr>
      <w:tr w:rsidR="00F878B5" w:rsidRPr="004D7EDC" w14:paraId="06040F6A"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6933CACE" w14:textId="77777777" w:rsidR="00F878B5" w:rsidRPr="006D389B" w:rsidRDefault="00F878B5" w:rsidP="00EF4303">
            <w:pPr>
              <w:pStyle w:val="Bodyromannumerals"/>
              <w:rPr>
                <w:bCs/>
                <w:i/>
              </w:rPr>
            </w:pPr>
            <w:r w:rsidRPr="006D389B">
              <w:rPr>
                <w:bCs/>
                <w:i/>
              </w:rPr>
              <w:t>Processing rules:</w:t>
            </w:r>
          </w:p>
        </w:tc>
        <w:tc>
          <w:tcPr>
            <w:tcW w:w="3790" w:type="pct"/>
            <w:gridSpan w:val="2"/>
            <w:tcBorders>
              <w:top w:val="nil"/>
              <w:left w:val="nil"/>
              <w:bottom w:val="nil"/>
              <w:right w:val="nil"/>
            </w:tcBorders>
          </w:tcPr>
          <w:p w14:paraId="02F82DDC" w14:textId="77777777" w:rsidR="00F878B5" w:rsidRPr="004D7EDC" w:rsidRDefault="00F878B5" w:rsidP="00EF4303">
            <w:pPr>
              <w:pStyle w:val="Bodyromannumerals"/>
            </w:pPr>
            <w:r>
              <w:t>Input field</w:t>
            </w:r>
          </w:p>
        </w:tc>
      </w:tr>
      <w:tr w:rsidR="00F878B5" w:rsidRPr="006466B5" w14:paraId="554BE625" w14:textId="77777777" w:rsidTr="00EF4303">
        <w:tc>
          <w:tcPr>
            <w:tcW w:w="756" w:type="pct"/>
          </w:tcPr>
          <w:p w14:paraId="2E3658ED" w14:textId="480CC90B" w:rsidR="00F878B5" w:rsidRPr="009254DD" w:rsidRDefault="00F878B5" w:rsidP="00F878B5">
            <w:pPr>
              <w:pStyle w:val="Bodyromannumerals"/>
              <w:rPr>
                <w:b/>
                <w:bCs/>
              </w:rPr>
            </w:pPr>
            <w:r w:rsidRPr="00161D43">
              <w:rPr>
                <w:b/>
                <w:bCs/>
              </w:rPr>
              <w:t>C8.14</w:t>
            </w:r>
          </w:p>
        </w:tc>
        <w:tc>
          <w:tcPr>
            <w:tcW w:w="3472" w:type="pct"/>
            <w:gridSpan w:val="2"/>
          </w:tcPr>
          <w:p w14:paraId="75FE4706" w14:textId="40020780" w:rsidR="00F878B5" w:rsidRPr="009254DD" w:rsidRDefault="0066398D" w:rsidP="00F878B5">
            <w:pPr>
              <w:pStyle w:val="Bodyromannumerals"/>
              <w:rPr>
                <w:b/>
                <w:bCs/>
                <w:bdr w:val="single" w:sz="4" w:space="0" w:color="auto"/>
              </w:rPr>
            </w:pPr>
            <w:r>
              <w:rPr>
                <w:b/>
                <w:bCs/>
              </w:rPr>
              <w:t>Percentage of</w:t>
            </w:r>
            <w:r w:rsidR="00F878B5" w:rsidRPr="00161D43">
              <w:rPr>
                <w:b/>
                <w:bCs/>
              </w:rPr>
              <w:t xml:space="preserve"> drainage area</w:t>
            </w:r>
            <w:r>
              <w:rPr>
                <w:b/>
                <w:bCs/>
              </w:rPr>
              <w:t>s with a</w:t>
            </w:r>
            <w:r w:rsidR="00F878B5" w:rsidRPr="00161D43">
              <w:rPr>
                <w:b/>
                <w:bCs/>
              </w:rPr>
              <w:t xml:space="preserve"> plan </w:t>
            </w:r>
            <w:r>
              <w:rPr>
                <w:b/>
                <w:bCs/>
              </w:rPr>
              <w:t>in place</w:t>
            </w:r>
          </w:p>
        </w:tc>
        <w:tc>
          <w:tcPr>
            <w:tcW w:w="772" w:type="pct"/>
          </w:tcPr>
          <w:p w14:paraId="36F7A399" w14:textId="0FFBF471" w:rsidR="00F878B5" w:rsidRPr="006466B5" w:rsidRDefault="00F878B5" w:rsidP="00F878B5">
            <w:pPr>
              <w:pStyle w:val="Bodyromannumerals"/>
              <w:rPr>
                <w:b/>
                <w:bdr w:val="single" w:sz="4" w:space="0" w:color="auto"/>
              </w:rPr>
            </w:pPr>
            <w:r w:rsidRPr="00161D43">
              <w:rPr>
                <w:b/>
                <w:bCs/>
              </w:rPr>
              <w:t>%</w:t>
            </w:r>
          </w:p>
        </w:tc>
      </w:tr>
      <w:tr w:rsidR="00F878B5" w:rsidRPr="00A83F00" w14:paraId="75DC1203"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5BC8F0CE" w14:textId="77777777" w:rsidR="00F878B5" w:rsidRPr="006D389B" w:rsidRDefault="00F878B5" w:rsidP="00EF4303">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46CB0719" w14:textId="72A30ABB" w:rsidR="00F878B5" w:rsidRPr="00A83F00" w:rsidRDefault="0066398D" w:rsidP="00EF4303">
            <w:pPr>
              <w:pStyle w:val="Bodyromannumerals"/>
            </w:pPr>
            <w:r>
              <w:t>P</w:t>
            </w:r>
            <w:r w:rsidR="00F878B5" w:rsidRPr="006466B5">
              <w:t>ercentage of drainage area</w:t>
            </w:r>
            <w:r>
              <w:t>s</w:t>
            </w:r>
            <w:r w:rsidR="00F878B5" w:rsidRPr="006466B5">
              <w:t xml:space="preserve"> </w:t>
            </w:r>
            <w:r>
              <w:t>covered by a drainage area plan</w:t>
            </w:r>
            <w:r w:rsidR="004D6D11">
              <w:t>.</w:t>
            </w:r>
          </w:p>
        </w:tc>
      </w:tr>
      <w:tr w:rsidR="00F878B5" w:rsidRPr="004D7EDC" w14:paraId="36D24E9F"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16ABE551" w14:textId="77777777" w:rsidR="00F878B5" w:rsidRPr="006D389B" w:rsidRDefault="00F878B5" w:rsidP="00EF4303">
            <w:pPr>
              <w:pStyle w:val="Bodyromannumerals"/>
              <w:rPr>
                <w:bCs/>
                <w:i/>
              </w:rPr>
            </w:pPr>
            <w:r w:rsidRPr="006D389B">
              <w:rPr>
                <w:bCs/>
                <w:i/>
              </w:rPr>
              <w:t>Processing rules:</w:t>
            </w:r>
          </w:p>
        </w:tc>
        <w:tc>
          <w:tcPr>
            <w:tcW w:w="3790" w:type="pct"/>
            <w:gridSpan w:val="2"/>
            <w:tcBorders>
              <w:top w:val="nil"/>
              <w:left w:val="nil"/>
              <w:bottom w:val="nil"/>
              <w:right w:val="nil"/>
            </w:tcBorders>
          </w:tcPr>
          <w:p w14:paraId="5B892160" w14:textId="7BE7544D" w:rsidR="00F878B5" w:rsidRPr="004D7EDC" w:rsidRDefault="00F878B5" w:rsidP="00EF4303">
            <w:pPr>
              <w:pStyle w:val="Bodyromannumerals"/>
            </w:pPr>
            <w:r w:rsidRPr="006466B5">
              <w:t>Calculated field: C8.</w:t>
            </w:r>
            <w:r w:rsidR="00504ED0" w:rsidRPr="006466B5">
              <w:t>1</w:t>
            </w:r>
            <w:r w:rsidR="00504ED0">
              <w:t>2</w:t>
            </w:r>
            <w:r w:rsidRPr="006466B5">
              <w:t>/C8.1 multiplied by 100</w:t>
            </w:r>
          </w:p>
        </w:tc>
      </w:tr>
      <w:tr w:rsidR="00F878B5" w:rsidRPr="006466B5" w14:paraId="6AD8C60C" w14:textId="77777777" w:rsidTr="00EF4303">
        <w:tc>
          <w:tcPr>
            <w:tcW w:w="756" w:type="pct"/>
          </w:tcPr>
          <w:p w14:paraId="3D1EEF12" w14:textId="67F33FAF" w:rsidR="00F878B5" w:rsidRPr="009254DD" w:rsidRDefault="00F878B5" w:rsidP="00F878B5">
            <w:pPr>
              <w:pStyle w:val="Bodyromannumerals"/>
              <w:rPr>
                <w:b/>
                <w:bCs/>
              </w:rPr>
            </w:pPr>
            <w:r w:rsidRPr="00161D43">
              <w:rPr>
                <w:b/>
                <w:bCs/>
              </w:rPr>
              <w:t>C8.15</w:t>
            </w:r>
          </w:p>
        </w:tc>
        <w:tc>
          <w:tcPr>
            <w:tcW w:w="3472" w:type="pct"/>
            <w:gridSpan w:val="2"/>
          </w:tcPr>
          <w:p w14:paraId="66C6600D" w14:textId="7A159C9C" w:rsidR="00F878B5" w:rsidRPr="009254DD" w:rsidRDefault="0066398D" w:rsidP="00F878B5">
            <w:pPr>
              <w:pStyle w:val="Bodyromannumerals"/>
              <w:rPr>
                <w:b/>
                <w:bCs/>
                <w:bdr w:val="single" w:sz="4" w:space="0" w:color="auto"/>
              </w:rPr>
            </w:pPr>
            <w:r>
              <w:rPr>
                <w:b/>
                <w:bCs/>
              </w:rPr>
              <w:t>Percentage of the</w:t>
            </w:r>
            <w:r w:rsidRPr="00161D43">
              <w:rPr>
                <w:b/>
                <w:bCs/>
              </w:rPr>
              <w:t xml:space="preserve"> </w:t>
            </w:r>
            <w:r>
              <w:rPr>
                <w:b/>
                <w:bCs/>
              </w:rPr>
              <w:t>p</w:t>
            </w:r>
            <w:r w:rsidRPr="00161D43">
              <w:rPr>
                <w:b/>
                <w:bCs/>
              </w:rPr>
              <w:t xml:space="preserve">opulation </w:t>
            </w:r>
            <w:r w:rsidR="00F878B5" w:rsidRPr="00161D43">
              <w:rPr>
                <w:b/>
                <w:bCs/>
              </w:rPr>
              <w:t xml:space="preserve">covered by </w:t>
            </w:r>
            <w:r>
              <w:rPr>
                <w:b/>
                <w:bCs/>
              </w:rPr>
              <w:t>a drainage area plan</w:t>
            </w:r>
          </w:p>
        </w:tc>
        <w:tc>
          <w:tcPr>
            <w:tcW w:w="772" w:type="pct"/>
          </w:tcPr>
          <w:p w14:paraId="635FBCBF" w14:textId="45DBCBF6" w:rsidR="00F878B5" w:rsidRPr="006466B5" w:rsidRDefault="00F878B5" w:rsidP="00F878B5">
            <w:pPr>
              <w:pStyle w:val="Bodyromannumerals"/>
              <w:rPr>
                <w:b/>
                <w:bdr w:val="single" w:sz="4" w:space="0" w:color="auto"/>
              </w:rPr>
            </w:pPr>
            <w:r w:rsidRPr="00161D43">
              <w:rPr>
                <w:b/>
                <w:bCs/>
              </w:rPr>
              <w:t>%</w:t>
            </w:r>
          </w:p>
        </w:tc>
      </w:tr>
      <w:tr w:rsidR="00F878B5" w:rsidRPr="00A83F00" w14:paraId="3196B7D6"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1932B253" w14:textId="77777777" w:rsidR="00F878B5" w:rsidRPr="006D389B" w:rsidRDefault="00F878B5" w:rsidP="00F878B5">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48EFC649" w14:textId="73DF9241" w:rsidR="00F878B5" w:rsidRPr="00A83F00" w:rsidRDefault="00F878B5" w:rsidP="00F878B5">
            <w:pPr>
              <w:pStyle w:val="Bodyromannumerals"/>
            </w:pPr>
            <w:r w:rsidRPr="00F878B5">
              <w:t xml:space="preserve">Percentage of population in the </w:t>
            </w:r>
            <w:r w:rsidR="000011BB">
              <w:t>Local</w:t>
            </w:r>
            <w:r w:rsidRPr="00F878B5">
              <w:t xml:space="preserve"> Authority’s area covered by </w:t>
            </w:r>
            <w:r w:rsidR="0066398D">
              <w:t>a drainage area plan</w:t>
            </w:r>
            <w:r w:rsidR="004D6D11">
              <w:t>.</w:t>
            </w:r>
          </w:p>
        </w:tc>
      </w:tr>
      <w:tr w:rsidR="00F878B5" w:rsidRPr="004D7EDC" w14:paraId="3AE48421"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7E1753FF" w14:textId="77777777" w:rsidR="00F878B5" w:rsidRPr="006D389B" w:rsidRDefault="00F878B5" w:rsidP="00F878B5">
            <w:pPr>
              <w:pStyle w:val="Bodyromannumerals"/>
              <w:rPr>
                <w:bCs/>
                <w:i/>
              </w:rPr>
            </w:pPr>
            <w:r w:rsidRPr="006D389B">
              <w:rPr>
                <w:bCs/>
                <w:i/>
              </w:rPr>
              <w:t>Processing rules:</w:t>
            </w:r>
          </w:p>
        </w:tc>
        <w:tc>
          <w:tcPr>
            <w:tcW w:w="3790" w:type="pct"/>
            <w:gridSpan w:val="2"/>
            <w:tcBorders>
              <w:top w:val="nil"/>
              <w:left w:val="nil"/>
              <w:bottom w:val="nil"/>
              <w:right w:val="nil"/>
            </w:tcBorders>
          </w:tcPr>
          <w:p w14:paraId="5FFE53DF" w14:textId="77777777" w:rsidR="00F878B5" w:rsidRPr="004D7EDC" w:rsidRDefault="00F878B5" w:rsidP="00F878B5">
            <w:pPr>
              <w:pStyle w:val="Bodyromannumerals"/>
            </w:pPr>
            <w:r>
              <w:t>Input field</w:t>
            </w:r>
          </w:p>
        </w:tc>
      </w:tr>
    </w:tbl>
    <w:p w14:paraId="01F624AA" w14:textId="77777777" w:rsidR="00940E3A" w:rsidRPr="006466B5" w:rsidRDefault="00940E3A" w:rsidP="00940E3A">
      <w:pPr>
        <w:rPr>
          <w:rFonts w:cs="Calibri"/>
        </w:rPr>
      </w:pPr>
    </w:p>
    <w:p w14:paraId="5AE93552" w14:textId="77777777" w:rsidR="00940E3A" w:rsidRPr="006466B5" w:rsidRDefault="00940E3A" w:rsidP="00940E3A">
      <w:pPr>
        <w:pStyle w:val="Header"/>
        <w:tabs>
          <w:tab w:val="left" w:pos="2268"/>
        </w:tabs>
        <w:ind w:left="2268" w:hanging="2268"/>
        <w:rPr>
          <w:rFonts w:cs="Calibri"/>
        </w:rPr>
      </w:pPr>
    </w:p>
    <w:p w14:paraId="3FAF6109" w14:textId="77777777" w:rsidR="00940E3A" w:rsidRPr="006466B5" w:rsidRDefault="00940E3A" w:rsidP="00940E3A">
      <w:pPr>
        <w:spacing w:after="160" w:line="259" w:lineRule="auto"/>
        <w:rPr>
          <w:rFonts w:cs="Calibri"/>
        </w:rPr>
      </w:pPr>
      <w:r w:rsidRPr="006466B5">
        <w:rPr>
          <w:rFonts w:cs="Calibri"/>
        </w:rPr>
        <w:br w:type="page"/>
      </w:r>
      <w:bookmarkStart w:id="5" w:name="_GoBack"/>
      <w:bookmarkEnd w:id="5"/>
    </w:p>
    <w:p w14:paraId="462A635F" w14:textId="14FF0304" w:rsidR="00940E3A" w:rsidRPr="006466B5" w:rsidRDefault="00F878B5" w:rsidP="00161D43">
      <w:pPr>
        <w:pStyle w:val="Title1"/>
      </w:pPr>
      <w:r>
        <w:t xml:space="preserve">TABLE </w:t>
      </w:r>
      <w:r w:rsidR="00940E3A" w:rsidRPr="006466B5">
        <w:t>C8b: STORMWATER QUALITY OUTPUTS – STORMWATER ONLY SEWER ACTIVITIES</w:t>
      </w:r>
    </w:p>
    <w:p w14:paraId="633309D4" w14:textId="46B06557" w:rsidR="00940E3A" w:rsidRPr="007013F6" w:rsidRDefault="00940E3A" w:rsidP="2F76CC7E">
      <w:pPr>
        <w:pStyle w:val="Bodynumbercopy"/>
        <w:numPr>
          <w:ilvl w:val="0"/>
          <w:numId w:val="1"/>
        </w:numPr>
        <w:rPr>
          <w:rFonts w:asciiTheme="minorHAnsi" w:eastAsiaTheme="minorEastAsia" w:hAnsiTheme="minorHAnsi" w:cstheme="minorBidi"/>
        </w:rPr>
      </w:pPr>
      <w:r>
        <w:t xml:space="preserve">This table relates to stormwater only sewer rehabilitation work </w:t>
      </w:r>
      <w:r w:rsidR="008E22F1">
        <w:t>undertaken,</w:t>
      </w:r>
      <w:r>
        <w:t xml:space="preserve"> and work carried out on gathering effective information needed for good practice stormwater resource planning, during the report year.</w:t>
      </w:r>
    </w:p>
    <w:p w14:paraId="38541611" w14:textId="1593FC15" w:rsidR="00CF4715" w:rsidRDefault="00CF4715" w:rsidP="00CF4715">
      <w:pPr>
        <w:pStyle w:val="Bodynumbercopy"/>
        <w:numPr>
          <w:ilvl w:val="0"/>
          <w:numId w:val="1"/>
        </w:numPr>
        <w:jc w:val="both"/>
      </w:pPr>
      <w:r>
        <w:t>Drainage areas are defined based on the</w:t>
      </w:r>
      <w:r w:rsidRPr="007607EA">
        <w:t xml:space="preserve"> extent of the </w:t>
      </w:r>
      <w:r w:rsidR="009504BF">
        <w:t>wastewater</w:t>
      </w:r>
      <w:r w:rsidRPr="007607EA">
        <w:t xml:space="preserve"> area draining to a particular wastewater </w:t>
      </w:r>
      <w:r w:rsidRPr="004551AE">
        <w:t>treatment</w:t>
      </w:r>
      <w:r w:rsidRPr="007607EA">
        <w:t xml:space="preserve"> works.</w:t>
      </w:r>
      <w:r>
        <w:t xml:space="preserve">    </w:t>
      </w:r>
    </w:p>
    <w:p w14:paraId="380CED72" w14:textId="40B5D8D0" w:rsidR="00940E3A" w:rsidRPr="006466B5" w:rsidRDefault="00940E3A" w:rsidP="00161D43">
      <w:pPr>
        <w:pStyle w:val="Sectionsub-heading"/>
      </w:pPr>
      <w:r w:rsidRPr="006466B5">
        <w:t xml:space="preserve">Guidance </w:t>
      </w:r>
    </w:p>
    <w:p w14:paraId="62FE09AD" w14:textId="2F9BC62D" w:rsidR="00940E3A" w:rsidRPr="00B93181" w:rsidRDefault="00940E3A" w:rsidP="00B93181">
      <w:pPr>
        <w:pStyle w:val="Bodynumbercopy"/>
        <w:numPr>
          <w:ilvl w:val="0"/>
          <w:numId w:val="1"/>
        </w:numPr>
      </w:pPr>
      <w:r>
        <w:t xml:space="preserve">On completion of Table C8b the </w:t>
      </w:r>
      <w:r w:rsidR="000011BB">
        <w:t>Local</w:t>
      </w:r>
      <w:r w:rsidR="00243325">
        <w:t xml:space="preserve"> Authority</w:t>
      </w:r>
      <w:r>
        <w:t xml:space="preserve"> should ensure that no input cell is left blank. </w:t>
      </w:r>
    </w:p>
    <w:p w14:paraId="3819E0D5" w14:textId="02C9F0CC" w:rsidR="00940E3A" w:rsidRDefault="00940E3A" w:rsidP="00161D43">
      <w:pPr>
        <w:pStyle w:val="Sectionsub-heading"/>
      </w:pPr>
      <w:r w:rsidRPr="006466B5">
        <w:t xml:space="preserve">BLOCK 1: </w:t>
      </w:r>
      <w:r w:rsidR="009504BF" w:rsidRPr="006466B5">
        <w:t xml:space="preserve">STORMWATER </w:t>
      </w:r>
      <w:r w:rsidR="009504BF">
        <w:t xml:space="preserve">SEWER </w:t>
      </w:r>
      <w:r w:rsidR="009504BF" w:rsidRPr="006466B5">
        <w:t xml:space="preserve">REHABILITATION PROGRAMME  </w:t>
      </w:r>
      <w:r w:rsidR="009504BF" w:rsidRPr="006466B5">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2143A1" w:rsidRPr="006466B5" w14:paraId="7C89DB2E" w14:textId="77777777" w:rsidTr="00EF4303">
        <w:tc>
          <w:tcPr>
            <w:tcW w:w="756" w:type="pct"/>
          </w:tcPr>
          <w:p w14:paraId="245DBB57" w14:textId="635170FF" w:rsidR="002143A1" w:rsidRPr="009254DD" w:rsidRDefault="002143A1" w:rsidP="002143A1">
            <w:pPr>
              <w:pStyle w:val="Bodyromannumerals"/>
              <w:rPr>
                <w:b/>
                <w:bCs/>
              </w:rPr>
            </w:pPr>
            <w:r w:rsidRPr="00161D43">
              <w:rPr>
                <w:b/>
                <w:bCs/>
              </w:rPr>
              <w:t>C8b.1</w:t>
            </w:r>
          </w:p>
        </w:tc>
        <w:tc>
          <w:tcPr>
            <w:tcW w:w="3472" w:type="pct"/>
            <w:gridSpan w:val="2"/>
          </w:tcPr>
          <w:p w14:paraId="3AE8BBF7" w14:textId="574D4D72" w:rsidR="002143A1" w:rsidRPr="009254DD" w:rsidRDefault="002143A1" w:rsidP="002143A1">
            <w:pPr>
              <w:pStyle w:val="Bodyromannumerals"/>
              <w:rPr>
                <w:b/>
                <w:bCs/>
                <w:bdr w:val="single" w:sz="4" w:space="0" w:color="auto"/>
              </w:rPr>
            </w:pPr>
            <w:r w:rsidRPr="00161D43">
              <w:rPr>
                <w:b/>
                <w:bCs/>
              </w:rPr>
              <w:t>Number of stormwater areas</w:t>
            </w:r>
          </w:p>
        </w:tc>
        <w:tc>
          <w:tcPr>
            <w:tcW w:w="772" w:type="pct"/>
          </w:tcPr>
          <w:p w14:paraId="0D7FD7E3" w14:textId="3F786E48" w:rsidR="002143A1" w:rsidRPr="006466B5" w:rsidRDefault="002143A1" w:rsidP="002143A1">
            <w:pPr>
              <w:pStyle w:val="Bodyromannumerals"/>
              <w:rPr>
                <w:b/>
                <w:bdr w:val="single" w:sz="4" w:space="0" w:color="auto"/>
              </w:rPr>
            </w:pPr>
            <w:r w:rsidRPr="00161D43">
              <w:rPr>
                <w:b/>
                <w:bCs/>
              </w:rPr>
              <w:t>Nr.</w:t>
            </w:r>
          </w:p>
        </w:tc>
      </w:tr>
      <w:tr w:rsidR="002143A1" w:rsidRPr="00A83F00" w14:paraId="0518189E"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4FAA6AFF" w14:textId="77777777" w:rsidR="002143A1" w:rsidRPr="006D389B" w:rsidRDefault="002143A1" w:rsidP="00EF4303">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57D79911" w14:textId="77231579" w:rsidR="002143A1" w:rsidRPr="00A83F00" w:rsidRDefault="002143A1" w:rsidP="00EF4303">
            <w:pPr>
              <w:pStyle w:val="Bodyromannumerals"/>
            </w:pPr>
            <w:r w:rsidRPr="002143A1">
              <w:t xml:space="preserve">The total number of stormwater areas within the </w:t>
            </w:r>
            <w:r w:rsidR="000011BB">
              <w:t>Local</w:t>
            </w:r>
            <w:r w:rsidR="00680292">
              <w:t xml:space="preserve"> Authority</w:t>
            </w:r>
            <w:r w:rsidR="00680292" w:rsidRPr="002143A1">
              <w:t xml:space="preserve">’s </w:t>
            </w:r>
            <w:r w:rsidRPr="002143A1">
              <w:t>area.</w:t>
            </w:r>
          </w:p>
        </w:tc>
      </w:tr>
      <w:tr w:rsidR="002143A1" w:rsidRPr="004D7EDC" w14:paraId="56CC02C5"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0875070C" w14:textId="77777777" w:rsidR="002143A1" w:rsidRPr="006D389B" w:rsidRDefault="002143A1" w:rsidP="00EF4303">
            <w:pPr>
              <w:pStyle w:val="Bodyromannumerals"/>
              <w:rPr>
                <w:bCs/>
                <w:i/>
              </w:rPr>
            </w:pPr>
            <w:r w:rsidRPr="006D389B">
              <w:rPr>
                <w:bCs/>
                <w:i/>
              </w:rPr>
              <w:t>Processing rules:</w:t>
            </w:r>
          </w:p>
        </w:tc>
        <w:tc>
          <w:tcPr>
            <w:tcW w:w="3790" w:type="pct"/>
            <w:gridSpan w:val="2"/>
            <w:tcBorders>
              <w:top w:val="nil"/>
              <w:left w:val="nil"/>
              <w:bottom w:val="nil"/>
              <w:right w:val="nil"/>
            </w:tcBorders>
          </w:tcPr>
          <w:p w14:paraId="0C9BF9D4" w14:textId="08A6F265" w:rsidR="002143A1" w:rsidRPr="004D7EDC" w:rsidRDefault="002143A1" w:rsidP="00EF4303">
            <w:pPr>
              <w:pStyle w:val="Bodyromannumerals"/>
            </w:pPr>
            <w:r>
              <w:t>Input field</w:t>
            </w:r>
          </w:p>
        </w:tc>
      </w:tr>
      <w:tr w:rsidR="002143A1" w:rsidRPr="006466B5" w14:paraId="27DB2D31" w14:textId="77777777" w:rsidTr="00EF4303">
        <w:tc>
          <w:tcPr>
            <w:tcW w:w="756" w:type="pct"/>
          </w:tcPr>
          <w:p w14:paraId="31C72046" w14:textId="068BADD4" w:rsidR="002143A1" w:rsidRPr="009254DD" w:rsidRDefault="002143A1" w:rsidP="002143A1">
            <w:pPr>
              <w:pStyle w:val="Bodyromannumerals"/>
              <w:rPr>
                <w:b/>
                <w:bCs/>
              </w:rPr>
            </w:pPr>
            <w:r w:rsidRPr="00161D43">
              <w:rPr>
                <w:b/>
                <w:bCs/>
              </w:rPr>
              <w:t>C8b.2</w:t>
            </w:r>
          </w:p>
        </w:tc>
        <w:tc>
          <w:tcPr>
            <w:tcW w:w="3472" w:type="pct"/>
            <w:gridSpan w:val="2"/>
          </w:tcPr>
          <w:p w14:paraId="3F2DFA0B" w14:textId="7769321F" w:rsidR="002143A1" w:rsidRPr="009254DD" w:rsidRDefault="002143A1" w:rsidP="002143A1">
            <w:pPr>
              <w:pStyle w:val="Bodyromannumerals"/>
              <w:rPr>
                <w:b/>
                <w:bCs/>
                <w:bdr w:val="single" w:sz="4" w:space="0" w:color="auto"/>
              </w:rPr>
            </w:pPr>
            <w:r w:rsidRPr="00161D43">
              <w:rPr>
                <w:b/>
                <w:bCs/>
              </w:rPr>
              <w:t>Number of stormwater areas subject to a programme of work</w:t>
            </w:r>
            <w:r w:rsidR="00741577">
              <w:rPr>
                <w:b/>
                <w:bCs/>
              </w:rPr>
              <w:t xml:space="preserve"> as identified in the </w:t>
            </w:r>
            <w:r w:rsidR="00311012">
              <w:rPr>
                <w:b/>
                <w:bCs/>
              </w:rPr>
              <w:t>Long Term Plan (annual average)</w:t>
            </w:r>
          </w:p>
        </w:tc>
        <w:tc>
          <w:tcPr>
            <w:tcW w:w="772" w:type="pct"/>
          </w:tcPr>
          <w:p w14:paraId="61DE4A74" w14:textId="6758F904" w:rsidR="002143A1" w:rsidRPr="006466B5" w:rsidRDefault="002143A1" w:rsidP="002143A1">
            <w:pPr>
              <w:pStyle w:val="Bodyromannumerals"/>
              <w:rPr>
                <w:b/>
                <w:bdr w:val="single" w:sz="4" w:space="0" w:color="auto"/>
              </w:rPr>
            </w:pPr>
            <w:r w:rsidRPr="00161D43">
              <w:rPr>
                <w:b/>
                <w:bCs/>
              </w:rPr>
              <w:t>Nr.</w:t>
            </w:r>
          </w:p>
        </w:tc>
      </w:tr>
      <w:tr w:rsidR="002143A1" w:rsidRPr="00A83F00" w14:paraId="644582AA"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1E617D9B" w14:textId="77777777" w:rsidR="002143A1" w:rsidRPr="006D389B" w:rsidRDefault="002143A1" w:rsidP="00EF4303">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1D1C5DC1" w14:textId="02CDFD79" w:rsidR="002143A1" w:rsidRPr="00A83F00" w:rsidRDefault="002143A1" w:rsidP="00EF4303">
            <w:pPr>
              <w:pStyle w:val="Bodyromannumerals"/>
            </w:pPr>
            <w:r w:rsidRPr="002143A1">
              <w:t>The total number of stormwater areas which are subject to a programme of work</w:t>
            </w:r>
            <w:r w:rsidR="00741577">
              <w:t xml:space="preserve"> as identified in the </w:t>
            </w:r>
            <w:r w:rsidR="00311012">
              <w:t>Long Term Plan</w:t>
            </w:r>
            <w:r w:rsidR="00B21BD6">
              <w:t>. Please use the annual average across all years in the Long Term Plan.</w:t>
            </w:r>
          </w:p>
        </w:tc>
      </w:tr>
      <w:tr w:rsidR="002143A1" w:rsidRPr="004D7EDC" w14:paraId="4970451D"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59B28D85" w14:textId="77777777" w:rsidR="002143A1" w:rsidRPr="006D389B" w:rsidRDefault="002143A1" w:rsidP="00EF4303">
            <w:pPr>
              <w:pStyle w:val="Bodyromannumerals"/>
              <w:rPr>
                <w:bCs/>
                <w:i/>
              </w:rPr>
            </w:pPr>
            <w:r w:rsidRPr="006D389B">
              <w:rPr>
                <w:bCs/>
                <w:i/>
              </w:rPr>
              <w:t>Processing rules:</w:t>
            </w:r>
          </w:p>
        </w:tc>
        <w:tc>
          <w:tcPr>
            <w:tcW w:w="3790" w:type="pct"/>
            <w:gridSpan w:val="2"/>
            <w:tcBorders>
              <w:top w:val="nil"/>
              <w:left w:val="nil"/>
              <w:bottom w:val="nil"/>
              <w:right w:val="nil"/>
            </w:tcBorders>
          </w:tcPr>
          <w:p w14:paraId="31EC1862" w14:textId="65341661" w:rsidR="002143A1" w:rsidRPr="004D7EDC" w:rsidRDefault="002143A1" w:rsidP="00EF4303">
            <w:pPr>
              <w:pStyle w:val="Bodyromannumerals"/>
            </w:pPr>
            <w:r>
              <w:t>Input field</w:t>
            </w:r>
          </w:p>
        </w:tc>
      </w:tr>
      <w:tr w:rsidR="002143A1" w:rsidRPr="006466B5" w14:paraId="02BD2BC8" w14:textId="77777777" w:rsidTr="00EF4303">
        <w:tc>
          <w:tcPr>
            <w:tcW w:w="756" w:type="pct"/>
          </w:tcPr>
          <w:p w14:paraId="73183762" w14:textId="5855590D" w:rsidR="002143A1" w:rsidRPr="009254DD" w:rsidRDefault="002143A1" w:rsidP="002143A1">
            <w:pPr>
              <w:pStyle w:val="Bodyromannumerals"/>
              <w:rPr>
                <w:b/>
                <w:bCs/>
              </w:rPr>
            </w:pPr>
            <w:r w:rsidRPr="00161D43">
              <w:rPr>
                <w:b/>
                <w:bCs/>
              </w:rPr>
              <w:t>C8b.3</w:t>
            </w:r>
          </w:p>
        </w:tc>
        <w:tc>
          <w:tcPr>
            <w:tcW w:w="3472" w:type="pct"/>
            <w:gridSpan w:val="2"/>
          </w:tcPr>
          <w:p w14:paraId="0311A03E" w14:textId="4CEEC7C3" w:rsidR="002143A1" w:rsidRPr="009254DD" w:rsidRDefault="002143A1" w:rsidP="002143A1">
            <w:pPr>
              <w:pStyle w:val="Bodyromannumerals"/>
              <w:rPr>
                <w:b/>
                <w:bCs/>
                <w:bdr w:val="single" w:sz="4" w:space="0" w:color="auto"/>
              </w:rPr>
            </w:pPr>
            <w:r w:rsidRPr="00161D43">
              <w:rPr>
                <w:b/>
                <w:bCs/>
              </w:rPr>
              <w:t xml:space="preserve">Length of stormwater only sewers for replacement </w:t>
            </w:r>
          </w:p>
        </w:tc>
        <w:tc>
          <w:tcPr>
            <w:tcW w:w="772" w:type="pct"/>
          </w:tcPr>
          <w:p w14:paraId="563D24E4" w14:textId="6A64F63C" w:rsidR="002143A1" w:rsidRPr="006466B5" w:rsidRDefault="002143A1" w:rsidP="002143A1">
            <w:pPr>
              <w:pStyle w:val="Bodyromannumerals"/>
              <w:rPr>
                <w:b/>
                <w:bdr w:val="single" w:sz="4" w:space="0" w:color="auto"/>
              </w:rPr>
            </w:pPr>
            <w:r w:rsidRPr="00161D43">
              <w:rPr>
                <w:b/>
                <w:bCs/>
              </w:rPr>
              <w:t>Km</w:t>
            </w:r>
          </w:p>
        </w:tc>
      </w:tr>
      <w:tr w:rsidR="002143A1" w:rsidRPr="00A83F00" w14:paraId="7F8A4614"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2E453FD2" w14:textId="77777777" w:rsidR="002143A1" w:rsidRPr="006D389B" w:rsidRDefault="002143A1" w:rsidP="00EF4303">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31AE1C8E" w14:textId="5AD5D2F0" w:rsidR="002143A1" w:rsidRPr="00A83F00" w:rsidRDefault="002143A1" w:rsidP="00EF4303">
            <w:pPr>
              <w:pStyle w:val="Bodyromannumerals"/>
            </w:pPr>
            <w:r w:rsidRPr="002143A1">
              <w:t>The total length of stormwater only sewers which is to be replaced as part of the agreed programme of works</w:t>
            </w:r>
            <w:r w:rsidR="00741577">
              <w:t xml:space="preserve"> as identified in the </w:t>
            </w:r>
            <w:r w:rsidR="00311012">
              <w:t>Long Term Plan</w:t>
            </w:r>
            <w:r w:rsidR="00B21BD6">
              <w:t>. Please use the annual average across all years in the Long Term Plan.</w:t>
            </w:r>
          </w:p>
        </w:tc>
      </w:tr>
      <w:tr w:rsidR="002143A1" w:rsidRPr="004D7EDC" w14:paraId="09FE32F0"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76AF6CF1" w14:textId="77777777" w:rsidR="002143A1" w:rsidRPr="006D389B" w:rsidRDefault="002143A1" w:rsidP="00EF4303">
            <w:pPr>
              <w:pStyle w:val="Bodyromannumerals"/>
              <w:rPr>
                <w:bCs/>
                <w:i/>
              </w:rPr>
            </w:pPr>
            <w:r w:rsidRPr="006D389B">
              <w:rPr>
                <w:bCs/>
                <w:i/>
              </w:rPr>
              <w:t>Processing rules:</w:t>
            </w:r>
          </w:p>
        </w:tc>
        <w:tc>
          <w:tcPr>
            <w:tcW w:w="3790" w:type="pct"/>
            <w:gridSpan w:val="2"/>
            <w:tcBorders>
              <w:top w:val="nil"/>
              <w:left w:val="nil"/>
              <w:bottom w:val="nil"/>
              <w:right w:val="nil"/>
            </w:tcBorders>
          </w:tcPr>
          <w:p w14:paraId="42F3472C" w14:textId="1A4B8439" w:rsidR="002143A1" w:rsidRPr="004D7EDC" w:rsidRDefault="002143A1" w:rsidP="00EF4303">
            <w:pPr>
              <w:pStyle w:val="Bodyromannumerals"/>
            </w:pPr>
            <w:r>
              <w:t>Input field</w:t>
            </w:r>
          </w:p>
        </w:tc>
      </w:tr>
    </w:tbl>
    <w:p w14:paraId="0EDE6872" w14:textId="77777777" w:rsidR="008A7980" w:rsidRDefault="008A798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686"/>
        <w:gridCol w:w="4562"/>
        <w:gridCol w:w="1167"/>
      </w:tblGrid>
      <w:tr w:rsidR="002143A1" w:rsidRPr="006466B5" w14:paraId="7450AF1F" w14:textId="77777777" w:rsidTr="00EF4303">
        <w:tc>
          <w:tcPr>
            <w:tcW w:w="756" w:type="pct"/>
          </w:tcPr>
          <w:p w14:paraId="77F4CD64" w14:textId="17FAE2E0" w:rsidR="002143A1" w:rsidRPr="009254DD" w:rsidRDefault="002143A1" w:rsidP="002143A1">
            <w:pPr>
              <w:pStyle w:val="Bodyromannumerals"/>
              <w:rPr>
                <w:b/>
                <w:bCs/>
              </w:rPr>
            </w:pPr>
            <w:r w:rsidRPr="00161D43">
              <w:rPr>
                <w:b/>
                <w:bCs/>
              </w:rPr>
              <w:t>C8b.4</w:t>
            </w:r>
          </w:p>
        </w:tc>
        <w:tc>
          <w:tcPr>
            <w:tcW w:w="3472" w:type="pct"/>
            <w:gridSpan w:val="2"/>
          </w:tcPr>
          <w:p w14:paraId="05787BFA" w14:textId="7F7258F4" w:rsidR="002143A1" w:rsidRPr="009254DD" w:rsidRDefault="002143A1" w:rsidP="002143A1">
            <w:pPr>
              <w:pStyle w:val="Bodyromannumerals"/>
              <w:rPr>
                <w:b/>
                <w:bCs/>
                <w:bdr w:val="single" w:sz="4" w:space="0" w:color="auto"/>
              </w:rPr>
            </w:pPr>
            <w:r w:rsidRPr="00161D43">
              <w:rPr>
                <w:b/>
                <w:bCs/>
              </w:rPr>
              <w:t xml:space="preserve">Length of stormwater only sewers for rehabilitation </w:t>
            </w:r>
          </w:p>
        </w:tc>
        <w:tc>
          <w:tcPr>
            <w:tcW w:w="772" w:type="pct"/>
          </w:tcPr>
          <w:p w14:paraId="7A38E907" w14:textId="6FF8F8EA" w:rsidR="002143A1" w:rsidRPr="006466B5" w:rsidRDefault="002143A1" w:rsidP="002143A1">
            <w:pPr>
              <w:pStyle w:val="Bodyromannumerals"/>
              <w:rPr>
                <w:b/>
                <w:bdr w:val="single" w:sz="4" w:space="0" w:color="auto"/>
              </w:rPr>
            </w:pPr>
            <w:r w:rsidRPr="00161D43">
              <w:rPr>
                <w:b/>
                <w:bCs/>
              </w:rPr>
              <w:t>Km</w:t>
            </w:r>
          </w:p>
        </w:tc>
      </w:tr>
      <w:tr w:rsidR="002143A1" w:rsidRPr="00A83F00" w14:paraId="279ED51B"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565B2295" w14:textId="77777777" w:rsidR="002143A1" w:rsidRPr="006D389B" w:rsidRDefault="002143A1" w:rsidP="00EF4303">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014AA4BF" w14:textId="38F0F05F" w:rsidR="002143A1" w:rsidRPr="00A83F00" w:rsidRDefault="002143A1" w:rsidP="00EF4303">
            <w:pPr>
              <w:pStyle w:val="Bodyromannumerals"/>
            </w:pPr>
            <w:r w:rsidRPr="002143A1">
              <w:t>The total length of stormwater only sewers which is to be rehabilitated as part of the agreed programme of works</w:t>
            </w:r>
            <w:r w:rsidR="00741577">
              <w:t xml:space="preserve"> as identified in the </w:t>
            </w:r>
            <w:r w:rsidR="00311012">
              <w:t>Long Term Plan</w:t>
            </w:r>
            <w:r w:rsidR="00B21BD6">
              <w:t>. Please use the annual average across all years in the Long Term Plan.</w:t>
            </w:r>
          </w:p>
        </w:tc>
      </w:tr>
      <w:tr w:rsidR="002143A1" w:rsidRPr="004D7EDC" w14:paraId="58DE6202"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13623C9D" w14:textId="77777777" w:rsidR="002143A1" w:rsidRPr="006D389B" w:rsidRDefault="002143A1" w:rsidP="00EF4303">
            <w:pPr>
              <w:pStyle w:val="Bodyromannumerals"/>
              <w:rPr>
                <w:bCs/>
                <w:i/>
              </w:rPr>
            </w:pPr>
            <w:r w:rsidRPr="006D389B">
              <w:rPr>
                <w:bCs/>
                <w:i/>
              </w:rPr>
              <w:t>Processing rules:</w:t>
            </w:r>
          </w:p>
        </w:tc>
        <w:tc>
          <w:tcPr>
            <w:tcW w:w="3790" w:type="pct"/>
            <w:gridSpan w:val="2"/>
            <w:tcBorders>
              <w:top w:val="nil"/>
              <w:left w:val="nil"/>
              <w:bottom w:val="nil"/>
              <w:right w:val="nil"/>
            </w:tcBorders>
          </w:tcPr>
          <w:p w14:paraId="3ABBFCCF" w14:textId="5E1C3148" w:rsidR="002143A1" w:rsidRPr="004D7EDC" w:rsidRDefault="002143A1" w:rsidP="00EF4303">
            <w:pPr>
              <w:pStyle w:val="Bodyromannumerals"/>
            </w:pPr>
            <w:r>
              <w:t>Input field</w:t>
            </w:r>
          </w:p>
        </w:tc>
      </w:tr>
      <w:tr w:rsidR="002143A1" w:rsidRPr="006466B5" w14:paraId="242B8027" w14:textId="77777777" w:rsidTr="00EF4303">
        <w:tc>
          <w:tcPr>
            <w:tcW w:w="756" w:type="pct"/>
          </w:tcPr>
          <w:p w14:paraId="6662CFED" w14:textId="46E0C7AA" w:rsidR="002143A1" w:rsidRPr="009254DD" w:rsidRDefault="002143A1" w:rsidP="002143A1">
            <w:pPr>
              <w:pStyle w:val="Bodyromannumerals"/>
              <w:rPr>
                <w:b/>
                <w:bCs/>
              </w:rPr>
            </w:pPr>
            <w:r w:rsidRPr="00161D43">
              <w:rPr>
                <w:b/>
                <w:bCs/>
              </w:rPr>
              <w:t>C8b.5</w:t>
            </w:r>
          </w:p>
        </w:tc>
        <w:tc>
          <w:tcPr>
            <w:tcW w:w="3472" w:type="pct"/>
            <w:gridSpan w:val="2"/>
          </w:tcPr>
          <w:p w14:paraId="77CF91D5" w14:textId="38DA292F" w:rsidR="002143A1" w:rsidRPr="009254DD" w:rsidRDefault="002143A1" w:rsidP="002143A1">
            <w:pPr>
              <w:pStyle w:val="Bodyromannumerals"/>
              <w:rPr>
                <w:b/>
                <w:bCs/>
                <w:bdr w:val="single" w:sz="4" w:space="0" w:color="auto"/>
              </w:rPr>
            </w:pPr>
            <w:r w:rsidRPr="00161D43">
              <w:rPr>
                <w:b/>
                <w:bCs/>
              </w:rPr>
              <w:t>Length of stormwater only sewers replaced in report year</w:t>
            </w:r>
          </w:p>
        </w:tc>
        <w:tc>
          <w:tcPr>
            <w:tcW w:w="772" w:type="pct"/>
          </w:tcPr>
          <w:p w14:paraId="711A974E" w14:textId="246AB83B" w:rsidR="002143A1" w:rsidRPr="006466B5" w:rsidRDefault="002143A1" w:rsidP="002143A1">
            <w:pPr>
              <w:pStyle w:val="Bodyromannumerals"/>
              <w:rPr>
                <w:b/>
                <w:bdr w:val="single" w:sz="4" w:space="0" w:color="auto"/>
              </w:rPr>
            </w:pPr>
            <w:r w:rsidRPr="00161D43">
              <w:rPr>
                <w:b/>
                <w:bCs/>
              </w:rPr>
              <w:t>Km</w:t>
            </w:r>
          </w:p>
        </w:tc>
      </w:tr>
      <w:tr w:rsidR="002143A1" w:rsidRPr="00A83F00" w14:paraId="03BF905F"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33E0128A" w14:textId="77777777" w:rsidR="002143A1" w:rsidRPr="006D389B" w:rsidRDefault="002143A1" w:rsidP="00EF4303">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3633FEB7" w14:textId="3238F5AF" w:rsidR="002143A1" w:rsidRPr="00A83F00" w:rsidRDefault="002143A1" w:rsidP="00EF4303">
            <w:pPr>
              <w:pStyle w:val="Bodyromannumerals"/>
            </w:pPr>
            <w:r w:rsidRPr="002143A1">
              <w:t>The total length of stormwater only sewers replaced during the report year.</w:t>
            </w:r>
          </w:p>
        </w:tc>
      </w:tr>
      <w:tr w:rsidR="002143A1" w:rsidRPr="004D7EDC" w14:paraId="4039F427"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6712307A" w14:textId="77777777" w:rsidR="002143A1" w:rsidRPr="006D389B" w:rsidRDefault="002143A1" w:rsidP="00EF4303">
            <w:pPr>
              <w:pStyle w:val="Bodyromannumerals"/>
              <w:rPr>
                <w:bCs/>
                <w:i/>
              </w:rPr>
            </w:pPr>
            <w:r w:rsidRPr="006D389B">
              <w:rPr>
                <w:bCs/>
                <w:i/>
              </w:rPr>
              <w:t>Processing rules:</w:t>
            </w:r>
          </w:p>
        </w:tc>
        <w:tc>
          <w:tcPr>
            <w:tcW w:w="3790" w:type="pct"/>
            <w:gridSpan w:val="2"/>
            <w:tcBorders>
              <w:top w:val="nil"/>
              <w:left w:val="nil"/>
              <w:bottom w:val="nil"/>
              <w:right w:val="nil"/>
            </w:tcBorders>
          </w:tcPr>
          <w:p w14:paraId="3FDA995A" w14:textId="16CD302E" w:rsidR="002143A1" w:rsidRPr="004D7EDC" w:rsidRDefault="002143A1" w:rsidP="00EF4303">
            <w:pPr>
              <w:pStyle w:val="Bodyromannumerals"/>
            </w:pPr>
            <w:r>
              <w:t>Input field</w:t>
            </w:r>
          </w:p>
        </w:tc>
      </w:tr>
      <w:tr w:rsidR="002143A1" w:rsidRPr="006466B5" w14:paraId="6542780E" w14:textId="77777777" w:rsidTr="00EF4303">
        <w:tc>
          <w:tcPr>
            <w:tcW w:w="756" w:type="pct"/>
          </w:tcPr>
          <w:p w14:paraId="0A584993" w14:textId="2CC844D2" w:rsidR="002143A1" w:rsidRPr="009254DD" w:rsidRDefault="002143A1" w:rsidP="002143A1">
            <w:pPr>
              <w:pStyle w:val="Bodyromannumerals"/>
              <w:rPr>
                <w:b/>
                <w:bCs/>
              </w:rPr>
            </w:pPr>
            <w:r w:rsidRPr="00161D43">
              <w:rPr>
                <w:b/>
                <w:bCs/>
              </w:rPr>
              <w:t>C8b.6</w:t>
            </w:r>
          </w:p>
        </w:tc>
        <w:tc>
          <w:tcPr>
            <w:tcW w:w="3472" w:type="pct"/>
            <w:gridSpan w:val="2"/>
          </w:tcPr>
          <w:p w14:paraId="780B31DD" w14:textId="47610BC1" w:rsidR="002143A1" w:rsidRPr="009254DD" w:rsidRDefault="002143A1" w:rsidP="002143A1">
            <w:pPr>
              <w:pStyle w:val="Bodyromannumerals"/>
              <w:rPr>
                <w:b/>
                <w:bCs/>
                <w:bdr w:val="single" w:sz="4" w:space="0" w:color="auto"/>
              </w:rPr>
            </w:pPr>
            <w:r w:rsidRPr="00161D43">
              <w:rPr>
                <w:b/>
                <w:bCs/>
              </w:rPr>
              <w:t xml:space="preserve">Length of stormwater only </w:t>
            </w:r>
            <w:r w:rsidR="00741577">
              <w:rPr>
                <w:b/>
                <w:bCs/>
              </w:rPr>
              <w:t>sewers</w:t>
            </w:r>
            <w:r w:rsidRPr="00161D43">
              <w:rPr>
                <w:b/>
                <w:bCs/>
              </w:rPr>
              <w:t xml:space="preserve"> </w:t>
            </w:r>
            <w:r>
              <w:rPr>
                <w:b/>
                <w:bCs/>
              </w:rPr>
              <w:t>rehabilitated in report year</w:t>
            </w:r>
          </w:p>
        </w:tc>
        <w:tc>
          <w:tcPr>
            <w:tcW w:w="772" w:type="pct"/>
          </w:tcPr>
          <w:p w14:paraId="6084E498" w14:textId="49BE2038" w:rsidR="002143A1" w:rsidRPr="006466B5" w:rsidRDefault="002143A1" w:rsidP="002143A1">
            <w:pPr>
              <w:pStyle w:val="Bodyromannumerals"/>
              <w:rPr>
                <w:b/>
                <w:bdr w:val="single" w:sz="4" w:space="0" w:color="auto"/>
              </w:rPr>
            </w:pPr>
            <w:r w:rsidRPr="00161D43">
              <w:rPr>
                <w:b/>
                <w:bCs/>
              </w:rPr>
              <w:t>Km</w:t>
            </w:r>
          </w:p>
        </w:tc>
      </w:tr>
      <w:tr w:rsidR="002143A1" w:rsidRPr="00A83F00" w14:paraId="6F36C500"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42048CF3" w14:textId="77777777" w:rsidR="002143A1" w:rsidRPr="006D389B" w:rsidRDefault="002143A1" w:rsidP="00EF4303">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43A01447" w14:textId="6AE92944" w:rsidR="002143A1" w:rsidRPr="00A83F00" w:rsidRDefault="002143A1" w:rsidP="00EF4303">
            <w:pPr>
              <w:pStyle w:val="Bodyromannumerals"/>
            </w:pPr>
            <w:r w:rsidRPr="002143A1">
              <w:t>The total length of stormwater only sewers rehabilitated during the report year.</w:t>
            </w:r>
          </w:p>
        </w:tc>
      </w:tr>
      <w:tr w:rsidR="002143A1" w:rsidRPr="004D7EDC" w14:paraId="0E788CC3"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23308FB5" w14:textId="77777777" w:rsidR="002143A1" w:rsidRPr="006D389B" w:rsidRDefault="002143A1" w:rsidP="00EF4303">
            <w:pPr>
              <w:pStyle w:val="Bodyromannumerals"/>
              <w:rPr>
                <w:bCs/>
                <w:i/>
              </w:rPr>
            </w:pPr>
            <w:r w:rsidRPr="006D389B">
              <w:rPr>
                <w:bCs/>
                <w:i/>
              </w:rPr>
              <w:t>Processing rules:</w:t>
            </w:r>
          </w:p>
        </w:tc>
        <w:tc>
          <w:tcPr>
            <w:tcW w:w="3790" w:type="pct"/>
            <w:gridSpan w:val="2"/>
            <w:tcBorders>
              <w:top w:val="nil"/>
              <w:left w:val="nil"/>
              <w:bottom w:val="nil"/>
              <w:right w:val="nil"/>
            </w:tcBorders>
          </w:tcPr>
          <w:p w14:paraId="1905CC3A" w14:textId="58BE02A4" w:rsidR="002143A1" w:rsidRPr="004D7EDC" w:rsidRDefault="002143A1" w:rsidP="00EF4303">
            <w:pPr>
              <w:pStyle w:val="Bodyromannumerals"/>
            </w:pPr>
            <w:r>
              <w:t>Input field</w:t>
            </w:r>
          </w:p>
        </w:tc>
      </w:tr>
      <w:tr w:rsidR="002143A1" w:rsidRPr="006466B5" w14:paraId="1C56B625" w14:textId="77777777" w:rsidTr="00EF4303">
        <w:tc>
          <w:tcPr>
            <w:tcW w:w="756" w:type="pct"/>
          </w:tcPr>
          <w:p w14:paraId="41BCD774" w14:textId="759CAF3D" w:rsidR="002143A1" w:rsidRPr="009254DD" w:rsidRDefault="002143A1" w:rsidP="002143A1">
            <w:pPr>
              <w:pStyle w:val="Bodyromannumerals"/>
              <w:rPr>
                <w:b/>
                <w:bCs/>
              </w:rPr>
            </w:pPr>
            <w:r w:rsidRPr="00161D43">
              <w:rPr>
                <w:b/>
                <w:bCs/>
              </w:rPr>
              <w:t>C8b.7</w:t>
            </w:r>
          </w:p>
        </w:tc>
        <w:tc>
          <w:tcPr>
            <w:tcW w:w="3472" w:type="pct"/>
            <w:gridSpan w:val="2"/>
          </w:tcPr>
          <w:p w14:paraId="04A242FA" w14:textId="16FBA442" w:rsidR="002143A1" w:rsidRPr="009254DD" w:rsidRDefault="002143A1" w:rsidP="002143A1">
            <w:pPr>
              <w:pStyle w:val="Bodyromannumerals"/>
              <w:rPr>
                <w:b/>
                <w:bCs/>
                <w:bdr w:val="single" w:sz="4" w:space="0" w:color="auto"/>
              </w:rPr>
            </w:pPr>
            <w:r w:rsidRPr="00161D43">
              <w:rPr>
                <w:b/>
                <w:bCs/>
              </w:rPr>
              <w:t xml:space="preserve">Length of stormwater only sewers </w:t>
            </w:r>
            <w:r>
              <w:rPr>
                <w:b/>
                <w:bCs/>
              </w:rPr>
              <w:t>with completed and acceptable post-surveys</w:t>
            </w:r>
          </w:p>
        </w:tc>
        <w:tc>
          <w:tcPr>
            <w:tcW w:w="772" w:type="pct"/>
          </w:tcPr>
          <w:p w14:paraId="5FF02F62" w14:textId="4ED93D6F" w:rsidR="002143A1" w:rsidRPr="006466B5" w:rsidRDefault="002143A1" w:rsidP="002143A1">
            <w:pPr>
              <w:pStyle w:val="Bodyromannumerals"/>
              <w:rPr>
                <w:b/>
                <w:bdr w:val="single" w:sz="4" w:space="0" w:color="auto"/>
              </w:rPr>
            </w:pPr>
            <w:r w:rsidRPr="00161D43">
              <w:rPr>
                <w:b/>
                <w:bCs/>
              </w:rPr>
              <w:t>Km</w:t>
            </w:r>
          </w:p>
        </w:tc>
      </w:tr>
      <w:tr w:rsidR="002143A1" w:rsidRPr="00A83F00" w14:paraId="3679075B"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4596605D" w14:textId="77777777" w:rsidR="002143A1" w:rsidRPr="006D389B" w:rsidRDefault="002143A1" w:rsidP="002143A1">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34FBAF18" w14:textId="70DDDE46" w:rsidR="002143A1" w:rsidRPr="00A83F00" w:rsidRDefault="002143A1" w:rsidP="002143A1">
            <w:pPr>
              <w:pStyle w:val="Bodyromannumerals"/>
            </w:pPr>
            <w:r w:rsidRPr="002143A1">
              <w:t>The total length of stormwater only sewers where a post-work survey has been undertaken and the results have been acceptable.</w:t>
            </w:r>
          </w:p>
        </w:tc>
      </w:tr>
      <w:tr w:rsidR="002143A1" w:rsidRPr="004D7EDC" w14:paraId="0AE69443"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5C1C0D84" w14:textId="77777777" w:rsidR="002143A1" w:rsidRPr="006D389B" w:rsidRDefault="002143A1" w:rsidP="002143A1">
            <w:pPr>
              <w:pStyle w:val="Bodyromannumerals"/>
              <w:rPr>
                <w:bCs/>
                <w:i/>
              </w:rPr>
            </w:pPr>
            <w:r w:rsidRPr="006D389B">
              <w:rPr>
                <w:bCs/>
                <w:i/>
              </w:rPr>
              <w:t>Processing rules:</w:t>
            </w:r>
          </w:p>
        </w:tc>
        <w:tc>
          <w:tcPr>
            <w:tcW w:w="3790" w:type="pct"/>
            <w:gridSpan w:val="2"/>
            <w:tcBorders>
              <w:top w:val="nil"/>
              <w:left w:val="nil"/>
              <w:bottom w:val="nil"/>
              <w:right w:val="nil"/>
            </w:tcBorders>
          </w:tcPr>
          <w:p w14:paraId="3B3F6A87" w14:textId="0C7834AF" w:rsidR="002143A1" w:rsidRPr="004D7EDC" w:rsidRDefault="002143A1" w:rsidP="002143A1">
            <w:pPr>
              <w:pStyle w:val="Bodyromannumerals"/>
            </w:pPr>
            <w:r>
              <w:t>Input field</w:t>
            </w:r>
          </w:p>
        </w:tc>
      </w:tr>
      <w:tr w:rsidR="002143A1" w:rsidRPr="006466B5" w14:paraId="2608D6A4" w14:textId="77777777" w:rsidTr="00EF4303">
        <w:tc>
          <w:tcPr>
            <w:tcW w:w="756" w:type="pct"/>
          </w:tcPr>
          <w:p w14:paraId="2F98C4A6" w14:textId="507476F2" w:rsidR="002143A1" w:rsidRPr="009254DD" w:rsidRDefault="002143A1" w:rsidP="002143A1">
            <w:pPr>
              <w:pStyle w:val="Bodyromannumerals"/>
              <w:rPr>
                <w:b/>
                <w:bCs/>
              </w:rPr>
            </w:pPr>
            <w:r w:rsidRPr="0061208A">
              <w:rPr>
                <w:b/>
                <w:bCs/>
              </w:rPr>
              <w:t>C8b.8</w:t>
            </w:r>
          </w:p>
        </w:tc>
        <w:tc>
          <w:tcPr>
            <w:tcW w:w="3472" w:type="pct"/>
            <w:gridSpan w:val="2"/>
          </w:tcPr>
          <w:p w14:paraId="12BCE202" w14:textId="192F5769" w:rsidR="002143A1" w:rsidRPr="009254DD" w:rsidRDefault="002143A1" w:rsidP="002143A1">
            <w:pPr>
              <w:pStyle w:val="Bodyromannumerals"/>
              <w:rPr>
                <w:b/>
                <w:bCs/>
                <w:bdr w:val="single" w:sz="4" w:space="0" w:color="auto"/>
              </w:rPr>
            </w:pPr>
            <w:r w:rsidRPr="0061208A">
              <w:rPr>
                <w:b/>
                <w:bCs/>
              </w:rPr>
              <w:t>N</w:t>
            </w:r>
            <w:r w:rsidR="00E2616E">
              <w:rPr>
                <w:b/>
                <w:bCs/>
              </w:rPr>
              <w:t>umber</w:t>
            </w:r>
            <w:r w:rsidRPr="0061208A">
              <w:rPr>
                <w:b/>
                <w:bCs/>
              </w:rPr>
              <w:t xml:space="preserve"> of stormwater areas where programmes of work have been completed</w:t>
            </w:r>
          </w:p>
        </w:tc>
        <w:tc>
          <w:tcPr>
            <w:tcW w:w="772" w:type="pct"/>
          </w:tcPr>
          <w:p w14:paraId="73372810" w14:textId="797BAEA6" w:rsidR="002143A1" w:rsidRPr="006466B5" w:rsidRDefault="002143A1" w:rsidP="002143A1">
            <w:pPr>
              <w:pStyle w:val="Bodyromannumerals"/>
              <w:rPr>
                <w:b/>
                <w:bdr w:val="single" w:sz="4" w:space="0" w:color="auto"/>
              </w:rPr>
            </w:pPr>
            <w:r w:rsidRPr="0061208A">
              <w:rPr>
                <w:b/>
                <w:bCs/>
              </w:rPr>
              <w:t>Nr</w:t>
            </w:r>
            <w:r>
              <w:rPr>
                <w:b/>
                <w:bCs/>
              </w:rPr>
              <w:t>.</w:t>
            </w:r>
          </w:p>
        </w:tc>
      </w:tr>
      <w:tr w:rsidR="002143A1" w:rsidRPr="00A83F00" w14:paraId="54DDAC4E" w14:textId="77777777" w:rsidTr="00EF4303">
        <w:tblPrEx>
          <w:tblLook w:val="04A0" w:firstRow="1" w:lastRow="0" w:firstColumn="1" w:lastColumn="0" w:noHBand="0" w:noVBand="1"/>
        </w:tblPrEx>
        <w:trPr>
          <w:trHeight w:val="708"/>
        </w:trPr>
        <w:tc>
          <w:tcPr>
            <w:tcW w:w="1210" w:type="pct"/>
            <w:gridSpan w:val="2"/>
            <w:tcBorders>
              <w:left w:val="single" w:sz="4" w:space="0" w:color="FFFFFF" w:themeColor="background1"/>
              <w:bottom w:val="nil"/>
              <w:right w:val="single" w:sz="4" w:space="0" w:color="FFFFFF" w:themeColor="background1"/>
            </w:tcBorders>
          </w:tcPr>
          <w:p w14:paraId="3C1F098D" w14:textId="77777777" w:rsidR="002143A1" w:rsidRPr="006D389B" w:rsidRDefault="002143A1" w:rsidP="002143A1">
            <w:pPr>
              <w:pStyle w:val="Bodyromannumerals"/>
              <w:rPr>
                <w:bCs/>
                <w:i/>
              </w:rPr>
            </w:pPr>
            <w:r w:rsidRPr="006D389B">
              <w:rPr>
                <w:bCs/>
                <w:i/>
              </w:rPr>
              <w:t>Definition:</w:t>
            </w:r>
          </w:p>
        </w:tc>
        <w:tc>
          <w:tcPr>
            <w:tcW w:w="3790" w:type="pct"/>
            <w:gridSpan w:val="2"/>
            <w:tcBorders>
              <w:left w:val="single" w:sz="4" w:space="0" w:color="FFFFFF" w:themeColor="background1"/>
              <w:bottom w:val="nil"/>
              <w:right w:val="single" w:sz="4" w:space="0" w:color="FFFFFF" w:themeColor="background1"/>
            </w:tcBorders>
          </w:tcPr>
          <w:p w14:paraId="0DBE3400" w14:textId="1DD4306A" w:rsidR="002143A1" w:rsidRPr="00A83F00" w:rsidRDefault="002143A1" w:rsidP="002143A1">
            <w:pPr>
              <w:pStyle w:val="Bodyromannumerals"/>
            </w:pPr>
            <w:r w:rsidRPr="002143A1">
              <w:t xml:space="preserve">The total number of stormwater areas where programmes of work </w:t>
            </w:r>
            <w:r w:rsidR="00741577">
              <w:t xml:space="preserve">identified in the </w:t>
            </w:r>
            <w:r w:rsidR="00311012">
              <w:t xml:space="preserve">Long Term Plan </w:t>
            </w:r>
            <w:r w:rsidRPr="002143A1">
              <w:t>have been completed.</w:t>
            </w:r>
          </w:p>
        </w:tc>
      </w:tr>
      <w:tr w:rsidR="002143A1" w:rsidRPr="004D7EDC" w14:paraId="4345995A" w14:textId="77777777" w:rsidTr="00EF4303">
        <w:tblPrEx>
          <w:tblLook w:val="04A0" w:firstRow="1" w:lastRow="0" w:firstColumn="1" w:lastColumn="0" w:noHBand="0" w:noVBand="1"/>
        </w:tblPrEx>
        <w:trPr>
          <w:trHeight w:val="708"/>
        </w:trPr>
        <w:tc>
          <w:tcPr>
            <w:tcW w:w="1210" w:type="pct"/>
            <w:gridSpan w:val="2"/>
            <w:tcBorders>
              <w:top w:val="nil"/>
              <w:left w:val="nil"/>
              <w:bottom w:val="nil"/>
              <w:right w:val="nil"/>
            </w:tcBorders>
          </w:tcPr>
          <w:p w14:paraId="5728110A" w14:textId="77777777" w:rsidR="002143A1" w:rsidRPr="006D389B" w:rsidRDefault="002143A1" w:rsidP="002143A1">
            <w:pPr>
              <w:pStyle w:val="Bodyromannumerals"/>
              <w:rPr>
                <w:bCs/>
                <w:i/>
              </w:rPr>
            </w:pPr>
            <w:r w:rsidRPr="006D389B">
              <w:rPr>
                <w:bCs/>
                <w:i/>
              </w:rPr>
              <w:t>Processing rules:</w:t>
            </w:r>
          </w:p>
        </w:tc>
        <w:tc>
          <w:tcPr>
            <w:tcW w:w="3790" w:type="pct"/>
            <w:gridSpan w:val="2"/>
            <w:tcBorders>
              <w:top w:val="nil"/>
              <w:left w:val="nil"/>
              <w:bottom w:val="nil"/>
              <w:right w:val="nil"/>
            </w:tcBorders>
          </w:tcPr>
          <w:p w14:paraId="37228B45" w14:textId="7A89CEA6" w:rsidR="002143A1" w:rsidRPr="004D7EDC" w:rsidRDefault="002143A1" w:rsidP="002143A1">
            <w:pPr>
              <w:pStyle w:val="Bodyromannumerals"/>
            </w:pPr>
            <w:r>
              <w:t>Input field</w:t>
            </w:r>
          </w:p>
        </w:tc>
      </w:tr>
      <w:bookmarkEnd w:id="2"/>
    </w:tbl>
    <w:p w14:paraId="24A1C8BF" w14:textId="7537F762" w:rsidR="00445C2C" w:rsidRDefault="00445C2C" w:rsidP="00161D43">
      <w:pPr>
        <w:pStyle w:val="Bodyromannumerals"/>
      </w:pPr>
    </w:p>
    <w:p w14:paraId="299DF7DF" w14:textId="3569972D" w:rsidR="00F960DF" w:rsidRPr="0034188F" w:rsidRDefault="00F960DF" w:rsidP="0034188F">
      <w:pPr>
        <w:spacing w:after="160" w:line="259" w:lineRule="auto"/>
        <w:rPr>
          <w:rFonts w:ascii="Calibri" w:hAnsi="Calibri" w:cs="Calibri"/>
          <w:sz w:val="21"/>
          <w:szCs w:val="21"/>
        </w:rPr>
      </w:pPr>
    </w:p>
    <w:sectPr w:rsidR="00F960DF" w:rsidRPr="0034188F" w:rsidSect="00F60163">
      <w:headerReference w:type="first" r:id="rId18"/>
      <w:pgSz w:w="11906" w:h="16838" w:code="9"/>
      <w:pgMar w:top="1871" w:right="3402" w:bottom="1077" w:left="936" w:header="567" w:footer="49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0DB84" w14:textId="77777777" w:rsidR="0095458B" w:rsidRPr="00320436" w:rsidRDefault="0095458B" w:rsidP="00776D39">
      <w:pPr>
        <w:spacing w:after="0" w:line="240" w:lineRule="auto"/>
      </w:pPr>
      <w:r w:rsidRPr="00320436">
        <w:separator/>
      </w:r>
    </w:p>
  </w:endnote>
  <w:endnote w:type="continuationSeparator" w:id="0">
    <w:p w14:paraId="6E2BE039" w14:textId="77777777" w:rsidR="0095458B" w:rsidRPr="00320436" w:rsidRDefault="0095458B" w:rsidP="00776D39">
      <w:pPr>
        <w:spacing w:after="0" w:line="240" w:lineRule="auto"/>
      </w:pPr>
      <w:r w:rsidRPr="00320436">
        <w:continuationSeparator/>
      </w:r>
    </w:p>
  </w:endnote>
  <w:endnote w:type="continuationNotice" w:id="1">
    <w:p w14:paraId="297FBC53" w14:textId="77777777" w:rsidR="0095458B" w:rsidRDefault="009545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YInterstate Light">
    <w:altName w:val="Franklin Gothic Medium Cond"/>
    <w:panose1 w:val="02000506000000020004"/>
    <w:charset w:val="00"/>
    <w:family w:val="auto"/>
    <w:pitch w:val="variable"/>
    <w:sig w:usb0="A00002AF" w:usb1="5000206A"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395953"/>
      <w:docPartObj>
        <w:docPartGallery w:val="Page Numbers (Bottom of Page)"/>
        <w:docPartUnique/>
      </w:docPartObj>
    </w:sdtPr>
    <w:sdtEndPr>
      <w:rPr>
        <w:noProof/>
      </w:rPr>
    </w:sdtEndPr>
    <w:sdtContent>
      <w:p w14:paraId="0E36F309" w14:textId="0AB4ADCA" w:rsidR="00361112" w:rsidRDefault="0036111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751263"/>
      <w:docPartObj>
        <w:docPartGallery w:val="Page Numbers (Bottom of Page)"/>
        <w:docPartUnique/>
      </w:docPartObj>
    </w:sdtPr>
    <w:sdtEndPr>
      <w:rPr>
        <w:noProof/>
      </w:rPr>
    </w:sdtEndPr>
    <w:sdtContent>
      <w:p w14:paraId="2AE41C78" w14:textId="01F439AA" w:rsidR="00361112" w:rsidRDefault="0036111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139836"/>
      <w:docPartObj>
        <w:docPartGallery w:val="Page Numbers (Bottom of Page)"/>
        <w:docPartUnique/>
      </w:docPartObj>
    </w:sdtPr>
    <w:sdtEndPr>
      <w:rPr>
        <w:noProof/>
      </w:rPr>
    </w:sdtEndPr>
    <w:sdtContent>
      <w:p w14:paraId="308DE6A9" w14:textId="1F7AD6A0" w:rsidR="00340A0C" w:rsidRDefault="00A5419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F89C1" w14:textId="77777777" w:rsidR="0095458B" w:rsidRPr="00320436" w:rsidRDefault="0095458B" w:rsidP="00BD776F">
      <w:pPr>
        <w:pStyle w:val="Footer"/>
        <w:spacing w:before="200"/>
      </w:pPr>
      <w:bookmarkStart w:id="0" w:name="_Hlk51597396"/>
      <w:bookmarkEnd w:id="0"/>
    </w:p>
  </w:footnote>
  <w:footnote w:type="continuationSeparator" w:id="0">
    <w:p w14:paraId="3975E38E" w14:textId="77777777" w:rsidR="0095458B" w:rsidRPr="00320436" w:rsidRDefault="0095458B" w:rsidP="00BD776F">
      <w:pPr>
        <w:pStyle w:val="Footer"/>
        <w:spacing w:before="200"/>
      </w:pPr>
    </w:p>
  </w:footnote>
  <w:footnote w:type="continuationNotice" w:id="1">
    <w:p w14:paraId="07C95F37" w14:textId="77777777" w:rsidR="0095458B" w:rsidRPr="00320436" w:rsidRDefault="0095458B" w:rsidP="00BD776F">
      <w:pPr>
        <w:spacing w:before="200" w:after="0" w:line="240" w:lineRule="aut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F79A" w14:textId="6DA0046B" w:rsidR="00340A0C" w:rsidRDefault="00340A0C" w:rsidP="00CD3AC8">
    <w:pPr>
      <w:pStyle w:val="Header"/>
      <w:ind w:left="-284" w:right="-142"/>
    </w:pPr>
    <w:r>
      <w:rPr>
        <w:noProof/>
      </w:rPr>
      <mc:AlternateContent>
        <mc:Choice Requires="wps">
          <w:drawing>
            <wp:anchor distT="0" distB="0" distL="114300" distR="114300" simplePos="0" relativeHeight="251658242" behindDoc="0" locked="0" layoutInCell="1" allowOverlap="1" wp14:anchorId="270EFEE3" wp14:editId="438DC579">
              <wp:simplePos x="0" y="0"/>
              <wp:positionH relativeFrom="page">
                <wp:posOffset>9525</wp:posOffset>
              </wp:positionH>
              <wp:positionV relativeFrom="paragraph">
                <wp:posOffset>-1093470</wp:posOffset>
              </wp:positionV>
              <wp:extent cx="219075" cy="11410950"/>
              <wp:effectExtent l="0" t="0" r="9525" b="0"/>
              <wp:wrapNone/>
              <wp:docPr id="15" name="Rectangle 15"/>
              <wp:cNvGraphicFramePr/>
              <a:graphic xmlns:a="http://schemas.openxmlformats.org/drawingml/2006/main">
                <a:graphicData uri="http://schemas.microsoft.com/office/word/2010/wordprocessingShape">
                  <wps:wsp>
                    <wps:cNvSpPr/>
                    <wps:spPr>
                      <a:xfrm>
                        <a:off x="0" y="0"/>
                        <a:ext cx="219075" cy="1141095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9FA9" w14:textId="77777777" w:rsidR="00361112" w:rsidRDefault="00361112" w:rsidP="003611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EFEE3" id="Rectangle 15" o:spid="_x0000_s1026" style="position:absolute;left:0;text-align:left;margin-left:.75pt;margin-top:-86.1pt;width:17.25pt;height:89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" fillcolor="#03b2c4" stroked="f" strokeweight="1pt">
              <v:textbox>
                <w:txbxContent>
                  <w:p w14:paraId="673B9FA9" w14:textId="77777777" w:rsidR="00361112" w:rsidRDefault="00361112" w:rsidP="00361112">
                    <w:pPr>
                      <w:jc w:val="center"/>
                    </w:pPr>
                  </w:p>
                </w:txbxContent>
              </v:textbox>
              <w10:wrap anchorx="page"/>
            </v:rect>
          </w:pict>
        </mc:Fallback>
      </mc:AlternateContent>
    </w:r>
    <w:r>
      <w:rPr>
        <w:noProof/>
      </w:rPr>
      <w:drawing>
        <wp:anchor distT="0" distB="0" distL="114300" distR="114300" simplePos="0" relativeHeight="251658244" behindDoc="0" locked="0" layoutInCell="1" allowOverlap="1" wp14:anchorId="0BDDB174" wp14:editId="68C14054">
          <wp:simplePos x="0" y="0"/>
          <wp:positionH relativeFrom="leftMargin">
            <wp:posOffset>5608955</wp:posOffset>
          </wp:positionH>
          <wp:positionV relativeFrom="paragraph">
            <wp:posOffset>-870585</wp:posOffset>
          </wp:positionV>
          <wp:extent cx="1439545" cy="5276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2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F7A6" w14:textId="23919B28" w:rsidR="00340A0C" w:rsidRDefault="00340A0C" w:rsidP="00663D01">
    <w:pPr>
      <w:pStyle w:val="USBodyText"/>
      <w:spacing w:before="0" w:after="0"/>
    </w:pPr>
    <w:r>
      <w:rPr>
        <w:noProof/>
      </w:rPr>
      <mc:AlternateContent>
        <mc:Choice Requires="wps">
          <w:drawing>
            <wp:anchor distT="0" distB="0" distL="114300" distR="114300" simplePos="0" relativeHeight="251658240" behindDoc="0" locked="0" layoutInCell="1" allowOverlap="1" wp14:anchorId="12F2D899" wp14:editId="6CEB2950">
              <wp:simplePos x="0" y="0"/>
              <wp:positionH relativeFrom="page">
                <wp:posOffset>7338060</wp:posOffset>
              </wp:positionH>
              <wp:positionV relativeFrom="paragraph">
                <wp:posOffset>-346710</wp:posOffset>
              </wp:positionV>
              <wp:extent cx="215900" cy="10800000"/>
              <wp:effectExtent l="0" t="0" r="0" b="1905"/>
              <wp:wrapNone/>
              <wp:docPr id="2" name="Rectangle 2"/>
              <wp:cNvGraphicFramePr/>
              <a:graphic xmlns:a="http://schemas.openxmlformats.org/drawingml/2006/main">
                <a:graphicData uri="http://schemas.microsoft.com/office/word/2010/wordprocessingShape">
                  <wps:wsp>
                    <wps:cNvSpPr/>
                    <wps:spPr>
                      <a:xfrm>
                        <a:off x="0" y="0"/>
                        <a:ext cx="215900" cy="1080000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F29FD9" w14:textId="77777777" w:rsidR="00340A0C" w:rsidRDefault="00340A0C" w:rsidP="00663D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2D899" id="Rectangle 2" o:spid="_x0000_s1027" style="position:absolute;margin-left:577.8pt;margin-top:-27.3pt;width:17pt;height:8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" fillcolor="#03b2c4" stroked="f" strokeweight="1pt">
              <v:textbox>
                <w:txbxContent>
                  <w:p w14:paraId="6EF29FD9" w14:textId="77777777" w:rsidR="00340A0C" w:rsidRDefault="00340A0C" w:rsidP="00663D01">
                    <w:pPr>
                      <w:jc w:val="center"/>
                    </w:pP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B2B4" w14:textId="5B910E08" w:rsidR="00340A0C" w:rsidRDefault="00340A0C" w:rsidP="000A423D">
    <w:pPr>
      <w:pStyle w:val="USBodyText"/>
      <w:jc w:val="right"/>
    </w:pPr>
    <w:r>
      <w:rPr>
        <w:noProof/>
      </w:rPr>
      <w:drawing>
        <wp:inline distT="0" distB="0" distL="0" distR="0" wp14:anchorId="154896A1" wp14:editId="60665EFD">
          <wp:extent cx="2216150" cy="8035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436" cy="815599"/>
                  </a:xfrm>
                  <a:prstGeom prst="rect">
                    <a:avLst/>
                  </a:prstGeom>
                  <a:noFill/>
                  <a:ln>
                    <a:noFill/>
                  </a:ln>
                </pic:spPr>
              </pic:pic>
            </a:graphicData>
          </a:graphic>
        </wp:inline>
      </w:drawing>
    </w:r>
    <w:r>
      <w:rPr>
        <w:noProof/>
      </w:rPr>
      <mc:AlternateContent>
        <mc:Choice Requires="wps">
          <w:drawing>
            <wp:anchor distT="0" distB="0" distL="114300" distR="114300" simplePos="0" relativeHeight="251658241" behindDoc="0" locked="0" layoutInCell="1" allowOverlap="1" wp14:anchorId="46AEA131" wp14:editId="6E0CC58B">
              <wp:simplePos x="0" y="0"/>
              <wp:positionH relativeFrom="page">
                <wp:align>left</wp:align>
              </wp:positionH>
              <wp:positionV relativeFrom="paragraph">
                <wp:posOffset>-461645</wp:posOffset>
              </wp:positionV>
              <wp:extent cx="216000" cy="10779760"/>
              <wp:effectExtent l="0" t="0" r="0" b="2540"/>
              <wp:wrapNone/>
              <wp:docPr id="13" name="Rectangle 13"/>
              <wp:cNvGraphicFramePr/>
              <a:graphic xmlns:a="http://schemas.openxmlformats.org/drawingml/2006/main">
                <a:graphicData uri="http://schemas.microsoft.com/office/word/2010/wordprocessingShape">
                  <wps:wsp>
                    <wps:cNvSpPr/>
                    <wps:spPr>
                      <a:xfrm>
                        <a:off x="0" y="0"/>
                        <a:ext cx="216000" cy="1077976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B95C9" id="Rectangle 13" o:spid="_x0000_s1026" style="position:absolute;margin-left:0;margin-top:-36.35pt;width:17pt;height:848.8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" fillcolor="#03b2c4" stroked="f" strokeweight="1pt">
              <w10:wrap anchorx="page"/>
            </v:rect>
          </w:pict>
        </mc:Fallback>
      </mc:AlternateContent>
    </w:r>
  </w:p>
  <w:p w14:paraId="392AA731" w14:textId="23E6C906" w:rsidR="00340A0C" w:rsidRDefault="00340A0C" w:rsidP="00107AA8">
    <w:pPr>
      <w:pStyle w:val="USBodyText"/>
      <w:spacing w:before="1080" w:after="120" w:line="240" w:lineRule="auto"/>
      <w:rPr>
        <w:rStyle w:val="Title1Char"/>
        <w:sz w:val="40"/>
        <w:szCs w:val="40"/>
      </w:rPr>
    </w:pPr>
    <w:r w:rsidRPr="00194CC2">
      <w:rPr>
        <w:rFonts w:ascii="Segoe UI" w:hAnsi="Segoe UI" w:cs="Segoe UI"/>
        <w:b/>
        <w:bCs/>
        <w:color w:val="03B2C4"/>
        <w:sz w:val="40"/>
        <w:szCs w:val="40"/>
      </w:rPr>
      <w:t>Thre</w:t>
    </w:r>
    <w:r w:rsidRPr="00194CC2">
      <w:rPr>
        <w:rStyle w:val="Title1Char"/>
        <w:sz w:val="40"/>
        <w:szCs w:val="40"/>
      </w:rPr>
      <w:t xml:space="preserve">e Waters Reform Programme </w:t>
    </w:r>
    <w:r>
      <w:rPr>
        <w:rStyle w:val="Title1Char"/>
        <w:sz w:val="40"/>
        <w:szCs w:val="40"/>
      </w:rPr>
      <w:t>Request for Information</w:t>
    </w:r>
  </w:p>
  <w:p w14:paraId="0F934BDA" w14:textId="70BDCFCE" w:rsidR="00340A0C" w:rsidRPr="00194CC2" w:rsidRDefault="00340A0C" w:rsidP="00A4666D">
    <w:pPr>
      <w:pStyle w:val="USBodyText"/>
      <w:spacing w:before="0" w:after="120" w:line="240" w:lineRule="auto"/>
      <w:rPr>
        <w:rFonts w:ascii="Segoe UI" w:hAnsi="Segoe UI" w:cs="Segoe UI"/>
        <w:b/>
        <w:bCs/>
        <w:sz w:val="40"/>
        <w:szCs w:val="40"/>
      </w:rPr>
    </w:pPr>
    <w:r>
      <w:rPr>
        <w:rFonts w:ascii="Segoe UI" w:hAnsi="Segoe UI" w:cs="Segoe UI"/>
        <w:b/>
        <w:bCs/>
        <w:noProof/>
        <w:color w:val="03B2C4"/>
        <w:sz w:val="40"/>
        <w:szCs w:val="40"/>
      </w:rPr>
      <mc:AlternateContent>
        <mc:Choice Requires="wps">
          <w:drawing>
            <wp:anchor distT="0" distB="0" distL="114300" distR="114300" simplePos="0" relativeHeight="251658245" behindDoc="0" locked="0" layoutInCell="1" allowOverlap="1" wp14:anchorId="0EF35A77" wp14:editId="130471A0">
              <wp:simplePos x="0" y="0"/>
              <wp:positionH relativeFrom="column">
                <wp:posOffset>24130</wp:posOffset>
              </wp:positionH>
              <wp:positionV relativeFrom="paragraph">
                <wp:posOffset>178689</wp:posOffset>
              </wp:positionV>
              <wp:extent cx="4251960" cy="0"/>
              <wp:effectExtent l="19050" t="19050" r="34290" b="19050"/>
              <wp:wrapNone/>
              <wp:docPr id="677" name="Straight Connector 677"/>
              <wp:cNvGraphicFramePr/>
              <a:graphic xmlns:a="http://schemas.openxmlformats.org/drawingml/2006/main">
                <a:graphicData uri="http://schemas.microsoft.com/office/word/2010/wordprocessingShape">
                  <wps:wsp>
                    <wps:cNvCnPr/>
                    <wps:spPr>
                      <a:xfrm>
                        <a:off x="0" y="0"/>
                        <a:ext cx="4251960" cy="0"/>
                      </a:xfrm>
                      <a:prstGeom prst="line">
                        <a:avLst/>
                      </a:prstGeom>
                      <a:ln w="28575" cap="rnd">
                        <a:solidFill>
                          <a:srgbClr val="03B2C4"/>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DC81514" id="Straight Connector 677"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4.05pt" to="336.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" strokecolor="#03b2c4" strokeweight="2.25pt">
              <v:stroke dashstyle="1 1" endcap="round"/>
            </v:line>
          </w:pict>
        </mc:Fallback>
      </mc:AlternateContent>
    </w:r>
  </w:p>
  <w:p w14:paraId="262FC239" w14:textId="5DB53B0B" w:rsidR="00340A0C" w:rsidRPr="005D2759" w:rsidRDefault="00340A0C" w:rsidP="00107AA8">
    <w:pPr>
      <w:pStyle w:val="USBodyText"/>
      <w:spacing w:before="0" w:after="120" w:line="240" w:lineRule="auto"/>
      <w:rPr>
        <w:rFonts w:ascii="Segoe UI" w:hAnsi="Segoe UI" w:cs="Segoe UI"/>
        <w:b/>
        <w:bCs/>
        <w:sz w:val="24"/>
        <w:szCs w:val="24"/>
      </w:rPr>
    </w:pPr>
    <w:r>
      <w:rPr>
        <w:rFonts w:ascii="Segoe UI" w:hAnsi="Segoe UI" w:cs="Segoe UI"/>
        <w:b/>
        <w:bCs/>
        <w:color w:val="182B46"/>
        <w:sz w:val="28"/>
        <w:szCs w:val="28"/>
      </w:rPr>
      <w:t>Supporting Schedules</w:t>
    </w:r>
  </w:p>
  <w:p w14:paraId="607C2AA6" w14:textId="5FEB4151" w:rsidR="00340A0C" w:rsidRDefault="00340A0C" w:rsidP="00107AA8">
    <w:pPr>
      <w:pStyle w:val="USBodyText"/>
      <w:spacing w:before="0" w:after="400" w:line="240" w:lineRule="auto"/>
      <w:rPr>
        <w:rFonts w:ascii="Segoe UI" w:hAnsi="Segoe UI" w:cs="Segoe UI"/>
        <w:i/>
        <w:iCs/>
        <w:color w:val="182B46"/>
        <w:sz w:val="24"/>
        <w:szCs w:val="24"/>
      </w:rPr>
    </w:pPr>
    <w:r>
      <w:rPr>
        <w:rFonts w:ascii="Segoe UI" w:hAnsi="Segoe UI" w:cs="Segoe UI"/>
        <w:b/>
        <w:bCs/>
        <w:noProof/>
        <w:color w:val="03B2C4"/>
        <w:sz w:val="40"/>
        <w:szCs w:val="40"/>
      </w:rPr>
      <mc:AlternateContent>
        <mc:Choice Requires="wps">
          <w:drawing>
            <wp:anchor distT="0" distB="0" distL="114300" distR="114300" simplePos="0" relativeHeight="251658246" behindDoc="0" locked="0" layoutInCell="1" allowOverlap="1" wp14:anchorId="0A3C5A1E" wp14:editId="43B22645">
              <wp:simplePos x="0" y="0"/>
              <wp:positionH relativeFrom="margin">
                <wp:posOffset>19050</wp:posOffset>
              </wp:positionH>
              <wp:positionV relativeFrom="paragraph">
                <wp:posOffset>457200</wp:posOffset>
              </wp:positionV>
              <wp:extent cx="4251960" cy="0"/>
              <wp:effectExtent l="19050" t="19050" r="34290" b="19050"/>
              <wp:wrapNone/>
              <wp:docPr id="1" name="Straight Connector 1"/>
              <wp:cNvGraphicFramePr/>
              <a:graphic xmlns:a="http://schemas.openxmlformats.org/drawingml/2006/main">
                <a:graphicData uri="http://schemas.microsoft.com/office/word/2010/wordprocessingShape">
                  <wps:wsp>
                    <wps:cNvCnPr/>
                    <wps:spPr>
                      <a:xfrm>
                        <a:off x="0" y="0"/>
                        <a:ext cx="4251960" cy="0"/>
                      </a:xfrm>
                      <a:prstGeom prst="line">
                        <a:avLst/>
                      </a:prstGeom>
                      <a:ln w="28575" cap="rnd">
                        <a:solidFill>
                          <a:srgbClr val="03B2C4"/>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B5FA8FC" id="Straight Connector 1" o:spid="_x0000_s1026" style="position:absolute;z-index:25165824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36pt" to="33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" strokecolor="#03b2c4" strokeweight="2.25pt">
              <v:stroke dashstyle="1 1" endcap="round"/>
              <w10:wrap anchorx="margin"/>
            </v:line>
          </w:pict>
        </mc:Fallback>
      </mc:AlternateContent>
    </w:r>
    <w:r>
      <w:rPr>
        <w:rFonts w:ascii="Segoe UI" w:hAnsi="Segoe UI" w:cs="Segoe UI"/>
        <w:i/>
        <w:iCs/>
        <w:color w:val="182B46"/>
        <w:sz w:val="24"/>
        <w:szCs w:val="24"/>
      </w:rPr>
      <w:t>SECTION C: QUALITY AND ENVIRONMENTAL OUTPUTS</w:t>
    </w:r>
  </w:p>
  <w:p w14:paraId="64C36E44" w14:textId="7AD4BC8A" w:rsidR="00340A0C" w:rsidRDefault="00340A0C" w:rsidP="00107AA8">
    <w:pPr>
      <w:pStyle w:val="USBodyText"/>
      <w:spacing w:before="0" w:after="400" w:line="240" w:lineRule="auto"/>
      <w:rPr>
        <w:rFonts w:ascii="Segoe UI" w:hAnsi="Segoe UI" w:cs="Segoe UI"/>
        <w:i/>
        <w:iCs/>
        <w:sz w:val="24"/>
        <w:szCs w:val="24"/>
      </w:rPr>
    </w:pPr>
  </w:p>
  <w:p w14:paraId="4E51EEDF" w14:textId="1D9856E4" w:rsidR="00A5419F" w:rsidRPr="00A5419F" w:rsidRDefault="00A5419F" w:rsidP="00107AA8">
    <w:pPr>
      <w:pStyle w:val="USBodyText"/>
      <w:spacing w:before="0" w:after="400" w:line="240" w:lineRule="auto"/>
      <w:rPr>
        <w:rFonts w:ascii="Segoe UI" w:hAnsi="Segoe UI" w:cs="Segoe UI"/>
        <w:i/>
        <w:iCs/>
        <w:szCs w:val="20"/>
      </w:rPr>
    </w:pPr>
    <w:r w:rsidRPr="00A5419F">
      <w:rPr>
        <w:rFonts w:ascii="Segoe UI" w:hAnsi="Segoe UI" w:cs="Segoe UI"/>
        <w:i/>
        <w:iCs/>
        <w:szCs w:val="20"/>
      </w:rPr>
      <w:t>10 November 2020</w:t>
    </w:r>
  </w:p>
  <w:p w14:paraId="0C6ED50F" w14:textId="684C77B2" w:rsidR="00340A0C" w:rsidRDefault="00340A0C" w:rsidP="00AD48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3A38" w14:textId="1DA98850" w:rsidR="00340A0C" w:rsidRDefault="00340A0C" w:rsidP="000A423D">
    <w:pPr>
      <w:pStyle w:val="USBodyText"/>
      <w:jc w:val="right"/>
    </w:pPr>
    <w:r>
      <w:rPr>
        <w:noProof/>
      </w:rPr>
      <mc:AlternateContent>
        <mc:Choice Requires="wps">
          <w:drawing>
            <wp:anchor distT="0" distB="0" distL="114300" distR="114300" simplePos="0" relativeHeight="251658260" behindDoc="0" locked="0" layoutInCell="1" allowOverlap="1" wp14:anchorId="561722A0" wp14:editId="2C549D1F">
              <wp:simplePos x="0" y="0"/>
              <wp:positionH relativeFrom="page">
                <wp:posOffset>22225</wp:posOffset>
              </wp:positionH>
              <wp:positionV relativeFrom="paragraph">
                <wp:posOffset>-365760</wp:posOffset>
              </wp:positionV>
              <wp:extent cx="216000" cy="10739120"/>
              <wp:effectExtent l="0" t="0" r="0" b="5080"/>
              <wp:wrapNone/>
              <wp:docPr id="12" name="Rectangle 12"/>
              <wp:cNvGraphicFramePr/>
              <a:graphic xmlns:a="http://schemas.openxmlformats.org/drawingml/2006/main">
                <a:graphicData uri="http://schemas.microsoft.com/office/word/2010/wordprocessingShape">
                  <wps:wsp>
                    <wps:cNvSpPr/>
                    <wps:spPr>
                      <a:xfrm>
                        <a:off x="0" y="0"/>
                        <a:ext cx="216000" cy="1073912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15BC5E" w14:textId="77777777" w:rsidR="00340A0C" w:rsidRDefault="00340A0C" w:rsidP="00E64C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722A0" id="Rectangle 12" o:spid="_x0000_s1028" style="position:absolute;left:0;text-align:left;margin-left:1.75pt;margin-top:-28.8pt;width:17pt;height:845.6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" fillcolor="#03b2c4" stroked="f" strokeweight="1pt">
              <v:textbox>
                <w:txbxContent>
                  <w:p w14:paraId="5C15BC5E" w14:textId="77777777" w:rsidR="00340A0C" w:rsidRDefault="00340A0C" w:rsidP="00E64CA9">
                    <w:pPr>
                      <w:jc w:val="cente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5DB"/>
    <w:multiLevelType w:val="multilevel"/>
    <w:tmpl w:val="976E0728"/>
    <w:lvl w:ilvl="0">
      <w:start w:val="1"/>
      <w:numFmt w:val="decimal"/>
      <w:pStyle w:val="TSNumber1"/>
      <w:lvlText w:val="%1"/>
      <w:lvlJc w:val="left"/>
      <w:pPr>
        <w:tabs>
          <w:tab w:val="num" w:pos="215"/>
        </w:tabs>
        <w:ind w:left="215" w:hanging="215"/>
      </w:pPr>
      <w:rPr>
        <w:rFonts w:hint="default"/>
      </w:rPr>
    </w:lvl>
    <w:lvl w:ilvl="1">
      <w:start w:val="1"/>
      <w:numFmt w:val="lowerLetter"/>
      <w:pStyle w:val="TSNumbera"/>
      <w:lvlText w:val="%2"/>
      <w:lvlJc w:val="left"/>
      <w:pPr>
        <w:tabs>
          <w:tab w:val="num" w:pos="425"/>
        </w:tabs>
        <w:ind w:left="425" w:hanging="210"/>
      </w:pPr>
      <w:rPr>
        <w:rFonts w:hint="default"/>
      </w:rPr>
    </w:lvl>
    <w:lvl w:ilvl="2">
      <w:start w:val="1"/>
      <w:numFmt w:val="lowerRoman"/>
      <w:pStyle w:val="TSNumberi"/>
      <w:lvlText w:val="%3"/>
      <w:lvlJc w:val="left"/>
      <w:pPr>
        <w:tabs>
          <w:tab w:val="num" w:pos="641"/>
        </w:tabs>
        <w:ind w:left="641" w:hanging="216"/>
      </w:pPr>
      <w:rPr>
        <w:rFont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none"/>
      <w:suff w:val="nothing"/>
      <w:lvlText w:val=""/>
      <w:lvlJc w:val="left"/>
      <w:pPr>
        <w:ind w:left="641" w:firstLine="0"/>
      </w:pPr>
      <w:rPr>
        <w:rFonts w:hint="default"/>
      </w:rPr>
    </w:lvl>
    <w:lvl w:ilvl="7">
      <w:start w:val="1"/>
      <w:numFmt w:val="none"/>
      <w:suff w:val="nothing"/>
      <w:lvlText w:val=""/>
      <w:lvlJc w:val="left"/>
      <w:pPr>
        <w:ind w:left="641" w:firstLine="0"/>
      </w:pPr>
      <w:rPr>
        <w:rFonts w:hint="default"/>
      </w:rPr>
    </w:lvl>
    <w:lvl w:ilvl="8">
      <w:start w:val="1"/>
      <w:numFmt w:val="none"/>
      <w:suff w:val="nothing"/>
      <w:lvlText w:val=""/>
      <w:lvlJc w:val="left"/>
      <w:pPr>
        <w:ind w:left="641" w:firstLine="0"/>
      </w:pPr>
      <w:rPr>
        <w:rFonts w:hint="default"/>
      </w:rPr>
    </w:lvl>
  </w:abstractNum>
  <w:abstractNum w:abstractNumId="1" w15:restartNumberingAfterBreak="0">
    <w:nsid w:val="042E7840"/>
    <w:multiLevelType w:val="hybridMultilevel"/>
    <w:tmpl w:val="17BE39A0"/>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 w15:restartNumberingAfterBreak="0">
    <w:nsid w:val="05C619E2"/>
    <w:multiLevelType w:val="hybridMultilevel"/>
    <w:tmpl w:val="5AE46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56809"/>
    <w:multiLevelType w:val="hybridMultilevel"/>
    <w:tmpl w:val="B55AD2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45D97"/>
    <w:multiLevelType w:val="hybridMultilevel"/>
    <w:tmpl w:val="7318C5C0"/>
    <w:lvl w:ilvl="0" w:tplc="1F36A564">
      <w:start w:val="1"/>
      <w:numFmt w:val="decimal"/>
      <w:pStyle w:val="Bodynumbercopy"/>
      <w:lvlText w:val="%1."/>
      <w:lvlJc w:val="left"/>
      <w:pPr>
        <w:ind w:left="780" w:hanging="420"/>
      </w:pPr>
      <w:rPr>
        <w:rFonts w:hint="default"/>
        <w:b w:val="0"/>
        <w:bCs/>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33E7407"/>
    <w:multiLevelType w:val="hybridMultilevel"/>
    <w:tmpl w:val="058AEB24"/>
    <w:lvl w:ilvl="0" w:tplc="4456E66C">
      <w:start w:val="1"/>
      <w:numFmt w:val="decimal"/>
      <w:lvlText w:val="%1."/>
      <w:lvlJc w:val="left"/>
      <w:pPr>
        <w:ind w:left="720" w:hanging="360"/>
      </w:pPr>
    </w:lvl>
    <w:lvl w:ilvl="1" w:tplc="5C26920C">
      <w:start w:val="1"/>
      <w:numFmt w:val="lowerLetter"/>
      <w:lvlText w:val="%2."/>
      <w:lvlJc w:val="left"/>
      <w:pPr>
        <w:ind w:left="1440" w:hanging="360"/>
      </w:pPr>
    </w:lvl>
    <w:lvl w:ilvl="2" w:tplc="5088F55A">
      <w:start w:val="1"/>
      <w:numFmt w:val="lowerRoman"/>
      <w:lvlText w:val="%3."/>
      <w:lvlJc w:val="right"/>
      <w:pPr>
        <w:ind w:left="2160" w:hanging="180"/>
      </w:pPr>
    </w:lvl>
    <w:lvl w:ilvl="3" w:tplc="1E644A1C">
      <w:start w:val="1"/>
      <w:numFmt w:val="decimal"/>
      <w:lvlText w:val="%4."/>
      <w:lvlJc w:val="left"/>
      <w:pPr>
        <w:ind w:left="2880" w:hanging="360"/>
      </w:pPr>
    </w:lvl>
    <w:lvl w:ilvl="4" w:tplc="8E8E84A6">
      <w:start w:val="1"/>
      <w:numFmt w:val="lowerLetter"/>
      <w:lvlText w:val="%5."/>
      <w:lvlJc w:val="left"/>
      <w:pPr>
        <w:ind w:left="3600" w:hanging="360"/>
      </w:pPr>
    </w:lvl>
    <w:lvl w:ilvl="5" w:tplc="7D4C31AA">
      <w:start w:val="1"/>
      <w:numFmt w:val="lowerRoman"/>
      <w:lvlText w:val="%6."/>
      <w:lvlJc w:val="right"/>
      <w:pPr>
        <w:ind w:left="4320" w:hanging="180"/>
      </w:pPr>
    </w:lvl>
    <w:lvl w:ilvl="6" w:tplc="9EF48234">
      <w:start w:val="1"/>
      <w:numFmt w:val="decimal"/>
      <w:lvlText w:val="%7."/>
      <w:lvlJc w:val="left"/>
      <w:pPr>
        <w:ind w:left="5040" w:hanging="360"/>
      </w:pPr>
    </w:lvl>
    <w:lvl w:ilvl="7" w:tplc="66DA4C62">
      <w:start w:val="1"/>
      <w:numFmt w:val="lowerLetter"/>
      <w:lvlText w:val="%8."/>
      <w:lvlJc w:val="left"/>
      <w:pPr>
        <w:ind w:left="5760" w:hanging="360"/>
      </w:pPr>
    </w:lvl>
    <w:lvl w:ilvl="8" w:tplc="B4082CA2">
      <w:start w:val="1"/>
      <w:numFmt w:val="lowerRoman"/>
      <w:lvlText w:val="%9."/>
      <w:lvlJc w:val="right"/>
      <w:pPr>
        <w:ind w:left="6480" w:hanging="180"/>
      </w:pPr>
    </w:lvl>
  </w:abstractNum>
  <w:abstractNum w:abstractNumId="6" w15:restartNumberingAfterBreak="0">
    <w:nsid w:val="189D010F"/>
    <w:multiLevelType w:val="hybridMultilevel"/>
    <w:tmpl w:val="CB4844D2"/>
    <w:lvl w:ilvl="0" w:tplc="8C506002">
      <w:start w:val="1"/>
      <w:numFmt w:val="bullet"/>
      <w:pStyle w:val="Bodybullet1"/>
      <w:lvlText w:val=""/>
      <w:lvlJc w:val="left"/>
      <w:pPr>
        <w:ind w:left="720" w:hanging="360"/>
      </w:pPr>
      <w:rPr>
        <w:rFonts w:ascii="Symbol" w:hAnsi="Symbol" w:hint="default"/>
        <w:color w:val="03B2C4"/>
        <w:u w:color="03B2C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7F10F8"/>
    <w:multiLevelType w:val="hybridMultilevel"/>
    <w:tmpl w:val="BDF4AC7E"/>
    <w:lvl w:ilvl="0" w:tplc="3C9CAD9E">
      <w:start w:val="1"/>
      <w:numFmt w:val="decimal"/>
      <w:pStyle w:val="USNotes"/>
      <w:lvlText w:val="%1"/>
      <w:lvlJc w:val="left"/>
      <w:pPr>
        <w:tabs>
          <w:tab w:val="num" w:pos="215"/>
        </w:tabs>
        <w:ind w:left="215" w:hanging="215"/>
      </w:pPr>
      <w:rPr>
        <w:rFonts w:hint="default"/>
      </w:rPr>
    </w:lvl>
    <w:lvl w:ilvl="1" w:tplc="3558D5CE">
      <w:start w:val="1"/>
      <w:numFmt w:val="none"/>
      <w:suff w:val="nothing"/>
      <w:lvlText w:val=""/>
      <w:lvlJc w:val="left"/>
      <w:pPr>
        <w:ind w:left="215" w:firstLine="0"/>
      </w:pPr>
      <w:rPr>
        <w:rFonts w:hint="default"/>
      </w:rPr>
    </w:lvl>
    <w:lvl w:ilvl="2" w:tplc="D5220156">
      <w:start w:val="1"/>
      <w:numFmt w:val="lowerRoman"/>
      <w:lvlText w:val="%3)"/>
      <w:lvlJc w:val="left"/>
      <w:pPr>
        <w:ind w:left="1080" w:hanging="360"/>
      </w:pPr>
      <w:rPr>
        <w:rFonts w:hint="default"/>
      </w:rPr>
    </w:lvl>
    <w:lvl w:ilvl="3" w:tplc="A7B441B6">
      <w:start w:val="1"/>
      <w:numFmt w:val="decimal"/>
      <w:lvlText w:val="(%4)"/>
      <w:lvlJc w:val="left"/>
      <w:pPr>
        <w:ind w:left="1440" w:hanging="360"/>
      </w:pPr>
      <w:rPr>
        <w:rFonts w:hint="default"/>
      </w:rPr>
    </w:lvl>
    <w:lvl w:ilvl="4" w:tplc="6BE0DC06">
      <w:start w:val="1"/>
      <w:numFmt w:val="lowerLetter"/>
      <w:lvlText w:val="(%5)"/>
      <w:lvlJc w:val="left"/>
      <w:pPr>
        <w:ind w:left="1800" w:hanging="360"/>
      </w:pPr>
      <w:rPr>
        <w:rFonts w:hint="default"/>
      </w:rPr>
    </w:lvl>
    <w:lvl w:ilvl="5" w:tplc="8528BBDA">
      <w:start w:val="1"/>
      <w:numFmt w:val="lowerRoman"/>
      <w:lvlText w:val="(%6)"/>
      <w:lvlJc w:val="left"/>
      <w:pPr>
        <w:ind w:left="2160" w:hanging="360"/>
      </w:pPr>
      <w:rPr>
        <w:rFonts w:hint="default"/>
      </w:rPr>
    </w:lvl>
    <w:lvl w:ilvl="6" w:tplc="237A756A">
      <w:start w:val="1"/>
      <w:numFmt w:val="decimal"/>
      <w:lvlText w:val="%7."/>
      <w:lvlJc w:val="left"/>
      <w:pPr>
        <w:ind w:left="2520" w:hanging="360"/>
      </w:pPr>
      <w:rPr>
        <w:rFonts w:hint="default"/>
      </w:rPr>
    </w:lvl>
    <w:lvl w:ilvl="7" w:tplc="C9A42742">
      <w:start w:val="1"/>
      <w:numFmt w:val="lowerLetter"/>
      <w:lvlText w:val="%8."/>
      <w:lvlJc w:val="left"/>
      <w:pPr>
        <w:ind w:left="2880" w:hanging="360"/>
      </w:pPr>
      <w:rPr>
        <w:rFonts w:hint="default"/>
      </w:rPr>
    </w:lvl>
    <w:lvl w:ilvl="8" w:tplc="979E2B86">
      <w:start w:val="1"/>
      <w:numFmt w:val="lowerRoman"/>
      <w:lvlText w:val="%9."/>
      <w:lvlJc w:val="left"/>
      <w:pPr>
        <w:ind w:left="3240" w:hanging="360"/>
      </w:pPr>
      <w:rPr>
        <w:rFonts w:hint="default"/>
      </w:rPr>
    </w:lvl>
  </w:abstractNum>
  <w:abstractNum w:abstractNumId="8" w15:restartNumberingAfterBreak="0">
    <w:nsid w:val="1FAC4219"/>
    <w:multiLevelType w:val="hybridMultilevel"/>
    <w:tmpl w:val="6C8A6CAC"/>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9" w15:restartNumberingAfterBreak="0">
    <w:nsid w:val="1FC9139C"/>
    <w:multiLevelType w:val="hybridMultilevel"/>
    <w:tmpl w:val="D8782B16"/>
    <w:lvl w:ilvl="0" w:tplc="1F6CEA9A">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B5FEB"/>
    <w:multiLevelType w:val="hybridMultilevel"/>
    <w:tmpl w:val="117E773A"/>
    <w:lvl w:ilvl="0" w:tplc="6DDAE378">
      <w:start w:val="1"/>
      <w:numFmt w:val="decimal"/>
      <w:pStyle w:val="Number"/>
      <w:lvlText w:val="%1."/>
      <w:lvlJc w:val="left"/>
      <w:pPr>
        <w:ind w:left="780" w:hanging="42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1556978"/>
    <w:multiLevelType w:val="hybridMultilevel"/>
    <w:tmpl w:val="DE9A6D1E"/>
    <w:lvl w:ilvl="0" w:tplc="475E5852">
      <w:start w:val="1"/>
      <w:numFmt w:val="bullet"/>
      <w:lvlText w:val="►"/>
      <w:lvlJc w:val="left"/>
      <w:pPr>
        <w:ind w:left="720" w:hanging="360"/>
      </w:pPr>
      <w:rPr>
        <w:rFonts w:ascii="Arial" w:hAnsi="Arial" w:hint="default"/>
        <w:color w:val="0068A6"/>
        <w:sz w:val="16"/>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B6624D1"/>
    <w:multiLevelType w:val="hybridMultilevel"/>
    <w:tmpl w:val="1E7CD7FE"/>
    <w:lvl w:ilvl="0" w:tplc="CD16548C">
      <w:start w:val="1"/>
      <w:numFmt w:val="decimal"/>
      <w:lvlText w:val="%1."/>
      <w:lvlJc w:val="left"/>
      <w:pPr>
        <w:ind w:left="720" w:hanging="360"/>
      </w:pPr>
    </w:lvl>
    <w:lvl w:ilvl="1" w:tplc="05C6D19A">
      <w:start w:val="1"/>
      <w:numFmt w:val="lowerLetter"/>
      <w:lvlText w:val="%2."/>
      <w:lvlJc w:val="left"/>
      <w:pPr>
        <w:ind w:left="1440" w:hanging="360"/>
      </w:pPr>
    </w:lvl>
    <w:lvl w:ilvl="2" w:tplc="8BC8F1CC">
      <w:start w:val="1"/>
      <w:numFmt w:val="lowerRoman"/>
      <w:lvlText w:val="%3."/>
      <w:lvlJc w:val="right"/>
      <w:pPr>
        <w:ind w:left="2160" w:hanging="180"/>
      </w:pPr>
    </w:lvl>
    <w:lvl w:ilvl="3" w:tplc="D3EEF656">
      <w:start w:val="1"/>
      <w:numFmt w:val="decimal"/>
      <w:lvlText w:val="%4."/>
      <w:lvlJc w:val="left"/>
      <w:pPr>
        <w:ind w:left="2880" w:hanging="360"/>
      </w:pPr>
    </w:lvl>
    <w:lvl w:ilvl="4" w:tplc="C24EB022">
      <w:start w:val="1"/>
      <w:numFmt w:val="lowerLetter"/>
      <w:lvlText w:val="%5."/>
      <w:lvlJc w:val="left"/>
      <w:pPr>
        <w:ind w:left="3600" w:hanging="360"/>
      </w:pPr>
    </w:lvl>
    <w:lvl w:ilvl="5" w:tplc="B3185162">
      <w:start w:val="1"/>
      <w:numFmt w:val="lowerRoman"/>
      <w:lvlText w:val="%6."/>
      <w:lvlJc w:val="right"/>
      <w:pPr>
        <w:ind w:left="4320" w:hanging="180"/>
      </w:pPr>
    </w:lvl>
    <w:lvl w:ilvl="6" w:tplc="93C44D6A">
      <w:start w:val="1"/>
      <w:numFmt w:val="decimal"/>
      <w:lvlText w:val="%7."/>
      <w:lvlJc w:val="left"/>
      <w:pPr>
        <w:ind w:left="5040" w:hanging="360"/>
      </w:pPr>
    </w:lvl>
    <w:lvl w:ilvl="7" w:tplc="3DAAF2D0">
      <w:start w:val="1"/>
      <w:numFmt w:val="lowerLetter"/>
      <w:lvlText w:val="%8."/>
      <w:lvlJc w:val="left"/>
      <w:pPr>
        <w:ind w:left="5760" w:hanging="360"/>
      </w:pPr>
    </w:lvl>
    <w:lvl w:ilvl="8" w:tplc="D32A9FE6">
      <w:start w:val="1"/>
      <w:numFmt w:val="lowerRoman"/>
      <w:lvlText w:val="%9."/>
      <w:lvlJc w:val="right"/>
      <w:pPr>
        <w:ind w:left="6480" w:hanging="180"/>
      </w:pPr>
    </w:lvl>
  </w:abstractNum>
  <w:abstractNum w:abstractNumId="13" w15:restartNumberingAfterBreak="0">
    <w:nsid w:val="304C1A24"/>
    <w:multiLevelType w:val="hybridMultilevel"/>
    <w:tmpl w:val="0442C4DA"/>
    <w:lvl w:ilvl="0" w:tplc="9800D53C">
      <w:start w:val="1"/>
      <w:numFmt w:val="decimal"/>
      <w:lvlText w:val="%1."/>
      <w:lvlJc w:val="left"/>
      <w:pPr>
        <w:ind w:left="720" w:hanging="360"/>
      </w:pPr>
    </w:lvl>
    <w:lvl w:ilvl="1" w:tplc="F354903A">
      <w:start w:val="1"/>
      <w:numFmt w:val="lowerLetter"/>
      <w:lvlText w:val="%2."/>
      <w:lvlJc w:val="left"/>
      <w:pPr>
        <w:ind w:left="1440" w:hanging="360"/>
      </w:pPr>
    </w:lvl>
    <w:lvl w:ilvl="2" w:tplc="9D2412F4">
      <w:start w:val="1"/>
      <w:numFmt w:val="lowerRoman"/>
      <w:lvlText w:val="%3."/>
      <w:lvlJc w:val="right"/>
      <w:pPr>
        <w:ind w:left="2160" w:hanging="180"/>
      </w:pPr>
    </w:lvl>
    <w:lvl w:ilvl="3" w:tplc="84E85BD6">
      <w:start w:val="1"/>
      <w:numFmt w:val="decimal"/>
      <w:lvlText w:val="%4."/>
      <w:lvlJc w:val="left"/>
      <w:pPr>
        <w:ind w:left="2880" w:hanging="360"/>
      </w:pPr>
    </w:lvl>
    <w:lvl w:ilvl="4" w:tplc="8B00F7DA">
      <w:start w:val="1"/>
      <w:numFmt w:val="lowerLetter"/>
      <w:lvlText w:val="%5."/>
      <w:lvlJc w:val="left"/>
      <w:pPr>
        <w:ind w:left="3600" w:hanging="360"/>
      </w:pPr>
    </w:lvl>
    <w:lvl w:ilvl="5" w:tplc="F1F25FC8">
      <w:start w:val="1"/>
      <w:numFmt w:val="lowerRoman"/>
      <w:lvlText w:val="%6."/>
      <w:lvlJc w:val="right"/>
      <w:pPr>
        <w:ind w:left="4320" w:hanging="180"/>
      </w:pPr>
    </w:lvl>
    <w:lvl w:ilvl="6" w:tplc="00C001CA">
      <w:start w:val="1"/>
      <w:numFmt w:val="decimal"/>
      <w:lvlText w:val="%7."/>
      <w:lvlJc w:val="left"/>
      <w:pPr>
        <w:ind w:left="5040" w:hanging="360"/>
      </w:pPr>
    </w:lvl>
    <w:lvl w:ilvl="7" w:tplc="FA482FEE">
      <w:start w:val="1"/>
      <w:numFmt w:val="lowerLetter"/>
      <w:lvlText w:val="%8."/>
      <w:lvlJc w:val="left"/>
      <w:pPr>
        <w:ind w:left="5760" w:hanging="360"/>
      </w:pPr>
    </w:lvl>
    <w:lvl w:ilvl="8" w:tplc="4C40818A">
      <w:start w:val="1"/>
      <w:numFmt w:val="lowerRoman"/>
      <w:lvlText w:val="%9."/>
      <w:lvlJc w:val="right"/>
      <w:pPr>
        <w:ind w:left="6480" w:hanging="180"/>
      </w:pPr>
    </w:lvl>
  </w:abstractNum>
  <w:abstractNum w:abstractNumId="14" w15:restartNumberingAfterBreak="0">
    <w:nsid w:val="38833290"/>
    <w:multiLevelType w:val="multilevel"/>
    <w:tmpl w:val="C032C3CE"/>
    <w:lvl w:ilvl="0">
      <w:start w:val="1"/>
      <w:numFmt w:val="decimal"/>
      <w:pStyle w:val="NHHeading1"/>
      <w:lvlText w:val="%1"/>
      <w:lvlJc w:val="left"/>
      <w:pPr>
        <w:tabs>
          <w:tab w:val="num" w:pos="851"/>
        </w:tabs>
        <w:ind w:left="851" w:hanging="851"/>
      </w:pPr>
      <w:rPr>
        <w:rFonts w:hint="default"/>
      </w:rPr>
    </w:lvl>
    <w:lvl w:ilvl="1">
      <w:start w:val="1"/>
      <w:numFmt w:val="decimal"/>
      <w:pStyle w:val="NHHeading2"/>
      <w:lvlText w:val="%1.%2"/>
      <w:lvlJc w:val="left"/>
      <w:pPr>
        <w:tabs>
          <w:tab w:val="num" w:pos="851"/>
        </w:tabs>
        <w:ind w:left="851" w:hanging="851"/>
      </w:pPr>
      <w:rPr>
        <w:rFonts w:hint="default"/>
      </w:rPr>
    </w:lvl>
    <w:lvl w:ilvl="2">
      <w:start w:val="1"/>
      <w:numFmt w:val="decimal"/>
      <w:pStyle w:val="NHHeading3"/>
      <w:lvlText w:val="%1.%2.%3"/>
      <w:lvlJc w:val="left"/>
      <w:pPr>
        <w:tabs>
          <w:tab w:val="num" w:pos="851"/>
        </w:tabs>
        <w:ind w:left="851" w:hanging="851"/>
      </w:pPr>
      <w:rPr>
        <w:rFonts w:hint="default"/>
      </w:rPr>
    </w:lvl>
    <w:lvl w:ilvl="3">
      <w:start w:val="1"/>
      <w:numFmt w:val="none"/>
      <w:pStyle w:val="NHHeading4"/>
      <w:suff w:val="nothing"/>
      <w:lvlText w:val=""/>
      <w:lvlJc w:val="left"/>
      <w:pPr>
        <w:ind w:left="0" w:firstLine="0"/>
      </w:pPr>
      <w:rPr>
        <w:rFonts w:hint="default"/>
      </w:rPr>
    </w:lvl>
    <w:lvl w:ilvl="4">
      <w:start w:val="1"/>
      <w:numFmt w:val="none"/>
      <w:pStyle w:val="NH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3BFC771C"/>
    <w:multiLevelType w:val="hybridMultilevel"/>
    <w:tmpl w:val="88885684"/>
    <w:lvl w:ilvl="0" w:tplc="7FB486C0">
      <w:start w:val="1"/>
      <w:numFmt w:val="decimal"/>
      <w:lvlText w:val="%1."/>
      <w:lvlJc w:val="left"/>
      <w:pPr>
        <w:ind w:left="720" w:hanging="360"/>
      </w:pPr>
    </w:lvl>
    <w:lvl w:ilvl="1" w:tplc="DD28CC56">
      <w:start w:val="1"/>
      <w:numFmt w:val="lowerLetter"/>
      <w:lvlText w:val="%2."/>
      <w:lvlJc w:val="left"/>
      <w:pPr>
        <w:ind w:left="1494" w:hanging="360"/>
      </w:pPr>
    </w:lvl>
    <w:lvl w:ilvl="2" w:tplc="B08CA0AC">
      <w:start w:val="1"/>
      <w:numFmt w:val="lowerRoman"/>
      <w:lvlText w:val="%3."/>
      <w:lvlJc w:val="right"/>
      <w:pPr>
        <w:ind w:left="2160" w:hanging="180"/>
      </w:pPr>
    </w:lvl>
    <w:lvl w:ilvl="3" w:tplc="597A21E0">
      <w:start w:val="1"/>
      <w:numFmt w:val="decimal"/>
      <w:lvlText w:val="%4."/>
      <w:lvlJc w:val="left"/>
      <w:pPr>
        <w:ind w:left="2880" w:hanging="360"/>
      </w:pPr>
    </w:lvl>
    <w:lvl w:ilvl="4" w:tplc="D316863C">
      <w:start w:val="1"/>
      <w:numFmt w:val="lowerLetter"/>
      <w:lvlText w:val="%5."/>
      <w:lvlJc w:val="left"/>
      <w:pPr>
        <w:ind w:left="3600" w:hanging="360"/>
      </w:pPr>
    </w:lvl>
    <w:lvl w:ilvl="5" w:tplc="4DC87412">
      <w:start w:val="1"/>
      <w:numFmt w:val="lowerRoman"/>
      <w:lvlText w:val="%6."/>
      <w:lvlJc w:val="right"/>
      <w:pPr>
        <w:ind w:left="4320" w:hanging="180"/>
      </w:pPr>
    </w:lvl>
    <w:lvl w:ilvl="6" w:tplc="4FE8D016">
      <w:start w:val="1"/>
      <w:numFmt w:val="decimal"/>
      <w:lvlText w:val="%7."/>
      <w:lvlJc w:val="left"/>
      <w:pPr>
        <w:ind w:left="5040" w:hanging="360"/>
      </w:pPr>
    </w:lvl>
    <w:lvl w:ilvl="7" w:tplc="5FC447D2">
      <w:start w:val="1"/>
      <w:numFmt w:val="lowerLetter"/>
      <w:lvlText w:val="%8."/>
      <w:lvlJc w:val="left"/>
      <w:pPr>
        <w:ind w:left="5760" w:hanging="360"/>
      </w:pPr>
    </w:lvl>
    <w:lvl w:ilvl="8" w:tplc="9BCC4DB4">
      <w:start w:val="1"/>
      <w:numFmt w:val="lowerRoman"/>
      <w:lvlText w:val="%9."/>
      <w:lvlJc w:val="right"/>
      <w:pPr>
        <w:ind w:left="6480" w:hanging="180"/>
      </w:pPr>
    </w:lvl>
  </w:abstractNum>
  <w:abstractNum w:abstractNumId="16" w15:restartNumberingAfterBreak="0">
    <w:nsid w:val="3CCC2705"/>
    <w:multiLevelType w:val="hybridMultilevel"/>
    <w:tmpl w:val="01848BE2"/>
    <w:lvl w:ilvl="0" w:tplc="A90CA12A">
      <w:start w:val="1"/>
      <w:numFmt w:val="decimal"/>
      <w:pStyle w:val="ApxHeading1"/>
      <w:suff w:val="nothing"/>
      <w:lvlText w:val="Appendix %1"/>
      <w:lvlJc w:val="left"/>
      <w:pPr>
        <w:ind w:left="0" w:firstLine="0"/>
      </w:pPr>
      <w:rPr>
        <w:rFonts w:hint="default"/>
      </w:rPr>
    </w:lvl>
    <w:lvl w:ilvl="1" w:tplc="46406EB0">
      <w:start w:val="1"/>
      <w:numFmt w:val="none"/>
      <w:suff w:val="nothing"/>
      <w:lvlText w:val=""/>
      <w:lvlJc w:val="left"/>
      <w:pPr>
        <w:ind w:left="142" w:firstLine="0"/>
      </w:pPr>
      <w:rPr>
        <w:rFonts w:hint="default"/>
      </w:rPr>
    </w:lvl>
    <w:lvl w:ilvl="2" w:tplc="CD2CA78A">
      <w:start w:val="1"/>
      <w:numFmt w:val="none"/>
      <w:suff w:val="nothing"/>
      <w:lvlText w:val=""/>
      <w:lvlJc w:val="left"/>
      <w:pPr>
        <w:ind w:left="142" w:firstLine="0"/>
      </w:pPr>
      <w:rPr>
        <w:rFonts w:hint="default"/>
      </w:rPr>
    </w:lvl>
    <w:lvl w:ilvl="3" w:tplc="07B02BC8">
      <w:start w:val="1"/>
      <w:numFmt w:val="none"/>
      <w:suff w:val="nothing"/>
      <w:lvlText w:val=""/>
      <w:lvlJc w:val="left"/>
      <w:pPr>
        <w:ind w:left="142" w:firstLine="0"/>
      </w:pPr>
      <w:rPr>
        <w:rFonts w:hint="default"/>
      </w:rPr>
    </w:lvl>
    <w:lvl w:ilvl="4" w:tplc="F23804DE">
      <w:start w:val="1"/>
      <w:numFmt w:val="none"/>
      <w:suff w:val="nothing"/>
      <w:lvlText w:val=""/>
      <w:lvlJc w:val="left"/>
      <w:pPr>
        <w:ind w:left="142" w:firstLine="0"/>
      </w:pPr>
      <w:rPr>
        <w:rFonts w:hint="default"/>
      </w:rPr>
    </w:lvl>
    <w:lvl w:ilvl="5" w:tplc="2894010A">
      <w:start w:val="1"/>
      <w:numFmt w:val="none"/>
      <w:suff w:val="nothing"/>
      <w:lvlText w:val=""/>
      <w:lvlJc w:val="left"/>
      <w:pPr>
        <w:ind w:left="142" w:firstLine="0"/>
      </w:pPr>
      <w:rPr>
        <w:rFonts w:hint="default"/>
      </w:rPr>
    </w:lvl>
    <w:lvl w:ilvl="6" w:tplc="2B3A9F70">
      <w:start w:val="1"/>
      <w:numFmt w:val="none"/>
      <w:suff w:val="nothing"/>
      <w:lvlText w:val=""/>
      <w:lvlJc w:val="left"/>
      <w:pPr>
        <w:ind w:left="142" w:firstLine="0"/>
      </w:pPr>
      <w:rPr>
        <w:rFonts w:hint="default"/>
      </w:rPr>
    </w:lvl>
    <w:lvl w:ilvl="7" w:tplc="2F0A0882">
      <w:start w:val="1"/>
      <w:numFmt w:val="none"/>
      <w:suff w:val="nothing"/>
      <w:lvlText w:val=""/>
      <w:lvlJc w:val="left"/>
      <w:pPr>
        <w:ind w:left="142" w:firstLine="0"/>
      </w:pPr>
      <w:rPr>
        <w:rFonts w:hint="default"/>
      </w:rPr>
    </w:lvl>
    <w:lvl w:ilvl="8" w:tplc="B01CD8CE">
      <w:start w:val="1"/>
      <w:numFmt w:val="none"/>
      <w:suff w:val="nothing"/>
      <w:lvlText w:val=""/>
      <w:lvlJc w:val="left"/>
      <w:pPr>
        <w:ind w:left="142" w:firstLine="0"/>
      </w:pPr>
      <w:rPr>
        <w:rFonts w:hint="default"/>
      </w:rPr>
    </w:lvl>
  </w:abstractNum>
  <w:abstractNum w:abstractNumId="17" w15:restartNumberingAfterBreak="0">
    <w:nsid w:val="41227B13"/>
    <w:multiLevelType w:val="hybridMultilevel"/>
    <w:tmpl w:val="6D106928"/>
    <w:lvl w:ilvl="0" w:tplc="5DF861BA">
      <w:start w:val="1"/>
      <w:numFmt w:val="bullet"/>
      <w:pStyle w:val="TSMixedB2"/>
      <w:lvlText w:val=""/>
      <w:lvlJc w:val="left"/>
      <w:pPr>
        <w:tabs>
          <w:tab w:val="num" w:pos="425"/>
        </w:tabs>
        <w:ind w:left="425" w:hanging="210"/>
      </w:pPr>
      <w:rPr>
        <w:rFonts w:ascii="Symbol" w:hAnsi="Symbol" w:hint="default"/>
        <w:color w:val="auto"/>
        <w:sz w:val="16"/>
      </w:rPr>
    </w:lvl>
    <w:lvl w:ilvl="1" w:tplc="B4A235E0">
      <w:start w:val="1"/>
      <w:numFmt w:val="bullet"/>
      <w:pStyle w:val="TSMixedB3"/>
      <w:lvlText w:val="-"/>
      <w:lvlJc w:val="left"/>
      <w:pPr>
        <w:tabs>
          <w:tab w:val="num" w:pos="641"/>
        </w:tabs>
        <w:ind w:left="641" w:hanging="216"/>
      </w:pPr>
      <w:rPr>
        <w:rFonts w:ascii="Courier New" w:hAnsi="Courier New" w:hint="default"/>
      </w:rPr>
    </w:lvl>
    <w:lvl w:ilvl="2" w:tplc="5ABA100E">
      <w:start w:val="1"/>
      <w:numFmt w:val="none"/>
      <w:suff w:val="nothing"/>
      <w:lvlText w:val=""/>
      <w:lvlJc w:val="left"/>
      <w:pPr>
        <w:ind w:left="641" w:firstLine="0"/>
      </w:pPr>
      <w:rPr>
        <w:rFonts w:hint="default"/>
      </w:rPr>
    </w:lvl>
    <w:lvl w:ilvl="3" w:tplc="2564D380">
      <w:start w:val="1"/>
      <w:numFmt w:val="none"/>
      <w:suff w:val="nothing"/>
      <w:lvlText w:val=""/>
      <w:lvlJc w:val="left"/>
      <w:pPr>
        <w:ind w:left="641" w:firstLine="0"/>
      </w:pPr>
      <w:rPr>
        <w:rFonts w:hint="default"/>
      </w:rPr>
    </w:lvl>
    <w:lvl w:ilvl="4" w:tplc="68E6AC7E">
      <w:start w:val="1"/>
      <w:numFmt w:val="none"/>
      <w:suff w:val="nothing"/>
      <w:lvlText w:val=""/>
      <w:lvlJc w:val="left"/>
      <w:pPr>
        <w:ind w:left="641" w:firstLine="0"/>
      </w:pPr>
      <w:rPr>
        <w:rFonts w:hint="default"/>
      </w:rPr>
    </w:lvl>
    <w:lvl w:ilvl="5" w:tplc="00AC1B9A">
      <w:start w:val="1"/>
      <w:numFmt w:val="none"/>
      <w:suff w:val="nothing"/>
      <w:lvlText w:val=""/>
      <w:lvlJc w:val="left"/>
      <w:pPr>
        <w:ind w:left="641" w:firstLine="0"/>
      </w:pPr>
      <w:rPr>
        <w:rFonts w:hint="default"/>
      </w:rPr>
    </w:lvl>
    <w:lvl w:ilvl="6" w:tplc="32508AA8">
      <w:start w:val="1"/>
      <w:numFmt w:val="none"/>
      <w:suff w:val="nothing"/>
      <w:lvlText w:val=""/>
      <w:lvlJc w:val="left"/>
      <w:pPr>
        <w:ind w:left="641" w:firstLine="0"/>
      </w:pPr>
      <w:rPr>
        <w:rFonts w:hint="default"/>
      </w:rPr>
    </w:lvl>
    <w:lvl w:ilvl="7" w:tplc="DD7C5BF0">
      <w:start w:val="1"/>
      <w:numFmt w:val="none"/>
      <w:suff w:val="nothing"/>
      <w:lvlText w:val=""/>
      <w:lvlJc w:val="left"/>
      <w:pPr>
        <w:ind w:left="641" w:firstLine="0"/>
      </w:pPr>
      <w:rPr>
        <w:rFonts w:hint="default"/>
      </w:rPr>
    </w:lvl>
    <w:lvl w:ilvl="8" w:tplc="88DCF396">
      <w:start w:val="1"/>
      <w:numFmt w:val="none"/>
      <w:suff w:val="nothing"/>
      <w:lvlText w:val=""/>
      <w:lvlJc w:val="left"/>
      <w:pPr>
        <w:ind w:left="641" w:firstLine="0"/>
      </w:pPr>
      <w:rPr>
        <w:rFonts w:hint="default"/>
      </w:rPr>
    </w:lvl>
  </w:abstractNum>
  <w:abstractNum w:abstractNumId="18" w15:restartNumberingAfterBreak="0">
    <w:nsid w:val="419F3A96"/>
    <w:multiLevelType w:val="hybridMultilevel"/>
    <w:tmpl w:val="11D80C42"/>
    <w:lvl w:ilvl="0" w:tplc="82E87168">
      <w:start w:val="1"/>
      <w:numFmt w:val="bullet"/>
      <w:lvlText w:val=""/>
      <w:lvlJc w:val="left"/>
      <w:pPr>
        <w:ind w:left="720" w:hanging="360"/>
      </w:pPr>
      <w:rPr>
        <w:rFonts w:ascii="Symbol" w:hAnsi="Symbol" w:hint="default"/>
        <w:color w:val="03B2C4"/>
        <w:u w:color="03B2C4"/>
      </w:rPr>
    </w:lvl>
    <w:lvl w:ilvl="1" w:tplc="8F308CFE">
      <w:start w:val="1"/>
      <w:numFmt w:val="bullet"/>
      <w:pStyle w:val="Bodybullet2"/>
      <w:lvlText w:val="–"/>
      <w:lvlJc w:val="left"/>
      <w:pPr>
        <w:ind w:left="1440" w:hanging="360"/>
      </w:pPr>
      <w:rPr>
        <w:rFonts w:ascii="Arial" w:hAnsi="Arial" w:hint="default"/>
        <w:b/>
        <w:i w:val="0"/>
        <w:color w:val="03B2C4"/>
        <w:u w:color="6BBAD9" w:themeColor="accent6"/>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51A2FE1"/>
    <w:multiLevelType w:val="hybridMultilevel"/>
    <w:tmpl w:val="FB627446"/>
    <w:lvl w:ilvl="0" w:tplc="3552F2F2">
      <w:start w:val="1"/>
      <w:numFmt w:val="decimal"/>
      <w:lvlText w:val="%1."/>
      <w:lvlJc w:val="left"/>
      <w:pPr>
        <w:ind w:left="720" w:hanging="360"/>
      </w:pPr>
    </w:lvl>
    <w:lvl w:ilvl="1" w:tplc="E396A766">
      <w:start w:val="1"/>
      <w:numFmt w:val="lowerLetter"/>
      <w:lvlText w:val="%2."/>
      <w:lvlJc w:val="left"/>
      <w:pPr>
        <w:ind w:left="1440" w:hanging="360"/>
      </w:pPr>
    </w:lvl>
    <w:lvl w:ilvl="2" w:tplc="9A321C0C">
      <w:start w:val="1"/>
      <w:numFmt w:val="lowerRoman"/>
      <w:lvlText w:val="%3."/>
      <w:lvlJc w:val="right"/>
      <w:pPr>
        <w:ind w:left="2160" w:hanging="180"/>
      </w:pPr>
    </w:lvl>
    <w:lvl w:ilvl="3" w:tplc="78722DC8">
      <w:start w:val="1"/>
      <w:numFmt w:val="decimal"/>
      <w:lvlText w:val="%4."/>
      <w:lvlJc w:val="left"/>
      <w:pPr>
        <w:ind w:left="2880" w:hanging="360"/>
      </w:pPr>
    </w:lvl>
    <w:lvl w:ilvl="4" w:tplc="D5BC3080">
      <w:start w:val="1"/>
      <w:numFmt w:val="lowerLetter"/>
      <w:lvlText w:val="%5."/>
      <w:lvlJc w:val="left"/>
      <w:pPr>
        <w:ind w:left="3600" w:hanging="360"/>
      </w:pPr>
    </w:lvl>
    <w:lvl w:ilvl="5" w:tplc="214262FA">
      <w:start w:val="1"/>
      <w:numFmt w:val="lowerRoman"/>
      <w:lvlText w:val="%6."/>
      <w:lvlJc w:val="right"/>
      <w:pPr>
        <w:ind w:left="4320" w:hanging="180"/>
      </w:pPr>
    </w:lvl>
    <w:lvl w:ilvl="6" w:tplc="8EFCE1E6">
      <w:start w:val="1"/>
      <w:numFmt w:val="decimal"/>
      <w:lvlText w:val="%7."/>
      <w:lvlJc w:val="left"/>
      <w:pPr>
        <w:ind w:left="5040" w:hanging="360"/>
      </w:pPr>
    </w:lvl>
    <w:lvl w:ilvl="7" w:tplc="D87CC882">
      <w:start w:val="1"/>
      <w:numFmt w:val="lowerLetter"/>
      <w:lvlText w:val="%8."/>
      <w:lvlJc w:val="left"/>
      <w:pPr>
        <w:ind w:left="5760" w:hanging="360"/>
      </w:pPr>
    </w:lvl>
    <w:lvl w:ilvl="8" w:tplc="D1D6B45A">
      <w:start w:val="1"/>
      <w:numFmt w:val="lowerRoman"/>
      <w:lvlText w:val="%9."/>
      <w:lvlJc w:val="right"/>
      <w:pPr>
        <w:ind w:left="6480" w:hanging="180"/>
      </w:pPr>
    </w:lvl>
  </w:abstractNum>
  <w:abstractNum w:abstractNumId="20" w15:restartNumberingAfterBreak="0">
    <w:nsid w:val="49452C05"/>
    <w:multiLevelType w:val="multilevel"/>
    <w:tmpl w:val="3F04C68C"/>
    <w:lvl w:ilvl="0">
      <w:start w:val="1"/>
      <w:numFmt w:val="decimal"/>
      <w:pStyle w:val="LNHEADING1"/>
      <w:lvlText w:val="%1"/>
      <w:lvlJc w:val="left"/>
      <w:pPr>
        <w:tabs>
          <w:tab w:val="num" w:pos="851"/>
        </w:tabs>
        <w:ind w:left="851" w:hanging="851"/>
      </w:pPr>
      <w:rPr>
        <w:rFonts w:hint="default"/>
      </w:rPr>
    </w:lvl>
    <w:lvl w:ilvl="1">
      <w:start w:val="1"/>
      <w:numFmt w:val="decimal"/>
      <w:pStyle w:val="LNPara2"/>
      <w:lvlText w:val="%1.%2"/>
      <w:lvlJc w:val="left"/>
      <w:pPr>
        <w:tabs>
          <w:tab w:val="num" w:pos="851"/>
        </w:tabs>
        <w:ind w:left="851" w:hanging="851"/>
      </w:pPr>
      <w:rPr>
        <w:rFonts w:hint="default"/>
      </w:rPr>
    </w:lvl>
    <w:lvl w:ilvl="2">
      <w:start w:val="1"/>
      <w:numFmt w:val="decimal"/>
      <w:pStyle w:val="LNPara3"/>
      <w:lvlText w:val="%1.%2.%3"/>
      <w:lvlJc w:val="left"/>
      <w:pPr>
        <w:tabs>
          <w:tab w:val="num" w:pos="851"/>
        </w:tabs>
        <w:ind w:left="851" w:hanging="851"/>
      </w:pPr>
      <w:rPr>
        <w:rFonts w:hint="default"/>
      </w:rPr>
    </w:lvl>
    <w:lvl w:ilvl="3">
      <w:start w:val="1"/>
      <w:numFmt w:val="lowerLetter"/>
      <w:pStyle w:val="LNParaa"/>
      <w:lvlText w:val="%4"/>
      <w:lvlJc w:val="left"/>
      <w:pPr>
        <w:tabs>
          <w:tab w:val="num" w:pos="1276"/>
        </w:tabs>
        <w:ind w:left="1276" w:hanging="425"/>
      </w:pPr>
      <w:rPr>
        <w:rFonts w:hint="default"/>
      </w:rPr>
    </w:lvl>
    <w:lvl w:ilvl="4">
      <w:start w:val="1"/>
      <w:numFmt w:val="lowerRoman"/>
      <w:pStyle w:val="LNParai"/>
      <w:lvlText w:val="%5"/>
      <w:lvlJc w:val="left"/>
      <w:pPr>
        <w:tabs>
          <w:tab w:val="num" w:pos="1701"/>
        </w:tabs>
        <w:ind w:left="1701" w:hanging="425"/>
      </w:pPr>
      <w:rPr>
        <w:rFonts w:hint="default"/>
      </w:rPr>
    </w:lvl>
    <w:lvl w:ilvl="5">
      <w:start w:val="1"/>
      <w:numFmt w:val="bullet"/>
      <w:pStyle w:val="LNParaB1"/>
      <w:lvlText w:val=""/>
      <w:lvlJc w:val="left"/>
      <w:pPr>
        <w:tabs>
          <w:tab w:val="num" w:pos="1276"/>
        </w:tabs>
        <w:ind w:left="1276" w:hanging="425"/>
      </w:pPr>
      <w:rPr>
        <w:rFonts w:ascii="Symbol" w:hAnsi="Symbol" w:hint="default"/>
        <w:color w:val="auto"/>
      </w:rPr>
    </w:lvl>
    <w:lvl w:ilvl="6">
      <w:start w:val="1"/>
      <w:numFmt w:val="bullet"/>
      <w:pStyle w:val="LNParaB2"/>
      <w:lvlText w:val="-"/>
      <w:lvlJc w:val="left"/>
      <w:pPr>
        <w:tabs>
          <w:tab w:val="num" w:pos="1701"/>
        </w:tabs>
        <w:ind w:left="1701" w:hanging="425"/>
      </w:pPr>
      <w:rPr>
        <w:rFonts w:ascii="Courier New" w:hAnsi="Courier New" w:hint="default"/>
      </w:rPr>
    </w:lvl>
    <w:lvl w:ilvl="7">
      <w:start w:val="1"/>
      <w:numFmt w:val="bullet"/>
      <w:pStyle w:val="LNParaB3"/>
      <w:lvlText w:val=""/>
      <w:lvlJc w:val="left"/>
      <w:pPr>
        <w:tabs>
          <w:tab w:val="num" w:pos="2126"/>
        </w:tabs>
        <w:ind w:left="2126" w:hanging="425"/>
      </w:pPr>
      <w:rPr>
        <w:rFonts w:ascii="Wingdings" w:hAnsi="Wingdings" w:hint="default"/>
      </w:rPr>
    </w:lvl>
    <w:lvl w:ilvl="8">
      <w:start w:val="1"/>
      <w:numFmt w:val="none"/>
      <w:suff w:val="nothing"/>
      <w:lvlText w:val=""/>
      <w:lvlJc w:val="left"/>
      <w:pPr>
        <w:ind w:left="2126" w:firstLine="0"/>
      </w:pPr>
      <w:rPr>
        <w:rFonts w:hint="default"/>
      </w:rPr>
    </w:lvl>
  </w:abstractNum>
  <w:abstractNum w:abstractNumId="21" w15:restartNumberingAfterBreak="0">
    <w:nsid w:val="4C203B34"/>
    <w:multiLevelType w:val="hybridMultilevel"/>
    <w:tmpl w:val="E6BC8096"/>
    <w:lvl w:ilvl="0" w:tplc="6A8A8DBA">
      <w:start w:val="1"/>
      <w:numFmt w:val="decimal"/>
      <w:pStyle w:val="SNNumber1"/>
      <w:lvlText w:val="%1"/>
      <w:lvlJc w:val="left"/>
      <w:pPr>
        <w:tabs>
          <w:tab w:val="num" w:pos="851"/>
        </w:tabs>
        <w:ind w:left="851" w:hanging="851"/>
      </w:pPr>
      <w:rPr>
        <w:rFonts w:hint="default"/>
      </w:rPr>
    </w:lvl>
    <w:lvl w:ilvl="1" w:tplc="BAD631F0">
      <w:start w:val="1"/>
      <w:numFmt w:val="lowerLetter"/>
      <w:pStyle w:val="SNParaa"/>
      <w:lvlText w:val="%2"/>
      <w:lvlJc w:val="left"/>
      <w:pPr>
        <w:tabs>
          <w:tab w:val="num" w:pos="1276"/>
        </w:tabs>
        <w:ind w:left="1276" w:hanging="425"/>
      </w:pPr>
      <w:rPr>
        <w:rFonts w:hint="default"/>
      </w:rPr>
    </w:lvl>
    <w:lvl w:ilvl="2" w:tplc="0BA0577A">
      <w:start w:val="1"/>
      <w:numFmt w:val="lowerRoman"/>
      <w:pStyle w:val="SNParai"/>
      <w:lvlText w:val="%3"/>
      <w:lvlJc w:val="left"/>
      <w:pPr>
        <w:tabs>
          <w:tab w:val="num" w:pos="1276"/>
        </w:tabs>
        <w:ind w:left="1276" w:hanging="425"/>
      </w:pPr>
      <w:rPr>
        <w:rFonts w:hint="default"/>
      </w:rPr>
    </w:lvl>
    <w:lvl w:ilvl="3" w:tplc="3DC4FEEC">
      <w:start w:val="1"/>
      <w:numFmt w:val="decimal"/>
      <w:pStyle w:val="SNPara1"/>
      <w:lvlText w:val="%4"/>
      <w:lvlJc w:val="left"/>
      <w:pPr>
        <w:tabs>
          <w:tab w:val="num" w:pos="1276"/>
        </w:tabs>
        <w:ind w:left="1276" w:hanging="425"/>
      </w:pPr>
      <w:rPr>
        <w:rFonts w:hint="default"/>
      </w:rPr>
    </w:lvl>
    <w:lvl w:ilvl="4" w:tplc="3FCA9706">
      <w:start w:val="1"/>
      <w:numFmt w:val="bullet"/>
      <w:pStyle w:val="SNParaB1"/>
      <w:lvlText w:val=""/>
      <w:lvlJc w:val="left"/>
      <w:pPr>
        <w:tabs>
          <w:tab w:val="num" w:pos="1701"/>
        </w:tabs>
        <w:ind w:left="1701" w:hanging="425"/>
      </w:pPr>
      <w:rPr>
        <w:rFonts w:ascii="Symbol" w:hAnsi="Symbol" w:hint="default"/>
        <w:color w:val="auto"/>
      </w:rPr>
    </w:lvl>
    <w:lvl w:ilvl="5" w:tplc="5F06EC10">
      <w:start w:val="1"/>
      <w:numFmt w:val="bullet"/>
      <w:pStyle w:val="SNParaB2"/>
      <w:lvlText w:val="-"/>
      <w:lvlJc w:val="left"/>
      <w:pPr>
        <w:tabs>
          <w:tab w:val="num" w:pos="2126"/>
        </w:tabs>
        <w:ind w:left="2126" w:hanging="425"/>
      </w:pPr>
      <w:rPr>
        <w:rFonts w:ascii="Courier New" w:hAnsi="Courier New" w:hint="default"/>
      </w:rPr>
    </w:lvl>
    <w:lvl w:ilvl="6" w:tplc="DF9A981C">
      <w:start w:val="1"/>
      <w:numFmt w:val="none"/>
      <w:suff w:val="nothing"/>
      <w:lvlText w:val=""/>
      <w:lvlJc w:val="left"/>
      <w:pPr>
        <w:ind w:left="2126" w:firstLine="0"/>
      </w:pPr>
      <w:rPr>
        <w:rFonts w:hint="default"/>
      </w:rPr>
    </w:lvl>
    <w:lvl w:ilvl="7" w:tplc="EA28B074">
      <w:start w:val="1"/>
      <w:numFmt w:val="none"/>
      <w:suff w:val="nothing"/>
      <w:lvlText w:val=""/>
      <w:lvlJc w:val="left"/>
      <w:pPr>
        <w:ind w:left="2126" w:firstLine="0"/>
      </w:pPr>
      <w:rPr>
        <w:rFonts w:hint="default"/>
      </w:rPr>
    </w:lvl>
    <w:lvl w:ilvl="8" w:tplc="05A60BA6">
      <w:start w:val="1"/>
      <w:numFmt w:val="none"/>
      <w:suff w:val="nothing"/>
      <w:lvlText w:val=""/>
      <w:lvlJc w:val="left"/>
      <w:pPr>
        <w:ind w:left="2126" w:firstLine="0"/>
      </w:pPr>
      <w:rPr>
        <w:rFonts w:hint="default"/>
      </w:rPr>
    </w:lvl>
  </w:abstractNum>
  <w:abstractNum w:abstractNumId="22" w15:restartNumberingAfterBreak="0">
    <w:nsid w:val="50AD4523"/>
    <w:multiLevelType w:val="hybridMultilevel"/>
    <w:tmpl w:val="26C222C4"/>
    <w:lvl w:ilvl="0" w:tplc="0F2C51D4">
      <w:start w:val="1"/>
      <w:numFmt w:val="decimal"/>
      <w:lvlText w:val="%1."/>
      <w:lvlJc w:val="left"/>
      <w:pPr>
        <w:ind w:left="720" w:hanging="360"/>
      </w:pPr>
    </w:lvl>
    <w:lvl w:ilvl="1" w:tplc="AD42362A">
      <w:start w:val="1"/>
      <w:numFmt w:val="lowerLetter"/>
      <w:lvlText w:val="%2."/>
      <w:lvlJc w:val="left"/>
      <w:pPr>
        <w:ind w:left="1440" w:hanging="360"/>
      </w:pPr>
    </w:lvl>
    <w:lvl w:ilvl="2" w:tplc="5C5C9168">
      <w:start w:val="1"/>
      <w:numFmt w:val="lowerRoman"/>
      <w:lvlText w:val="%3."/>
      <w:lvlJc w:val="right"/>
      <w:pPr>
        <w:ind w:left="2160" w:hanging="180"/>
      </w:pPr>
    </w:lvl>
    <w:lvl w:ilvl="3" w:tplc="ADC030B2">
      <w:start w:val="1"/>
      <w:numFmt w:val="decimal"/>
      <w:lvlText w:val="%4."/>
      <w:lvlJc w:val="left"/>
      <w:pPr>
        <w:ind w:left="2880" w:hanging="360"/>
      </w:pPr>
    </w:lvl>
    <w:lvl w:ilvl="4" w:tplc="9E70B052">
      <w:start w:val="1"/>
      <w:numFmt w:val="lowerLetter"/>
      <w:lvlText w:val="%5."/>
      <w:lvlJc w:val="left"/>
      <w:pPr>
        <w:ind w:left="3600" w:hanging="360"/>
      </w:pPr>
    </w:lvl>
    <w:lvl w:ilvl="5" w:tplc="B6B484E4">
      <w:start w:val="1"/>
      <w:numFmt w:val="lowerRoman"/>
      <w:lvlText w:val="%6."/>
      <w:lvlJc w:val="right"/>
      <w:pPr>
        <w:ind w:left="4320" w:hanging="180"/>
      </w:pPr>
    </w:lvl>
    <w:lvl w:ilvl="6" w:tplc="8A402950">
      <w:start w:val="1"/>
      <w:numFmt w:val="decimal"/>
      <w:lvlText w:val="%7."/>
      <w:lvlJc w:val="left"/>
      <w:pPr>
        <w:ind w:left="5040" w:hanging="360"/>
      </w:pPr>
    </w:lvl>
    <w:lvl w:ilvl="7" w:tplc="5C826D32">
      <w:start w:val="1"/>
      <w:numFmt w:val="lowerLetter"/>
      <w:lvlText w:val="%8."/>
      <w:lvlJc w:val="left"/>
      <w:pPr>
        <w:ind w:left="5760" w:hanging="360"/>
      </w:pPr>
    </w:lvl>
    <w:lvl w:ilvl="8" w:tplc="9E84A230">
      <w:start w:val="1"/>
      <w:numFmt w:val="lowerRoman"/>
      <w:lvlText w:val="%9."/>
      <w:lvlJc w:val="right"/>
      <w:pPr>
        <w:ind w:left="6480" w:hanging="180"/>
      </w:pPr>
    </w:lvl>
  </w:abstractNum>
  <w:abstractNum w:abstractNumId="23" w15:restartNumberingAfterBreak="0">
    <w:nsid w:val="50B879C5"/>
    <w:multiLevelType w:val="hybridMultilevel"/>
    <w:tmpl w:val="BF3ABB82"/>
    <w:lvl w:ilvl="0" w:tplc="0C6CCE28">
      <w:start w:val="1"/>
      <w:numFmt w:val="decimal"/>
      <w:lvlText w:val="%1."/>
      <w:lvlJc w:val="left"/>
      <w:pPr>
        <w:ind w:left="720" w:hanging="360"/>
      </w:pPr>
    </w:lvl>
    <w:lvl w:ilvl="1" w:tplc="5D5886D2">
      <w:start w:val="1"/>
      <w:numFmt w:val="lowerLetter"/>
      <w:lvlText w:val="%2."/>
      <w:lvlJc w:val="left"/>
      <w:pPr>
        <w:ind w:left="1440" w:hanging="360"/>
      </w:pPr>
    </w:lvl>
    <w:lvl w:ilvl="2" w:tplc="A18ABB98">
      <w:start w:val="1"/>
      <w:numFmt w:val="lowerRoman"/>
      <w:lvlText w:val="%3."/>
      <w:lvlJc w:val="right"/>
      <w:pPr>
        <w:ind w:left="2160" w:hanging="180"/>
      </w:pPr>
    </w:lvl>
    <w:lvl w:ilvl="3" w:tplc="32F2C3A4">
      <w:start w:val="1"/>
      <w:numFmt w:val="decimal"/>
      <w:lvlText w:val="%4."/>
      <w:lvlJc w:val="left"/>
      <w:pPr>
        <w:ind w:left="2880" w:hanging="360"/>
      </w:pPr>
    </w:lvl>
    <w:lvl w:ilvl="4" w:tplc="DC6A7314">
      <w:start w:val="1"/>
      <w:numFmt w:val="lowerLetter"/>
      <w:lvlText w:val="%5."/>
      <w:lvlJc w:val="left"/>
      <w:pPr>
        <w:ind w:left="3600" w:hanging="360"/>
      </w:pPr>
    </w:lvl>
    <w:lvl w:ilvl="5" w:tplc="392CA36C">
      <w:start w:val="1"/>
      <w:numFmt w:val="lowerRoman"/>
      <w:lvlText w:val="%6."/>
      <w:lvlJc w:val="right"/>
      <w:pPr>
        <w:ind w:left="4320" w:hanging="180"/>
      </w:pPr>
    </w:lvl>
    <w:lvl w:ilvl="6" w:tplc="D318DE40">
      <w:start w:val="1"/>
      <w:numFmt w:val="decimal"/>
      <w:lvlText w:val="%7."/>
      <w:lvlJc w:val="left"/>
      <w:pPr>
        <w:ind w:left="5040" w:hanging="360"/>
      </w:pPr>
    </w:lvl>
    <w:lvl w:ilvl="7" w:tplc="FA8C8E5C">
      <w:start w:val="1"/>
      <w:numFmt w:val="lowerLetter"/>
      <w:lvlText w:val="%8."/>
      <w:lvlJc w:val="left"/>
      <w:pPr>
        <w:ind w:left="5760" w:hanging="360"/>
      </w:pPr>
    </w:lvl>
    <w:lvl w:ilvl="8" w:tplc="D8E6920E">
      <w:start w:val="1"/>
      <w:numFmt w:val="lowerRoman"/>
      <w:lvlText w:val="%9."/>
      <w:lvlJc w:val="right"/>
      <w:pPr>
        <w:ind w:left="6480" w:hanging="180"/>
      </w:pPr>
    </w:lvl>
  </w:abstractNum>
  <w:abstractNum w:abstractNumId="24" w15:restartNumberingAfterBreak="0">
    <w:nsid w:val="516F5E02"/>
    <w:multiLevelType w:val="hybridMultilevel"/>
    <w:tmpl w:val="B8D0B29C"/>
    <w:lvl w:ilvl="0" w:tplc="8F80A5AC">
      <w:start w:val="1"/>
      <w:numFmt w:val="bullet"/>
      <w:pStyle w:val="SNBullet1"/>
      <w:lvlText w:val=""/>
      <w:lvlJc w:val="left"/>
      <w:pPr>
        <w:tabs>
          <w:tab w:val="num" w:pos="1276"/>
        </w:tabs>
        <w:ind w:left="1276" w:hanging="425"/>
      </w:pPr>
      <w:rPr>
        <w:rFonts w:ascii="Symbol" w:hAnsi="Symbol" w:hint="default"/>
        <w:color w:val="auto"/>
      </w:rPr>
    </w:lvl>
    <w:lvl w:ilvl="1" w:tplc="579C604E">
      <w:start w:val="1"/>
      <w:numFmt w:val="bullet"/>
      <w:pStyle w:val="SNBullet2"/>
      <w:lvlText w:val="-"/>
      <w:lvlJc w:val="left"/>
      <w:pPr>
        <w:tabs>
          <w:tab w:val="num" w:pos="1701"/>
        </w:tabs>
        <w:ind w:left="1701" w:hanging="425"/>
      </w:pPr>
      <w:rPr>
        <w:rFonts w:ascii="Courier New" w:hAnsi="Courier New" w:hint="default"/>
        <w:color w:val="auto"/>
      </w:rPr>
    </w:lvl>
    <w:lvl w:ilvl="2" w:tplc="0FFA674C">
      <w:start w:val="1"/>
      <w:numFmt w:val="bullet"/>
      <w:pStyle w:val="SNBullet3"/>
      <w:lvlText w:val=""/>
      <w:lvlJc w:val="left"/>
      <w:pPr>
        <w:tabs>
          <w:tab w:val="num" w:pos="2126"/>
        </w:tabs>
        <w:ind w:left="2126" w:hanging="425"/>
      </w:pPr>
      <w:rPr>
        <w:rFonts w:ascii="Wingdings" w:hAnsi="Wingdings" w:hint="default"/>
        <w:color w:val="423E3C"/>
      </w:rPr>
    </w:lvl>
    <w:lvl w:ilvl="3" w:tplc="45043E60">
      <w:start w:val="1"/>
      <w:numFmt w:val="none"/>
      <w:suff w:val="nothing"/>
      <w:lvlText w:val=""/>
      <w:lvlJc w:val="left"/>
      <w:pPr>
        <w:ind w:left="2126" w:firstLine="0"/>
      </w:pPr>
      <w:rPr>
        <w:rFonts w:hint="default"/>
      </w:rPr>
    </w:lvl>
    <w:lvl w:ilvl="4" w:tplc="7BCA5476">
      <w:start w:val="1"/>
      <w:numFmt w:val="none"/>
      <w:suff w:val="nothing"/>
      <w:lvlText w:val=""/>
      <w:lvlJc w:val="left"/>
      <w:pPr>
        <w:ind w:left="2126" w:firstLine="0"/>
      </w:pPr>
      <w:rPr>
        <w:rFonts w:hint="default"/>
      </w:rPr>
    </w:lvl>
    <w:lvl w:ilvl="5" w:tplc="B350A6E8">
      <w:start w:val="1"/>
      <w:numFmt w:val="none"/>
      <w:suff w:val="nothing"/>
      <w:lvlText w:val=""/>
      <w:lvlJc w:val="left"/>
      <w:pPr>
        <w:ind w:left="2126" w:firstLine="0"/>
      </w:pPr>
      <w:rPr>
        <w:rFonts w:hint="default"/>
      </w:rPr>
    </w:lvl>
    <w:lvl w:ilvl="6" w:tplc="B92AFF00">
      <w:start w:val="1"/>
      <w:numFmt w:val="none"/>
      <w:suff w:val="nothing"/>
      <w:lvlText w:val=""/>
      <w:lvlJc w:val="left"/>
      <w:pPr>
        <w:ind w:left="2126" w:firstLine="0"/>
      </w:pPr>
      <w:rPr>
        <w:rFonts w:hint="default"/>
      </w:rPr>
    </w:lvl>
    <w:lvl w:ilvl="7" w:tplc="30327896">
      <w:start w:val="1"/>
      <w:numFmt w:val="none"/>
      <w:suff w:val="nothing"/>
      <w:lvlText w:val=""/>
      <w:lvlJc w:val="left"/>
      <w:pPr>
        <w:ind w:left="2126" w:firstLine="0"/>
      </w:pPr>
      <w:rPr>
        <w:rFonts w:hint="default"/>
      </w:rPr>
    </w:lvl>
    <w:lvl w:ilvl="8" w:tplc="7DEC5C66">
      <w:start w:val="1"/>
      <w:numFmt w:val="none"/>
      <w:suff w:val="space"/>
      <w:lvlText w:val=""/>
      <w:lvlJc w:val="left"/>
      <w:pPr>
        <w:ind w:left="2126" w:firstLine="0"/>
      </w:pPr>
      <w:rPr>
        <w:rFonts w:hint="default"/>
      </w:rPr>
    </w:lvl>
  </w:abstractNum>
  <w:abstractNum w:abstractNumId="25" w15:restartNumberingAfterBreak="0">
    <w:nsid w:val="530F39CB"/>
    <w:multiLevelType w:val="hybridMultilevel"/>
    <w:tmpl w:val="AA228F98"/>
    <w:lvl w:ilvl="0" w:tplc="475E5852">
      <w:start w:val="1"/>
      <w:numFmt w:val="bullet"/>
      <w:lvlText w:val="►"/>
      <w:lvlJc w:val="left"/>
      <w:pPr>
        <w:ind w:left="720" w:hanging="360"/>
      </w:pPr>
      <w:rPr>
        <w:rFonts w:ascii="Arial" w:hAnsi="Arial" w:hint="default"/>
        <w:color w:val="0068A6"/>
        <w:sz w:val="16"/>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4ED5620"/>
    <w:multiLevelType w:val="hybridMultilevel"/>
    <w:tmpl w:val="F274D5E2"/>
    <w:lvl w:ilvl="0" w:tplc="75A6CF0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D6C2D"/>
    <w:multiLevelType w:val="hybridMultilevel"/>
    <w:tmpl w:val="0EAADB04"/>
    <w:lvl w:ilvl="0" w:tplc="F74009B8">
      <w:start w:val="1"/>
      <w:numFmt w:val="bullet"/>
      <w:pStyle w:val="TSBullet1"/>
      <w:lvlText w:val=""/>
      <w:lvlJc w:val="left"/>
      <w:pPr>
        <w:tabs>
          <w:tab w:val="num" w:pos="215"/>
        </w:tabs>
        <w:ind w:left="215" w:hanging="215"/>
      </w:pPr>
      <w:rPr>
        <w:rFonts w:ascii="Symbol" w:hAnsi="Symbol" w:hint="default"/>
        <w:color w:val="auto"/>
      </w:rPr>
    </w:lvl>
    <w:lvl w:ilvl="1" w:tplc="4B9E6340">
      <w:start w:val="1"/>
      <w:numFmt w:val="bullet"/>
      <w:pStyle w:val="TSBullet2"/>
      <w:lvlText w:val="-"/>
      <w:lvlJc w:val="left"/>
      <w:pPr>
        <w:tabs>
          <w:tab w:val="num" w:pos="425"/>
        </w:tabs>
        <w:ind w:left="425" w:hanging="210"/>
      </w:pPr>
      <w:rPr>
        <w:rFonts w:ascii="Courier New" w:hAnsi="Courier New" w:hint="default"/>
      </w:rPr>
    </w:lvl>
    <w:lvl w:ilvl="2" w:tplc="F626BE38">
      <w:start w:val="1"/>
      <w:numFmt w:val="bullet"/>
      <w:pStyle w:val="TSBullet3"/>
      <w:lvlText w:val=""/>
      <w:lvlJc w:val="left"/>
      <w:pPr>
        <w:tabs>
          <w:tab w:val="num" w:pos="641"/>
        </w:tabs>
        <w:ind w:left="641" w:hanging="216"/>
      </w:pPr>
      <w:rPr>
        <w:rFonts w:ascii="Wingdings" w:hAnsi="Wingdings" w:hint="default"/>
      </w:rPr>
    </w:lvl>
    <w:lvl w:ilvl="3" w:tplc="1FF66CD2">
      <w:start w:val="1"/>
      <w:numFmt w:val="none"/>
      <w:suff w:val="nothing"/>
      <w:lvlText w:val=""/>
      <w:lvlJc w:val="left"/>
      <w:pPr>
        <w:ind w:left="641" w:firstLine="0"/>
      </w:pPr>
      <w:rPr>
        <w:rFonts w:hint="default"/>
      </w:rPr>
    </w:lvl>
    <w:lvl w:ilvl="4" w:tplc="56E62338">
      <w:start w:val="1"/>
      <w:numFmt w:val="none"/>
      <w:suff w:val="nothing"/>
      <w:lvlText w:val=""/>
      <w:lvlJc w:val="left"/>
      <w:pPr>
        <w:ind w:left="641" w:firstLine="0"/>
      </w:pPr>
      <w:rPr>
        <w:rFonts w:hint="default"/>
      </w:rPr>
    </w:lvl>
    <w:lvl w:ilvl="5" w:tplc="8C0C4928">
      <w:start w:val="1"/>
      <w:numFmt w:val="none"/>
      <w:suff w:val="nothing"/>
      <w:lvlText w:val=""/>
      <w:lvlJc w:val="left"/>
      <w:pPr>
        <w:ind w:left="641" w:firstLine="0"/>
      </w:pPr>
      <w:rPr>
        <w:rFonts w:hint="default"/>
      </w:rPr>
    </w:lvl>
    <w:lvl w:ilvl="6" w:tplc="0806089C">
      <w:start w:val="1"/>
      <w:numFmt w:val="none"/>
      <w:suff w:val="nothing"/>
      <w:lvlText w:val=""/>
      <w:lvlJc w:val="left"/>
      <w:pPr>
        <w:ind w:left="641" w:firstLine="0"/>
      </w:pPr>
      <w:rPr>
        <w:rFonts w:hint="default"/>
      </w:rPr>
    </w:lvl>
    <w:lvl w:ilvl="7" w:tplc="88A0E9E8">
      <w:start w:val="1"/>
      <w:numFmt w:val="none"/>
      <w:suff w:val="nothing"/>
      <w:lvlText w:val=""/>
      <w:lvlJc w:val="left"/>
      <w:pPr>
        <w:ind w:left="641" w:firstLine="0"/>
      </w:pPr>
      <w:rPr>
        <w:rFonts w:hint="default"/>
      </w:rPr>
    </w:lvl>
    <w:lvl w:ilvl="8" w:tplc="02C0ED32">
      <w:start w:val="1"/>
      <w:numFmt w:val="none"/>
      <w:suff w:val="nothing"/>
      <w:lvlText w:val=""/>
      <w:lvlJc w:val="left"/>
      <w:pPr>
        <w:ind w:left="641" w:firstLine="0"/>
      </w:pPr>
      <w:rPr>
        <w:rFonts w:hint="default"/>
      </w:rPr>
    </w:lvl>
  </w:abstractNum>
  <w:abstractNum w:abstractNumId="28" w15:restartNumberingAfterBreak="0">
    <w:nsid w:val="57E41EEF"/>
    <w:multiLevelType w:val="hybridMultilevel"/>
    <w:tmpl w:val="FB8CE90E"/>
    <w:lvl w:ilvl="0" w:tplc="10284A0E">
      <w:start w:val="1"/>
      <w:numFmt w:val="bullet"/>
      <w:pStyle w:val="USMixedB2"/>
      <w:lvlText w:val=""/>
      <w:lvlJc w:val="left"/>
      <w:pPr>
        <w:tabs>
          <w:tab w:val="num" w:pos="851"/>
        </w:tabs>
        <w:ind w:left="851" w:hanging="426"/>
      </w:pPr>
      <w:rPr>
        <w:rFonts w:ascii="Symbol" w:hAnsi="Symbol" w:hint="default"/>
        <w:color w:val="auto"/>
      </w:rPr>
    </w:lvl>
    <w:lvl w:ilvl="1" w:tplc="66007C22">
      <w:start w:val="1"/>
      <w:numFmt w:val="bullet"/>
      <w:pStyle w:val="USMixedB3"/>
      <w:lvlText w:val="-"/>
      <w:lvlJc w:val="left"/>
      <w:pPr>
        <w:tabs>
          <w:tab w:val="num" w:pos="1276"/>
        </w:tabs>
        <w:ind w:left="1276" w:hanging="425"/>
      </w:pPr>
      <w:rPr>
        <w:rFonts w:ascii="Courier New" w:hAnsi="Courier New" w:hint="default"/>
      </w:rPr>
    </w:lvl>
    <w:lvl w:ilvl="2" w:tplc="93EAE63E">
      <w:start w:val="1"/>
      <w:numFmt w:val="none"/>
      <w:suff w:val="nothing"/>
      <w:lvlText w:val=""/>
      <w:lvlJc w:val="left"/>
      <w:pPr>
        <w:ind w:left="1276" w:firstLine="0"/>
      </w:pPr>
      <w:rPr>
        <w:rFonts w:hint="default"/>
      </w:rPr>
    </w:lvl>
    <w:lvl w:ilvl="3" w:tplc="83F6DFEE">
      <w:start w:val="1"/>
      <w:numFmt w:val="none"/>
      <w:suff w:val="nothing"/>
      <w:lvlText w:val=""/>
      <w:lvlJc w:val="left"/>
      <w:pPr>
        <w:ind w:left="1276" w:firstLine="0"/>
      </w:pPr>
      <w:rPr>
        <w:rFonts w:hint="default"/>
      </w:rPr>
    </w:lvl>
    <w:lvl w:ilvl="4" w:tplc="4838049E">
      <w:start w:val="1"/>
      <w:numFmt w:val="none"/>
      <w:suff w:val="nothing"/>
      <w:lvlText w:val=""/>
      <w:lvlJc w:val="left"/>
      <w:pPr>
        <w:ind w:left="1276" w:firstLine="0"/>
      </w:pPr>
      <w:rPr>
        <w:rFonts w:hint="default"/>
      </w:rPr>
    </w:lvl>
    <w:lvl w:ilvl="5" w:tplc="7FDEC5FA">
      <w:start w:val="1"/>
      <w:numFmt w:val="none"/>
      <w:suff w:val="nothing"/>
      <w:lvlText w:val=""/>
      <w:lvlJc w:val="left"/>
      <w:pPr>
        <w:ind w:left="1276" w:firstLine="0"/>
      </w:pPr>
      <w:rPr>
        <w:rFonts w:hint="default"/>
      </w:rPr>
    </w:lvl>
    <w:lvl w:ilvl="6" w:tplc="9376B5B8">
      <w:start w:val="1"/>
      <w:numFmt w:val="none"/>
      <w:suff w:val="nothing"/>
      <w:lvlText w:val=""/>
      <w:lvlJc w:val="left"/>
      <w:pPr>
        <w:ind w:left="1276" w:firstLine="0"/>
      </w:pPr>
      <w:rPr>
        <w:rFonts w:hint="default"/>
      </w:rPr>
    </w:lvl>
    <w:lvl w:ilvl="7" w:tplc="EE8652BE">
      <w:start w:val="1"/>
      <w:numFmt w:val="none"/>
      <w:suff w:val="nothing"/>
      <w:lvlText w:val=""/>
      <w:lvlJc w:val="left"/>
      <w:pPr>
        <w:ind w:left="1276" w:firstLine="0"/>
      </w:pPr>
      <w:rPr>
        <w:rFonts w:hint="default"/>
      </w:rPr>
    </w:lvl>
    <w:lvl w:ilvl="8" w:tplc="A85A1366">
      <w:start w:val="1"/>
      <w:numFmt w:val="none"/>
      <w:suff w:val="nothing"/>
      <w:lvlText w:val=""/>
      <w:lvlJc w:val="left"/>
      <w:pPr>
        <w:ind w:left="1276" w:firstLine="0"/>
      </w:pPr>
      <w:rPr>
        <w:rFonts w:hint="default"/>
      </w:rPr>
    </w:lvl>
  </w:abstractNum>
  <w:abstractNum w:abstractNumId="29" w15:restartNumberingAfterBreak="0">
    <w:nsid w:val="5D1E011B"/>
    <w:multiLevelType w:val="hybridMultilevel"/>
    <w:tmpl w:val="341EC186"/>
    <w:lvl w:ilvl="0" w:tplc="9ED26E6A">
      <w:start w:val="1"/>
      <w:numFmt w:val="bullet"/>
      <w:pStyle w:val="USBullet1"/>
      <w:lvlText w:val=""/>
      <w:lvlJc w:val="left"/>
      <w:pPr>
        <w:tabs>
          <w:tab w:val="num" w:pos="425"/>
        </w:tabs>
        <w:ind w:left="425" w:hanging="425"/>
      </w:pPr>
      <w:rPr>
        <w:rFonts w:ascii="Symbol" w:hAnsi="Symbol" w:hint="default"/>
        <w:color w:val="auto"/>
      </w:rPr>
    </w:lvl>
    <w:lvl w:ilvl="1" w:tplc="30326492">
      <w:start w:val="1"/>
      <w:numFmt w:val="bullet"/>
      <w:pStyle w:val="USBullet2"/>
      <w:lvlText w:val="-"/>
      <w:lvlJc w:val="left"/>
      <w:pPr>
        <w:tabs>
          <w:tab w:val="num" w:pos="851"/>
        </w:tabs>
        <w:ind w:left="851" w:hanging="426"/>
      </w:pPr>
      <w:rPr>
        <w:rFonts w:ascii="Courier New" w:hAnsi="Courier New" w:hint="default"/>
      </w:rPr>
    </w:lvl>
    <w:lvl w:ilvl="2" w:tplc="AD4CB28C">
      <w:start w:val="1"/>
      <w:numFmt w:val="bullet"/>
      <w:pStyle w:val="USBullet3"/>
      <w:lvlText w:val=""/>
      <w:lvlJc w:val="left"/>
      <w:pPr>
        <w:tabs>
          <w:tab w:val="num" w:pos="1276"/>
        </w:tabs>
        <w:ind w:left="1276" w:hanging="425"/>
      </w:pPr>
      <w:rPr>
        <w:rFonts w:ascii="Wingdings" w:hAnsi="Wingdings" w:hint="default"/>
      </w:rPr>
    </w:lvl>
    <w:lvl w:ilvl="3" w:tplc="23B8CC26">
      <w:start w:val="1"/>
      <w:numFmt w:val="none"/>
      <w:suff w:val="nothing"/>
      <w:lvlText w:val=""/>
      <w:lvlJc w:val="left"/>
      <w:pPr>
        <w:ind w:left="1276" w:firstLine="0"/>
      </w:pPr>
      <w:rPr>
        <w:rFonts w:hint="default"/>
      </w:rPr>
    </w:lvl>
    <w:lvl w:ilvl="4" w:tplc="4D1C864E">
      <w:start w:val="1"/>
      <w:numFmt w:val="none"/>
      <w:suff w:val="nothing"/>
      <w:lvlText w:val=""/>
      <w:lvlJc w:val="left"/>
      <w:pPr>
        <w:ind w:left="1276" w:firstLine="0"/>
      </w:pPr>
      <w:rPr>
        <w:rFonts w:hint="default"/>
      </w:rPr>
    </w:lvl>
    <w:lvl w:ilvl="5" w:tplc="F0C65A5C">
      <w:start w:val="1"/>
      <w:numFmt w:val="none"/>
      <w:suff w:val="nothing"/>
      <w:lvlText w:val=""/>
      <w:lvlJc w:val="left"/>
      <w:pPr>
        <w:ind w:left="1276" w:firstLine="0"/>
      </w:pPr>
      <w:rPr>
        <w:rFonts w:hint="default"/>
      </w:rPr>
    </w:lvl>
    <w:lvl w:ilvl="6" w:tplc="0D5CEAF0">
      <w:start w:val="1"/>
      <w:numFmt w:val="none"/>
      <w:suff w:val="nothing"/>
      <w:lvlText w:val=""/>
      <w:lvlJc w:val="left"/>
      <w:pPr>
        <w:ind w:left="1276" w:firstLine="0"/>
      </w:pPr>
      <w:rPr>
        <w:rFonts w:hint="default"/>
      </w:rPr>
    </w:lvl>
    <w:lvl w:ilvl="7" w:tplc="C15464BA">
      <w:start w:val="1"/>
      <w:numFmt w:val="none"/>
      <w:suff w:val="nothing"/>
      <w:lvlText w:val=""/>
      <w:lvlJc w:val="left"/>
      <w:pPr>
        <w:ind w:left="1276" w:firstLine="0"/>
      </w:pPr>
      <w:rPr>
        <w:rFonts w:hint="default"/>
      </w:rPr>
    </w:lvl>
    <w:lvl w:ilvl="8" w:tplc="BB3C8626">
      <w:start w:val="1"/>
      <w:numFmt w:val="none"/>
      <w:suff w:val="nothing"/>
      <w:lvlText w:val=""/>
      <w:lvlJc w:val="left"/>
      <w:pPr>
        <w:ind w:left="1276" w:firstLine="0"/>
      </w:pPr>
      <w:rPr>
        <w:rFonts w:hint="default"/>
      </w:rPr>
    </w:lvl>
  </w:abstractNum>
  <w:abstractNum w:abstractNumId="30" w15:restartNumberingAfterBreak="0">
    <w:nsid w:val="5D844993"/>
    <w:multiLevelType w:val="hybridMultilevel"/>
    <w:tmpl w:val="7C94B762"/>
    <w:lvl w:ilvl="0" w:tplc="967A50FC">
      <w:start w:val="1"/>
      <w:numFmt w:val="decimal"/>
      <w:pStyle w:val="USNumber1"/>
      <w:lvlText w:val="%1"/>
      <w:lvlJc w:val="left"/>
      <w:pPr>
        <w:tabs>
          <w:tab w:val="num" w:pos="425"/>
        </w:tabs>
        <w:ind w:left="425" w:hanging="425"/>
      </w:pPr>
      <w:rPr>
        <w:rFonts w:hint="default"/>
      </w:rPr>
    </w:lvl>
    <w:lvl w:ilvl="1" w:tplc="27C41788">
      <w:start w:val="1"/>
      <w:numFmt w:val="lowerLetter"/>
      <w:pStyle w:val="USNumbera"/>
      <w:lvlText w:val="%2"/>
      <w:lvlJc w:val="left"/>
      <w:pPr>
        <w:tabs>
          <w:tab w:val="num" w:pos="851"/>
        </w:tabs>
        <w:ind w:left="851" w:hanging="426"/>
      </w:pPr>
      <w:rPr>
        <w:rFonts w:hint="default"/>
      </w:rPr>
    </w:lvl>
    <w:lvl w:ilvl="2" w:tplc="142AD800">
      <w:start w:val="1"/>
      <w:numFmt w:val="lowerRoman"/>
      <w:pStyle w:val="USNumberi"/>
      <w:lvlText w:val="%3"/>
      <w:lvlJc w:val="left"/>
      <w:pPr>
        <w:tabs>
          <w:tab w:val="num" w:pos="1276"/>
        </w:tabs>
        <w:ind w:left="1276" w:hanging="425"/>
      </w:pPr>
      <w:rPr>
        <w:rFonts w:hint="default"/>
      </w:rPr>
    </w:lvl>
    <w:lvl w:ilvl="3" w:tplc="EFBCBE72">
      <w:start w:val="1"/>
      <w:numFmt w:val="none"/>
      <w:suff w:val="nothing"/>
      <w:lvlText w:val=""/>
      <w:lvlJc w:val="left"/>
      <w:pPr>
        <w:ind w:left="1276" w:firstLine="0"/>
      </w:pPr>
      <w:rPr>
        <w:rFonts w:hint="default"/>
      </w:rPr>
    </w:lvl>
    <w:lvl w:ilvl="4" w:tplc="C040EA58">
      <w:start w:val="1"/>
      <w:numFmt w:val="none"/>
      <w:suff w:val="nothing"/>
      <w:lvlText w:val="%5"/>
      <w:lvlJc w:val="left"/>
      <w:pPr>
        <w:ind w:left="1276" w:firstLine="0"/>
      </w:pPr>
      <w:rPr>
        <w:rFonts w:hint="default"/>
      </w:rPr>
    </w:lvl>
    <w:lvl w:ilvl="5" w:tplc="C8FACAB8">
      <w:start w:val="1"/>
      <w:numFmt w:val="none"/>
      <w:suff w:val="nothing"/>
      <w:lvlText w:val="%6"/>
      <w:lvlJc w:val="right"/>
      <w:pPr>
        <w:ind w:left="1276" w:firstLine="0"/>
      </w:pPr>
      <w:rPr>
        <w:rFonts w:hint="default"/>
      </w:rPr>
    </w:lvl>
    <w:lvl w:ilvl="6" w:tplc="9B823BA6">
      <w:start w:val="1"/>
      <w:numFmt w:val="none"/>
      <w:suff w:val="nothing"/>
      <w:lvlText w:val=""/>
      <w:lvlJc w:val="left"/>
      <w:pPr>
        <w:ind w:left="1276" w:firstLine="0"/>
      </w:pPr>
      <w:rPr>
        <w:rFonts w:hint="default"/>
      </w:rPr>
    </w:lvl>
    <w:lvl w:ilvl="7" w:tplc="D31A2C9C">
      <w:start w:val="1"/>
      <w:numFmt w:val="none"/>
      <w:suff w:val="nothing"/>
      <w:lvlText w:val=""/>
      <w:lvlJc w:val="left"/>
      <w:pPr>
        <w:ind w:left="1276" w:firstLine="0"/>
      </w:pPr>
      <w:rPr>
        <w:rFonts w:hint="default"/>
      </w:rPr>
    </w:lvl>
    <w:lvl w:ilvl="8" w:tplc="D2525594">
      <w:start w:val="1"/>
      <w:numFmt w:val="none"/>
      <w:suff w:val="nothing"/>
      <w:lvlText w:val="%9"/>
      <w:lvlJc w:val="right"/>
      <w:pPr>
        <w:ind w:left="1276" w:firstLine="0"/>
      </w:pPr>
      <w:rPr>
        <w:rFonts w:hint="default"/>
      </w:rPr>
    </w:lvl>
  </w:abstractNum>
  <w:abstractNum w:abstractNumId="31" w15:restartNumberingAfterBreak="0">
    <w:nsid w:val="67CF3E49"/>
    <w:multiLevelType w:val="hybridMultilevel"/>
    <w:tmpl w:val="A1CECEA0"/>
    <w:lvl w:ilvl="0" w:tplc="4B988A16">
      <w:start w:val="1"/>
      <w:numFmt w:val="decimal"/>
      <w:pStyle w:val="SNHeading1"/>
      <w:lvlText w:val="%1"/>
      <w:lvlJc w:val="left"/>
      <w:pPr>
        <w:tabs>
          <w:tab w:val="num" w:pos="851"/>
        </w:tabs>
        <w:ind w:left="851" w:hanging="851"/>
      </w:pPr>
      <w:rPr>
        <w:rFonts w:hint="default"/>
      </w:rPr>
    </w:lvl>
    <w:lvl w:ilvl="1" w:tplc="F588F65C">
      <w:start w:val="1"/>
      <w:numFmt w:val="none"/>
      <w:suff w:val="nothing"/>
      <w:lvlText w:val=""/>
      <w:lvlJc w:val="left"/>
      <w:pPr>
        <w:ind w:left="0" w:firstLine="0"/>
      </w:pPr>
      <w:rPr>
        <w:rFonts w:hint="default"/>
      </w:rPr>
    </w:lvl>
    <w:lvl w:ilvl="2" w:tplc="C5307712">
      <w:start w:val="1"/>
      <w:numFmt w:val="decimal"/>
      <w:lvlText w:val="%3."/>
      <w:lvlJc w:val="left"/>
      <w:pPr>
        <w:ind w:left="1440" w:firstLine="0"/>
      </w:pPr>
      <w:rPr>
        <w:rFonts w:hint="default"/>
      </w:rPr>
    </w:lvl>
    <w:lvl w:ilvl="3" w:tplc="5FDAA0C2">
      <w:start w:val="1"/>
      <w:numFmt w:val="lowerLetter"/>
      <w:lvlText w:val="%4)"/>
      <w:lvlJc w:val="left"/>
      <w:pPr>
        <w:ind w:left="2160" w:firstLine="0"/>
      </w:pPr>
      <w:rPr>
        <w:rFonts w:hint="default"/>
      </w:rPr>
    </w:lvl>
    <w:lvl w:ilvl="4" w:tplc="D2940DCE">
      <w:start w:val="1"/>
      <w:numFmt w:val="decimal"/>
      <w:lvlText w:val="(%5)"/>
      <w:lvlJc w:val="left"/>
      <w:pPr>
        <w:ind w:left="2880" w:firstLine="0"/>
      </w:pPr>
      <w:rPr>
        <w:rFonts w:hint="default"/>
      </w:rPr>
    </w:lvl>
    <w:lvl w:ilvl="5" w:tplc="E30CD2DE">
      <w:start w:val="1"/>
      <w:numFmt w:val="lowerLetter"/>
      <w:lvlText w:val="(%6)"/>
      <w:lvlJc w:val="left"/>
      <w:pPr>
        <w:ind w:left="3600" w:firstLine="0"/>
      </w:pPr>
      <w:rPr>
        <w:rFonts w:hint="default"/>
      </w:rPr>
    </w:lvl>
    <w:lvl w:ilvl="6" w:tplc="04FA6444">
      <w:start w:val="1"/>
      <w:numFmt w:val="lowerRoman"/>
      <w:lvlText w:val="(%7)"/>
      <w:lvlJc w:val="left"/>
      <w:pPr>
        <w:ind w:left="4320" w:firstLine="0"/>
      </w:pPr>
      <w:rPr>
        <w:rFonts w:hint="default"/>
      </w:rPr>
    </w:lvl>
    <w:lvl w:ilvl="7" w:tplc="16202E0E">
      <w:start w:val="1"/>
      <w:numFmt w:val="lowerLetter"/>
      <w:lvlText w:val="(%8)"/>
      <w:lvlJc w:val="left"/>
      <w:pPr>
        <w:ind w:left="5040" w:firstLine="0"/>
      </w:pPr>
      <w:rPr>
        <w:rFonts w:hint="default"/>
      </w:rPr>
    </w:lvl>
    <w:lvl w:ilvl="8" w:tplc="3ED26756">
      <w:start w:val="1"/>
      <w:numFmt w:val="lowerRoman"/>
      <w:lvlText w:val="(%9)"/>
      <w:lvlJc w:val="left"/>
      <w:pPr>
        <w:ind w:left="5760" w:firstLine="0"/>
      </w:pPr>
      <w:rPr>
        <w:rFonts w:hint="default"/>
      </w:rPr>
    </w:lvl>
  </w:abstractNum>
  <w:abstractNum w:abstractNumId="32" w15:restartNumberingAfterBreak="0">
    <w:nsid w:val="74E428C3"/>
    <w:multiLevelType w:val="hybridMultilevel"/>
    <w:tmpl w:val="E54658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AB83834"/>
    <w:multiLevelType w:val="hybridMultilevel"/>
    <w:tmpl w:val="3AF669A4"/>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34" w15:restartNumberingAfterBreak="0">
    <w:nsid w:val="7CEB294A"/>
    <w:multiLevelType w:val="hybridMultilevel"/>
    <w:tmpl w:val="A5265696"/>
    <w:lvl w:ilvl="0" w:tplc="2B26E032">
      <w:start w:val="1"/>
      <w:numFmt w:val="lowerRoman"/>
      <w:pStyle w:val="Romannumerals"/>
      <w:lvlText w:val="%1."/>
      <w:lvlJc w:val="right"/>
      <w:pPr>
        <w:ind w:left="780" w:hanging="42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5"/>
  </w:num>
  <w:num w:numId="3">
    <w:abstractNumId w:val="19"/>
  </w:num>
  <w:num w:numId="4">
    <w:abstractNumId w:val="15"/>
  </w:num>
  <w:num w:numId="5">
    <w:abstractNumId w:val="12"/>
  </w:num>
  <w:num w:numId="6">
    <w:abstractNumId w:val="23"/>
  </w:num>
  <w:num w:numId="7">
    <w:abstractNumId w:val="22"/>
  </w:num>
  <w:num w:numId="8">
    <w:abstractNumId w:val="14"/>
  </w:num>
  <w:num w:numId="9">
    <w:abstractNumId w:val="16"/>
  </w:num>
  <w:num w:numId="10">
    <w:abstractNumId w:val="7"/>
  </w:num>
  <w:num w:numId="11">
    <w:abstractNumId w:val="20"/>
  </w:num>
  <w:num w:numId="12">
    <w:abstractNumId w:val="24"/>
  </w:num>
  <w:num w:numId="13">
    <w:abstractNumId w:val="31"/>
  </w:num>
  <w:num w:numId="14">
    <w:abstractNumId w:val="27"/>
  </w:num>
  <w:num w:numId="15">
    <w:abstractNumId w:val="17"/>
  </w:num>
  <w:num w:numId="16">
    <w:abstractNumId w:val="0"/>
  </w:num>
  <w:num w:numId="17">
    <w:abstractNumId w:val="29"/>
  </w:num>
  <w:num w:numId="18">
    <w:abstractNumId w:val="28"/>
  </w:num>
  <w:num w:numId="19">
    <w:abstractNumId w:val="30"/>
  </w:num>
  <w:num w:numId="20">
    <w:abstractNumId w:val="21"/>
  </w:num>
  <w:num w:numId="21">
    <w:abstractNumId w:val="10"/>
  </w:num>
  <w:num w:numId="22">
    <w:abstractNumId w:val="34"/>
  </w:num>
  <w:num w:numId="23">
    <w:abstractNumId w:val="4"/>
  </w:num>
  <w:num w:numId="24">
    <w:abstractNumId w:val="6"/>
  </w:num>
  <w:num w:numId="25">
    <w:abstractNumId w:val="18"/>
  </w:num>
  <w:num w:numId="26">
    <w:abstractNumId w:val="1"/>
  </w:num>
  <w:num w:numId="27">
    <w:abstractNumId w:val="4"/>
    <w:lvlOverride w:ilvl="0">
      <w:startOverride w:val="1"/>
    </w:lvlOverride>
  </w:num>
  <w:num w:numId="28">
    <w:abstractNumId w:val="4"/>
  </w:num>
  <w:num w:numId="29">
    <w:abstractNumId w:val="4"/>
  </w:num>
  <w:num w:numId="30">
    <w:abstractNumId w:val="4"/>
  </w:num>
  <w:num w:numId="31">
    <w:abstractNumId w:val="25"/>
  </w:num>
  <w:num w:numId="32">
    <w:abstractNumId w:val="11"/>
  </w:num>
  <w:num w:numId="33">
    <w:abstractNumId w:val="33"/>
  </w:num>
  <w:num w:numId="34">
    <w:abstractNumId w:val="8"/>
  </w:num>
  <w:num w:numId="35">
    <w:abstractNumId w:val="26"/>
  </w:num>
  <w:num w:numId="36">
    <w:abstractNumId w:val="9"/>
  </w:num>
  <w:num w:numId="37">
    <w:abstractNumId w:val="32"/>
  </w:num>
  <w:num w:numId="38">
    <w:abstractNumId w:val="2"/>
  </w:num>
  <w:num w:numId="39">
    <w:abstractNumId w:val="3"/>
  </w:num>
  <w:num w:numId="40">
    <w:abstractNumId w:val="4"/>
    <w:lvlOverride w:ilvl="0">
      <w:startOverride w:val="1"/>
    </w:lvlOverride>
  </w:num>
  <w:num w:numId="41">
    <w:abstractNumId w:val="4"/>
    <w:lvlOverride w:ilvl="0">
      <w:startOverride w:val="1"/>
    </w:lvlOverride>
  </w:num>
  <w:num w:numId="42">
    <w:abstractNumId w:val="4"/>
  </w:num>
  <w:num w:numId="43">
    <w:abstractNumId w:val="4"/>
  </w:num>
  <w:num w:numId="44">
    <w:abstractNumId w:val="4"/>
  </w:num>
  <w:num w:numId="45">
    <w:abstractNumId w:val="4"/>
  </w:num>
  <w:num w:numId="46">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defaultTabStop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2MDa1NLE0sDQ2NTNS0lEKTi0uzszPAykwrwUABlaO9SwAAAA="/>
    <w:docVar w:name="ContentsAppendix" w:val="1"/>
    <w:docVar w:name="ContentsAppendixLevel" w:val="1"/>
    <w:docVar w:name="ContentsCreated" w:val="1"/>
    <w:docVar w:name="ContentsFigure" w:val="1"/>
    <w:docVar w:name="ContentsMain" w:val="1"/>
    <w:docVar w:name="ContentsMainLevel" w:val="1"/>
    <w:docVar w:name="ContentsTable" w:val="1"/>
    <w:docVar w:name="DocumentStatus" w:val="DRAFT"/>
    <w:docVar w:name="IsfirstTb" w:val="True"/>
    <w:docVar w:name="IsInTable" w:val="False"/>
    <w:docVar w:name="rptAddress" w:val=" "/>
    <w:docVar w:name="rptAttention" w:val=" "/>
    <w:docVar w:name="rptAttentionTitle" w:val=" "/>
    <w:docVar w:name="rptAuthorName" w:val=" "/>
    <w:docVar w:name="rptAuthorName2" w:val=" "/>
    <w:docVar w:name="rptAuthorTitle" w:val=" "/>
    <w:docVar w:name="rptAuthorTitle2" w:val=" "/>
    <w:docVar w:name="rptByEmail" w:val=" "/>
    <w:docVar w:name="rptCC" w:val=" "/>
    <w:docVar w:name="rptChkByEmail" w:val="True"/>
    <w:docVar w:name="rptClosing" w:val=" "/>
    <w:docVar w:name="rptClosing0" w:val=" "/>
    <w:docVar w:name="rptCommercialInConfidence" w:val="Commercial In Confidence"/>
    <w:docVar w:name="rptCoverImage" w:val=" "/>
    <w:docVar w:name="rptDate" w:val="10 March 2014"/>
    <w:docVar w:name="rptDDI" w:val=" "/>
    <w:docVar w:name="rptDDI2" w:val=" "/>
    <w:docVar w:name="rptEmail" w:val=" "/>
    <w:docVar w:name="rptEmail2" w:val=" "/>
    <w:docVar w:name="rptEnclosures" w:val=" "/>
    <w:docVar w:name="rptFax" w:val=" "/>
    <w:docVar w:name="rptFax2" w:val=" "/>
    <w:docVar w:name="rptGreeting" w:val=" "/>
    <w:docVar w:name="rptGreeting0" w:val=" "/>
    <w:docVar w:name="rptGreetingText" w:val=" "/>
    <w:docVar w:name="rptInsertSignature" w:val="True"/>
    <w:docVar w:name="rptLetterImageFile" w:val=" "/>
    <w:docVar w:name="rptLetterImageFile2" w:val=" "/>
    <w:docVar w:name="rptMobile" w:val=" "/>
    <w:docVar w:name="rptMobile2" w:val=" "/>
    <w:docVar w:name="rptOffice" w:val=" "/>
    <w:docVar w:name="rptOffice2" w:val=" "/>
    <w:docVar w:name="rptPrintPhysical" w:val="False"/>
    <w:docVar w:name="rptProposalDate" w:val=" "/>
    <w:docVar w:name="rptProposalSubtitle" w:val=" "/>
    <w:docVar w:name="rptProposalTitle" w:val=" "/>
    <w:docVar w:name="rptSalutation" w:val=" "/>
    <w:docVar w:name="rptSignOff" w:val=" "/>
    <w:docVar w:name="rptSignOff0" w:val=" "/>
    <w:docVar w:name="rptStatus" w:val=" "/>
    <w:docVar w:name="rptSubject" w:val=" "/>
    <w:docVar w:name="ShowDraft" w:val="True"/>
    <w:docVar w:name="ShowSaveDate" w:val="True"/>
  </w:docVars>
  <w:rsids>
    <w:rsidRoot w:val="00246BE2"/>
    <w:rsid w:val="0000031E"/>
    <w:rsid w:val="000010B6"/>
    <w:rsid w:val="000011BB"/>
    <w:rsid w:val="0000158E"/>
    <w:rsid w:val="00001739"/>
    <w:rsid w:val="0000319E"/>
    <w:rsid w:val="000034C2"/>
    <w:rsid w:val="00003C0D"/>
    <w:rsid w:val="000043E1"/>
    <w:rsid w:val="00005012"/>
    <w:rsid w:val="0000687E"/>
    <w:rsid w:val="00006DC6"/>
    <w:rsid w:val="00006EE9"/>
    <w:rsid w:val="000072F7"/>
    <w:rsid w:val="0000739E"/>
    <w:rsid w:val="00007816"/>
    <w:rsid w:val="00007BFB"/>
    <w:rsid w:val="00010169"/>
    <w:rsid w:val="00010923"/>
    <w:rsid w:val="000125CD"/>
    <w:rsid w:val="000131AA"/>
    <w:rsid w:val="0001373C"/>
    <w:rsid w:val="00014308"/>
    <w:rsid w:val="0001435F"/>
    <w:rsid w:val="00014881"/>
    <w:rsid w:val="00015BF1"/>
    <w:rsid w:val="0001621B"/>
    <w:rsid w:val="000162DF"/>
    <w:rsid w:val="00016CC3"/>
    <w:rsid w:val="00016D93"/>
    <w:rsid w:val="00017352"/>
    <w:rsid w:val="000178BF"/>
    <w:rsid w:val="0001792B"/>
    <w:rsid w:val="00017E3A"/>
    <w:rsid w:val="0002162B"/>
    <w:rsid w:val="00021AF0"/>
    <w:rsid w:val="00021E29"/>
    <w:rsid w:val="000225E6"/>
    <w:rsid w:val="000229DB"/>
    <w:rsid w:val="00022B2A"/>
    <w:rsid w:val="00023878"/>
    <w:rsid w:val="00023F50"/>
    <w:rsid w:val="00025609"/>
    <w:rsid w:val="00025C0F"/>
    <w:rsid w:val="000261F7"/>
    <w:rsid w:val="000263B4"/>
    <w:rsid w:val="00026AE2"/>
    <w:rsid w:val="00026F66"/>
    <w:rsid w:val="00026FE0"/>
    <w:rsid w:val="0002701A"/>
    <w:rsid w:val="00027A8C"/>
    <w:rsid w:val="000302FE"/>
    <w:rsid w:val="00030D82"/>
    <w:rsid w:val="000312D1"/>
    <w:rsid w:val="000312DE"/>
    <w:rsid w:val="00031C5B"/>
    <w:rsid w:val="00031F49"/>
    <w:rsid w:val="000327DB"/>
    <w:rsid w:val="00032C8D"/>
    <w:rsid w:val="00034C2A"/>
    <w:rsid w:val="00036890"/>
    <w:rsid w:val="000374ED"/>
    <w:rsid w:val="00037818"/>
    <w:rsid w:val="0004017E"/>
    <w:rsid w:val="0004044B"/>
    <w:rsid w:val="00040694"/>
    <w:rsid w:val="00040D91"/>
    <w:rsid w:val="00040F41"/>
    <w:rsid w:val="00041336"/>
    <w:rsid w:val="00042072"/>
    <w:rsid w:val="0004212D"/>
    <w:rsid w:val="00042586"/>
    <w:rsid w:val="000426C9"/>
    <w:rsid w:val="00042A7F"/>
    <w:rsid w:val="00043A57"/>
    <w:rsid w:val="0004404E"/>
    <w:rsid w:val="0004413E"/>
    <w:rsid w:val="0004554E"/>
    <w:rsid w:val="00045FDF"/>
    <w:rsid w:val="000465B9"/>
    <w:rsid w:val="00047F96"/>
    <w:rsid w:val="00050377"/>
    <w:rsid w:val="00050840"/>
    <w:rsid w:val="0005124A"/>
    <w:rsid w:val="000515ED"/>
    <w:rsid w:val="00051C7A"/>
    <w:rsid w:val="00051E92"/>
    <w:rsid w:val="00052713"/>
    <w:rsid w:val="00052F6A"/>
    <w:rsid w:val="00054151"/>
    <w:rsid w:val="0005425D"/>
    <w:rsid w:val="00055D9F"/>
    <w:rsid w:val="00055EC1"/>
    <w:rsid w:val="000570DB"/>
    <w:rsid w:val="00057221"/>
    <w:rsid w:val="00057405"/>
    <w:rsid w:val="0006047A"/>
    <w:rsid w:val="00060C15"/>
    <w:rsid w:val="00060C46"/>
    <w:rsid w:val="00061478"/>
    <w:rsid w:val="0006190D"/>
    <w:rsid w:val="0006200D"/>
    <w:rsid w:val="000628B4"/>
    <w:rsid w:val="00062902"/>
    <w:rsid w:val="00062FFF"/>
    <w:rsid w:val="0006300A"/>
    <w:rsid w:val="000632B2"/>
    <w:rsid w:val="00063D6F"/>
    <w:rsid w:val="000645D3"/>
    <w:rsid w:val="00065320"/>
    <w:rsid w:val="00065D75"/>
    <w:rsid w:val="00066839"/>
    <w:rsid w:val="00066B66"/>
    <w:rsid w:val="000670AB"/>
    <w:rsid w:val="00067D5D"/>
    <w:rsid w:val="00067E13"/>
    <w:rsid w:val="00067F84"/>
    <w:rsid w:val="00070774"/>
    <w:rsid w:val="00070CF2"/>
    <w:rsid w:val="000715D4"/>
    <w:rsid w:val="00071702"/>
    <w:rsid w:val="0007232B"/>
    <w:rsid w:val="000725CC"/>
    <w:rsid w:val="00072F67"/>
    <w:rsid w:val="00073686"/>
    <w:rsid w:val="000736E4"/>
    <w:rsid w:val="00073ADA"/>
    <w:rsid w:val="00074F80"/>
    <w:rsid w:val="00074FFA"/>
    <w:rsid w:val="00075E74"/>
    <w:rsid w:val="0007608B"/>
    <w:rsid w:val="0007638D"/>
    <w:rsid w:val="00080418"/>
    <w:rsid w:val="0008144E"/>
    <w:rsid w:val="00081960"/>
    <w:rsid w:val="00082006"/>
    <w:rsid w:val="00083295"/>
    <w:rsid w:val="00083423"/>
    <w:rsid w:val="000837A6"/>
    <w:rsid w:val="00083D03"/>
    <w:rsid w:val="00083EB5"/>
    <w:rsid w:val="00085291"/>
    <w:rsid w:val="00085373"/>
    <w:rsid w:val="00085DFE"/>
    <w:rsid w:val="000862A0"/>
    <w:rsid w:val="000867F2"/>
    <w:rsid w:val="00086D70"/>
    <w:rsid w:val="0009034F"/>
    <w:rsid w:val="0009078A"/>
    <w:rsid w:val="00091B26"/>
    <w:rsid w:val="00091B7A"/>
    <w:rsid w:val="00091EDF"/>
    <w:rsid w:val="00092C0E"/>
    <w:rsid w:val="00093344"/>
    <w:rsid w:val="000936E9"/>
    <w:rsid w:val="00093D29"/>
    <w:rsid w:val="00093F4A"/>
    <w:rsid w:val="000954E0"/>
    <w:rsid w:val="00095759"/>
    <w:rsid w:val="00096428"/>
    <w:rsid w:val="00096A95"/>
    <w:rsid w:val="000979C4"/>
    <w:rsid w:val="000A11AD"/>
    <w:rsid w:val="000A17B3"/>
    <w:rsid w:val="000A1E5B"/>
    <w:rsid w:val="000A1F7E"/>
    <w:rsid w:val="000A423D"/>
    <w:rsid w:val="000A425B"/>
    <w:rsid w:val="000A48AF"/>
    <w:rsid w:val="000A4F81"/>
    <w:rsid w:val="000A5700"/>
    <w:rsid w:val="000A5D78"/>
    <w:rsid w:val="000A6791"/>
    <w:rsid w:val="000B12B6"/>
    <w:rsid w:val="000B1CB1"/>
    <w:rsid w:val="000B2011"/>
    <w:rsid w:val="000B3ED7"/>
    <w:rsid w:val="000B5768"/>
    <w:rsid w:val="000B57B7"/>
    <w:rsid w:val="000B5B7E"/>
    <w:rsid w:val="000B6302"/>
    <w:rsid w:val="000B6FD9"/>
    <w:rsid w:val="000B715F"/>
    <w:rsid w:val="000B7AB2"/>
    <w:rsid w:val="000C02C4"/>
    <w:rsid w:val="000C1990"/>
    <w:rsid w:val="000C3557"/>
    <w:rsid w:val="000C3D9A"/>
    <w:rsid w:val="000C4B65"/>
    <w:rsid w:val="000C5447"/>
    <w:rsid w:val="000C56B0"/>
    <w:rsid w:val="000C57E9"/>
    <w:rsid w:val="000C59F2"/>
    <w:rsid w:val="000C6606"/>
    <w:rsid w:val="000C6655"/>
    <w:rsid w:val="000C798F"/>
    <w:rsid w:val="000C7E21"/>
    <w:rsid w:val="000D081C"/>
    <w:rsid w:val="000D0A77"/>
    <w:rsid w:val="000D0AEB"/>
    <w:rsid w:val="000D1F70"/>
    <w:rsid w:val="000D2181"/>
    <w:rsid w:val="000D21B1"/>
    <w:rsid w:val="000D3545"/>
    <w:rsid w:val="000D3802"/>
    <w:rsid w:val="000D39D4"/>
    <w:rsid w:val="000D3B8C"/>
    <w:rsid w:val="000D4BD5"/>
    <w:rsid w:val="000D5193"/>
    <w:rsid w:val="000D53B3"/>
    <w:rsid w:val="000D545E"/>
    <w:rsid w:val="000D5E36"/>
    <w:rsid w:val="000D7338"/>
    <w:rsid w:val="000E02DE"/>
    <w:rsid w:val="000E05A0"/>
    <w:rsid w:val="000E2710"/>
    <w:rsid w:val="000E3006"/>
    <w:rsid w:val="000E43D7"/>
    <w:rsid w:val="000E506B"/>
    <w:rsid w:val="000E5ADE"/>
    <w:rsid w:val="000E7051"/>
    <w:rsid w:val="000E7259"/>
    <w:rsid w:val="000E7FB5"/>
    <w:rsid w:val="000F0FC5"/>
    <w:rsid w:val="000F1855"/>
    <w:rsid w:val="000F26BF"/>
    <w:rsid w:val="000F2858"/>
    <w:rsid w:val="000F2B10"/>
    <w:rsid w:val="000F33FE"/>
    <w:rsid w:val="000F39A8"/>
    <w:rsid w:val="000F3B2B"/>
    <w:rsid w:val="000F4580"/>
    <w:rsid w:val="000F4C76"/>
    <w:rsid w:val="000F5B6F"/>
    <w:rsid w:val="000F6CF2"/>
    <w:rsid w:val="000F6F9A"/>
    <w:rsid w:val="001013A5"/>
    <w:rsid w:val="0010346A"/>
    <w:rsid w:val="001035EF"/>
    <w:rsid w:val="00103CC1"/>
    <w:rsid w:val="00103CDD"/>
    <w:rsid w:val="00104B9D"/>
    <w:rsid w:val="00105591"/>
    <w:rsid w:val="001062F5"/>
    <w:rsid w:val="001064B2"/>
    <w:rsid w:val="001072A4"/>
    <w:rsid w:val="00107AA8"/>
    <w:rsid w:val="00111828"/>
    <w:rsid w:val="00112C03"/>
    <w:rsid w:val="0011324F"/>
    <w:rsid w:val="00114100"/>
    <w:rsid w:val="0011465F"/>
    <w:rsid w:val="00114870"/>
    <w:rsid w:val="00114A87"/>
    <w:rsid w:val="00114BB0"/>
    <w:rsid w:val="001155F7"/>
    <w:rsid w:val="001158D4"/>
    <w:rsid w:val="00115B27"/>
    <w:rsid w:val="00116FE4"/>
    <w:rsid w:val="0011723F"/>
    <w:rsid w:val="0011799B"/>
    <w:rsid w:val="001211FC"/>
    <w:rsid w:val="001213D7"/>
    <w:rsid w:val="00121913"/>
    <w:rsid w:val="00121B1D"/>
    <w:rsid w:val="0012292E"/>
    <w:rsid w:val="00124858"/>
    <w:rsid w:val="001304E2"/>
    <w:rsid w:val="00130E36"/>
    <w:rsid w:val="00132037"/>
    <w:rsid w:val="00132486"/>
    <w:rsid w:val="001334BF"/>
    <w:rsid w:val="00134721"/>
    <w:rsid w:val="00135060"/>
    <w:rsid w:val="00135902"/>
    <w:rsid w:val="0013636D"/>
    <w:rsid w:val="00136A0C"/>
    <w:rsid w:val="001371EA"/>
    <w:rsid w:val="00137AF4"/>
    <w:rsid w:val="001400D4"/>
    <w:rsid w:val="00140EE9"/>
    <w:rsid w:val="00140F2B"/>
    <w:rsid w:val="00141529"/>
    <w:rsid w:val="00141C34"/>
    <w:rsid w:val="00142828"/>
    <w:rsid w:val="00143AA0"/>
    <w:rsid w:val="00144279"/>
    <w:rsid w:val="00144A7A"/>
    <w:rsid w:val="001464CA"/>
    <w:rsid w:val="00146817"/>
    <w:rsid w:val="0014740C"/>
    <w:rsid w:val="001477A2"/>
    <w:rsid w:val="00147BC6"/>
    <w:rsid w:val="00147D02"/>
    <w:rsid w:val="00150501"/>
    <w:rsid w:val="001506B6"/>
    <w:rsid w:val="00150DC5"/>
    <w:rsid w:val="001512D4"/>
    <w:rsid w:val="001515CF"/>
    <w:rsid w:val="00152E0E"/>
    <w:rsid w:val="00152E87"/>
    <w:rsid w:val="00154B65"/>
    <w:rsid w:val="00155D58"/>
    <w:rsid w:val="00156F81"/>
    <w:rsid w:val="00157095"/>
    <w:rsid w:val="00157578"/>
    <w:rsid w:val="001578FD"/>
    <w:rsid w:val="00157D6F"/>
    <w:rsid w:val="00160ECB"/>
    <w:rsid w:val="00160F24"/>
    <w:rsid w:val="00161D43"/>
    <w:rsid w:val="00164536"/>
    <w:rsid w:val="00164634"/>
    <w:rsid w:val="00164D9E"/>
    <w:rsid w:val="0016506D"/>
    <w:rsid w:val="001650D5"/>
    <w:rsid w:val="001651C3"/>
    <w:rsid w:val="00165479"/>
    <w:rsid w:val="00165E7E"/>
    <w:rsid w:val="00166557"/>
    <w:rsid w:val="00166B48"/>
    <w:rsid w:val="00166CE5"/>
    <w:rsid w:val="00170952"/>
    <w:rsid w:val="00171106"/>
    <w:rsid w:val="0017136B"/>
    <w:rsid w:val="00171D46"/>
    <w:rsid w:val="001724C6"/>
    <w:rsid w:val="00172669"/>
    <w:rsid w:val="001727DA"/>
    <w:rsid w:val="00172A08"/>
    <w:rsid w:val="001730A4"/>
    <w:rsid w:val="001739F2"/>
    <w:rsid w:val="001748DD"/>
    <w:rsid w:val="001749B4"/>
    <w:rsid w:val="00174C4D"/>
    <w:rsid w:val="00175A26"/>
    <w:rsid w:val="00175BBC"/>
    <w:rsid w:val="001763D5"/>
    <w:rsid w:val="00176451"/>
    <w:rsid w:val="00176B10"/>
    <w:rsid w:val="00177F2F"/>
    <w:rsid w:val="00180410"/>
    <w:rsid w:val="00180545"/>
    <w:rsid w:val="00180679"/>
    <w:rsid w:val="00180B6B"/>
    <w:rsid w:val="00181554"/>
    <w:rsid w:val="0018165D"/>
    <w:rsid w:val="0018197E"/>
    <w:rsid w:val="00182EFA"/>
    <w:rsid w:val="00183DF7"/>
    <w:rsid w:val="001841AF"/>
    <w:rsid w:val="001848BA"/>
    <w:rsid w:val="00184E24"/>
    <w:rsid w:val="0018530D"/>
    <w:rsid w:val="00185909"/>
    <w:rsid w:val="00186632"/>
    <w:rsid w:val="00190092"/>
    <w:rsid w:val="0019077E"/>
    <w:rsid w:val="0019146D"/>
    <w:rsid w:val="00191617"/>
    <w:rsid w:val="00192EA5"/>
    <w:rsid w:val="001930A4"/>
    <w:rsid w:val="00193FF2"/>
    <w:rsid w:val="00194CC2"/>
    <w:rsid w:val="001950CD"/>
    <w:rsid w:val="001959A3"/>
    <w:rsid w:val="00197DB7"/>
    <w:rsid w:val="001A0CB8"/>
    <w:rsid w:val="001A14E3"/>
    <w:rsid w:val="001A17DD"/>
    <w:rsid w:val="001A1B65"/>
    <w:rsid w:val="001A1F13"/>
    <w:rsid w:val="001A242D"/>
    <w:rsid w:val="001A249C"/>
    <w:rsid w:val="001A289D"/>
    <w:rsid w:val="001A39DE"/>
    <w:rsid w:val="001A46B3"/>
    <w:rsid w:val="001A4912"/>
    <w:rsid w:val="001A5489"/>
    <w:rsid w:val="001A5D05"/>
    <w:rsid w:val="001A655A"/>
    <w:rsid w:val="001A69C9"/>
    <w:rsid w:val="001A6DF5"/>
    <w:rsid w:val="001A6FB1"/>
    <w:rsid w:val="001A7F14"/>
    <w:rsid w:val="001A7F82"/>
    <w:rsid w:val="001B0287"/>
    <w:rsid w:val="001B0BC0"/>
    <w:rsid w:val="001B16DA"/>
    <w:rsid w:val="001B3134"/>
    <w:rsid w:val="001B3D7B"/>
    <w:rsid w:val="001B4D4B"/>
    <w:rsid w:val="001B5535"/>
    <w:rsid w:val="001B572F"/>
    <w:rsid w:val="001B5C1C"/>
    <w:rsid w:val="001B5EBB"/>
    <w:rsid w:val="001B6A4D"/>
    <w:rsid w:val="001B6EE7"/>
    <w:rsid w:val="001C103C"/>
    <w:rsid w:val="001C2999"/>
    <w:rsid w:val="001C2E9C"/>
    <w:rsid w:val="001C2F17"/>
    <w:rsid w:val="001C34F8"/>
    <w:rsid w:val="001C4351"/>
    <w:rsid w:val="001C5646"/>
    <w:rsid w:val="001C5722"/>
    <w:rsid w:val="001C5982"/>
    <w:rsid w:val="001C59B8"/>
    <w:rsid w:val="001C6051"/>
    <w:rsid w:val="001C7DC4"/>
    <w:rsid w:val="001D0130"/>
    <w:rsid w:val="001D1117"/>
    <w:rsid w:val="001D1149"/>
    <w:rsid w:val="001D168A"/>
    <w:rsid w:val="001D178C"/>
    <w:rsid w:val="001D18BA"/>
    <w:rsid w:val="001D23FD"/>
    <w:rsid w:val="001D24BD"/>
    <w:rsid w:val="001D282E"/>
    <w:rsid w:val="001D2A69"/>
    <w:rsid w:val="001D3098"/>
    <w:rsid w:val="001D33E9"/>
    <w:rsid w:val="001D38C6"/>
    <w:rsid w:val="001D3DE5"/>
    <w:rsid w:val="001D5002"/>
    <w:rsid w:val="001D62C1"/>
    <w:rsid w:val="001D703B"/>
    <w:rsid w:val="001D70E7"/>
    <w:rsid w:val="001D7570"/>
    <w:rsid w:val="001D782D"/>
    <w:rsid w:val="001D7FDE"/>
    <w:rsid w:val="001E0E8C"/>
    <w:rsid w:val="001E1B91"/>
    <w:rsid w:val="001E229F"/>
    <w:rsid w:val="001E2A1A"/>
    <w:rsid w:val="001E2E13"/>
    <w:rsid w:val="001E4C67"/>
    <w:rsid w:val="001E68D7"/>
    <w:rsid w:val="001E6993"/>
    <w:rsid w:val="001E717E"/>
    <w:rsid w:val="001E747B"/>
    <w:rsid w:val="001E7C2C"/>
    <w:rsid w:val="001F152D"/>
    <w:rsid w:val="001F15B9"/>
    <w:rsid w:val="001F1A4F"/>
    <w:rsid w:val="001F1AA4"/>
    <w:rsid w:val="001F2140"/>
    <w:rsid w:val="001F23B0"/>
    <w:rsid w:val="001F3434"/>
    <w:rsid w:val="001F56F7"/>
    <w:rsid w:val="001F6100"/>
    <w:rsid w:val="001F619F"/>
    <w:rsid w:val="001F75EC"/>
    <w:rsid w:val="001F7861"/>
    <w:rsid w:val="0020054D"/>
    <w:rsid w:val="00200856"/>
    <w:rsid w:val="0020125E"/>
    <w:rsid w:val="0020131C"/>
    <w:rsid w:val="00202860"/>
    <w:rsid w:val="00202E66"/>
    <w:rsid w:val="00204902"/>
    <w:rsid w:val="00204BFC"/>
    <w:rsid w:val="00204ED7"/>
    <w:rsid w:val="00205157"/>
    <w:rsid w:val="0020597D"/>
    <w:rsid w:val="00205C9E"/>
    <w:rsid w:val="00206BB9"/>
    <w:rsid w:val="00206BC2"/>
    <w:rsid w:val="002079AF"/>
    <w:rsid w:val="00207E39"/>
    <w:rsid w:val="00207EE7"/>
    <w:rsid w:val="00210582"/>
    <w:rsid w:val="002108F9"/>
    <w:rsid w:val="00210BAF"/>
    <w:rsid w:val="00210F50"/>
    <w:rsid w:val="002111EF"/>
    <w:rsid w:val="00211CAA"/>
    <w:rsid w:val="00213318"/>
    <w:rsid w:val="0021351C"/>
    <w:rsid w:val="002142E2"/>
    <w:rsid w:val="002143A1"/>
    <w:rsid w:val="00214D3B"/>
    <w:rsid w:val="00215ECF"/>
    <w:rsid w:val="00216D2F"/>
    <w:rsid w:val="00217849"/>
    <w:rsid w:val="00221F84"/>
    <w:rsid w:val="0022235D"/>
    <w:rsid w:val="0022317E"/>
    <w:rsid w:val="00225247"/>
    <w:rsid w:val="002261A9"/>
    <w:rsid w:val="00226B2D"/>
    <w:rsid w:val="002276BE"/>
    <w:rsid w:val="00227F8A"/>
    <w:rsid w:val="0023026F"/>
    <w:rsid w:val="00230CFF"/>
    <w:rsid w:val="00231083"/>
    <w:rsid w:val="00231313"/>
    <w:rsid w:val="002315B8"/>
    <w:rsid w:val="002315B9"/>
    <w:rsid w:val="00231C7D"/>
    <w:rsid w:val="00231F04"/>
    <w:rsid w:val="00232F73"/>
    <w:rsid w:val="00233162"/>
    <w:rsid w:val="002331C1"/>
    <w:rsid w:val="00234FDA"/>
    <w:rsid w:val="002353ED"/>
    <w:rsid w:val="00235B9E"/>
    <w:rsid w:val="0023740D"/>
    <w:rsid w:val="00240904"/>
    <w:rsid w:val="00240B92"/>
    <w:rsid w:val="00241370"/>
    <w:rsid w:val="00242680"/>
    <w:rsid w:val="00242FAB"/>
    <w:rsid w:val="00243325"/>
    <w:rsid w:val="00243612"/>
    <w:rsid w:val="00243AF7"/>
    <w:rsid w:val="00243CEE"/>
    <w:rsid w:val="002445C2"/>
    <w:rsid w:val="00244A34"/>
    <w:rsid w:val="00244A8B"/>
    <w:rsid w:val="00246BE2"/>
    <w:rsid w:val="00251461"/>
    <w:rsid w:val="002516B4"/>
    <w:rsid w:val="00251FFA"/>
    <w:rsid w:val="00252736"/>
    <w:rsid w:val="00252FDF"/>
    <w:rsid w:val="00253742"/>
    <w:rsid w:val="0025395B"/>
    <w:rsid w:val="002539E8"/>
    <w:rsid w:val="00254739"/>
    <w:rsid w:val="0025599E"/>
    <w:rsid w:val="00257495"/>
    <w:rsid w:val="0026062C"/>
    <w:rsid w:val="00260D7B"/>
    <w:rsid w:val="00261577"/>
    <w:rsid w:val="002621C7"/>
    <w:rsid w:val="00263202"/>
    <w:rsid w:val="00264902"/>
    <w:rsid w:val="002649B6"/>
    <w:rsid w:val="00264A74"/>
    <w:rsid w:val="002650D3"/>
    <w:rsid w:val="002657C1"/>
    <w:rsid w:val="00266A4E"/>
    <w:rsid w:val="00267659"/>
    <w:rsid w:val="00267A22"/>
    <w:rsid w:val="00267BAF"/>
    <w:rsid w:val="00271847"/>
    <w:rsid w:val="00271AA6"/>
    <w:rsid w:val="00271EF3"/>
    <w:rsid w:val="002721DD"/>
    <w:rsid w:val="00273A1C"/>
    <w:rsid w:val="00275123"/>
    <w:rsid w:val="00275584"/>
    <w:rsid w:val="00276B51"/>
    <w:rsid w:val="0028022D"/>
    <w:rsid w:val="00280AB2"/>
    <w:rsid w:val="00280BEB"/>
    <w:rsid w:val="00281461"/>
    <w:rsid w:val="00282DB5"/>
    <w:rsid w:val="0028319B"/>
    <w:rsid w:val="00283D50"/>
    <w:rsid w:val="002841E7"/>
    <w:rsid w:val="002844C2"/>
    <w:rsid w:val="00284D8A"/>
    <w:rsid w:val="00285384"/>
    <w:rsid w:val="0028591F"/>
    <w:rsid w:val="00285DA0"/>
    <w:rsid w:val="002865F9"/>
    <w:rsid w:val="00287163"/>
    <w:rsid w:val="00287176"/>
    <w:rsid w:val="002871BB"/>
    <w:rsid w:val="002929B1"/>
    <w:rsid w:val="0029326F"/>
    <w:rsid w:val="002936DC"/>
    <w:rsid w:val="00293F6F"/>
    <w:rsid w:val="00294276"/>
    <w:rsid w:val="0029493E"/>
    <w:rsid w:val="00295189"/>
    <w:rsid w:val="00295C6B"/>
    <w:rsid w:val="0029730F"/>
    <w:rsid w:val="0029795A"/>
    <w:rsid w:val="00297D0B"/>
    <w:rsid w:val="002A1362"/>
    <w:rsid w:val="002A23F2"/>
    <w:rsid w:val="002A2422"/>
    <w:rsid w:val="002A2489"/>
    <w:rsid w:val="002A275A"/>
    <w:rsid w:val="002A2967"/>
    <w:rsid w:val="002A2CB6"/>
    <w:rsid w:val="002A2EFF"/>
    <w:rsid w:val="002A30CE"/>
    <w:rsid w:val="002A3192"/>
    <w:rsid w:val="002A3AF1"/>
    <w:rsid w:val="002A4492"/>
    <w:rsid w:val="002A501B"/>
    <w:rsid w:val="002A53ED"/>
    <w:rsid w:val="002A54E2"/>
    <w:rsid w:val="002A56D7"/>
    <w:rsid w:val="002A574D"/>
    <w:rsid w:val="002A58BE"/>
    <w:rsid w:val="002A59DA"/>
    <w:rsid w:val="002A5A01"/>
    <w:rsid w:val="002A6354"/>
    <w:rsid w:val="002A6449"/>
    <w:rsid w:val="002A6FAE"/>
    <w:rsid w:val="002A7C8B"/>
    <w:rsid w:val="002B0385"/>
    <w:rsid w:val="002B16A2"/>
    <w:rsid w:val="002B1BF5"/>
    <w:rsid w:val="002B20EA"/>
    <w:rsid w:val="002B2187"/>
    <w:rsid w:val="002B24DC"/>
    <w:rsid w:val="002B33C9"/>
    <w:rsid w:val="002B50E2"/>
    <w:rsid w:val="002B52C2"/>
    <w:rsid w:val="002B619F"/>
    <w:rsid w:val="002B62D3"/>
    <w:rsid w:val="002B6AFC"/>
    <w:rsid w:val="002B75D4"/>
    <w:rsid w:val="002C152A"/>
    <w:rsid w:val="002C1A0A"/>
    <w:rsid w:val="002C1B7A"/>
    <w:rsid w:val="002C2268"/>
    <w:rsid w:val="002C22E6"/>
    <w:rsid w:val="002C22F5"/>
    <w:rsid w:val="002C2619"/>
    <w:rsid w:val="002C325C"/>
    <w:rsid w:val="002C3E10"/>
    <w:rsid w:val="002C4876"/>
    <w:rsid w:val="002C5FBF"/>
    <w:rsid w:val="002C6338"/>
    <w:rsid w:val="002C64BB"/>
    <w:rsid w:val="002C6FDC"/>
    <w:rsid w:val="002C7E8D"/>
    <w:rsid w:val="002D0161"/>
    <w:rsid w:val="002D17D7"/>
    <w:rsid w:val="002D1DDA"/>
    <w:rsid w:val="002D1E6B"/>
    <w:rsid w:val="002D2719"/>
    <w:rsid w:val="002D2A38"/>
    <w:rsid w:val="002D321A"/>
    <w:rsid w:val="002D3257"/>
    <w:rsid w:val="002D333A"/>
    <w:rsid w:val="002D3374"/>
    <w:rsid w:val="002D35BC"/>
    <w:rsid w:val="002D50E8"/>
    <w:rsid w:val="002D52BA"/>
    <w:rsid w:val="002D635D"/>
    <w:rsid w:val="002D72FC"/>
    <w:rsid w:val="002E0CBA"/>
    <w:rsid w:val="002E0FB6"/>
    <w:rsid w:val="002E2264"/>
    <w:rsid w:val="002E2FD4"/>
    <w:rsid w:val="002E307C"/>
    <w:rsid w:val="002E44EF"/>
    <w:rsid w:val="002E4A06"/>
    <w:rsid w:val="002E52E1"/>
    <w:rsid w:val="002E668F"/>
    <w:rsid w:val="002E6790"/>
    <w:rsid w:val="002E6A8F"/>
    <w:rsid w:val="002E6F32"/>
    <w:rsid w:val="002E755F"/>
    <w:rsid w:val="002F0321"/>
    <w:rsid w:val="002F07D7"/>
    <w:rsid w:val="002F0C85"/>
    <w:rsid w:val="002F1087"/>
    <w:rsid w:val="002F2531"/>
    <w:rsid w:val="002F3715"/>
    <w:rsid w:val="002F37B8"/>
    <w:rsid w:val="002F58D5"/>
    <w:rsid w:val="002F6788"/>
    <w:rsid w:val="002F715D"/>
    <w:rsid w:val="002F7CA3"/>
    <w:rsid w:val="00300439"/>
    <w:rsid w:val="00300909"/>
    <w:rsid w:val="0030125B"/>
    <w:rsid w:val="003022EB"/>
    <w:rsid w:val="00304125"/>
    <w:rsid w:val="00304509"/>
    <w:rsid w:val="00304A5F"/>
    <w:rsid w:val="003066E3"/>
    <w:rsid w:val="00306D66"/>
    <w:rsid w:val="00306DE2"/>
    <w:rsid w:val="00306F77"/>
    <w:rsid w:val="00307436"/>
    <w:rsid w:val="00307604"/>
    <w:rsid w:val="00307629"/>
    <w:rsid w:val="00310A35"/>
    <w:rsid w:val="00311012"/>
    <w:rsid w:val="0031201A"/>
    <w:rsid w:val="00312398"/>
    <w:rsid w:val="003125A1"/>
    <w:rsid w:val="003126E5"/>
    <w:rsid w:val="00314311"/>
    <w:rsid w:val="0031470E"/>
    <w:rsid w:val="00315486"/>
    <w:rsid w:val="003154AF"/>
    <w:rsid w:val="003159FF"/>
    <w:rsid w:val="00316D60"/>
    <w:rsid w:val="00316E3A"/>
    <w:rsid w:val="003175CD"/>
    <w:rsid w:val="0031799E"/>
    <w:rsid w:val="00317CFA"/>
    <w:rsid w:val="00320436"/>
    <w:rsid w:val="00320873"/>
    <w:rsid w:val="00321380"/>
    <w:rsid w:val="00321686"/>
    <w:rsid w:val="003226EE"/>
    <w:rsid w:val="00322D00"/>
    <w:rsid w:val="003233D2"/>
    <w:rsid w:val="00323814"/>
    <w:rsid w:val="003244A3"/>
    <w:rsid w:val="003247F2"/>
    <w:rsid w:val="003248AD"/>
    <w:rsid w:val="0032580D"/>
    <w:rsid w:val="003259C8"/>
    <w:rsid w:val="00326C1B"/>
    <w:rsid w:val="00326DEE"/>
    <w:rsid w:val="003307D8"/>
    <w:rsid w:val="00330B1F"/>
    <w:rsid w:val="00331918"/>
    <w:rsid w:val="00332987"/>
    <w:rsid w:val="00333299"/>
    <w:rsid w:val="00333836"/>
    <w:rsid w:val="00333842"/>
    <w:rsid w:val="00333F40"/>
    <w:rsid w:val="00334175"/>
    <w:rsid w:val="003345DB"/>
    <w:rsid w:val="003349F9"/>
    <w:rsid w:val="0033516A"/>
    <w:rsid w:val="003352F4"/>
    <w:rsid w:val="0033534A"/>
    <w:rsid w:val="00335605"/>
    <w:rsid w:val="003360CD"/>
    <w:rsid w:val="00336991"/>
    <w:rsid w:val="00336A63"/>
    <w:rsid w:val="00336E61"/>
    <w:rsid w:val="003400DA"/>
    <w:rsid w:val="00340A0C"/>
    <w:rsid w:val="00341187"/>
    <w:rsid w:val="0034169C"/>
    <w:rsid w:val="0034188F"/>
    <w:rsid w:val="00341DA8"/>
    <w:rsid w:val="00341E47"/>
    <w:rsid w:val="00343A36"/>
    <w:rsid w:val="003443C3"/>
    <w:rsid w:val="003447CE"/>
    <w:rsid w:val="003447D2"/>
    <w:rsid w:val="00344F8E"/>
    <w:rsid w:val="00345F47"/>
    <w:rsid w:val="00347EA3"/>
    <w:rsid w:val="00350377"/>
    <w:rsid w:val="003506B2"/>
    <w:rsid w:val="00350ED6"/>
    <w:rsid w:val="00350FAA"/>
    <w:rsid w:val="00352600"/>
    <w:rsid w:val="00352F4D"/>
    <w:rsid w:val="003532D5"/>
    <w:rsid w:val="003532F9"/>
    <w:rsid w:val="0035364A"/>
    <w:rsid w:val="00353840"/>
    <w:rsid w:val="00354653"/>
    <w:rsid w:val="003549D6"/>
    <w:rsid w:val="003555BD"/>
    <w:rsid w:val="0035562C"/>
    <w:rsid w:val="00355EDB"/>
    <w:rsid w:val="0035651A"/>
    <w:rsid w:val="003575CA"/>
    <w:rsid w:val="003577C4"/>
    <w:rsid w:val="00361112"/>
    <w:rsid w:val="00361283"/>
    <w:rsid w:val="00361968"/>
    <w:rsid w:val="003636AA"/>
    <w:rsid w:val="003642AB"/>
    <w:rsid w:val="003646A3"/>
    <w:rsid w:val="00364809"/>
    <w:rsid w:val="00365195"/>
    <w:rsid w:val="00365A46"/>
    <w:rsid w:val="0036741E"/>
    <w:rsid w:val="0037085B"/>
    <w:rsid w:val="00370F12"/>
    <w:rsid w:val="00371C42"/>
    <w:rsid w:val="0037228C"/>
    <w:rsid w:val="003734F8"/>
    <w:rsid w:val="003737C6"/>
    <w:rsid w:val="00373B2A"/>
    <w:rsid w:val="0037441C"/>
    <w:rsid w:val="003744CA"/>
    <w:rsid w:val="0037523F"/>
    <w:rsid w:val="00375C6D"/>
    <w:rsid w:val="003760DF"/>
    <w:rsid w:val="00376250"/>
    <w:rsid w:val="0037748D"/>
    <w:rsid w:val="0038021A"/>
    <w:rsid w:val="0038087E"/>
    <w:rsid w:val="003809C5"/>
    <w:rsid w:val="00380AAF"/>
    <w:rsid w:val="00380E66"/>
    <w:rsid w:val="00380E86"/>
    <w:rsid w:val="00381493"/>
    <w:rsid w:val="00382275"/>
    <w:rsid w:val="003838A5"/>
    <w:rsid w:val="00384F9A"/>
    <w:rsid w:val="00385E2D"/>
    <w:rsid w:val="00386ADE"/>
    <w:rsid w:val="00386B96"/>
    <w:rsid w:val="00386F42"/>
    <w:rsid w:val="003870B2"/>
    <w:rsid w:val="00390317"/>
    <w:rsid w:val="003906BA"/>
    <w:rsid w:val="003909D5"/>
    <w:rsid w:val="00390D69"/>
    <w:rsid w:val="003919DD"/>
    <w:rsid w:val="00392194"/>
    <w:rsid w:val="003933C4"/>
    <w:rsid w:val="003934D2"/>
    <w:rsid w:val="003936F2"/>
    <w:rsid w:val="00393D9E"/>
    <w:rsid w:val="00394809"/>
    <w:rsid w:val="00395F9E"/>
    <w:rsid w:val="003964DF"/>
    <w:rsid w:val="00396773"/>
    <w:rsid w:val="00396C49"/>
    <w:rsid w:val="00396F24"/>
    <w:rsid w:val="00397668"/>
    <w:rsid w:val="00397A11"/>
    <w:rsid w:val="00397E49"/>
    <w:rsid w:val="003A01ED"/>
    <w:rsid w:val="003A0480"/>
    <w:rsid w:val="003A0AE1"/>
    <w:rsid w:val="003A1CA4"/>
    <w:rsid w:val="003A304C"/>
    <w:rsid w:val="003A3CFC"/>
    <w:rsid w:val="003A4D0A"/>
    <w:rsid w:val="003A5682"/>
    <w:rsid w:val="003A61AE"/>
    <w:rsid w:val="003A6545"/>
    <w:rsid w:val="003A6739"/>
    <w:rsid w:val="003A7D7B"/>
    <w:rsid w:val="003B05EB"/>
    <w:rsid w:val="003B1A3D"/>
    <w:rsid w:val="003B1CB6"/>
    <w:rsid w:val="003B26E8"/>
    <w:rsid w:val="003B312E"/>
    <w:rsid w:val="003B3974"/>
    <w:rsid w:val="003B4480"/>
    <w:rsid w:val="003B48D3"/>
    <w:rsid w:val="003B4C9B"/>
    <w:rsid w:val="003B5342"/>
    <w:rsid w:val="003B574A"/>
    <w:rsid w:val="003B6037"/>
    <w:rsid w:val="003B6B73"/>
    <w:rsid w:val="003B6FD2"/>
    <w:rsid w:val="003C0A27"/>
    <w:rsid w:val="003C137C"/>
    <w:rsid w:val="003C2736"/>
    <w:rsid w:val="003C3017"/>
    <w:rsid w:val="003C32C6"/>
    <w:rsid w:val="003C341A"/>
    <w:rsid w:val="003C4812"/>
    <w:rsid w:val="003C4F0B"/>
    <w:rsid w:val="003C54FD"/>
    <w:rsid w:val="003C5DC2"/>
    <w:rsid w:val="003C797B"/>
    <w:rsid w:val="003D0795"/>
    <w:rsid w:val="003D07C0"/>
    <w:rsid w:val="003D0EF6"/>
    <w:rsid w:val="003D11EE"/>
    <w:rsid w:val="003D1600"/>
    <w:rsid w:val="003D21D8"/>
    <w:rsid w:val="003D2B85"/>
    <w:rsid w:val="003D3727"/>
    <w:rsid w:val="003D3EBD"/>
    <w:rsid w:val="003D3F96"/>
    <w:rsid w:val="003D4363"/>
    <w:rsid w:val="003D4B4B"/>
    <w:rsid w:val="003D4C3B"/>
    <w:rsid w:val="003D4DF5"/>
    <w:rsid w:val="003D521B"/>
    <w:rsid w:val="003D55AF"/>
    <w:rsid w:val="003D56C6"/>
    <w:rsid w:val="003D5B70"/>
    <w:rsid w:val="003D746F"/>
    <w:rsid w:val="003D7B77"/>
    <w:rsid w:val="003D7D71"/>
    <w:rsid w:val="003E0903"/>
    <w:rsid w:val="003E183C"/>
    <w:rsid w:val="003E1926"/>
    <w:rsid w:val="003E1DB4"/>
    <w:rsid w:val="003E2405"/>
    <w:rsid w:val="003E3613"/>
    <w:rsid w:val="003E3A63"/>
    <w:rsid w:val="003E3ACD"/>
    <w:rsid w:val="003E406E"/>
    <w:rsid w:val="003E59A9"/>
    <w:rsid w:val="003E5E33"/>
    <w:rsid w:val="003E797A"/>
    <w:rsid w:val="003E7A92"/>
    <w:rsid w:val="003F06C6"/>
    <w:rsid w:val="003F1384"/>
    <w:rsid w:val="003F20E4"/>
    <w:rsid w:val="003F2137"/>
    <w:rsid w:val="003F2B98"/>
    <w:rsid w:val="003F2FF1"/>
    <w:rsid w:val="003F46C0"/>
    <w:rsid w:val="003F4A13"/>
    <w:rsid w:val="003F4DF3"/>
    <w:rsid w:val="003F57A1"/>
    <w:rsid w:val="003F65D3"/>
    <w:rsid w:val="003F65D8"/>
    <w:rsid w:val="003F6748"/>
    <w:rsid w:val="003F67D8"/>
    <w:rsid w:val="003F6A70"/>
    <w:rsid w:val="003F7619"/>
    <w:rsid w:val="00400FD8"/>
    <w:rsid w:val="00401158"/>
    <w:rsid w:val="004012F7"/>
    <w:rsid w:val="004014C7"/>
    <w:rsid w:val="004021B8"/>
    <w:rsid w:val="0040369C"/>
    <w:rsid w:val="00403E94"/>
    <w:rsid w:val="0040469D"/>
    <w:rsid w:val="0040492D"/>
    <w:rsid w:val="00404B0D"/>
    <w:rsid w:val="00405980"/>
    <w:rsid w:val="0040667D"/>
    <w:rsid w:val="00406775"/>
    <w:rsid w:val="00407293"/>
    <w:rsid w:val="00407731"/>
    <w:rsid w:val="0040782C"/>
    <w:rsid w:val="00407C64"/>
    <w:rsid w:val="00410021"/>
    <w:rsid w:val="00410E24"/>
    <w:rsid w:val="00410E30"/>
    <w:rsid w:val="00412333"/>
    <w:rsid w:val="004148A5"/>
    <w:rsid w:val="00416367"/>
    <w:rsid w:val="004164AC"/>
    <w:rsid w:val="004168CB"/>
    <w:rsid w:val="00416EBB"/>
    <w:rsid w:val="0041711B"/>
    <w:rsid w:val="00420B9A"/>
    <w:rsid w:val="004213DA"/>
    <w:rsid w:val="00422899"/>
    <w:rsid w:val="0042294F"/>
    <w:rsid w:val="00422CF4"/>
    <w:rsid w:val="00422DE7"/>
    <w:rsid w:val="00423500"/>
    <w:rsid w:val="0042486F"/>
    <w:rsid w:val="00424D4B"/>
    <w:rsid w:val="00425510"/>
    <w:rsid w:val="00425577"/>
    <w:rsid w:val="00426DE5"/>
    <w:rsid w:val="0043073D"/>
    <w:rsid w:val="00431540"/>
    <w:rsid w:val="004323A6"/>
    <w:rsid w:val="0043332C"/>
    <w:rsid w:val="00433922"/>
    <w:rsid w:val="004366FD"/>
    <w:rsid w:val="00436B87"/>
    <w:rsid w:val="00437EE1"/>
    <w:rsid w:val="004403DA"/>
    <w:rsid w:val="00440622"/>
    <w:rsid w:val="00440BEB"/>
    <w:rsid w:val="00441C6F"/>
    <w:rsid w:val="00442BA9"/>
    <w:rsid w:val="00442FA5"/>
    <w:rsid w:val="0044358E"/>
    <w:rsid w:val="00443790"/>
    <w:rsid w:val="004447EF"/>
    <w:rsid w:val="00444A36"/>
    <w:rsid w:val="00445523"/>
    <w:rsid w:val="0044553F"/>
    <w:rsid w:val="00445C2C"/>
    <w:rsid w:val="0044706E"/>
    <w:rsid w:val="00447390"/>
    <w:rsid w:val="00447C50"/>
    <w:rsid w:val="00447E6A"/>
    <w:rsid w:val="00447FAF"/>
    <w:rsid w:val="00450298"/>
    <w:rsid w:val="00451034"/>
    <w:rsid w:val="004511F7"/>
    <w:rsid w:val="00452993"/>
    <w:rsid w:val="004529B1"/>
    <w:rsid w:val="00452C8D"/>
    <w:rsid w:val="00453B9D"/>
    <w:rsid w:val="004540B8"/>
    <w:rsid w:val="00454492"/>
    <w:rsid w:val="0045451D"/>
    <w:rsid w:val="00454D8A"/>
    <w:rsid w:val="00454EE0"/>
    <w:rsid w:val="004551AE"/>
    <w:rsid w:val="004554C0"/>
    <w:rsid w:val="004564B0"/>
    <w:rsid w:val="004568A1"/>
    <w:rsid w:val="004600E1"/>
    <w:rsid w:val="00460396"/>
    <w:rsid w:val="004611ED"/>
    <w:rsid w:val="004613FE"/>
    <w:rsid w:val="004618CE"/>
    <w:rsid w:val="004621AA"/>
    <w:rsid w:val="0046233C"/>
    <w:rsid w:val="00462A80"/>
    <w:rsid w:val="00463143"/>
    <w:rsid w:val="0046345E"/>
    <w:rsid w:val="00463544"/>
    <w:rsid w:val="00463B7C"/>
    <w:rsid w:val="0046451C"/>
    <w:rsid w:val="0046465F"/>
    <w:rsid w:val="0046721B"/>
    <w:rsid w:val="00467E31"/>
    <w:rsid w:val="00470C05"/>
    <w:rsid w:val="004711B5"/>
    <w:rsid w:val="00471A21"/>
    <w:rsid w:val="00471AEE"/>
    <w:rsid w:val="00471C0A"/>
    <w:rsid w:val="00471CC9"/>
    <w:rsid w:val="0047236C"/>
    <w:rsid w:val="00472B31"/>
    <w:rsid w:val="004730F3"/>
    <w:rsid w:val="004739B6"/>
    <w:rsid w:val="004742D1"/>
    <w:rsid w:val="0047496D"/>
    <w:rsid w:val="00475F87"/>
    <w:rsid w:val="004770BD"/>
    <w:rsid w:val="00477282"/>
    <w:rsid w:val="0048037A"/>
    <w:rsid w:val="0048080A"/>
    <w:rsid w:val="004810BA"/>
    <w:rsid w:val="00481514"/>
    <w:rsid w:val="00481778"/>
    <w:rsid w:val="00482124"/>
    <w:rsid w:val="004821CB"/>
    <w:rsid w:val="0048226D"/>
    <w:rsid w:val="00482480"/>
    <w:rsid w:val="0048299B"/>
    <w:rsid w:val="004831EE"/>
    <w:rsid w:val="00483371"/>
    <w:rsid w:val="004852C6"/>
    <w:rsid w:val="0048554F"/>
    <w:rsid w:val="004859B8"/>
    <w:rsid w:val="0048645A"/>
    <w:rsid w:val="004872A0"/>
    <w:rsid w:val="00487511"/>
    <w:rsid w:val="004906C1"/>
    <w:rsid w:val="00491046"/>
    <w:rsid w:val="00491439"/>
    <w:rsid w:val="00492447"/>
    <w:rsid w:val="00492C49"/>
    <w:rsid w:val="00492EF5"/>
    <w:rsid w:val="00492EFF"/>
    <w:rsid w:val="004938EA"/>
    <w:rsid w:val="004940A3"/>
    <w:rsid w:val="004944DD"/>
    <w:rsid w:val="00494CD1"/>
    <w:rsid w:val="00494D77"/>
    <w:rsid w:val="00494D83"/>
    <w:rsid w:val="004956C6"/>
    <w:rsid w:val="0049580E"/>
    <w:rsid w:val="00496BA0"/>
    <w:rsid w:val="004970E9"/>
    <w:rsid w:val="004973FE"/>
    <w:rsid w:val="00497FD4"/>
    <w:rsid w:val="004A1012"/>
    <w:rsid w:val="004A1150"/>
    <w:rsid w:val="004A1848"/>
    <w:rsid w:val="004A1F8F"/>
    <w:rsid w:val="004A2CE1"/>
    <w:rsid w:val="004A2D0E"/>
    <w:rsid w:val="004A32A8"/>
    <w:rsid w:val="004A36BD"/>
    <w:rsid w:val="004A38C0"/>
    <w:rsid w:val="004A3908"/>
    <w:rsid w:val="004A3B89"/>
    <w:rsid w:val="004A469B"/>
    <w:rsid w:val="004A4DB5"/>
    <w:rsid w:val="004A5F88"/>
    <w:rsid w:val="004A61C0"/>
    <w:rsid w:val="004A6260"/>
    <w:rsid w:val="004A62E2"/>
    <w:rsid w:val="004A6F32"/>
    <w:rsid w:val="004A7846"/>
    <w:rsid w:val="004A79AD"/>
    <w:rsid w:val="004B02BB"/>
    <w:rsid w:val="004B058F"/>
    <w:rsid w:val="004B130D"/>
    <w:rsid w:val="004B15D1"/>
    <w:rsid w:val="004B1A25"/>
    <w:rsid w:val="004B44F5"/>
    <w:rsid w:val="004B47D8"/>
    <w:rsid w:val="004B4E28"/>
    <w:rsid w:val="004B54C3"/>
    <w:rsid w:val="004B5B68"/>
    <w:rsid w:val="004B742D"/>
    <w:rsid w:val="004B7A19"/>
    <w:rsid w:val="004C03BC"/>
    <w:rsid w:val="004C07F6"/>
    <w:rsid w:val="004C285D"/>
    <w:rsid w:val="004C286A"/>
    <w:rsid w:val="004C3C22"/>
    <w:rsid w:val="004C5163"/>
    <w:rsid w:val="004C550E"/>
    <w:rsid w:val="004C59F0"/>
    <w:rsid w:val="004C6036"/>
    <w:rsid w:val="004C71BE"/>
    <w:rsid w:val="004C7832"/>
    <w:rsid w:val="004C7E58"/>
    <w:rsid w:val="004D0764"/>
    <w:rsid w:val="004D115B"/>
    <w:rsid w:val="004D18C2"/>
    <w:rsid w:val="004D1E41"/>
    <w:rsid w:val="004D229F"/>
    <w:rsid w:val="004D22F8"/>
    <w:rsid w:val="004D2357"/>
    <w:rsid w:val="004D2608"/>
    <w:rsid w:val="004D3921"/>
    <w:rsid w:val="004D4A2C"/>
    <w:rsid w:val="004D4CCD"/>
    <w:rsid w:val="004D5683"/>
    <w:rsid w:val="004D6020"/>
    <w:rsid w:val="004D6503"/>
    <w:rsid w:val="004D67B1"/>
    <w:rsid w:val="004D6A82"/>
    <w:rsid w:val="004D6CE8"/>
    <w:rsid w:val="004D6D11"/>
    <w:rsid w:val="004D7C3E"/>
    <w:rsid w:val="004D7EDC"/>
    <w:rsid w:val="004E0736"/>
    <w:rsid w:val="004E0952"/>
    <w:rsid w:val="004E2D6C"/>
    <w:rsid w:val="004E3BD3"/>
    <w:rsid w:val="004E3D21"/>
    <w:rsid w:val="004E4BD5"/>
    <w:rsid w:val="004E4D97"/>
    <w:rsid w:val="004E51B4"/>
    <w:rsid w:val="004E5966"/>
    <w:rsid w:val="004E6B46"/>
    <w:rsid w:val="004E7058"/>
    <w:rsid w:val="004E7234"/>
    <w:rsid w:val="004E745B"/>
    <w:rsid w:val="004E7D1F"/>
    <w:rsid w:val="004F0141"/>
    <w:rsid w:val="004F0B40"/>
    <w:rsid w:val="004F100F"/>
    <w:rsid w:val="004F206B"/>
    <w:rsid w:val="004F2A62"/>
    <w:rsid w:val="004F359E"/>
    <w:rsid w:val="004F3AEC"/>
    <w:rsid w:val="004F3C7F"/>
    <w:rsid w:val="004F3EA7"/>
    <w:rsid w:val="004F4A63"/>
    <w:rsid w:val="004F4C61"/>
    <w:rsid w:val="004F4DCE"/>
    <w:rsid w:val="004F560B"/>
    <w:rsid w:val="004F62D1"/>
    <w:rsid w:val="004F7D66"/>
    <w:rsid w:val="0050042C"/>
    <w:rsid w:val="00500A3B"/>
    <w:rsid w:val="00501406"/>
    <w:rsid w:val="005020AD"/>
    <w:rsid w:val="005028B1"/>
    <w:rsid w:val="00502D09"/>
    <w:rsid w:val="00502D45"/>
    <w:rsid w:val="005036D9"/>
    <w:rsid w:val="00503B11"/>
    <w:rsid w:val="00504ED0"/>
    <w:rsid w:val="00506562"/>
    <w:rsid w:val="005066E4"/>
    <w:rsid w:val="00506FC8"/>
    <w:rsid w:val="005072DD"/>
    <w:rsid w:val="005073F0"/>
    <w:rsid w:val="00507A10"/>
    <w:rsid w:val="00507D6F"/>
    <w:rsid w:val="005101E2"/>
    <w:rsid w:val="0051181E"/>
    <w:rsid w:val="00512666"/>
    <w:rsid w:val="00512DCE"/>
    <w:rsid w:val="00512DDE"/>
    <w:rsid w:val="00512EF6"/>
    <w:rsid w:val="0051328E"/>
    <w:rsid w:val="005137C3"/>
    <w:rsid w:val="0051401E"/>
    <w:rsid w:val="00514E3E"/>
    <w:rsid w:val="00515D31"/>
    <w:rsid w:val="005167FD"/>
    <w:rsid w:val="00516EB5"/>
    <w:rsid w:val="00516F6B"/>
    <w:rsid w:val="005173D8"/>
    <w:rsid w:val="005211AE"/>
    <w:rsid w:val="0052148F"/>
    <w:rsid w:val="00523D26"/>
    <w:rsid w:val="00524FD0"/>
    <w:rsid w:val="005251E7"/>
    <w:rsid w:val="00525CD4"/>
    <w:rsid w:val="00526403"/>
    <w:rsid w:val="00526420"/>
    <w:rsid w:val="0052644A"/>
    <w:rsid w:val="00526E17"/>
    <w:rsid w:val="00527DC1"/>
    <w:rsid w:val="00530243"/>
    <w:rsid w:val="0053053C"/>
    <w:rsid w:val="005308DF"/>
    <w:rsid w:val="0053291F"/>
    <w:rsid w:val="00533182"/>
    <w:rsid w:val="00533395"/>
    <w:rsid w:val="00533664"/>
    <w:rsid w:val="00534264"/>
    <w:rsid w:val="00534C9A"/>
    <w:rsid w:val="00536D77"/>
    <w:rsid w:val="0053702F"/>
    <w:rsid w:val="00537979"/>
    <w:rsid w:val="00537C8D"/>
    <w:rsid w:val="005401E5"/>
    <w:rsid w:val="005418DC"/>
    <w:rsid w:val="00541D54"/>
    <w:rsid w:val="0054315D"/>
    <w:rsid w:val="005435E1"/>
    <w:rsid w:val="00543CAF"/>
    <w:rsid w:val="00544D6F"/>
    <w:rsid w:val="00544EBA"/>
    <w:rsid w:val="00546366"/>
    <w:rsid w:val="005469BB"/>
    <w:rsid w:val="00546FD8"/>
    <w:rsid w:val="005472DB"/>
    <w:rsid w:val="00547486"/>
    <w:rsid w:val="00547FBC"/>
    <w:rsid w:val="0055048B"/>
    <w:rsid w:val="005505A1"/>
    <w:rsid w:val="005508C6"/>
    <w:rsid w:val="00550EC9"/>
    <w:rsid w:val="005515B4"/>
    <w:rsid w:val="0055226F"/>
    <w:rsid w:val="00553A70"/>
    <w:rsid w:val="00555496"/>
    <w:rsid w:val="005562F4"/>
    <w:rsid w:val="00556D6B"/>
    <w:rsid w:val="005576C9"/>
    <w:rsid w:val="005609B5"/>
    <w:rsid w:val="005622D8"/>
    <w:rsid w:val="005623A4"/>
    <w:rsid w:val="00562DFB"/>
    <w:rsid w:val="00563C0C"/>
    <w:rsid w:val="00564458"/>
    <w:rsid w:val="0056521D"/>
    <w:rsid w:val="005659A5"/>
    <w:rsid w:val="00566A73"/>
    <w:rsid w:val="00566B6C"/>
    <w:rsid w:val="00566E70"/>
    <w:rsid w:val="005676EF"/>
    <w:rsid w:val="005677EC"/>
    <w:rsid w:val="00570E7A"/>
    <w:rsid w:val="00570F1D"/>
    <w:rsid w:val="00571055"/>
    <w:rsid w:val="00571113"/>
    <w:rsid w:val="00571C50"/>
    <w:rsid w:val="005727E6"/>
    <w:rsid w:val="00573035"/>
    <w:rsid w:val="00573AF0"/>
    <w:rsid w:val="00573F75"/>
    <w:rsid w:val="00574041"/>
    <w:rsid w:val="00575456"/>
    <w:rsid w:val="00576B9A"/>
    <w:rsid w:val="00577082"/>
    <w:rsid w:val="00577348"/>
    <w:rsid w:val="00577D6B"/>
    <w:rsid w:val="00577F96"/>
    <w:rsid w:val="005804CF"/>
    <w:rsid w:val="00580B31"/>
    <w:rsid w:val="00580EEB"/>
    <w:rsid w:val="00581F1C"/>
    <w:rsid w:val="0058213F"/>
    <w:rsid w:val="005831F0"/>
    <w:rsid w:val="005834AD"/>
    <w:rsid w:val="00584F14"/>
    <w:rsid w:val="005850EE"/>
    <w:rsid w:val="00585DAE"/>
    <w:rsid w:val="00586080"/>
    <w:rsid w:val="00586943"/>
    <w:rsid w:val="0058754E"/>
    <w:rsid w:val="005901E4"/>
    <w:rsid w:val="005913BA"/>
    <w:rsid w:val="00592D0D"/>
    <w:rsid w:val="00592FC6"/>
    <w:rsid w:val="00593C49"/>
    <w:rsid w:val="00594220"/>
    <w:rsid w:val="00594898"/>
    <w:rsid w:val="00594C5A"/>
    <w:rsid w:val="00594D65"/>
    <w:rsid w:val="00595625"/>
    <w:rsid w:val="00595848"/>
    <w:rsid w:val="00595D64"/>
    <w:rsid w:val="00596459"/>
    <w:rsid w:val="00596680"/>
    <w:rsid w:val="005977CE"/>
    <w:rsid w:val="00597F1B"/>
    <w:rsid w:val="00597F86"/>
    <w:rsid w:val="005A0A64"/>
    <w:rsid w:val="005A11ED"/>
    <w:rsid w:val="005A15EB"/>
    <w:rsid w:val="005A25F3"/>
    <w:rsid w:val="005A28A0"/>
    <w:rsid w:val="005A2A07"/>
    <w:rsid w:val="005A3374"/>
    <w:rsid w:val="005A3CDF"/>
    <w:rsid w:val="005A3D14"/>
    <w:rsid w:val="005A4002"/>
    <w:rsid w:val="005A45CC"/>
    <w:rsid w:val="005A4690"/>
    <w:rsid w:val="005A4811"/>
    <w:rsid w:val="005A4BCA"/>
    <w:rsid w:val="005A58A4"/>
    <w:rsid w:val="005A5FB2"/>
    <w:rsid w:val="005A65A8"/>
    <w:rsid w:val="005A7548"/>
    <w:rsid w:val="005A77E7"/>
    <w:rsid w:val="005A786F"/>
    <w:rsid w:val="005A7965"/>
    <w:rsid w:val="005A7ABD"/>
    <w:rsid w:val="005B0950"/>
    <w:rsid w:val="005B1214"/>
    <w:rsid w:val="005B246E"/>
    <w:rsid w:val="005B27CC"/>
    <w:rsid w:val="005B381C"/>
    <w:rsid w:val="005B79B9"/>
    <w:rsid w:val="005B7B61"/>
    <w:rsid w:val="005B7E49"/>
    <w:rsid w:val="005C0281"/>
    <w:rsid w:val="005C06EA"/>
    <w:rsid w:val="005C0791"/>
    <w:rsid w:val="005C0A65"/>
    <w:rsid w:val="005C0BB4"/>
    <w:rsid w:val="005C17C1"/>
    <w:rsid w:val="005C184D"/>
    <w:rsid w:val="005C19E0"/>
    <w:rsid w:val="005C1E92"/>
    <w:rsid w:val="005C2D01"/>
    <w:rsid w:val="005C30DD"/>
    <w:rsid w:val="005C31DE"/>
    <w:rsid w:val="005C320A"/>
    <w:rsid w:val="005C4EC5"/>
    <w:rsid w:val="005C5F23"/>
    <w:rsid w:val="005C61C5"/>
    <w:rsid w:val="005C6EE6"/>
    <w:rsid w:val="005C7517"/>
    <w:rsid w:val="005C7624"/>
    <w:rsid w:val="005C7700"/>
    <w:rsid w:val="005C7F54"/>
    <w:rsid w:val="005D12B7"/>
    <w:rsid w:val="005D200E"/>
    <w:rsid w:val="005D2493"/>
    <w:rsid w:val="005D2748"/>
    <w:rsid w:val="005D2759"/>
    <w:rsid w:val="005D29E9"/>
    <w:rsid w:val="005D30A2"/>
    <w:rsid w:val="005D3272"/>
    <w:rsid w:val="005D44F3"/>
    <w:rsid w:val="005D4B1C"/>
    <w:rsid w:val="005D7CAF"/>
    <w:rsid w:val="005E039A"/>
    <w:rsid w:val="005E0B58"/>
    <w:rsid w:val="005E14EA"/>
    <w:rsid w:val="005E32CF"/>
    <w:rsid w:val="005E3C30"/>
    <w:rsid w:val="005E3F6C"/>
    <w:rsid w:val="005E3F80"/>
    <w:rsid w:val="005E3FAC"/>
    <w:rsid w:val="005E54A6"/>
    <w:rsid w:val="005E5CF4"/>
    <w:rsid w:val="005E657A"/>
    <w:rsid w:val="005F029C"/>
    <w:rsid w:val="005F0BED"/>
    <w:rsid w:val="005F17E5"/>
    <w:rsid w:val="005F2547"/>
    <w:rsid w:val="005F32FA"/>
    <w:rsid w:val="005F3394"/>
    <w:rsid w:val="005F4BAC"/>
    <w:rsid w:val="005F577C"/>
    <w:rsid w:val="005F6337"/>
    <w:rsid w:val="005F7E05"/>
    <w:rsid w:val="006008E2"/>
    <w:rsid w:val="00600EB5"/>
    <w:rsid w:val="00601037"/>
    <w:rsid w:val="0060378B"/>
    <w:rsid w:val="00604124"/>
    <w:rsid w:val="00604475"/>
    <w:rsid w:val="00604976"/>
    <w:rsid w:val="00605520"/>
    <w:rsid w:val="00605C4B"/>
    <w:rsid w:val="00607396"/>
    <w:rsid w:val="006076E4"/>
    <w:rsid w:val="006078F1"/>
    <w:rsid w:val="00607E91"/>
    <w:rsid w:val="00610026"/>
    <w:rsid w:val="00610B8B"/>
    <w:rsid w:val="006112CA"/>
    <w:rsid w:val="00611632"/>
    <w:rsid w:val="00611DAD"/>
    <w:rsid w:val="0061208A"/>
    <w:rsid w:val="00616A6F"/>
    <w:rsid w:val="00616D95"/>
    <w:rsid w:val="00616EA6"/>
    <w:rsid w:val="00620C24"/>
    <w:rsid w:val="00620D97"/>
    <w:rsid w:val="00621058"/>
    <w:rsid w:val="006221DE"/>
    <w:rsid w:val="006221E2"/>
    <w:rsid w:val="006225DA"/>
    <w:rsid w:val="00622BAC"/>
    <w:rsid w:val="00623801"/>
    <w:rsid w:val="0062389D"/>
    <w:rsid w:val="00623A0A"/>
    <w:rsid w:val="00624537"/>
    <w:rsid w:val="006247FB"/>
    <w:rsid w:val="00624EEB"/>
    <w:rsid w:val="006257D9"/>
    <w:rsid w:val="0062607A"/>
    <w:rsid w:val="00626EDF"/>
    <w:rsid w:val="006274FC"/>
    <w:rsid w:val="00627512"/>
    <w:rsid w:val="006307EE"/>
    <w:rsid w:val="00630A57"/>
    <w:rsid w:val="00631510"/>
    <w:rsid w:val="00632214"/>
    <w:rsid w:val="00632CAD"/>
    <w:rsid w:val="00632CCD"/>
    <w:rsid w:val="00633360"/>
    <w:rsid w:val="00633944"/>
    <w:rsid w:val="00633E00"/>
    <w:rsid w:val="00634E48"/>
    <w:rsid w:val="006359AF"/>
    <w:rsid w:val="00636EBF"/>
    <w:rsid w:val="00636EF2"/>
    <w:rsid w:val="00641401"/>
    <w:rsid w:val="006416B2"/>
    <w:rsid w:val="00641B35"/>
    <w:rsid w:val="00641BCF"/>
    <w:rsid w:val="006421FD"/>
    <w:rsid w:val="00642913"/>
    <w:rsid w:val="0064302E"/>
    <w:rsid w:val="00643054"/>
    <w:rsid w:val="00643076"/>
    <w:rsid w:val="0064444D"/>
    <w:rsid w:val="00645766"/>
    <w:rsid w:val="00645C67"/>
    <w:rsid w:val="00647502"/>
    <w:rsid w:val="006503C8"/>
    <w:rsid w:val="00650642"/>
    <w:rsid w:val="00650C52"/>
    <w:rsid w:val="00650F13"/>
    <w:rsid w:val="00650F1E"/>
    <w:rsid w:val="00651B3C"/>
    <w:rsid w:val="0065206A"/>
    <w:rsid w:val="00652757"/>
    <w:rsid w:val="00652E8A"/>
    <w:rsid w:val="00653753"/>
    <w:rsid w:val="00654452"/>
    <w:rsid w:val="00654A87"/>
    <w:rsid w:val="00654EA7"/>
    <w:rsid w:val="0065526A"/>
    <w:rsid w:val="0065794F"/>
    <w:rsid w:val="00657FCA"/>
    <w:rsid w:val="00660291"/>
    <w:rsid w:val="00661284"/>
    <w:rsid w:val="00661503"/>
    <w:rsid w:val="00662515"/>
    <w:rsid w:val="00663221"/>
    <w:rsid w:val="0066325C"/>
    <w:rsid w:val="00663262"/>
    <w:rsid w:val="00663441"/>
    <w:rsid w:val="0066363A"/>
    <w:rsid w:val="0066398D"/>
    <w:rsid w:val="00663D01"/>
    <w:rsid w:val="00664175"/>
    <w:rsid w:val="006641C1"/>
    <w:rsid w:val="00664A32"/>
    <w:rsid w:val="00664A33"/>
    <w:rsid w:val="00664E80"/>
    <w:rsid w:val="006654FF"/>
    <w:rsid w:val="0066614D"/>
    <w:rsid w:val="0066685F"/>
    <w:rsid w:val="006674CB"/>
    <w:rsid w:val="006701D2"/>
    <w:rsid w:val="00670310"/>
    <w:rsid w:val="0067049E"/>
    <w:rsid w:val="00670F50"/>
    <w:rsid w:val="0067181E"/>
    <w:rsid w:val="00671C81"/>
    <w:rsid w:val="00671E47"/>
    <w:rsid w:val="0067265E"/>
    <w:rsid w:val="00672F2D"/>
    <w:rsid w:val="00672F5B"/>
    <w:rsid w:val="006730AC"/>
    <w:rsid w:val="00673AE9"/>
    <w:rsid w:val="00673C74"/>
    <w:rsid w:val="00673DB6"/>
    <w:rsid w:val="00674618"/>
    <w:rsid w:val="006748AD"/>
    <w:rsid w:val="0067511E"/>
    <w:rsid w:val="00675291"/>
    <w:rsid w:val="00675F3F"/>
    <w:rsid w:val="006765BA"/>
    <w:rsid w:val="006765FD"/>
    <w:rsid w:val="006779A6"/>
    <w:rsid w:val="00680292"/>
    <w:rsid w:val="00680FC7"/>
    <w:rsid w:val="00682E90"/>
    <w:rsid w:val="0068335B"/>
    <w:rsid w:val="0068353A"/>
    <w:rsid w:val="0068358B"/>
    <w:rsid w:val="0068365C"/>
    <w:rsid w:val="00684639"/>
    <w:rsid w:val="00684EC0"/>
    <w:rsid w:val="006854DB"/>
    <w:rsid w:val="00685F47"/>
    <w:rsid w:val="00686D89"/>
    <w:rsid w:val="0068753B"/>
    <w:rsid w:val="006875C8"/>
    <w:rsid w:val="00687F60"/>
    <w:rsid w:val="006900C7"/>
    <w:rsid w:val="00690FA7"/>
    <w:rsid w:val="006914DC"/>
    <w:rsid w:val="0069236E"/>
    <w:rsid w:val="00692541"/>
    <w:rsid w:val="006937D5"/>
    <w:rsid w:val="00693E49"/>
    <w:rsid w:val="00694405"/>
    <w:rsid w:val="00694436"/>
    <w:rsid w:val="00694AAC"/>
    <w:rsid w:val="006955E5"/>
    <w:rsid w:val="00697495"/>
    <w:rsid w:val="006977D2"/>
    <w:rsid w:val="00697E17"/>
    <w:rsid w:val="00697F37"/>
    <w:rsid w:val="006A04E6"/>
    <w:rsid w:val="006A0C8E"/>
    <w:rsid w:val="006A11A8"/>
    <w:rsid w:val="006A1430"/>
    <w:rsid w:val="006A1A93"/>
    <w:rsid w:val="006A1F74"/>
    <w:rsid w:val="006A2778"/>
    <w:rsid w:val="006A3336"/>
    <w:rsid w:val="006A393A"/>
    <w:rsid w:val="006A3A69"/>
    <w:rsid w:val="006A3CBC"/>
    <w:rsid w:val="006A47C4"/>
    <w:rsid w:val="006A53CD"/>
    <w:rsid w:val="006A5D36"/>
    <w:rsid w:val="006A71BC"/>
    <w:rsid w:val="006A7245"/>
    <w:rsid w:val="006A761D"/>
    <w:rsid w:val="006A7FA5"/>
    <w:rsid w:val="006B0611"/>
    <w:rsid w:val="006B0875"/>
    <w:rsid w:val="006B15BA"/>
    <w:rsid w:val="006B15DC"/>
    <w:rsid w:val="006B180E"/>
    <w:rsid w:val="006B2DF4"/>
    <w:rsid w:val="006B3C0A"/>
    <w:rsid w:val="006B65E9"/>
    <w:rsid w:val="006B7020"/>
    <w:rsid w:val="006B7E97"/>
    <w:rsid w:val="006C06DC"/>
    <w:rsid w:val="006C07C6"/>
    <w:rsid w:val="006C0823"/>
    <w:rsid w:val="006C08DC"/>
    <w:rsid w:val="006C1D51"/>
    <w:rsid w:val="006C2CF8"/>
    <w:rsid w:val="006C38B5"/>
    <w:rsid w:val="006C3D80"/>
    <w:rsid w:val="006C4449"/>
    <w:rsid w:val="006C44BD"/>
    <w:rsid w:val="006C451A"/>
    <w:rsid w:val="006C454B"/>
    <w:rsid w:val="006C4DA7"/>
    <w:rsid w:val="006C4E2C"/>
    <w:rsid w:val="006C54CC"/>
    <w:rsid w:val="006C591D"/>
    <w:rsid w:val="006C5C90"/>
    <w:rsid w:val="006C6882"/>
    <w:rsid w:val="006C6E59"/>
    <w:rsid w:val="006C71A3"/>
    <w:rsid w:val="006C7489"/>
    <w:rsid w:val="006C768A"/>
    <w:rsid w:val="006C7B81"/>
    <w:rsid w:val="006C7FB5"/>
    <w:rsid w:val="006D0273"/>
    <w:rsid w:val="006D073A"/>
    <w:rsid w:val="006D0EF5"/>
    <w:rsid w:val="006D158B"/>
    <w:rsid w:val="006D2194"/>
    <w:rsid w:val="006D27AB"/>
    <w:rsid w:val="006D2C56"/>
    <w:rsid w:val="006D2E56"/>
    <w:rsid w:val="006D30FD"/>
    <w:rsid w:val="006D389B"/>
    <w:rsid w:val="006D4432"/>
    <w:rsid w:val="006D4852"/>
    <w:rsid w:val="006D5709"/>
    <w:rsid w:val="006D5C9C"/>
    <w:rsid w:val="006D6A61"/>
    <w:rsid w:val="006D7002"/>
    <w:rsid w:val="006D700F"/>
    <w:rsid w:val="006D76EF"/>
    <w:rsid w:val="006E018E"/>
    <w:rsid w:val="006E149E"/>
    <w:rsid w:val="006E1764"/>
    <w:rsid w:val="006E1903"/>
    <w:rsid w:val="006E1E5C"/>
    <w:rsid w:val="006E2DA2"/>
    <w:rsid w:val="006E41FC"/>
    <w:rsid w:val="006E4506"/>
    <w:rsid w:val="006E466B"/>
    <w:rsid w:val="006E4A26"/>
    <w:rsid w:val="006E4E7D"/>
    <w:rsid w:val="006E55F5"/>
    <w:rsid w:val="006E5865"/>
    <w:rsid w:val="006E6B98"/>
    <w:rsid w:val="006E7B60"/>
    <w:rsid w:val="006E7E99"/>
    <w:rsid w:val="006E7FA8"/>
    <w:rsid w:val="006F00E6"/>
    <w:rsid w:val="006F0744"/>
    <w:rsid w:val="006F1867"/>
    <w:rsid w:val="006F1DAC"/>
    <w:rsid w:val="006F2EEF"/>
    <w:rsid w:val="006F4310"/>
    <w:rsid w:val="006F4ACD"/>
    <w:rsid w:val="006F503F"/>
    <w:rsid w:val="006F5B8F"/>
    <w:rsid w:val="006F6B91"/>
    <w:rsid w:val="006F6CEA"/>
    <w:rsid w:val="006F7F7B"/>
    <w:rsid w:val="0070095D"/>
    <w:rsid w:val="007013F6"/>
    <w:rsid w:val="00701F32"/>
    <w:rsid w:val="00702F87"/>
    <w:rsid w:val="00703CDB"/>
    <w:rsid w:val="007047EE"/>
    <w:rsid w:val="00704982"/>
    <w:rsid w:val="007050B3"/>
    <w:rsid w:val="007060BC"/>
    <w:rsid w:val="00706C11"/>
    <w:rsid w:val="007073B4"/>
    <w:rsid w:val="0070779E"/>
    <w:rsid w:val="00710225"/>
    <w:rsid w:val="00710344"/>
    <w:rsid w:val="007113C9"/>
    <w:rsid w:val="007118FE"/>
    <w:rsid w:val="00712216"/>
    <w:rsid w:val="007129A5"/>
    <w:rsid w:val="00712E5B"/>
    <w:rsid w:val="007148E3"/>
    <w:rsid w:val="00714AC4"/>
    <w:rsid w:val="0071572C"/>
    <w:rsid w:val="00715B73"/>
    <w:rsid w:val="007161BA"/>
    <w:rsid w:val="0071654C"/>
    <w:rsid w:val="00717083"/>
    <w:rsid w:val="007170EE"/>
    <w:rsid w:val="00717715"/>
    <w:rsid w:val="00720BC6"/>
    <w:rsid w:val="00720CA5"/>
    <w:rsid w:val="00720E42"/>
    <w:rsid w:val="00721E5F"/>
    <w:rsid w:val="007221BD"/>
    <w:rsid w:val="007223A4"/>
    <w:rsid w:val="007224EF"/>
    <w:rsid w:val="00722C86"/>
    <w:rsid w:val="00723909"/>
    <w:rsid w:val="00724541"/>
    <w:rsid w:val="00724B13"/>
    <w:rsid w:val="00724BA5"/>
    <w:rsid w:val="00724DBC"/>
    <w:rsid w:val="0072545F"/>
    <w:rsid w:val="0072550B"/>
    <w:rsid w:val="007258AA"/>
    <w:rsid w:val="007272E6"/>
    <w:rsid w:val="007277E6"/>
    <w:rsid w:val="007278E4"/>
    <w:rsid w:val="00727D7B"/>
    <w:rsid w:val="0073054C"/>
    <w:rsid w:val="00730D7E"/>
    <w:rsid w:val="00730E99"/>
    <w:rsid w:val="0073130C"/>
    <w:rsid w:val="00731998"/>
    <w:rsid w:val="00732677"/>
    <w:rsid w:val="00732875"/>
    <w:rsid w:val="00734A35"/>
    <w:rsid w:val="00734F8A"/>
    <w:rsid w:val="00735251"/>
    <w:rsid w:val="00735678"/>
    <w:rsid w:val="00735DB7"/>
    <w:rsid w:val="007365B8"/>
    <w:rsid w:val="007367E0"/>
    <w:rsid w:val="00737969"/>
    <w:rsid w:val="00737EEF"/>
    <w:rsid w:val="0074007A"/>
    <w:rsid w:val="00740C18"/>
    <w:rsid w:val="007413F9"/>
    <w:rsid w:val="00741577"/>
    <w:rsid w:val="007415A4"/>
    <w:rsid w:val="007415E3"/>
    <w:rsid w:val="00741F47"/>
    <w:rsid w:val="0074201F"/>
    <w:rsid w:val="007432B4"/>
    <w:rsid w:val="007435EA"/>
    <w:rsid w:val="00744532"/>
    <w:rsid w:val="00745C19"/>
    <w:rsid w:val="00746ADD"/>
    <w:rsid w:val="00747745"/>
    <w:rsid w:val="00750460"/>
    <w:rsid w:val="00751109"/>
    <w:rsid w:val="00751490"/>
    <w:rsid w:val="00752953"/>
    <w:rsid w:val="00753478"/>
    <w:rsid w:val="007540E2"/>
    <w:rsid w:val="00754972"/>
    <w:rsid w:val="00754F6C"/>
    <w:rsid w:val="00755238"/>
    <w:rsid w:val="007569E5"/>
    <w:rsid w:val="00756E16"/>
    <w:rsid w:val="00757910"/>
    <w:rsid w:val="00760E43"/>
    <w:rsid w:val="007616B4"/>
    <w:rsid w:val="00761E25"/>
    <w:rsid w:val="00762115"/>
    <w:rsid w:val="00762E99"/>
    <w:rsid w:val="0076315B"/>
    <w:rsid w:val="007649EE"/>
    <w:rsid w:val="00764D35"/>
    <w:rsid w:val="00765714"/>
    <w:rsid w:val="007657F1"/>
    <w:rsid w:val="00765A0F"/>
    <w:rsid w:val="007662BD"/>
    <w:rsid w:val="007663A8"/>
    <w:rsid w:val="00766412"/>
    <w:rsid w:val="007664F3"/>
    <w:rsid w:val="00766A32"/>
    <w:rsid w:val="00767F6B"/>
    <w:rsid w:val="00770193"/>
    <w:rsid w:val="00770229"/>
    <w:rsid w:val="0077059C"/>
    <w:rsid w:val="007706C7"/>
    <w:rsid w:val="007709B1"/>
    <w:rsid w:val="00771021"/>
    <w:rsid w:val="0077127E"/>
    <w:rsid w:val="00771EE7"/>
    <w:rsid w:val="007731E8"/>
    <w:rsid w:val="00775565"/>
    <w:rsid w:val="00775E7D"/>
    <w:rsid w:val="00775FD6"/>
    <w:rsid w:val="00776C0A"/>
    <w:rsid w:val="00776D39"/>
    <w:rsid w:val="00780537"/>
    <w:rsid w:val="007808A8"/>
    <w:rsid w:val="00780C78"/>
    <w:rsid w:val="007818F9"/>
    <w:rsid w:val="00781913"/>
    <w:rsid w:val="00781EC2"/>
    <w:rsid w:val="007821A5"/>
    <w:rsid w:val="00783240"/>
    <w:rsid w:val="00783CAB"/>
    <w:rsid w:val="00783F4E"/>
    <w:rsid w:val="007840B7"/>
    <w:rsid w:val="007849B2"/>
    <w:rsid w:val="00784C76"/>
    <w:rsid w:val="00787241"/>
    <w:rsid w:val="00790154"/>
    <w:rsid w:val="00790270"/>
    <w:rsid w:val="007911D1"/>
    <w:rsid w:val="00791C16"/>
    <w:rsid w:val="00793018"/>
    <w:rsid w:val="0079305F"/>
    <w:rsid w:val="007933A8"/>
    <w:rsid w:val="007939D8"/>
    <w:rsid w:val="00794E27"/>
    <w:rsid w:val="00796C63"/>
    <w:rsid w:val="00796F30"/>
    <w:rsid w:val="0079759E"/>
    <w:rsid w:val="00797A6B"/>
    <w:rsid w:val="00797BE8"/>
    <w:rsid w:val="007A0D73"/>
    <w:rsid w:val="007A10F4"/>
    <w:rsid w:val="007A167D"/>
    <w:rsid w:val="007A16E4"/>
    <w:rsid w:val="007A1ED5"/>
    <w:rsid w:val="007A215F"/>
    <w:rsid w:val="007A23C9"/>
    <w:rsid w:val="007A2F28"/>
    <w:rsid w:val="007A3DE0"/>
    <w:rsid w:val="007A51BC"/>
    <w:rsid w:val="007A52D1"/>
    <w:rsid w:val="007A79A5"/>
    <w:rsid w:val="007A7A78"/>
    <w:rsid w:val="007B03B2"/>
    <w:rsid w:val="007B1037"/>
    <w:rsid w:val="007B1651"/>
    <w:rsid w:val="007B16A7"/>
    <w:rsid w:val="007B2C9E"/>
    <w:rsid w:val="007B443B"/>
    <w:rsid w:val="007B444A"/>
    <w:rsid w:val="007B46A1"/>
    <w:rsid w:val="007B51DD"/>
    <w:rsid w:val="007B5400"/>
    <w:rsid w:val="007B54D7"/>
    <w:rsid w:val="007B5C18"/>
    <w:rsid w:val="007B721D"/>
    <w:rsid w:val="007C0890"/>
    <w:rsid w:val="007C0F1E"/>
    <w:rsid w:val="007C0F6D"/>
    <w:rsid w:val="007C2402"/>
    <w:rsid w:val="007C24C9"/>
    <w:rsid w:val="007C316B"/>
    <w:rsid w:val="007C4033"/>
    <w:rsid w:val="007C43F3"/>
    <w:rsid w:val="007C44BF"/>
    <w:rsid w:val="007C4CFE"/>
    <w:rsid w:val="007C5392"/>
    <w:rsid w:val="007C61A6"/>
    <w:rsid w:val="007C6662"/>
    <w:rsid w:val="007C6F2C"/>
    <w:rsid w:val="007C70A3"/>
    <w:rsid w:val="007D125F"/>
    <w:rsid w:val="007D18D6"/>
    <w:rsid w:val="007D1CE7"/>
    <w:rsid w:val="007D223A"/>
    <w:rsid w:val="007D229C"/>
    <w:rsid w:val="007D27A3"/>
    <w:rsid w:val="007D2A4A"/>
    <w:rsid w:val="007D2D3B"/>
    <w:rsid w:val="007D2EA6"/>
    <w:rsid w:val="007D3CBB"/>
    <w:rsid w:val="007D47A4"/>
    <w:rsid w:val="007D54EE"/>
    <w:rsid w:val="007D62EB"/>
    <w:rsid w:val="007D6B0D"/>
    <w:rsid w:val="007D6E2D"/>
    <w:rsid w:val="007D6F53"/>
    <w:rsid w:val="007D7900"/>
    <w:rsid w:val="007E1102"/>
    <w:rsid w:val="007E1850"/>
    <w:rsid w:val="007E22B5"/>
    <w:rsid w:val="007E23AA"/>
    <w:rsid w:val="007E3850"/>
    <w:rsid w:val="007E4BAA"/>
    <w:rsid w:val="007E5724"/>
    <w:rsid w:val="007E5A71"/>
    <w:rsid w:val="007E5E43"/>
    <w:rsid w:val="007E6AA6"/>
    <w:rsid w:val="007E6DAC"/>
    <w:rsid w:val="007E7C5E"/>
    <w:rsid w:val="007F02E1"/>
    <w:rsid w:val="007F04DC"/>
    <w:rsid w:val="007F1715"/>
    <w:rsid w:val="007F1917"/>
    <w:rsid w:val="007F1B3A"/>
    <w:rsid w:val="007F240A"/>
    <w:rsid w:val="007F274B"/>
    <w:rsid w:val="007F43EE"/>
    <w:rsid w:val="007F44D9"/>
    <w:rsid w:val="007F46F7"/>
    <w:rsid w:val="007F6781"/>
    <w:rsid w:val="007F6B4B"/>
    <w:rsid w:val="007F6E9D"/>
    <w:rsid w:val="007F704A"/>
    <w:rsid w:val="007F7563"/>
    <w:rsid w:val="007F785D"/>
    <w:rsid w:val="007F7C30"/>
    <w:rsid w:val="007F7DE2"/>
    <w:rsid w:val="007F7E55"/>
    <w:rsid w:val="00800AFF"/>
    <w:rsid w:val="00801081"/>
    <w:rsid w:val="008013C3"/>
    <w:rsid w:val="0080197D"/>
    <w:rsid w:val="008030FA"/>
    <w:rsid w:val="00803E47"/>
    <w:rsid w:val="0080480C"/>
    <w:rsid w:val="008050C8"/>
    <w:rsid w:val="00805797"/>
    <w:rsid w:val="008057E2"/>
    <w:rsid w:val="008058DB"/>
    <w:rsid w:val="00807155"/>
    <w:rsid w:val="00807E34"/>
    <w:rsid w:val="008114CA"/>
    <w:rsid w:val="00811589"/>
    <w:rsid w:val="00813052"/>
    <w:rsid w:val="00813242"/>
    <w:rsid w:val="00813D9E"/>
    <w:rsid w:val="008153DB"/>
    <w:rsid w:val="00815AA3"/>
    <w:rsid w:val="00817099"/>
    <w:rsid w:val="00817602"/>
    <w:rsid w:val="008176E2"/>
    <w:rsid w:val="0082034D"/>
    <w:rsid w:val="008210AE"/>
    <w:rsid w:val="00822253"/>
    <w:rsid w:val="008231F5"/>
    <w:rsid w:val="008243CC"/>
    <w:rsid w:val="00824A5B"/>
    <w:rsid w:val="00824BE9"/>
    <w:rsid w:val="00825C7D"/>
    <w:rsid w:val="0082734F"/>
    <w:rsid w:val="00830414"/>
    <w:rsid w:val="00830438"/>
    <w:rsid w:val="008315F5"/>
    <w:rsid w:val="008318C9"/>
    <w:rsid w:val="008318EB"/>
    <w:rsid w:val="0083276D"/>
    <w:rsid w:val="00833650"/>
    <w:rsid w:val="00835090"/>
    <w:rsid w:val="0083532D"/>
    <w:rsid w:val="00835BC4"/>
    <w:rsid w:val="00836451"/>
    <w:rsid w:val="00836AAE"/>
    <w:rsid w:val="00836E95"/>
    <w:rsid w:val="0083788F"/>
    <w:rsid w:val="00837949"/>
    <w:rsid w:val="00840978"/>
    <w:rsid w:val="008412CF"/>
    <w:rsid w:val="00842617"/>
    <w:rsid w:val="00842688"/>
    <w:rsid w:val="00842ADC"/>
    <w:rsid w:val="00842CE2"/>
    <w:rsid w:val="008430BE"/>
    <w:rsid w:val="00843460"/>
    <w:rsid w:val="00844C2D"/>
    <w:rsid w:val="00844E1B"/>
    <w:rsid w:val="0084526F"/>
    <w:rsid w:val="0084625A"/>
    <w:rsid w:val="008464C0"/>
    <w:rsid w:val="00846C2C"/>
    <w:rsid w:val="008470F6"/>
    <w:rsid w:val="00847D7D"/>
    <w:rsid w:val="008506AA"/>
    <w:rsid w:val="008508D3"/>
    <w:rsid w:val="00850BCC"/>
    <w:rsid w:val="00853045"/>
    <w:rsid w:val="0085365F"/>
    <w:rsid w:val="00853AFE"/>
    <w:rsid w:val="00853BD4"/>
    <w:rsid w:val="008551E0"/>
    <w:rsid w:val="00855370"/>
    <w:rsid w:val="008555B9"/>
    <w:rsid w:val="00855B68"/>
    <w:rsid w:val="00855B7D"/>
    <w:rsid w:val="008564AF"/>
    <w:rsid w:val="00856DAE"/>
    <w:rsid w:val="00857DE7"/>
    <w:rsid w:val="008604AD"/>
    <w:rsid w:val="00860D15"/>
    <w:rsid w:val="008611FE"/>
    <w:rsid w:val="00861D6E"/>
    <w:rsid w:val="00861ECD"/>
    <w:rsid w:val="00862310"/>
    <w:rsid w:val="0086281D"/>
    <w:rsid w:val="00863290"/>
    <w:rsid w:val="008637D7"/>
    <w:rsid w:val="0086522C"/>
    <w:rsid w:val="00865E9C"/>
    <w:rsid w:val="00865EB2"/>
    <w:rsid w:val="008664FE"/>
    <w:rsid w:val="00866A7F"/>
    <w:rsid w:val="00866EE9"/>
    <w:rsid w:val="00871B8F"/>
    <w:rsid w:val="00872E6C"/>
    <w:rsid w:val="00873334"/>
    <w:rsid w:val="00873378"/>
    <w:rsid w:val="00873413"/>
    <w:rsid w:val="00873479"/>
    <w:rsid w:val="00873EDE"/>
    <w:rsid w:val="00874842"/>
    <w:rsid w:val="00874BAE"/>
    <w:rsid w:val="00875033"/>
    <w:rsid w:val="0087728B"/>
    <w:rsid w:val="0087742F"/>
    <w:rsid w:val="0087753D"/>
    <w:rsid w:val="00880947"/>
    <w:rsid w:val="00881058"/>
    <w:rsid w:val="00881767"/>
    <w:rsid w:val="00881A79"/>
    <w:rsid w:val="00881C97"/>
    <w:rsid w:val="008828E0"/>
    <w:rsid w:val="00882FC6"/>
    <w:rsid w:val="0088331E"/>
    <w:rsid w:val="00883CD2"/>
    <w:rsid w:val="00884196"/>
    <w:rsid w:val="00884AF9"/>
    <w:rsid w:val="0088532A"/>
    <w:rsid w:val="008853B4"/>
    <w:rsid w:val="00885D36"/>
    <w:rsid w:val="0088636B"/>
    <w:rsid w:val="0088646B"/>
    <w:rsid w:val="00886ADF"/>
    <w:rsid w:val="00886DF8"/>
    <w:rsid w:val="00887A8E"/>
    <w:rsid w:val="00887BCF"/>
    <w:rsid w:val="008902DC"/>
    <w:rsid w:val="00890831"/>
    <w:rsid w:val="00890E80"/>
    <w:rsid w:val="00890F35"/>
    <w:rsid w:val="008910AD"/>
    <w:rsid w:val="00891165"/>
    <w:rsid w:val="0089186F"/>
    <w:rsid w:val="0089227C"/>
    <w:rsid w:val="008928CD"/>
    <w:rsid w:val="008939E8"/>
    <w:rsid w:val="0089421D"/>
    <w:rsid w:val="00894F5E"/>
    <w:rsid w:val="008956FC"/>
    <w:rsid w:val="008959A8"/>
    <w:rsid w:val="00896351"/>
    <w:rsid w:val="00896409"/>
    <w:rsid w:val="00896E9E"/>
    <w:rsid w:val="008977A1"/>
    <w:rsid w:val="00897BB3"/>
    <w:rsid w:val="00897CF9"/>
    <w:rsid w:val="008A0B40"/>
    <w:rsid w:val="008A0E95"/>
    <w:rsid w:val="008A251F"/>
    <w:rsid w:val="008A2CBD"/>
    <w:rsid w:val="008A4707"/>
    <w:rsid w:val="008A593C"/>
    <w:rsid w:val="008A606E"/>
    <w:rsid w:val="008A6253"/>
    <w:rsid w:val="008A71D2"/>
    <w:rsid w:val="008A7980"/>
    <w:rsid w:val="008A7B80"/>
    <w:rsid w:val="008B0387"/>
    <w:rsid w:val="008B0C17"/>
    <w:rsid w:val="008B1C97"/>
    <w:rsid w:val="008B3405"/>
    <w:rsid w:val="008B397A"/>
    <w:rsid w:val="008B3D12"/>
    <w:rsid w:val="008B3DA1"/>
    <w:rsid w:val="008B561C"/>
    <w:rsid w:val="008B5832"/>
    <w:rsid w:val="008B6286"/>
    <w:rsid w:val="008B62A6"/>
    <w:rsid w:val="008B66BF"/>
    <w:rsid w:val="008B6B88"/>
    <w:rsid w:val="008B6BA3"/>
    <w:rsid w:val="008B6F69"/>
    <w:rsid w:val="008B73CA"/>
    <w:rsid w:val="008B7423"/>
    <w:rsid w:val="008B7B47"/>
    <w:rsid w:val="008B7C01"/>
    <w:rsid w:val="008C214D"/>
    <w:rsid w:val="008C229E"/>
    <w:rsid w:val="008C233F"/>
    <w:rsid w:val="008C50AD"/>
    <w:rsid w:val="008C55A3"/>
    <w:rsid w:val="008C5B52"/>
    <w:rsid w:val="008C7600"/>
    <w:rsid w:val="008D097F"/>
    <w:rsid w:val="008D363F"/>
    <w:rsid w:val="008D37E1"/>
    <w:rsid w:val="008D3A31"/>
    <w:rsid w:val="008D43A2"/>
    <w:rsid w:val="008D463A"/>
    <w:rsid w:val="008D4A5C"/>
    <w:rsid w:val="008D655D"/>
    <w:rsid w:val="008D6B28"/>
    <w:rsid w:val="008E0268"/>
    <w:rsid w:val="008E047A"/>
    <w:rsid w:val="008E1518"/>
    <w:rsid w:val="008E16AA"/>
    <w:rsid w:val="008E1850"/>
    <w:rsid w:val="008E22F1"/>
    <w:rsid w:val="008E2CAD"/>
    <w:rsid w:val="008E38C0"/>
    <w:rsid w:val="008E47DC"/>
    <w:rsid w:val="008E4DD4"/>
    <w:rsid w:val="008E5C82"/>
    <w:rsid w:val="008E6A95"/>
    <w:rsid w:val="008E72B6"/>
    <w:rsid w:val="008F049C"/>
    <w:rsid w:val="008F19B1"/>
    <w:rsid w:val="008F27E8"/>
    <w:rsid w:val="008F3D02"/>
    <w:rsid w:val="008F3F0B"/>
    <w:rsid w:val="008F46FF"/>
    <w:rsid w:val="008F5044"/>
    <w:rsid w:val="008F63DD"/>
    <w:rsid w:val="008F64E7"/>
    <w:rsid w:val="008F6F58"/>
    <w:rsid w:val="009003DC"/>
    <w:rsid w:val="00900691"/>
    <w:rsid w:val="00900A37"/>
    <w:rsid w:val="009020FF"/>
    <w:rsid w:val="00902761"/>
    <w:rsid w:val="009055F8"/>
    <w:rsid w:val="00906504"/>
    <w:rsid w:val="00907055"/>
    <w:rsid w:val="00910227"/>
    <w:rsid w:val="00910D32"/>
    <w:rsid w:val="00910EFB"/>
    <w:rsid w:val="009122E5"/>
    <w:rsid w:val="00913344"/>
    <w:rsid w:val="009133C6"/>
    <w:rsid w:val="009136E1"/>
    <w:rsid w:val="00914789"/>
    <w:rsid w:val="009151A5"/>
    <w:rsid w:val="00915657"/>
    <w:rsid w:val="00915798"/>
    <w:rsid w:val="00917718"/>
    <w:rsid w:val="00917F61"/>
    <w:rsid w:val="00920E44"/>
    <w:rsid w:val="00921E46"/>
    <w:rsid w:val="009222DD"/>
    <w:rsid w:val="00922A7D"/>
    <w:rsid w:val="0092418C"/>
    <w:rsid w:val="009252D3"/>
    <w:rsid w:val="009254DD"/>
    <w:rsid w:val="009260AF"/>
    <w:rsid w:val="0092698D"/>
    <w:rsid w:val="0092716E"/>
    <w:rsid w:val="00927608"/>
    <w:rsid w:val="009308BF"/>
    <w:rsid w:val="009316A6"/>
    <w:rsid w:val="009320E8"/>
    <w:rsid w:val="00932CCA"/>
    <w:rsid w:val="00933236"/>
    <w:rsid w:val="00933373"/>
    <w:rsid w:val="00933451"/>
    <w:rsid w:val="009337BB"/>
    <w:rsid w:val="00933C41"/>
    <w:rsid w:val="00933E37"/>
    <w:rsid w:val="00933F3A"/>
    <w:rsid w:val="00934087"/>
    <w:rsid w:val="0093410C"/>
    <w:rsid w:val="00935491"/>
    <w:rsid w:val="00935C3C"/>
    <w:rsid w:val="0093631B"/>
    <w:rsid w:val="00936344"/>
    <w:rsid w:val="0093728D"/>
    <w:rsid w:val="00937425"/>
    <w:rsid w:val="00937C0C"/>
    <w:rsid w:val="0094037C"/>
    <w:rsid w:val="00940394"/>
    <w:rsid w:val="00940724"/>
    <w:rsid w:val="00940B7D"/>
    <w:rsid w:val="00940E3A"/>
    <w:rsid w:val="009423AE"/>
    <w:rsid w:val="00942F44"/>
    <w:rsid w:val="009435E2"/>
    <w:rsid w:val="00944231"/>
    <w:rsid w:val="0094506B"/>
    <w:rsid w:val="0094638E"/>
    <w:rsid w:val="00947798"/>
    <w:rsid w:val="009504BF"/>
    <w:rsid w:val="00952F38"/>
    <w:rsid w:val="00953223"/>
    <w:rsid w:val="00953314"/>
    <w:rsid w:val="00953B30"/>
    <w:rsid w:val="0095458B"/>
    <w:rsid w:val="00954A5A"/>
    <w:rsid w:val="0095611F"/>
    <w:rsid w:val="009567A9"/>
    <w:rsid w:val="00957A57"/>
    <w:rsid w:val="00960DEA"/>
    <w:rsid w:val="00960E08"/>
    <w:rsid w:val="009613D6"/>
    <w:rsid w:val="00961402"/>
    <w:rsid w:val="00961860"/>
    <w:rsid w:val="0096241E"/>
    <w:rsid w:val="0096448A"/>
    <w:rsid w:val="009670DE"/>
    <w:rsid w:val="00970162"/>
    <w:rsid w:val="00970B9E"/>
    <w:rsid w:val="009714CF"/>
    <w:rsid w:val="00971E2C"/>
    <w:rsid w:val="00972293"/>
    <w:rsid w:val="00972F17"/>
    <w:rsid w:val="0097302B"/>
    <w:rsid w:val="00973E9D"/>
    <w:rsid w:val="0097452A"/>
    <w:rsid w:val="00974CCA"/>
    <w:rsid w:val="0097533B"/>
    <w:rsid w:val="0097540F"/>
    <w:rsid w:val="009756AB"/>
    <w:rsid w:val="009760A0"/>
    <w:rsid w:val="00976A8E"/>
    <w:rsid w:val="00977C33"/>
    <w:rsid w:val="00977E1E"/>
    <w:rsid w:val="009816A7"/>
    <w:rsid w:val="00982394"/>
    <w:rsid w:val="009824F8"/>
    <w:rsid w:val="0098264D"/>
    <w:rsid w:val="00982EBB"/>
    <w:rsid w:val="00982F39"/>
    <w:rsid w:val="0098336D"/>
    <w:rsid w:val="00983439"/>
    <w:rsid w:val="00983E82"/>
    <w:rsid w:val="0098555C"/>
    <w:rsid w:val="00985CE5"/>
    <w:rsid w:val="00986A3A"/>
    <w:rsid w:val="0098776A"/>
    <w:rsid w:val="00990305"/>
    <w:rsid w:val="009903E5"/>
    <w:rsid w:val="00990B56"/>
    <w:rsid w:val="00990B67"/>
    <w:rsid w:val="00991095"/>
    <w:rsid w:val="009918C1"/>
    <w:rsid w:val="009920F3"/>
    <w:rsid w:val="0099267B"/>
    <w:rsid w:val="009930FE"/>
    <w:rsid w:val="0099336E"/>
    <w:rsid w:val="009934CF"/>
    <w:rsid w:val="00993E54"/>
    <w:rsid w:val="009941E6"/>
    <w:rsid w:val="00994307"/>
    <w:rsid w:val="0099456F"/>
    <w:rsid w:val="009968B0"/>
    <w:rsid w:val="009A00CA"/>
    <w:rsid w:val="009A0960"/>
    <w:rsid w:val="009A117E"/>
    <w:rsid w:val="009A20F6"/>
    <w:rsid w:val="009A224A"/>
    <w:rsid w:val="009A2770"/>
    <w:rsid w:val="009A2AA7"/>
    <w:rsid w:val="009A2C8F"/>
    <w:rsid w:val="009A2D23"/>
    <w:rsid w:val="009A37CA"/>
    <w:rsid w:val="009A40FB"/>
    <w:rsid w:val="009A4332"/>
    <w:rsid w:val="009A44DA"/>
    <w:rsid w:val="009A5D41"/>
    <w:rsid w:val="009A723D"/>
    <w:rsid w:val="009A7736"/>
    <w:rsid w:val="009B0E27"/>
    <w:rsid w:val="009B1133"/>
    <w:rsid w:val="009B1764"/>
    <w:rsid w:val="009B194F"/>
    <w:rsid w:val="009B21C1"/>
    <w:rsid w:val="009B24C2"/>
    <w:rsid w:val="009B3575"/>
    <w:rsid w:val="009B3EFB"/>
    <w:rsid w:val="009B41F0"/>
    <w:rsid w:val="009B4D58"/>
    <w:rsid w:val="009B4EE3"/>
    <w:rsid w:val="009B5C8D"/>
    <w:rsid w:val="009B5CA1"/>
    <w:rsid w:val="009B5D44"/>
    <w:rsid w:val="009B786F"/>
    <w:rsid w:val="009B7903"/>
    <w:rsid w:val="009C03F1"/>
    <w:rsid w:val="009C11CA"/>
    <w:rsid w:val="009C17FD"/>
    <w:rsid w:val="009C1811"/>
    <w:rsid w:val="009C3C21"/>
    <w:rsid w:val="009C3DA7"/>
    <w:rsid w:val="009C428A"/>
    <w:rsid w:val="009C4EED"/>
    <w:rsid w:val="009C545F"/>
    <w:rsid w:val="009C55D6"/>
    <w:rsid w:val="009C75E1"/>
    <w:rsid w:val="009D035C"/>
    <w:rsid w:val="009D112A"/>
    <w:rsid w:val="009D1ACF"/>
    <w:rsid w:val="009D2284"/>
    <w:rsid w:val="009D2C4D"/>
    <w:rsid w:val="009D2FEE"/>
    <w:rsid w:val="009D3142"/>
    <w:rsid w:val="009D3601"/>
    <w:rsid w:val="009D4B0C"/>
    <w:rsid w:val="009D4CE8"/>
    <w:rsid w:val="009D4E74"/>
    <w:rsid w:val="009D6E61"/>
    <w:rsid w:val="009E0109"/>
    <w:rsid w:val="009E0F75"/>
    <w:rsid w:val="009E2C76"/>
    <w:rsid w:val="009E3A35"/>
    <w:rsid w:val="009E3EBB"/>
    <w:rsid w:val="009E4171"/>
    <w:rsid w:val="009E4A07"/>
    <w:rsid w:val="009E573F"/>
    <w:rsid w:val="009E675C"/>
    <w:rsid w:val="009E7635"/>
    <w:rsid w:val="009F076D"/>
    <w:rsid w:val="009F0850"/>
    <w:rsid w:val="009F0CAE"/>
    <w:rsid w:val="009F0D9E"/>
    <w:rsid w:val="009F1397"/>
    <w:rsid w:val="009F13AE"/>
    <w:rsid w:val="009F1E62"/>
    <w:rsid w:val="009F2287"/>
    <w:rsid w:val="009F3060"/>
    <w:rsid w:val="009F3C2C"/>
    <w:rsid w:val="009F4AFB"/>
    <w:rsid w:val="009F5AF7"/>
    <w:rsid w:val="009F72D3"/>
    <w:rsid w:val="009F75BD"/>
    <w:rsid w:val="009F7A05"/>
    <w:rsid w:val="009F7E10"/>
    <w:rsid w:val="00A01AE0"/>
    <w:rsid w:val="00A01E37"/>
    <w:rsid w:val="00A0230B"/>
    <w:rsid w:val="00A029E2"/>
    <w:rsid w:val="00A038F5"/>
    <w:rsid w:val="00A03F1D"/>
    <w:rsid w:val="00A05025"/>
    <w:rsid w:val="00A05578"/>
    <w:rsid w:val="00A05812"/>
    <w:rsid w:val="00A05ECB"/>
    <w:rsid w:val="00A06513"/>
    <w:rsid w:val="00A06575"/>
    <w:rsid w:val="00A0692E"/>
    <w:rsid w:val="00A06CB1"/>
    <w:rsid w:val="00A06DA5"/>
    <w:rsid w:val="00A06ED4"/>
    <w:rsid w:val="00A110E7"/>
    <w:rsid w:val="00A116FD"/>
    <w:rsid w:val="00A121B3"/>
    <w:rsid w:val="00A125AE"/>
    <w:rsid w:val="00A12A83"/>
    <w:rsid w:val="00A1335A"/>
    <w:rsid w:val="00A14C81"/>
    <w:rsid w:val="00A14ED2"/>
    <w:rsid w:val="00A152F8"/>
    <w:rsid w:val="00A153D5"/>
    <w:rsid w:val="00A15847"/>
    <w:rsid w:val="00A1592B"/>
    <w:rsid w:val="00A15DD0"/>
    <w:rsid w:val="00A178FA"/>
    <w:rsid w:val="00A21368"/>
    <w:rsid w:val="00A21A66"/>
    <w:rsid w:val="00A22E9C"/>
    <w:rsid w:val="00A23234"/>
    <w:rsid w:val="00A24639"/>
    <w:rsid w:val="00A2470E"/>
    <w:rsid w:val="00A24B19"/>
    <w:rsid w:val="00A24D76"/>
    <w:rsid w:val="00A24FDF"/>
    <w:rsid w:val="00A2533A"/>
    <w:rsid w:val="00A25609"/>
    <w:rsid w:val="00A25714"/>
    <w:rsid w:val="00A25890"/>
    <w:rsid w:val="00A264A5"/>
    <w:rsid w:val="00A26BC5"/>
    <w:rsid w:val="00A26E9C"/>
    <w:rsid w:val="00A27008"/>
    <w:rsid w:val="00A27132"/>
    <w:rsid w:val="00A279ED"/>
    <w:rsid w:val="00A30095"/>
    <w:rsid w:val="00A30912"/>
    <w:rsid w:val="00A31765"/>
    <w:rsid w:val="00A31EDA"/>
    <w:rsid w:val="00A3369D"/>
    <w:rsid w:val="00A34F1E"/>
    <w:rsid w:val="00A357A7"/>
    <w:rsid w:val="00A365B0"/>
    <w:rsid w:val="00A36941"/>
    <w:rsid w:val="00A400CE"/>
    <w:rsid w:val="00A405FD"/>
    <w:rsid w:val="00A41AFC"/>
    <w:rsid w:val="00A41DE4"/>
    <w:rsid w:val="00A42B6F"/>
    <w:rsid w:val="00A42C87"/>
    <w:rsid w:val="00A42D2D"/>
    <w:rsid w:val="00A43F42"/>
    <w:rsid w:val="00A44D2A"/>
    <w:rsid w:val="00A465CA"/>
    <w:rsid w:val="00A4666D"/>
    <w:rsid w:val="00A525E9"/>
    <w:rsid w:val="00A52734"/>
    <w:rsid w:val="00A52B88"/>
    <w:rsid w:val="00A52E27"/>
    <w:rsid w:val="00A53451"/>
    <w:rsid w:val="00A53CA1"/>
    <w:rsid w:val="00A53E65"/>
    <w:rsid w:val="00A5419F"/>
    <w:rsid w:val="00A5621F"/>
    <w:rsid w:val="00A5626F"/>
    <w:rsid w:val="00A568E9"/>
    <w:rsid w:val="00A6045B"/>
    <w:rsid w:val="00A60E2B"/>
    <w:rsid w:val="00A62017"/>
    <w:rsid w:val="00A62936"/>
    <w:rsid w:val="00A62B0C"/>
    <w:rsid w:val="00A62C7D"/>
    <w:rsid w:val="00A63F5D"/>
    <w:rsid w:val="00A64F8F"/>
    <w:rsid w:val="00A660C9"/>
    <w:rsid w:val="00A66244"/>
    <w:rsid w:val="00A6652B"/>
    <w:rsid w:val="00A66EB1"/>
    <w:rsid w:val="00A67C0D"/>
    <w:rsid w:val="00A67F7A"/>
    <w:rsid w:val="00A70069"/>
    <w:rsid w:val="00A705D6"/>
    <w:rsid w:val="00A706C7"/>
    <w:rsid w:val="00A70B00"/>
    <w:rsid w:val="00A70CD5"/>
    <w:rsid w:val="00A72994"/>
    <w:rsid w:val="00A72F6D"/>
    <w:rsid w:val="00A737B1"/>
    <w:rsid w:val="00A7432E"/>
    <w:rsid w:val="00A7529D"/>
    <w:rsid w:val="00A75BAB"/>
    <w:rsid w:val="00A76BF3"/>
    <w:rsid w:val="00A77A05"/>
    <w:rsid w:val="00A8051F"/>
    <w:rsid w:val="00A80626"/>
    <w:rsid w:val="00A80DD6"/>
    <w:rsid w:val="00A80FF4"/>
    <w:rsid w:val="00A81704"/>
    <w:rsid w:val="00A81A8F"/>
    <w:rsid w:val="00A840BF"/>
    <w:rsid w:val="00A840CA"/>
    <w:rsid w:val="00A8428D"/>
    <w:rsid w:val="00A851E7"/>
    <w:rsid w:val="00A85D06"/>
    <w:rsid w:val="00A863F9"/>
    <w:rsid w:val="00A86746"/>
    <w:rsid w:val="00A86B64"/>
    <w:rsid w:val="00A87846"/>
    <w:rsid w:val="00A91834"/>
    <w:rsid w:val="00A922D0"/>
    <w:rsid w:val="00A92FC1"/>
    <w:rsid w:val="00A93B98"/>
    <w:rsid w:val="00A940F8"/>
    <w:rsid w:val="00A945C0"/>
    <w:rsid w:val="00A94AF9"/>
    <w:rsid w:val="00A954E3"/>
    <w:rsid w:val="00A95FE5"/>
    <w:rsid w:val="00A9720E"/>
    <w:rsid w:val="00AA02C4"/>
    <w:rsid w:val="00AA076E"/>
    <w:rsid w:val="00AA1189"/>
    <w:rsid w:val="00AA13D6"/>
    <w:rsid w:val="00AA2318"/>
    <w:rsid w:val="00AA3D4F"/>
    <w:rsid w:val="00AA41D7"/>
    <w:rsid w:val="00AA4417"/>
    <w:rsid w:val="00AA6BEE"/>
    <w:rsid w:val="00AA6CB8"/>
    <w:rsid w:val="00AA725A"/>
    <w:rsid w:val="00AA76F5"/>
    <w:rsid w:val="00AB076A"/>
    <w:rsid w:val="00AB0817"/>
    <w:rsid w:val="00AB251D"/>
    <w:rsid w:val="00AB255D"/>
    <w:rsid w:val="00AB26EA"/>
    <w:rsid w:val="00AB45E6"/>
    <w:rsid w:val="00AB4E93"/>
    <w:rsid w:val="00AB50A2"/>
    <w:rsid w:val="00AB54B0"/>
    <w:rsid w:val="00AB57AF"/>
    <w:rsid w:val="00AB5F97"/>
    <w:rsid w:val="00AC0176"/>
    <w:rsid w:val="00AC01D4"/>
    <w:rsid w:val="00AC2288"/>
    <w:rsid w:val="00AC2A25"/>
    <w:rsid w:val="00AC34AC"/>
    <w:rsid w:val="00AC3734"/>
    <w:rsid w:val="00AC37AD"/>
    <w:rsid w:val="00AC3829"/>
    <w:rsid w:val="00AC3F7B"/>
    <w:rsid w:val="00AC6F95"/>
    <w:rsid w:val="00AC7120"/>
    <w:rsid w:val="00AC791F"/>
    <w:rsid w:val="00AC792C"/>
    <w:rsid w:val="00AD034E"/>
    <w:rsid w:val="00AD075D"/>
    <w:rsid w:val="00AD25F2"/>
    <w:rsid w:val="00AD280F"/>
    <w:rsid w:val="00AD4270"/>
    <w:rsid w:val="00AD48EE"/>
    <w:rsid w:val="00AD4F1E"/>
    <w:rsid w:val="00AD55DD"/>
    <w:rsid w:val="00AD5847"/>
    <w:rsid w:val="00AD59F1"/>
    <w:rsid w:val="00AD64A2"/>
    <w:rsid w:val="00AD712B"/>
    <w:rsid w:val="00AD71D0"/>
    <w:rsid w:val="00AD72D2"/>
    <w:rsid w:val="00AE1105"/>
    <w:rsid w:val="00AE13AC"/>
    <w:rsid w:val="00AE1F3B"/>
    <w:rsid w:val="00AE263F"/>
    <w:rsid w:val="00AE265F"/>
    <w:rsid w:val="00AE329F"/>
    <w:rsid w:val="00AE485C"/>
    <w:rsid w:val="00AE58D3"/>
    <w:rsid w:val="00AE6C37"/>
    <w:rsid w:val="00AE6F57"/>
    <w:rsid w:val="00AE7731"/>
    <w:rsid w:val="00AE7872"/>
    <w:rsid w:val="00AF07C2"/>
    <w:rsid w:val="00AF0CC2"/>
    <w:rsid w:val="00AF246B"/>
    <w:rsid w:val="00AF28E0"/>
    <w:rsid w:val="00AF2F4F"/>
    <w:rsid w:val="00AF2F98"/>
    <w:rsid w:val="00AF327B"/>
    <w:rsid w:val="00AF3A82"/>
    <w:rsid w:val="00AF513A"/>
    <w:rsid w:val="00AF51BE"/>
    <w:rsid w:val="00AF5418"/>
    <w:rsid w:val="00AF54D5"/>
    <w:rsid w:val="00AF59C5"/>
    <w:rsid w:val="00AF6AD4"/>
    <w:rsid w:val="00AF6BE1"/>
    <w:rsid w:val="00B010D8"/>
    <w:rsid w:val="00B014D2"/>
    <w:rsid w:val="00B01D44"/>
    <w:rsid w:val="00B02207"/>
    <w:rsid w:val="00B024F9"/>
    <w:rsid w:val="00B02857"/>
    <w:rsid w:val="00B02B3B"/>
    <w:rsid w:val="00B03264"/>
    <w:rsid w:val="00B03EFD"/>
    <w:rsid w:val="00B0410A"/>
    <w:rsid w:val="00B05FB4"/>
    <w:rsid w:val="00B06681"/>
    <w:rsid w:val="00B07175"/>
    <w:rsid w:val="00B07B0F"/>
    <w:rsid w:val="00B07B34"/>
    <w:rsid w:val="00B07DBA"/>
    <w:rsid w:val="00B10139"/>
    <w:rsid w:val="00B10E48"/>
    <w:rsid w:val="00B11687"/>
    <w:rsid w:val="00B116D9"/>
    <w:rsid w:val="00B124B9"/>
    <w:rsid w:val="00B1261B"/>
    <w:rsid w:val="00B14243"/>
    <w:rsid w:val="00B151F9"/>
    <w:rsid w:val="00B15313"/>
    <w:rsid w:val="00B15DCC"/>
    <w:rsid w:val="00B169CB"/>
    <w:rsid w:val="00B20014"/>
    <w:rsid w:val="00B2017B"/>
    <w:rsid w:val="00B214C2"/>
    <w:rsid w:val="00B21560"/>
    <w:rsid w:val="00B21BD6"/>
    <w:rsid w:val="00B21CF7"/>
    <w:rsid w:val="00B229E2"/>
    <w:rsid w:val="00B22C0B"/>
    <w:rsid w:val="00B23873"/>
    <w:rsid w:val="00B2410F"/>
    <w:rsid w:val="00B24B29"/>
    <w:rsid w:val="00B24C89"/>
    <w:rsid w:val="00B25746"/>
    <w:rsid w:val="00B257D4"/>
    <w:rsid w:val="00B27A3B"/>
    <w:rsid w:val="00B30600"/>
    <w:rsid w:val="00B31317"/>
    <w:rsid w:val="00B31784"/>
    <w:rsid w:val="00B324C1"/>
    <w:rsid w:val="00B32B01"/>
    <w:rsid w:val="00B32CB2"/>
    <w:rsid w:val="00B32DE1"/>
    <w:rsid w:val="00B33481"/>
    <w:rsid w:val="00B334A6"/>
    <w:rsid w:val="00B34871"/>
    <w:rsid w:val="00B3499C"/>
    <w:rsid w:val="00B367A3"/>
    <w:rsid w:val="00B3698D"/>
    <w:rsid w:val="00B36B39"/>
    <w:rsid w:val="00B376E5"/>
    <w:rsid w:val="00B37D1F"/>
    <w:rsid w:val="00B406ED"/>
    <w:rsid w:val="00B419BC"/>
    <w:rsid w:val="00B41EE7"/>
    <w:rsid w:val="00B438AB"/>
    <w:rsid w:val="00B43D09"/>
    <w:rsid w:val="00B43FB4"/>
    <w:rsid w:val="00B44664"/>
    <w:rsid w:val="00B44801"/>
    <w:rsid w:val="00B44BC8"/>
    <w:rsid w:val="00B4516F"/>
    <w:rsid w:val="00B4567C"/>
    <w:rsid w:val="00B45E13"/>
    <w:rsid w:val="00B4674F"/>
    <w:rsid w:val="00B47540"/>
    <w:rsid w:val="00B47ECB"/>
    <w:rsid w:val="00B5056C"/>
    <w:rsid w:val="00B50D4A"/>
    <w:rsid w:val="00B52296"/>
    <w:rsid w:val="00B53555"/>
    <w:rsid w:val="00B53824"/>
    <w:rsid w:val="00B5457F"/>
    <w:rsid w:val="00B5499B"/>
    <w:rsid w:val="00B54A9D"/>
    <w:rsid w:val="00B5553E"/>
    <w:rsid w:val="00B5558A"/>
    <w:rsid w:val="00B55BEB"/>
    <w:rsid w:val="00B5636A"/>
    <w:rsid w:val="00B56F00"/>
    <w:rsid w:val="00B5799D"/>
    <w:rsid w:val="00B61FE0"/>
    <w:rsid w:val="00B624BD"/>
    <w:rsid w:val="00B62826"/>
    <w:rsid w:val="00B652BB"/>
    <w:rsid w:val="00B65BD6"/>
    <w:rsid w:val="00B66114"/>
    <w:rsid w:val="00B673B1"/>
    <w:rsid w:val="00B676A9"/>
    <w:rsid w:val="00B679CF"/>
    <w:rsid w:val="00B71190"/>
    <w:rsid w:val="00B71AE9"/>
    <w:rsid w:val="00B722FB"/>
    <w:rsid w:val="00B72742"/>
    <w:rsid w:val="00B72850"/>
    <w:rsid w:val="00B73202"/>
    <w:rsid w:val="00B73211"/>
    <w:rsid w:val="00B73255"/>
    <w:rsid w:val="00B73DAA"/>
    <w:rsid w:val="00B742B4"/>
    <w:rsid w:val="00B744A7"/>
    <w:rsid w:val="00B74A4A"/>
    <w:rsid w:val="00B765C9"/>
    <w:rsid w:val="00B77FF5"/>
    <w:rsid w:val="00B809F7"/>
    <w:rsid w:val="00B81402"/>
    <w:rsid w:val="00B81CF3"/>
    <w:rsid w:val="00B83E9B"/>
    <w:rsid w:val="00B84EF5"/>
    <w:rsid w:val="00B86142"/>
    <w:rsid w:val="00B862DC"/>
    <w:rsid w:val="00B86E7A"/>
    <w:rsid w:val="00B87AC1"/>
    <w:rsid w:val="00B87B04"/>
    <w:rsid w:val="00B87C0A"/>
    <w:rsid w:val="00B87DFE"/>
    <w:rsid w:val="00B900D9"/>
    <w:rsid w:val="00B9062B"/>
    <w:rsid w:val="00B907A0"/>
    <w:rsid w:val="00B91032"/>
    <w:rsid w:val="00B913C6"/>
    <w:rsid w:val="00B91434"/>
    <w:rsid w:val="00B9159C"/>
    <w:rsid w:val="00B918CA"/>
    <w:rsid w:val="00B91CC4"/>
    <w:rsid w:val="00B920BC"/>
    <w:rsid w:val="00B9213E"/>
    <w:rsid w:val="00B93181"/>
    <w:rsid w:val="00B93400"/>
    <w:rsid w:val="00B94910"/>
    <w:rsid w:val="00B95250"/>
    <w:rsid w:val="00B953DF"/>
    <w:rsid w:val="00B959CD"/>
    <w:rsid w:val="00B95F44"/>
    <w:rsid w:val="00B971C1"/>
    <w:rsid w:val="00B97327"/>
    <w:rsid w:val="00B975DD"/>
    <w:rsid w:val="00B97D0D"/>
    <w:rsid w:val="00BA0117"/>
    <w:rsid w:val="00BA1581"/>
    <w:rsid w:val="00BA18EE"/>
    <w:rsid w:val="00BA1D4F"/>
    <w:rsid w:val="00BA348C"/>
    <w:rsid w:val="00BA4340"/>
    <w:rsid w:val="00BA60E8"/>
    <w:rsid w:val="00BA7BD6"/>
    <w:rsid w:val="00BB086E"/>
    <w:rsid w:val="00BB0BDE"/>
    <w:rsid w:val="00BB12AB"/>
    <w:rsid w:val="00BB2DA6"/>
    <w:rsid w:val="00BB4899"/>
    <w:rsid w:val="00BB57E9"/>
    <w:rsid w:val="00BB5CEE"/>
    <w:rsid w:val="00BC0B41"/>
    <w:rsid w:val="00BC0FE5"/>
    <w:rsid w:val="00BC1634"/>
    <w:rsid w:val="00BC17FA"/>
    <w:rsid w:val="00BC1DE2"/>
    <w:rsid w:val="00BC22AF"/>
    <w:rsid w:val="00BC3E4A"/>
    <w:rsid w:val="00BC4CC5"/>
    <w:rsid w:val="00BC52C3"/>
    <w:rsid w:val="00BC6DC9"/>
    <w:rsid w:val="00BC6E51"/>
    <w:rsid w:val="00BC74F5"/>
    <w:rsid w:val="00BC7C7B"/>
    <w:rsid w:val="00BD0AD2"/>
    <w:rsid w:val="00BD1118"/>
    <w:rsid w:val="00BD14EC"/>
    <w:rsid w:val="00BD3343"/>
    <w:rsid w:val="00BD3551"/>
    <w:rsid w:val="00BD40AF"/>
    <w:rsid w:val="00BD43FC"/>
    <w:rsid w:val="00BD4766"/>
    <w:rsid w:val="00BD4B9B"/>
    <w:rsid w:val="00BD6293"/>
    <w:rsid w:val="00BD6542"/>
    <w:rsid w:val="00BD65EB"/>
    <w:rsid w:val="00BD6FE1"/>
    <w:rsid w:val="00BD776F"/>
    <w:rsid w:val="00BD7B58"/>
    <w:rsid w:val="00BE0701"/>
    <w:rsid w:val="00BE07A0"/>
    <w:rsid w:val="00BE0F76"/>
    <w:rsid w:val="00BE1AA1"/>
    <w:rsid w:val="00BE1C69"/>
    <w:rsid w:val="00BE444A"/>
    <w:rsid w:val="00BE477C"/>
    <w:rsid w:val="00BE4AD1"/>
    <w:rsid w:val="00BE4EA5"/>
    <w:rsid w:val="00BE549E"/>
    <w:rsid w:val="00BE5716"/>
    <w:rsid w:val="00BE583D"/>
    <w:rsid w:val="00BE5929"/>
    <w:rsid w:val="00BE5D60"/>
    <w:rsid w:val="00BE608E"/>
    <w:rsid w:val="00BE6267"/>
    <w:rsid w:val="00BE6B01"/>
    <w:rsid w:val="00BF0398"/>
    <w:rsid w:val="00BF0F24"/>
    <w:rsid w:val="00BF1363"/>
    <w:rsid w:val="00BF1EDE"/>
    <w:rsid w:val="00BF1F57"/>
    <w:rsid w:val="00BF2D4B"/>
    <w:rsid w:val="00BF3AC0"/>
    <w:rsid w:val="00BF4374"/>
    <w:rsid w:val="00BF4F2E"/>
    <w:rsid w:val="00BF5700"/>
    <w:rsid w:val="00BF5AD1"/>
    <w:rsid w:val="00BF5BC6"/>
    <w:rsid w:val="00BF7ADA"/>
    <w:rsid w:val="00C00376"/>
    <w:rsid w:val="00C0039F"/>
    <w:rsid w:val="00C008A1"/>
    <w:rsid w:val="00C0233D"/>
    <w:rsid w:val="00C0272A"/>
    <w:rsid w:val="00C031C9"/>
    <w:rsid w:val="00C03548"/>
    <w:rsid w:val="00C0419B"/>
    <w:rsid w:val="00C0470E"/>
    <w:rsid w:val="00C05001"/>
    <w:rsid w:val="00C0501E"/>
    <w:rsid w:val="00C05027"/>
    <w:rsid w:val="00C05DBD"/>
    <w:rsid w:val="00C0612C"/>
    <w:rsid w:val="00C06BAD"/>
    <w:rsid w:val="00C0772C"/>
    <w:rsid w:val="00C07C4B"/>
    <w:rsid w:val="00C10CB7"/>
    <w:rsid w:val="00C113DD"/>
    <w:rsid w:val="00C113F0"/>
    <w:rsid w:val="00C11654"/>
    <w:rsid w:val="00C117AF"/>
    <w:rsid w:val="00C11BC3"/>
    <w:rsid w:val="00C12BB2"/>
    <w:rsid w:val="00C12E3C"/>
    <w:rsid w:val="00C12F49"/>
    <w:rsid w:val="00C13191"/>
    <w:rsid w:val="00C14FED"/>
    <w:rsid w:val="00C15D49"/>
    <w:rsid w:val="00C15F05"/>
    <w:rsid w:val="00C1623D"/>
    <w:rsid w:val="00C16A92"/>
    <w:rsid w:val="00C170C3"/>
    <w:rsid w:val="00C17A4C"/>
    <w:rsid w:val="00C202A2"/>
    <w:rsid w:val="00C20D4A"/>
    <w:rsid w:val="00C2153C"/>
    <w:rsid w:val="00C230D9"/>
    <w:rsid w:val="00C23FDA"/>
    <w:rsid w:val="00C25EC4"/>
    <w:rsid w:val="00C26874"/>
    <w:rsid w:val="00C26AE4"/>
    <w:rsid w:val="00C31826"/>
    <w:rsid w:val="00C31995"/>
    <w:rsid w:val="00C32022"/>
    <w:rsid w:val="00C32724"/>
    <w:rsid w:val="00C337EA"/>
    <w:rsid w:val="00C33BD4"/>
    <w:rsid w:val="00C3410A"/>
    <w:rsid w:val="00C3493C"/>
    <w:rsid w:val="00C353B0"/>
    <w:rsid w:val="00C35BBF"/>
    <w:rsid w:val="00C36683"/>
    <w:rsid w:val="00C36FC8"/>
    <w:rsid w:val="00C37888"/>
    <w:rsid w:val="00C37C94"/>
    <w:rsid w:val="00C37FBC"/>
    <w:rsid w:val="00C402A9"/>
    <w:rsid w:val="00C40670"/>
    <w:rsid w:val="00C40BD9"/>
    <w:rsid w:val="00C42356"/>
    <w:rsid w:val="00C43002"/>
    <w:rsid w:val="00C438E9"/>
    <w:rsid w:val="00C4427B"/>
    <w:rsid w:val="00C449D8"/>
    <w:rsid w:val="00C4501E"/>
    <w:rsid w:val="00C4513B"/>
    <w:rsid w:val="00C4526D"/>
    <w:rsid w:val="00C46223"/>
    <w:rsid w:val="00C46D6B"/>
    <w:rsid w:val="00C47F46"/>
    <w:rsid w:val="00C50DD5"/>
    <w:rsid w:val="00C50F2D"/>
    <w:rsid w:val="00C533D7"/>
    <w:rsid w:val="00C5345E"/>
    <w:rsid w:val="00C56565"/>
    <w:rsid w:val="00C57284"/>
    <w:rsid w:val="00C57288"/>
    <w:rsid w:val="00C57840"/>
    <w:rsid w:val="00C57941"/>
    <w:rsid w:val="00C579D6"/>
    <w:rsid w:val="00C57A48"/>
    <w:rsid w:val="00C57B9A"/>
    <w:rsid w:val="00C60151"/>
    <w:rsid w:val="00C61013"/>
    <w:rsid w:val="00C6390C"/>
    <w:rsid w:val="00C6403B"/>
    <w:rsid w:val="00C64480"/>
    <w:rsid w:val="00C653D2"/>
    <w:rsid w:val="00C661DE"/>
    <w:rsid w:val="00C66A62"/>
    <w:rsid w:val="00C6739E"/>
    <w:rsid w:val="00C6782C"/>
    <w:rsid w:val="00C7068D"/>
    <w:rsid w:val="00C70F49"/>
    <w:rsid w:val="00C71B29"/>
    <w:rsid w:val="00C71BF0"/>
    <w:rsid w:val="00C71CB5"/>
    <w:rsid w:val="00C71E2C"/>
    <w:rsid w:val="00C7302D"/>
    <w:rsid w:val="00C73071"/>
    <w:rsid w:val="00C736EA"/>
    <w:rsid w:val="00C73BAD"/>
    <w:rsid w:val="00C73BBF"/>
    <w:rsid w:val="00C740F4"/>
    <w:rsid w:val="00C74321"/>
    <w:rsid w:val="00C744CD"/>
    <w:rsid w:val="00C746A1"/>
    <w:rsid w:val="00C7524A"/>
    <w:rsid w:val="00C76B0D"/>
    <w:rsid w:val="00C77539"/>
    <w:rsid w:val="00C779C7"/>
    <w:rsid w:val="00C77B7A"/>
    <w:rsid w:val="00C77F84"/>
    <w:rsid w:val="00C802CB"/>
    <w:rsid w:val="00C804A9"/>
    <w:rsid w:val="00C8132E"/>
    <w:rsid w:val="00C81CCE"/>
    <w:rsid w:val="00C837AB"/>
    <w:rsid w:val="00C837B6"/>
    <w:rsid w:val="00C837DF"/>
    <w:rsid w:val="00C83F8C"/>
    <w:rsid w:val="00C85443"/>
    <w:rsid w:val="00C8693F"/>
    <w:rsid w:val="00C8791E"/>
    <w:rsid w:val="00C91524"/>
    <w:rsid w:val="00C922E0"/>
    <w:rsid w:val="00C9251D"/>
    <w:rsid w:val="00C934BF"/>
    <w:rsid w:val="00C93CAA"/>
    <w:rsid w:val="00C94996"/>
    <w:rsid w:val="00C94AFE"/>
    <w:rsid w:val="00C955F6"/>
    <w:rsid w:val="00C959A8"/>
    <w:rsid w:val="00C9603B"/>
    <w:rsid w:val="00C96FA2"/>
    <w:rsid w:val="00C97895"/>
    <w:rsid w:val="00C979D8"/>
    <w:rsid w:val="00CA0BC0"/>
    <w:rsid w:val="00CA1286"/>
    <w:rsid w:val="00CA1317"/>
    <w:rsid w:val="00CA16CF"/>
    <w:rsid w:val="00CA1AE4"/>
    <w:rsid w:val="00CA1F0B"/>
    <w:rsid w:val="00CA2924"/>
    <w:rsid w:val="00CA30FA"/>
    <w:rsid w:val="00CA33F9"/>
    <w:rsid w:val="00CA6EAD"/>
    <w:rsid w:val="00CA759A"/>
    <w:rsid w:val="00CB019E"/>
    <w:rsid w:val="00CB07DD"/>
    <w:rsid w:val="00CB0C9D"/>
    <w:rsid w:val="00CB123B"/>
    <w:rsid w:val="00CB13FA"/>
    <w:rsid w:val="00CB1572"/>
    <w:rsid w:val="00CB15C8"/>
    <w:rsid w:val="00CB1677"/>
    <w:rsid w:val="00CB2281"/>
    <w:rsid w:val="00CB3981"/>
    <w:rsid w:val="00CB3A33"/>
    <w:rsid w:val="00CB3C1B"/>
    <w:rsid w:val="00CB454D"/>
    <w:rsid w:val="00CB595A"/>
    <w:rsid w:val="00CB5B05"/>
    <w:rsid w:val="00CB61C0"/>
    <w:rsid w:val="00CB731C"/>
    <w:rsid w:val="00CC0C36"/>
    <w:rsid w:val="00CC1812"/>
    <w:rsid w:val="00CC2C81"/>
    <w:rsid w:val="00CC34AE"/>
    <w:rsid w:val="00CC39CF"/>
    <w:rsid w:val="00CC413A"/>
    <w:rsid w:val="00CC41F4"/>
    <w:rsid w:val="00CC43F5"/>
    <w:rsid w:val="00CC50A2"/>
    <w:rsid w:val="00CC533D"/>
    <w:rsid w:val="00CC5B5E"/>
    <w:rsid w:val="00CC5BD1"/>
    <w:rsid w:val="00CC7891"/>
    <w:rsid w:val="00CC7BAA"/>
    <w:rsid w:val="00CD02B1"/>
    <w:rsid w:val="00CD1391"/>
    <w:rsid w:val="00CD17DB"/>
    <w:rsid w:val="00CD1B59"/>
    <w:rsid w:val="00CD240D"/>
    <w:rsid w:val="00CD2B16"/>
    <w:rsid w:val="00CD3AC8"/>
    <w:rsid w:val="00CD4787"/>
    <w:rsid w:val="00CD4BD5"/>
    <w:rsid w:val="00CD4EC2"/>
    <w:rsid w:val="00CD4FD1"/>
    <w:rsid w:val="00CD579C"/>
    <w:rsid w:val="00CD6D4C"/>
    <w:rsid w:val="00CD7CDB"/>
    <w:rsid w:val="00CE0BE4"/>
    <w:rsid w:val="00CE1138"/>
    <w:rsid w:val="00CE166A"/>
    <w:rsid w:val="00CE2667"/>
    <w:rsid w:val="00CE2DCD"/>
    <w:rsid w:val="00CE3A14"/>
    <w:rsid w:val="00CE431E"/>
    <w:rsid w:val="00CE4403"/>
    <w:rsid w:val="00CE4641"/>
    <w:rsid w:val="00CE505F"/>
    <w:rsid w:val="00CE5F70"/>
    <w:rsid w:val="00CE68A4"/>
    <w:rsid w:val="00CE6DF0"/>
    <w:rsid w:val="00CE7533"/>
    <w:rsid w:val="00CE7DE0"/>
    <w:rsid w:val="00CE7E7D"/>
    <w:rsid w:val="00CF1F08"/>
    <w:rsid w:val="00CF207B"/>
    <w:rsid w:val="00CF2C34"/>
    <w:rsid w:val="00CF3D2D"/>
    <w:rsid w:val="00CF4681"/>
    <w:rsid w:val="00CF4715"/>
    <w:rsid w:val="00CF4DFE"/>
    <w:rsid w:val="00CF6941"/>
    <w:rsid w:val="00CF705C"/>
    <w:rsid w:val="00D00993"/>
    <w:rsid w:val="00D01630"/>
    <w:rsid w:val="00D017D3"/>
    <w:rsid w:val="00D0268E"/>
    <w:rsid w:val="00D028DC"/>
    <w:rsid w:val="00D03590"/>
    <w:rsid w:val="00D041F1"/>
    <w:rsid w:val="00D06253"/>
    <w:rsid w:val="00D07567"/>
    <w:rsid w:val="00D07FA0"/>
    <w:rsid w:val="00D1125D"/>
    <w:rsid w:val="00D130D7"/>
    <w:rsid w:val="00D1357C"/>
    <w:rsid w:val="00D15EDE"/>
    <w:rsid w:val="00D16171"/>
    <w:rsid w:val="00D170A9"/>
    <w:rsid w:val="00D179D0"/>
    <w:rsid w:val="00D17A12"/>
    <w:rsid w:val="00D207F7"/>
    <w:rsid w:val="00D20834"/>
    <w:rsid w:val="00D20E78"/>
    <w:rsid w:val="00D212CB"/>
    <w:rsid w:val="00D2170E"/>
    <w:rsid w:val="00D229E9"/>
    <w:rsid w:val="00D22CA8"/>
    <w:rsid w:val="00D23241"/>
    <w:rsid w:val="00D2388E"/>
    <w:rsid w:val="00D24136"/>
    <w:rsid w:val="00D265FE"/>
    <w:rsid w:val="00D2664F"/>
    <w:rsid w:val="00D26CCB"/>
    <w:rsid w:val="00D26DDF"/>
    <w:rsid w:val="00D271DD"/>
    <w:rsid w:val="00D27A89"/>
    <w:rsid w:val="00D27E13"/>
    <w:rsid w:val="00D30671"/>
    <w:rsid w:val="00D31257"/>
    <w:rsid w:val="00D3134F"/>
    <w:rsid w:val="00D31CD3"/>
    <w:rsid w:val="00D31F84"/>
    <w:rsid w:val="00D32C70"/>
    <w:rsid w:val="00D332F5"/>
    <w:rsid w:val="00D346A4"/>
    <w:rsid w:val="00D35F81"/>
    <w:rsid w:val="00D36034"/>
    <w:rsid w:val="00D36C1D"/>
    <w:rsid w:val="00D36EBA"/>
    <w:rsid w:val="00D408A6"/>
    <w:rsid w:val="00D40C2F"/>
    <w:rsid w:val="00D41CD8"/>
    <w:rsid w:val="00D41F42"/>
    <w:rsid w:val="00D43691"/>
    <w:rsid w:val="00D43EF5"/>
    <w:rsid w:val="00D44039"/>
    <w:rsid w:val="00D44ADF"/>
    <w:rsid w:val="00D44B4C"/>
    <w:rsid w:val="00D44EF7"/>
    <w:rsid w:val="00D44F67"/>
    <w:rsid w:val="00D4561C"/>
    <w:rsid w:val="00D46B83"/>
    <w:rsid w:val="00D47876"/>
    <w:rsid w:val="00D4789A"/>
    <w:rsid w:val="00D47A55"/>
    <w:rsid w:val="00D47F68"/>
    <w:rsid w:val="00D51BD1"/>
    <w:rsid w:val="00D51E35"/>
    <w:rsid w:val="00D51FA7"/>
    <w:rsid w:val="00D522D9"/>
    <w:rsid w:val="00D524E4"/>
    <w:rsid w:val="00D526CD"/>
    <w:rsid w:val="00D53A8D"/>
    <w:rsid w:val="00D53C80"/>
    <w:rsid w:val="00D541F3"/>
    <w:rsid w:val="00D549ED"/>
    <w:rsid w:val="00D55423"/>
    <w:rsid w:val="00D55785"/>
    <w:rsid w:val="00D56195"/>
    <w:rsid w:val="00D56564"/>
    <w:rsid w:val="00D56A7A"/>
    <w:rsid w:val="00D56CE9"/>
    <w:rsid w:val="00D575AC"/>
    <w:rsid w:val="00D576CF"/>
    <w:rsid w:val="00D577AD"/>
    <w:rsid w:val="00D60418"/>
    <w:rsid w:val="00D60783"/>
    <w:rsid w:val="00D617EB"/>
    <w:rsid w:val="00D6267B"/>
    <w:rsid w:val="00D63885"/>
    <w:rsid w:val="00D63F81"/>
    <w:rsid w:val="00D64625"/>
    <w:rsid w:val="00D6495C"/>
    <w:rsid w:val="00D64E22"/>
    <w:rsid w:val="00D65587"/>
    <w:rsid w:val="00D664D5"/>
    <w:rsid w:val="00D66C0B"/>
    <w:rsid w:val="00D671A3"/>
    <w:rsid w:val="00D675F6"/>
    <w:rsid w:val="00D6779F"/>
    <w:rsid w:val="00D71716"/>
    <w:rsid w:val="00D71C59"/>
    <w:rsid w:val="00D7299C"/>
    <w:rsid w:val="00D72EE5"/>
    <w:rsid w:val="00D73463"/>
    <w:rsid w:val="00D73FEE"/>
    <w:rsid w:val="00D7424A"/>
    <w:rsid w:val="00D76445"/>
    <w:rsid w:val="00D77653"/>
    <w:rsid w:val="00D77B7C"/>
    <w:rsid w:val="00D77C36"/>
    <w:rsid w:val="00D81D54"/>
    <w:rsid w:val="00D82097"/>
    <w:rsid w:val="00D829CA"/>
    <w:rsid w:val="00D83560"/>
    <w:rsid w:val="00D84067"/>
    <w:rsid w:val="00D844ED"/>
    <w:rsid w:val="00D855F1"/>
    <w:rsid w:val="00D8568E"/>
    <w:rsid w:val="00D85E0C"/>
    <w:rsid w:val="00D867D9"/>
    <w:rsid w:val="00D87F7C"/>
    <w:rsid w:val="00D907AF"/>
    <w:rsid w:val="00D91397"/>
    <w:rsid w:val="00D914CA"/>
    <w:rsid w:val="00D9163C"/>
    <w:rsid w:val="00D92876"/>
    <w:rsid w:val="00D92DFE"/>
    <w:rsid w:val="00D92E81"/>
    <w:rsid w:val="00D93812"/>
    <w:rsid w:val="00D94B09"/>
    <w:rsid w:val="00D95F61"/>
    <w:rsid w:val="00D95FC8"/>
    <w:rsid w:val="00D97267"/>
    <w:rsid w:val="00D97377"/>
    <w:rsid w:val="00D97611"/>
    <w:rsid w:val="00DA07F4"/>
    <w:rsid w:val="00DA2E0C"/>
    <w:rsid w:val="00DA34A0"/>
    <w:rsid w:val="00DA3CF0"/>
    <w:rsid w:val="00DB11F0"/>
    <w:rsid w:val="00DB15A7"/>
    <w:rsid w:val="00DB1C93"/>
    <w:rsid w:val="00DB31EA"/>
    <w:rsid w:val="00DB35D1"/>
    <w:rsid w:val="00DB40DB"/>
    <w:rsid w:val="00DB4A9D"/>
    <w:rsid w:val="00DB51C5"/>
    <w:rsid w:val="00DB53B4"/>
    <w:rsid w:val="00DB53FC"/>
    <w:rsid w:val="00DB5569"/>
    <w:rsid w:val="00DB55C1"/>
    <w:rsid w:val="00DB58D3"/>
    <w:rsid w:val="00DB739A"/>
    <w:rsid w:val="00DB7681"/>
    <w:rsid w:val="00DB78C2"/>
    <w:rsid w:val="00DB7D67"/>
    <w:rsid w:val="00DC13A0"/>
    <w:rsid w:val="00DC1D53"/>
    <w:rsid w:val="00DC294F"/>
    <w:rsid w:val="00DC2DC3"/>
    <w:rsid w:val="00DC4589"/>
    <w:rsid w:val="00DC52C1"/>
    <w:rsid w:val="00DC60F5"/>
    <w:rsid w:val="00DC6535"/>
    <w:rsid w:val="00DC6A96"/>
    <w:rsid w:val="00DC72B1"/>
    <w:rsid w:val="00DD02B6"/>
    <w:rsid w:val="00DD0B1D"/>
    <w:rsid w:val="00DD0D63"/>
    <w:rsid w:val="00DD30AB"/>
    <w:rsid w:val="00DD35D5"/>
    <w:rsid w:val="00DD48D9"/>
    <w:rsid w:val="00DD4970"/>
    <w:rsid w:val="00DD5E8C"/>
    <w:rsid w:val="00DD65BB"/>
    <w:rsid w:val="00DD688F"/>
    <w:rsid w:val="00DD69CD"/>
    <w:rsid w:val="00DD6C1D"/>
    <w:rsid w:val="00DD6FE1"/>
    <w:rsid w:val="00DD71CC"/>
    <w:rsid w:val="00DD71CD"/>
    <w:rsid w:val="00DD744C"/>
    <w:rsid w:val="00DD754F"/>
    <w:rsid w:val="00DD76C3"/>
    <w:rsid w:val="00DD7A03"/>
    <w:rsid w:val="00DD7A99"/>
    <w:rsid w:val="00DD7E65"/>
    <w:rsid w:val="00DE08CD"/>
    <w:rsid w:val="00DE0CB2"/>
    <w:rsid w:val="00DE19C5"/>
    <w:rsid w:val="00DE1AE6"/>
    <w:rsid w:val="00DE2066"/>
    <w:rsid w:val="00DE2849"/>
    <w:rsid w:val="00DE72F2"/>
    <w:rsid w:val="00DE73E1"/>
    <w:rsid w:val="00DE798F"/>
    <w:rsid w:val="00DF012A"/>
    <w:rsid w:val="00DF0397"/>
    <w:rsid w:val="00DF178A"/>
    <w:rsid w:val="00DF1E77"/>
    <w:rsid w:val="00DF359B"/>
    <w:rsid w:val="00DF35F2"/>
    <w:rsid w:val="00DF3A07"/>
    <w:rsid w:val="00DF468D"/>
    <w:rsid w:val="00DF46B8"/>
    <w:rsid w:val="00DF5D21"/>
    <w:rsid w:val="00DF638B"/>
    <w:rsid w:val="00DF6535"/>
    <w:rsid w:val="00DF6F1B"/>
    <w:rsid w:val="00DF7FC9"/>
    <w:rsid w:val="00E003D1"/>
    <w:rsid w:val="00E00CA9"/>
    <w:rsid w:val="00E02362"/>
    <w:rsid w:val="00E03C0D"/>
    <w:rsid w:val="00E03C34"/>
    <w:rsid w:val="00E03C86"/>
    <w:rsid w:val="00E03D54"/>
    <w:rsid w:val="00E0415B"/>
    <w:rsid w:val="00E0466F"/>
    <w:rsid w:val="00E04937"/>
    <w:rsid w:val="00E04BBB"/>
    <w:rsid w:val="00E06295"/>
    <w:rsid w:val="00E065ED"/>
    <w:rsid w:val="00E1189F"/>
    <w:rsid w:val="00E118E5"/>
    <w:rsid w:val="00E11E87"/>
    <w:rsid w:val="00E122B3"/>
    <w:rsid w:val="00E125F6"/>
    <w:rsid w:val="00E12A66"/>
    <w:rsid w:val="00E12C28"/>
    <w:rsid w:val="00E1336A"/>
    <w:rsid w:val="00E13B14"/>
    <w:rsid w:val="00E13D36"/>
    <w:rsid w:val="00E1401A"/>
    <w:rsid w:val="00E1417F"/>
    <w:rsid w:val="00E15151"/>
    <w:rsid w:val="00E15B27"/>
    <w:rsid w:val="00E17C35"/>
    <w:rsid w:val="00E17F59"/>
    <w:rsid w:val="00E20E69"/>
    <w:rsid w:val="00E216E0"/>
    <w:rsid w:val="00E216EF"/>
    <w:rsid w:val="00E21920"/>
    <w:rsid w:val="00E233B9"/>
    <w:rsid w:val="00E24C5E"/>
    <w:rsid w:val="00E25EBF"/>
    <w:rsid w:val="00E2616E"/>
    <w:rsid w:val="00E2639A"/>
    <w:rsid w:val="00E26C38"/>
    <w:rsid w:val="00E2710B"/>
    <w:rsid w:val="00E308B6"/>
    <w:rsid w:val="00E30B50"/>
    <w:rsid w:val="00E321EA"/>
    <w:rsid w:val="00E322C9"/>
    <w:rsid w:val="00E32A8E"/>
    <w:rsid w:val="00E32E5C"/>
    <w:rsid w:val="00E336BE"/>
    <w:rsid w:val="00E33868"/>
    <w:rsid w:val="00E33F5A"/>
    <w:rsid w:val="00E340D2"/>
    <w:rsid w:val="00E346F8"/>
    <w:rsid w:val="00E353B4"/>
    <w:rsid w:val="00E36003"/>
    <w:rsid w:val="00E36D2E"/>
    <w:rsid w:val="00E37ED8"/>
    <w:rsid w:val="00E40C2D"/>
    <w:rsid w:val="00E40D2A"/>
    <w:rsid w:val="00E40F32"/>
    <w:rsid w:val="00E412AF"/>
    <w:rsid w:val="00E412E3"/>
    <w:rsid w:val="00E41A2C"/>
    <w:rsid w:val="00E42141"/>
    <w:rsid w:val="00E42AC5"/>
    <w:rsid w:val="00E42D80"/>
    <w:rsid w:val="00E435BF"/>
    <w:rsid w:val="00E44E72"/>
    <w:rsid w:val="00E45E40"/>
    <w:rsid w:val="00E45F51"/>
    <w:rsid w:val="00E4625B"/>
    <w:rsid w:val="00E47085"/>
    <w:rsid w:val="00E472F3"/>
    <w:rsid w:val="00E47995"/>
    <w:rsid w:val="00E504E8"/>
    <w:rsid w:val="00E513C8"/>
    <w:rsid w:val="00E5158A"/>
    <w:rsid w:val="00E52FD7"/>
    <w:rsid w:val="00E5343B"/>
    <w:rsid w:val="00E54694"/>
    <w:rsid w:val="00E54A37"/>
    <w:rsid w:val="00E54A9A"/>
    <w:rsid w:val="00E555FC"/>
    <w:rsid w:val="00E561C0"/>
    <w:rsid w:val="00E573B1"/>
    <w:rsid w:val="00E5788A"/>
    <w:rsid w:val="00E57AA7"/>
    <w:rsid w:val="00E60595"/>
    <w:rsid w:val="00E606D0"/>
    <w:rsid w:val="00E61052"/>
    <w:rsid w:val="00E61B42"/>
    <w:rsid w:val="00E626BE"/>
    <w:rsid w:val="00E62709"/>
    <w:rsid w:val="00E62D4C"/>
    <w:rsid w:val="00E6309E"/>
    <w:rsid w:val="00E63952"/>
    <w:rsid w:val="00E64C86"/>
    <w:rsid w:val="00E64CA9"/>
    <w:rsid w:val="00E64CC1"/>
    <w:rsid w:val="00E65B84"/>
    <w:rsid w:val="00E66527"/>
    <w:rsid w:val="00E66851"/>
    <w:rsid w:val="00E6719D"/>
    <w:rsid w:val="00E70E26"/>
    <w:rsid w:val="00E70F2D"/>
    <w:rsid w:val="00E7138E"/>
    <w:rsid w:val="00E71727"/>
    <w:rsid w:val="00E725EE"/>
    <w:rsid w:val="00E72D45"/>
    <w:rsid w:val="00E7310E"/>
    <w:rsid w:val="00E7320C"/>
    <w:rsid w:val="00E7373A"/>
    <w:rsid w:val="00E73EB9"/>
    <w:rsid w:val="00E740C0"/>
    <w:rsid w:val="00E750D6"/>
    <w:rsid w:val="00E7585E"/>
    <w:rsid w:val="00E75D53"/>
    <w:rsid w:val="00E75D78"/>
    <w:rsid w:val="00E766DF"/>
    <w:rsid w:val="00E77595"/>
    <w:rsid w:val="00E7767D"/>
    <w:rsid w:val="00E80E5D"/>
    <w:rsid w:val="00E81C27"/>
    <w:rsid w:val="00E822EB"/>
    <w:rsid w:val="00E8267B"/>
    <w:rsid w:val="00E82867"/>
    <w:rsid w:val="00E837E0"/>
    <w:rsid w:val="00E838D7"/>
    <w:rsid w:val="00E83ACD"/>
    <w:rsid w:val="00E8580C"/>
    <w:rsid w:val="00E86DFE"/>
    <w:rsid w:val="00E870CE"/>
    <w:rsid w:val="00E8725E"/>
    <w:rsid w:val="00E87344"/>
    <w:rsid w:val="00E87F9F"/>
    <w:rsid w:val="00E9087C"/>
    <w:rsid w:val="00E911EC"/>
    <w:rsid w:val="00E91274"/>
    <w:rsid w:val="00E916C1"/>
    <w:rsid w:val="00E92241"/>
    <w:rsid w:val="00E92E8D"/>
    <w:rsid w:val="00E95AF9"/>
    <w:rsid w:val="00E95CB1"/>
    <w:rsid w:val="00E963A0"/>
    <w:rsid w:val="00E964BC"/>
    <w:rsid w:val="00E96537"/>
    <w:rsid w:val="00EA0511"/>
    <w:rsid w:val="00EA1036"/>
    <w:rsid w:val="00EA10C6"/>
    <w:rsid w:val="00EA12E9"/>
    <w:rsid w:val="00EA15B8"/>
    <w:rsid w:val="00EA1F04"/>
    <w:rsid w:val="00EA28F7"/>
    <w:rsid w:val="00EA29A1"/>
    <w:rsid w:val="00EA2DD2"/>
    <w:rsid w:val="00EA2F4A"/>
    <w:rsid w:val="00EA346E"/>
    <w:rsid w:val="00EA37B7"/>
    <w:rsid w:val="00EA4908"/>
    <w:rsid w:val="00EA4C48"/>
    <w:rsid w:val="00EA576B"/>
    <w:rsid w:val="00EA623A"/>
    <w:rsid w:val="00EA6B0F"/>
    <w:rsid w:val="00EA74BA"/>
    <w:rsid w:val="00EB0549"/>
    <w:rsid w:val="00EB0F71"/>
    <w:rsid w:val="00EB10D8"/>
    <w:rsid w:val="00EB1631"/>
    <w:rsid w:val="00EB16A7"/>
    <w:rsid w:val="00EB1C2A"/>
    <w:rsid w:val="00EB2013"/>
    <w:rsid w:val="00EB2071"/>
    <w:rsid w:val="00EB28D9"/>
    <w:rsid w:val="00EB382F"/>
    <w:rsid w:val="00EB3D92"/>
    <w:rsid w:val="00EB40F3"/>
    <w:rsid w:val="00EB49DE"/>
    <w:rsid w:val="00EB4D4A"/>
    <w:rsid w:val="00EB4EE6"/>
    <w:rsid w:val="00EB4EF2"/>
    <w:rsid w:val="00EB55D8"/>
    <w:rsid w:val="00EB58DC"/>
    <w:rsid w:val="00EB6EF9"/>
    <w:rsid w:val="00EB7552"/>
    <w:rsid w:val="00EC00F0"/>
    <w:rsid w:val="00EC0C60"/>
    <w:rsid w:val="00EC2E65"/>
    <w:rsid w:val="00EC3876"/>
    <w:rsid w:val="00EC398D"/>
    <w:rsid w:val="00EC41C7"/>
    <w:rsid w:val="00EC5463"/>
    <w:rsid w:val="00EC62B4"/>
    <w:rsid w:val="00EC6678"/>
    <w:rsid w:val="00ED0221"/>
    <w:rsid w:val="00ED0249"/>
    <w:rsid w:val="00ED0B27"/>
    <w:rsid w:val="00ED105F"/>
    <w:rsid w:val="00ED108B"/>
    <w:rsid w:val="00ED1947"/>
    <w:rsid w:val="00ED1BAA"/>
    <w:rsid w:val="00ED1BE1"/>
    <w:rsid w:val="00ED2729"/>
    <w:rsid w:val="00ED2B33"/>
    <w:rsid w:val="00ED3EA5"/>
    <w:rsid w:val="00ED4EE3"/>
    <w:rsid w:val="00ED533D"/>
    <w:rsid w:val="00ED613D"/>
    <w:rsid w:val="00ED64FE"/>
    <w:rsid w:val="00ED668A"/>
    <w:rsid w:val="00ED6857"/>
    <w:rsid w:val="00ED6A8B"/>
    <w:rsid w:val="00ED6E44"/>
    <w:rsid w:val="00EE012D"/>
    <w:rsid w:val="00EE01EE"/>
    <w:rsid w:val="00EE0486"/>
    <w:rsid w:val="00EE0530"/>
    <w:rsid w:val="00EE269C"/>
    <w:rsid w:val="00EE2C26"/>
    <w:rsid w:val="00EE2D3E"/>
    <w:rsid w:val="00EE4C78"/>
    <w:rsid w:val="00EE4F1C"/>
    <w:rsid w:val="00EE5F62"/>
    <w:rsid w:val="00EE643A"/>
    <w:rsid w:val="00EE650B"/>
    <w:rsid w:val="00EE6C69"/>
    <w:rsid w:val="00EE7B7E"/>
    <w:rsid w:val="00EE7C8A"/>
    <w:rsid w:val="00EE7CBD"/>
    <w:rsid w:val="00EE7F6D"/>
    <w:rsid w:val="00EF0359"/>
    <w:rsid w:val="00EF0B7F"/>
    <w:rsid w:val="00EF11FC"/>
    <w:rsid w:val="00EF1635"/>
    <w:rsid w:val="00EF1CB4"/>
    <w:rsid w:val="00EF1CBF"/>
    <w:rsid w:val="00EF239D"/>
    <w:rsid w:val="00EF3F2C"/>
    <w:rsid w:val="00EF4303"/>
    <w:rsid w:val="00EF45A3"/>
    <w:rsid w:val="00EF4766"/>
    <w:rsid w:val="00EF4B1D"/>
    <w:rsid w:val="00EF58BD"/>
    <w:rsid w:val="00EF697C"/>
    <w:rsid w:val="00F00517"/>
    <w:rsid w:val="00F00B7D"/>
    <w:rsid w:val="00F016B3"/>
    <w:rsid w:val="00F0345D"/>
    <w:rsid w:val="00F05862"/>
    <w:rsid w:val="00F05F94"/>
    <w:rsid w:val="00F0671A"/>
    <w:rsid w:val="00F068FB"/>
    <w:rsid w:val="00F06C7F"/>
    <w:rsid w:val="00F07820"/>
    <w:rsid w:val="00F07E40"/>
    <w:rsid w:val="00F10E7D"/>
    <w:rsid w:val="00F119D3"/>
    <w:rsid w:val="00F14675"/>
    <w:rsid w:val="00F14745"/>
    <w:rsid w:val="00F14C82"/>
    <w:rsid w:val="00F15827"/>
    <w:rsid w:val="00F16164"/>
    <w:rsid w:val="00F1689A"/>
    <w:rsid w:val="00F16CD0"/>
    <w:rsid w:val="00F16D68"/>
    <w:rsid w:val="00F177D0"/>
    <w:rsid w:val="00F20AEE"/>
    <w:rsid w:val="00F21058"/>
    <w:rsid w:val="00F2297E"/>
    <w:rsid w:val="00F22CC5"/>
    <w:rsid w:val="00F2362C"/>
    <w:rsid w:val="00F24151"/>
    <w:rsid w:val="00F245FB"/>
    <w:rsid w:val="00F247BA"/>
    <w:rsid w:val="00F24961"/>
    <w:rsid w:val="00F24BE5"/>
    <w:rsid w:val="00F24EBF"/>
    <w:rsid w:val="00F25BC9"/>
    <w:rsid w:val="00F26009"/>
    <w:rsid w:val="00F26564"/>
    <w:rsid w:val="00F275E8"/>
    <w:rsid w:val="00F3137C"/>
    <w:rsid w:val="00F313E7"/>
    <w:rsid w:val="00F31421"/>
    <w:rsid w:val="00F319D5"/>
    <w:rsid w:val="00F32127"/>
    <w:rsid w:val="00F3215F"/>
    <w:rsid w:val="00F33493"/>
    <w:rsid w:val="00F33BD3"/>
    <w:rsid w:val="00F33EC9"/>
    <w:rsid w:val="00F34E8A"/>
    <w:rsid w:val="00F35DB6"/>
    <w:rsid w:val="00F364DB"/>
    <w:rsid w:val="00F367DC"/>
    <w:rsid w:val="00F370D8"/>
    <w:rsid w:val="00F372B5"/>
    <w:rsid w:val="00F37DF5"/>
    <w:rsid w:val="00F40728"/>
    <w:rsid w:val="00F40D21"/>
    <w:rsid w:val="00F40EAC"/>
    <w:rsid w:val="00F41343"/>
    <w:rsid w:val="00F4235A"/>
    <w:rsid w:val="00F43229"/>
    <w:rsid w:val="00F43486"/>
    <w:rsid w:val="00F43E53"/>
    <w:rsid w:val="00F44058"/>
    <w:rsid w:val="00F4518E"/>
    <w:rsid w:val="00F45DB1"/>
    <w:rsid w:val="00F45E8C"/>
    <w:rsid w:val="00F47FDE"/>
    <w:rsid w:val="00F504F1"/>
    <w:rsid w:val="00F51212"/>
    <w:rsid w:val="00F5163C"/>
    <w:rsid w:val="00F5164A"/>
    <w:rsid w:val="00F52351"/>
    <w:rsid w:val="00F5375D"/>
    <w:rsid w:val="00F53DC0"/>
    <w:rsid w:val="00F53FE5"/>
    <w:rsid w:val="00F54847"/>
    <w:rsid w:val="00F54A92"/>
    <w:rsid w:val="00F54B52"/>
    <w:rsid w:val="00F55C7B"/>
    <w:rsid w:val="00F56AC5"/>
    <w:rsid w:val="00F60163"/>
    <w:rsid w:val="00F6092B"/>
    <w:rsid w:val="00F6096D"/>
    <w:rsid w:val="00F60B0F"/>
    <w:rsid w:val="00F61464"/>
    <w:rsid w:val="00F61D33"/>
    <w:rsid w:val="00F61EFC"/>
    <w:rsid w:val="00F64916"/>
    <w:rsid w:val="00F64FB7"/>
    <w:rsid w:val="00F7042B"/>
    <w:rsid w:val="00F7046C"/>
    <w:rsid w:val="00F712B2"/>
    <w:rsid w:val="00F715EF"/>
    <w:rsid w:val="00F73221"/>
    <w:rsid w:val="00F738F3"/>
    <w:rsid w:val="00F74526"/>
    <w:rsid w:val="00F76E07"/>
    <w:rsid w:val="00F77E9F"/>
    <w:rsid w:val="00F804C3"/>
    <w:rsid w:val="00F8084C"/>
    <w:rsid w:val="00F841B9"/>
    <w:rsid w:val="00F84B49"/>
    <w:rsid w:val="00F8519E"/>
    <w:rsid w:val="00F8594C"/>
    <w:rsid w:val="00F85BF0"/>
    <w:rsid w:val="00F85C47"/>
    <w:rsid w:val="00F86045"/>
    <w:rsid w:val="00F860AC"/>
    <w:rsid w:val="00F86450"/>
    <w:rsid w:val="00F86655"/>
    <w:rsid w:val="00F86AE6"/>
    <w:rsid w:val="00F87374"/>
    <w:rsid w:val="00F8745E"/>
    <w:rsid w:val="00F8747A"/>
    <w:rsid w:val="00F878B5"/>
    <w:rsid w:val="00F90320"/>
    <w:rsid w:val="00F906FD"/>
    <w:rsid w:val="00F909D3"/>
    <w:rsid w:val="00F90C45"/>
    <w:rsid w:val="00F91437"/>
    <w:rsid w:val="00F9147D"/>
    <w:rsid w:val="00F938A6"/>
    <w:rsid w:val="00F93A79"/>
    <w:rsid w:val="00F93C6C"/>
    <w:rsid w:val="00F93E1C"/>
    <w:rsid w:val="00F954AC"/>
    <w:rsid w:val="00F95F7B"/>
    <w:rsid w:val="00F960DF"/>
    <w:rsid w:val="00F96333"/>
    <w:rsid w:val="00FA0959"/>
    <w:rsid w:val="00FA1037"/>
    <w:rsid w:val="00FA1A3A"/>
    <w:rsid w:val="00FA1AC6"/>
    <w:rsid w:val="00FA1B30"/>
    <w:rsid w:val="00FA2DC9"/>
    <w:rsid w:val="00FA2F49"/>
    <w:rsid w:val="00FA3582"/>
    <w:rsid w:val="00FA3A0E"/>
    <w:rsid w:val="00FA53C0"/>
    <w:rsid w:val="00FA5722"/>
    <w:rsid w:val="00FA575F"/>
    <w:rsid w:val="00FA61AE"/>
    <w:rsid w:val="00FA6283"/>
    <w:rsid w:val="00FA7427"/>
    <w:rsid w:val="00FA7C61"/>
    <w:rsid w:val="00FA7C8C"/>
    <w:rsid w:val="00FB09EE"/>
    <w:rsid w:val="00FB0AAE"/>
    <w:rsid w:val="00FB12D0"/>
    <w:rsid w:val="00FB1D14"/>
    <w:rsid w:val="00FB2FD4"/>
    <w:rsid w:val="00FB3556"/>
    <w:rsid w:val="00FB3E73"/>
    <w:rsid w:val="00FB5404"/>
    <w:rsid w:val="00FB5C1F"/>
    <w:rsid w:val="00FB6D4A"/>
    <w:rsid w:val="00FB6D67"/>
    <w:rsid w:val="00FB6EA2"/>
    <w:rsid w:val="00FB7444"/>
    <w:rsid w:val="00FB773B"/>
    <w:rsid w:val="00FB77E7"/>
    <w:rsid w:val="00FC14DD"/>
    <w:rsid w:val="00FC1941"/>
    <w:rsid w:val="00FC4232"/>
    <w:rsid w:val="00FC42CF"/>
    <w:rsid w:val="00FC62B0"/>
    <w:rsid w:val="00FC6981"/>
    <w:rsid w:val="00FC730E"/>
    <w:rsid w:val="00FC73CF"/>
    <w:rsid w:val="00FC75E8"/>
    <w:rsid w:val="00FC7752"/>
    <w:rsid w:val="00FC7D37"/>
    <w:rsid w:val="00FC7D84"/>
    <w:rsid w:val="00FC7F0D"/>
    <w:rsid w:val="00FD02BF"/>
    <w:rsid w:val="00FD10F7"/>
    <w:rsid w:val="00FD116B"/>
    <w:rsid w:val="00FD1513"/>
    <w:rsid w:val="00FD21BE"/>
    <w:rsid w:val="00FD28FB"/>
    <w:rsid w:val="00FD2EF2"/>
    <w:rsid w:val="00FD38E9"/>
    <w:rsid w:val="00FD4DC3"/>
    <w:rsid w:val="00FD6544"/>
    <w:rsid w:val="00FD73A9"/>
    <w:rsid w:val="00FD74A0"/>
    <w:rsid w:val="00FD7FC6"/>
    <w:rsid w:val="00FD7FCE"/>
    <w:rsid w:val="00FE02AB"/>
    <w:rsid w:val="00FE06E9"/>
    <w:rsid w:val="00FE096E"/>
    <w:rsid w:val="00FE268A"/>
    <w:rsid w:val="00FE34FF"/>
    <w:rsid w:val="00FE4032"/>
    <w:rsid w:val="00FE4166"/>
    <w:rsid w:val="00FE418D"/>
    <w:rsid w:val="00FE4611"/>
    <w:rsid w:val="00FE55DB"/>
    <w:rsid w:val="00FE5EDF"/>
    <w:rsid w:val="00FE6773"/>
    <w:rsid w:val="00FE692A"/>
    <w:rsid w:val="00FE6BD9"/>
    <w:rsid w:val="00FE6F28"/>
    <w:rsid w:val="00FF078D"/>
    <w:rsid w:val="00FF0A8B"/>
    <w:rsid w:val="00FF1328"/>
    <w:rsid w:val="00FF13E6"/>
    <w:rsid w:val="00FF211C"/>
    <w:rsid w:val="00FF306F"/>
    <w:rsid w:val="00FF3130"/>
    <w:rsid w:val="00FF428D"/>
    <w:rsid w:val="00FF4979"/>
    <w:rsid w:val="00FF512B"/>
    <w:rsid w:val="00FF57D3"/>
    <w:rsid w:val="00FF5C77"/>
    <w:rsid w:val="00FF66E1"/>
    <w:rsid w:val="00FF79D5"/>
    <w:rsid w:val="0964677D"/>
    <w:rsid w:val="0F8D281E"/>
    <w:rsid w:val="2819E0AE"/>
    <w:rsid w:val="2F76CC7E"/>
    <w:rsid w:val="52920F9C"/>
    <w:rsid w:val="6233336B"/>
    <w:rsid w:val="6F64CC1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A76AC2"/>
  <w15:chartTrackingRefBased/>
  <w15:docId w15:val="{918FA31D-6725-4594-A7B8-7E0110F8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9"/>
    <w:rsid w:val="00D2664F"/>
    <w:pPr>
      <w:spacing w:after="113" w:line="260" w:lineRule="atLeast"/>
    </w:pPr>
    <w:rPr>
      <w:rFonts w:ascii="Arial" w:hAnsi="Arial"/>
      <w:sz w:val="20"/>
    </w:rPr>
  </w:style>
  <w:style w:type="paragraph" w:styleId="Heading1">
    <w:name w:val="heading 1"/>
    <w:basedOn w:val="FreshBlue"/>
    <w:next w:val="USBodyText"/>
    <w:link w:val="Heading1Char"/>
    <w:qFormat/>
    <w:rsid w:val="009B1133"/>
    <w:pPr>
      <w:keepNext/>
      <w:keepLines/>
      <w:pageBreakBefore/>
      <w:spacing w:after="340" w:line="300" w:lineRule="atLeast"/>
      <w:ind w:right="851"/>
      <w:outlineLvl w:val="0"/>
    </w:pPr>
    <w:rPr>
      <w:rFonts w:eastAsiaTheme="majorEastAsia" w:cstheme="majorBidi"/>
      <w:b/>
      <w:caps/>
      <w:color w:val="auto"/>
      <w:sz w:val="48"/>
      <w:szCs w:val="32"/>
    </w:rPr>
  </w:style>
  <w:style w:type="paragraph" w:styleId="Heading2">
    <w:name w:val="heading 2"/>
    <w:basedOn w:val="SureRed"/>
    <w:next w:val="USBodyText"/>
    <w:link w:val="Heading2Char"/>
    <w:qFormat/>
    <w:rsid w:val="00B5636A"/>
    <w:pPr>
      <w:keepNext/>
      <w:keepLines/>
      <w:spacing w:before="340" w:after="170" w:line="420" w:lineRule="atLeast"/>
      <w:ind w:right="851"/>
      <w:outlineLvl w:val="1"/>
    </w:pPr>
    <w:rPr>
      <w:rFonts w:eastAsiaTheme="majorEastAsia" w:cstheme="majorBidi"/>
      <w:sz w:val="36"/>
      <w:szCs w:val="26"/>
    </w:rPr>
  </w:style>
  <w:style w:type="paragraph" w:styleId="Heading3">
    <w:name w:val="heading 3"/>
    <w:basedOn w:val="FreshBlue"/>
    <w:next w:val="USBodyText"/>
    <w:link w:val="Heading3Char"/>
    <w:qFormat/>
    <w:rsid w:val="00B5636A"/>
    <w:pPr>
      <w:keepNext/>
      <w:keepLines/>
      <w:spacing w:before="284" w:line="340" w:lineRule="atLeast"/>
      <w:ind w:right="851"/>
      <w:outlineLvl w:val="2"/>
    </w:pPr>
    <w:rPr>
      <w:rFonts w:eastAsiaTheme="majorEastAsia" w:cstheme="majorBidi"/>
      <w:b/>
      <w:sz w:val="28"/>
      <w:szCs w:val="24"/>
    </w:rPr>
  </w:style>
  <w:style w:type="paragraph" w:styleId="Heading4">
    <w:name w:val="heading 4"/>
    <w:basedOn w:val="Normal"/>
    <w:next w:val="USBodyText"/>
    <w:link w:val="Heading4Char"/>
    <w:uiPriority w:val="2"/>
    <w:rsid w:val="00B5636A"/>
    <w:pPr>
      <w:keepNext/>
      <w:keepLines/>
      <w:spacing w:before="227" w:after="57" w:line="300" w:lineRule="atLeast"/>
      <w:ind w:right="851"/>
      <w:outlineLvl w:val="3"/>
    </w:pPr>
    <w:rPr>
      <w:rFonts w:eastAsiaTheme="majorEastAsia" w:cstheme="majorBidi"/>
      <w:b/>
      <w:iCs/>
      <w:sz w:val="24"/>
    </w:rPr>
  </w:style>
  <w:style w:type="paragraph" w:styleId="Heading5">
    <w:name w:val="heading 5"/>
    <w:basedOn w:val="Normal"/>
    <w:next w:val="USBodyText"/>
    <w:link w:val="Heading5Char"/>
    <w:uiPriority w:val="2"/>
    <w:rsid w:val="00B5636A"/>
    <w:pPr>
      <w:keepNext/>
      <w:keepLines/>
      <w:spacing w:before="170" w:after="57"/>
      <w:ind w:right="851"/>
      <w:outlineLvl w:val="4"/>
    </w:pPr>
    <w:rPr>
      <w:rFonts w:eastAsiaTheme="majorEastAsia" w:cstheme="majorBidi"/>
      <w:b/>
    </w:rPr>
  </w:style>
  <w:style w:type="paragraph" w:styleId="Heading6">
    <w:name w:val="heading 6"/>
    <w:basedOn w:val="Normal"/>
    <w:next w:val="Normal"/>
    <w:link w:val="Heading6Char"/>
    <w:uiPriority w:val="9"/>
    <w:semiHidden/>
    <w:qFormat/>
    <w:rsid w:val="000A425B"/>
    <w:pPr>
      <w:keepNext/>
      <w:keepLines/>
      <w:numPr>
        <w:ilvl w:val="5"/>
        <w:numId w:val="8"/>
      </w:numPr>
      <w:spacing w:before="40" w:after="0"/>
      <w:outlineLvl w:val="5"/>
    </w:pPr>
    <w:rPr>
      <w:rFonts w:asciiTheme="majorHAnsi" w:eastAsiaTheme="majorEastAsia" w:hAnsiTheme="majorHAnsi" w:cstheme="majorBidi"/>
      <w:color w:val="986A00" w:themeColor="accent1" w:themeShade="7F"/>
    </w:rPr>
  </w:style>
  <w:style w:type="paragraph" w:styleId="Heading7">
    <w:name w:val="heading 7"/>
    <w:basedOn w:val="Normal"/>
    <w:next w:val="Normal"/>
    <w:link w:val="Heading7Char"/>
    <w:uiPriority w:val="9"/>
    <w:semiHidden/>
    <w:qFormat/>
    <w:rsid w:val="000A425B"/>
    <w:pPr>
      <w:keepNext/>
      <w:keepLines/>
      <w:numPr>
        <w:ilvl w:val="6"/>
        <w:numId w:val="8"/>
      </w:numPr>
      <w:spacing w:before="40" w:after="0"/>
      <w:outlineLvl w:val="6"/>
    </w:pPr>
    <w:rPr>
      <w:rFonts w:asciiTheme="majorHAnsi" w:eastAsiaTheme="majorEastAsia" w:hAnsiTheme="majorHAnsi" w:cstheme="majorBidi"/>
      <w:i/>
      <w:iCs/>
      <w:color w:val="986A00" w:themeColor="accent1" w:themeShade="7F"/>
    </w:rPr>
  </w:style>
  <w:style w:type="paragraph" w:styleId="Heading8">
    <w:name w:val="heading 8"/>
    <w:basedOn w:val="Normal"/>
    <w:next w:val="Normal"/>
    <w:link w:val="Heading8Char"/>
    <w:uiPriority w:val="9"/>
    <w:semiHidden/>
    <w:unhideWhenUsed/>
    <w:qFormat/>
    <w:rsid w:val="000A425B"/>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425B"/>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24C1"/>
    <w:pPr>
      <w:spacing w:after="0" w:line="240" w:lineRule="auto"/>
      <w:jc w:val="right"/>
    </w:pPr>
    <w:rPr>
      <w:color w:val="A6A6A6" w:themeColor="background1" w:themeShade="A6"/>
    </w:rPr>
  </w:style>
  <w:style w:type="character" w:customStyle="1" w:styleId="HeaderChar">
    <w:name w:val="Header Char"/>
    <w:basedOn w:val="DefaultParagraphFont"/>
    <w:link w:val="Header"/>
    <w:rsid w:val="000F4C76"/>
    <w:rPr>
      <w:rFonts w:ascii="Arial" w:hAnsi="Arial"/>
      <w:color w:val="A6A6A6" w:themeColor="background1" w:themeShade="A6"/>
      <w:sz w:val="20"/>
    </w:rPr>
  </w:style>
  <w:style w:type="paragraph" w:styleId="Footer">
    <w:name w:val="footer"/>
    <w:basedOn w:val="Normal"/>
    <w:link w:val="FooterChar"/>
    <w:uiPriority w:val="99"/>
    <w:rsid w:val="00C230D9"/>
    <w:pPr>
      <w:tabs>
        <w:tab w:val="left" w:pos="851"/>
        <w:tab w:val="right" w:pos="9072"/>
      </w:tabs>
      <w:spacing w:after="0" w:line="240" w:lineRule="auto"/>
    </w:pPr>
    <w:rPr>
      <w:sz w:val="16"/>
    </w:rPr>
  </w:style>
  <w:style w:type="character" w:customStyle="1" w:styleId="FooterChar">
    <w:name w:val="Footer Char"/>
    <w:basedOn w:val="DefaultParagraphFont"/>
    <w:link w:val="Footer"/>
    <w:uiPriority w:val="99"/>
    <w:rsid w:val="00D855F1"/>
    <w:rPr>
      <w:rFonts w:ascii="Arial" w:hAnsi="Arial"/>
      <w:sz w:val="16"/>
    </w:rPr>
  </w:style>
  <w:style w:type="table" w:styleId="TableGrid">
    <w:name w:val="Table Grid"/>
    <w:aliases w:val="none"/>
    <w:basedOn w:val="TableNormal"/>
    <w:uiPriority w:val="39"/>
    <w:rsid w:val="00C57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shBlue">
    <w:name w:val="Fresh Blue"/>
    <w:basedOn w:val="Normal"/>
    <w:uiPriority w:val="19"/>
    <w:rsid w:val="006D158B"/>
    <w:rPr>
      <w:color w:val="74C6C7"/>
    </w:rPr>
  </w:style>
  <w:style w:type="character" w:customStyle="1" w:styleId="Heading1Char">
    <w:name w:val="Heading 1 Char"/>
    <w:basedOn w:val="DefaultParagraphFont"/>
    <w:link w:val="Heading1"/>
    <w:rsid w:val="006C06DC"/>
    <w:rPr>
      <w:rFonts w:ascii="Arial" w:eastAsiaTheme="majorEastAsia" w:hAnsi="Arial" w:cstheme="majorBidi"/>
      <w:b/>
      <w:caps/>
      <w:sz w:val="48"/>
      <w:szCs w:val="32"/>
    </w:rPr>
  </w:style>
  <w:style w:type="paragraph" w:customStyle="1" w:styleId="Heading1Letter">
    <w:name w:val="Heading 1 Letter"/>
    <w:basedOn w:val="FreshBlue"/>
    <w:next w:val="USBodyText"/>
    <w:uiPriority w:val="1"/>
    <w:rsid w:val="001512D4"/>
    <w:pPr>
      <w:keepNext/>
      <w:keepLines/>
      <w:spacing w:before="227" w:after="57" w:line="300" w:lineRule="atLeast"/>
    </w:pPr>
    <w:rPr>
      <w:b/>
      <w:sz w:val="24"/>
    </w:rPr>
  </w:style>
  <w:style w:type="paragraph" w:customStyle="1" w:styleId="Heading2Letter">
    <w:name w:val="Heading 2 Letter"/>
    <w:basedOn w:val="Normal"/>
    <w:next w:val="USBodyText"/>
    <w:uiPriority w:val="1"/>
    <w:rsid w:val="001512D4"/>
    <w:pPr>
      <w:keepNext/>
      <w:keepLines/>
      <w:spacing w:before="113" w:after="57"/>
    </w:pPr>
    <w:rPr>
      <w:b/>
    </w:rPr>
  </w:style>
  <w:style w:type="paragraph" w:customStyle="1" w:styleId="SureRed">
    <w:name w:val="Sure Red"/>
    <w:basedOn w:val="Normal"/>
    <w:uiPriority w:val="19"/>
    <w:rsid w:val="003E2405"/>
    <w:rPr>
      <w:color w:val="E5004B"/>
    </w:rPr>
  </w:style>
  <w:style w:type="paragraph" w:customStyle="1" w:styleId="HeadingSubjectLetter">
    <w:name w:val="Heading Subject Letter"/>
    <w:basedOn w:val="SureRed"/>
    <w:next w:val="USBodyText"/>
    <w:uiPriority w:val="1"/>
    <w:rsid w:val="001512D4"/>
    <w:pPr>
      <w:keepNext/>
      <w:keepLines/>
      <w:spacing w:before="227" w:after="227" w:line="300" w:lineRule="atLeast"/>
    </w:pPr>
    <w:rPr>
      <w:sz w:val="24"/>
    </w:rPr>
  </w:style>
  <w:style w:type="paragraph" w:styleId="ListParagraph">
    <w:name w:val="List Paragraph"/>
    <w:aliases w:val="List Paragraph numbered,List Bullet indent"/>
    <w:basedOn w:val="Normal"/>
    <w:link w:val="ListParagraphChar"/>
    <w:uiPriority w:val="34"/>
    <w:qFormat/>
    <w:rsid w:val="006D158B"/>
    <w:pPr>
      <w:ind w:left="720"/>
      <w:contextualSpacing/>
    </w:pPr>
  </w:style>
  <w:style w:type="character" w:styleId="PlaceholderText">
    <w:name w:val="Placeholder Text"/>
    <w:basedOn w:val="DefaultParagraphFont"/>
    <w:uiPriority w:val="99"/>
    <w:semiHidden/>
    <w:rsid w:val="006D158B"/>
    <w:rPr>
      <w:color w:val="808080"/>
    </w:rPr>
  </w:style>
  <w:style w:type="paragraph" w:customStyle="1" w:styleId="TAddressLines">
    <w:name w:val="T_Address Lines"/>
    <w:basedOn w:val="Normal"/>
    <w:uiPriority w:val="19"/>
    <w:rsid w:val="006D158B"/>
    <w:pPr>
      <w:spacing w:after="0"/>
    </w:pPr>
  </w:style>
  <w:style w:type="paragraph" w:customStyle="1" w:styleId="TAttention">
    <w:name w:val="T_Attention"/>
    <w:basedOn w:val="Normal"/>
    <w:uiPriority w:val="19"/>
    <w:rsid w:val="005F2547"/>
    <w:pPr>
      <w:tabs>
        <w:tab w:val="left" w:pos="992"/>
      </w:tabs>
      <w:spacing w:before="113"/>
      <w:ind w:left="992" w:hanging="992"/>
    </w:pPr>
  </w:style>
  <w:style w:type="paragraph" w:customStyle="1" w:styleId="TAuthorsName">
    <w:name w:val="T_Author's Name"/>
    <w:basedOn w:val="Normal"/>
    <w:uiPriority w:val="19"/>
    <w:rsid w:val="006D158B"/>
    <w:pPr>
      <w:keepNext/>
      <w:spacing w:after="0"/>
    </w:pPr>
  </w:style>
  <w:style w:type="paragraph" w:customStyle="1" w:styleId="TAuthorsTitle">
    <w:name w:val="T_Author's Title"/>
    <w:basedOn w:val="Normal"/>
    <w:uiPriority w:val="19"/>
    <w:rsid w:val="006D158B"/>
    <w:rPr>
      <w:b/>
    </w:rPr>
  </w:style>
  <w:style w:type="paragraph" w:customStyle="1" w:styleId="TCity">
    <w:name w:val="T_City"/>
    <w:basedOn w:val="TAddressLines"/>
    <w:uiPriority w:val="19"/>
    <w:rsid w:val="006D158B"/>
    <w:pPr>
      <w:spacing w:after="113"/>
    </w:pPr>
  </w:style>
  <w:style w:type="paragraph" w:customStyle="1" w:styleId="TDate">
    <w:name w:val="T_Date"/>
    <w:basedOn w:val="Normal"/>
    <w:uiPriority w:val="19"/>
    <w:rsid w:val="006D158B"/>
    <w:pPr>
      <w:spacing w:after="454"/>
    </w:pPr>
  </w:style>
  <w:style w:type="paragraph" w:customStyle="1" w:styleId="TEmail">
    <w:name w:val="T_Email"/>
    <w:basedOn w:val="Normal"/>
    <w:uiPriority w:val="19"/>
    <w:rsid w:val="006D158B"/>
  </w:style>
  <w:style w:type="paragraph" w:customStyle="1" w:styleId="TGreeting">
    <w:name w:val="T_Greeting"/>
    <w:basedOn w:val="Normal"/>
    <w:next w:val="Normal"/>
    <w:uiPriority w:val="19"/>
    <w:rsid w:val="006D158B"/>
    <w:pPr>
      <w:spacing w:before="454"/>
    </w:pPr>
  </w:style>
  <w:style w:type="paragraph" w:customStyle="1" w:styleId="TSign-Off">
    <w:name w:val="T_Sign-Off"/>
    <w:basedOn w:val="Normal"/>
    <w:uiPriority w:val="19"/>
    <w:rsid w:val="006D158B"/>
    <w:pPr>
      <w:spacing w:before="454" w:after="0"/>
    </w:pPr>
  </w:style>
  <w:style w:type="paragraph" w:customStyle="1" w:styleId="USBodyText">
    <w:name w:val="US Body Text"/>
    <w:basedOn w:val="Normal"/>
    <w:link w:val="USBodyTextChar"/>
    <w:uiPriority w:val="5"/>
    <w:rsid w:val="00322D00"/>
    <w:pPr>
      <w:spacing w:before="113"/>
    </w:pPr>
  </w:style>
  <w:style w:type="paragraph" w:customStyle="1" w:styleId="USBullet1">
    <w:name w:val="US Bullet 1"/>
    <w:basedOn w:val="Normal"/>
    <w:uiPriority w:val="5"/>
    <w:rsid w:val="00C37888"/>
    <w:pPr>
      <w:numPr>
        <w:numId w:val="17"/>
      </w:numPr>
    </w:pPr>
  </w:style>
  <w:style w:type="paragraph" w:customStyle="1" w:styleId="USBullet2">
    <w:name w:val="US Bullet 2"/>
    <w:basedOn w:val="Normal"/>
    <w:uiPriority w:val="5"/>
    <w:rsid w:val="00C37888"/>
    <w:pPr>
      <w:numPr>
        <w:ilvl w:val="1"/>
        <w:numId w:val="17"/>
      </w:numPr>
    </w:pPr>
  </w:style>
  <w:style w:type="paragraph" w:customStyle="1" w:styleId="USBullet3">
    <w:name w:val="US Bullet 3"/>
    <w:basedOn w:val="Normal"/>
    <w:uiPriority w:val="5"/>
    <w:rsid w:val="00C37888"/>
    <w:pPr>
      <w:numPr>
        <w:ilvl w:val="2"/>
        <w:numId w:val="17"/>
      </w:numPr>
    </w:pPr>
  </w:style>
  <w:style w:type="paragraph" w:customStyle="1" w:styleId="USMixedB2">
    <w:name w:val="US Mixed B2"/>
    <w:basedOn w:val="Normal"/>
    <w:uiPriority w:val="5"/>
    <w:rsid w:val="00C37888"/>
    <w:pPr>
      <w:numPr>
        <w:numId w:val="18"/>
      </w:numPr>
    </w:pPr>
  </w:style>
  <w:style w:type="paragraph" w:customStyle="1" w:styleId="USMixedB3">
    <w:name w:val="US Mixed B3"/>
    <w:basedOn w:val="Normal"/>
    <w:uiPriority w:val="5"/>
    <w:rsid w:val="00C37888"/>
    <w:pPr>
      <w:numPr>
        <w:ilvl w:val="1"/>
        <w:numId w:val="18"/>
      </w:numPr>
    </w:pPr>
  </w:style>
  <w:style w:type="paragraph" w:customStyle="1" w:styleId="USNumber1">
    <w:name w:val="US Number 1"/>
    <w:basedOn w:val="Normal"/>
    <w:uiPriority w:val="5"/>
    <w:rsid w:val="00C37888"/>
    <w:pPr>
      <w:numPr>
        <w:numId w:val="19"/>
      </w:numPr>
    </w:pPr>
  </w:style>
  <w:style w:type="paragraph" w:customStyle="1" w:styleId="USNumbera">
    <w:name w:val="US Number a"/>
    <w:basedOn w:val="Normal"/>
    <w:uiPriority w:val="5"/>
    <w:rsid w:val="00C37888"/>
    <w:pPr>
      <w:numPr>
        <w:ilvl w:val="1"/>
        <w:numId w:val="19"/>
      </w:numPr>
      <w:tabs>
        <w:tab w:val="clear" w:pos="851"/>
        <w:tab w:val="num" w:pos="360"/>
      </w:tabs>
      <w:ind w:left="0" w:firstLine="0"/>
    </w:pPr>
  </w:style>
  <w:style w:type="paragraph" w:customStyle="1" w:styleId="USNumberi">
    <w:name w:val="US Number i"/>
    <w:basedOn w:val="Normal"/>
    <w:uiPriority w:val="5"/>
    <w:rsid w:val="00C37888"/>
    <w:pPr>
      <w:numPr>
        <w:ilvl w:val="2"/>
        <w:numId w:val="19"/>
      </w:numPr>
    </w:pPr>
  </w:style>
  <w:style w:type="paragraph" w:customStyle="1" w:styleId="FooterPortrait">
    <w:name w:val="Footer Portrait"/>
    <w:basedOn w:val="Footer"/>
    <w:uiPriority w:val="11"/>
    <w:rsid w:val="006D158B"/>
  </w:style>
  <w:style w:type="paragraph" w:customStyle="1" w:styleId="FooterLandscapeOdd">
    <w:name w:val="Footer Landscape Odd"/>
    <w:basedOn w:val="Footer"/>
    <w:uiPriority w:val="11"/>
    <w:rsid w:val="006D158B"/>
    <w:pPr>
      <w:tabs>
        <w:tab w:val="clear" w:pos="9072"/>
        <w:tab w:val="right" w:pos="14005"/>
      </w:tabs>
    </w:pPr>
  </w:style>
  <w:style w:type="paragraph" w:customStyle="1" w:styleId="USIndent1">
    <w:name w:val="US Indent 1"/>
    <w:basedOn w:val="Normal"/>
    <w:uiPriority w:val="5"/>
    <w:rsid w:val="00CE6DF0"/>
    <w:pPr>
      <w:ind w:left="425"/>
    </w:pPr>
  </w:style>
  <w:style w:type="paragraph" w:customStyle="1" w:styleId="USIndent2">
    <w:name w:val="US Indent 2"/>
    <w:basedOn w:val="Normal"/>
    <w:uiPriority w:val="5"/>
    <w:rsid w:val="00CE6DF0"/>
    <w:pPr>
      <w:ind w:left="851"/>
    </w:pPr>
  </w:style>
  <w:style w:type="paragraph" w:customStyle="1" w:styleId="USIndent3">
    <w:name w:val="US Indent 3"/>
    <w:basedOn w:val="Normal"/>
    <w:uiPriority w:val="5"/>
    <w:rsid w:val="00CE6DF0"/>
    <w:pPr>
      <w:ind w:left="1276"/>
    </w:pPr>
  </w:style>
  <w:style w:type="paragraph" w:customStyle="1" w:styleId="FooterA3Odd">
    <w:name w:val="Footer A3 Odd"/>
    <w:basedOn w:val="Footer"/>
    <w:uiPriority w:val="11"/>
    <w:rsid w:val="00093F4A"/>
    <w:pPr>
      <w:tabs>
        <w:tab w:val="clear" w:pos="9072"/>
        <w:tab w:val="right" w:pos="20979"/>
      </w:tabs>
    </w:pPr>
  </w:style>
  <w:style w:type="paragraph" w:customStyle="1" w:styleId="Quotation">
    <w:name w:val="Quotation"/>
    <w:basedOn w:val="Normal"/>
    <w:uiPriority w:val="5"/>
    <w:rsid w:val="00322D00"/>
    <w:pPr>
      <w:spacing w:before="113" w:line="240" w:lineRule="atLeast"/>
      <w:ind w:right="425"/>
    </w:pPr>
    <w:rPr>
      <w:i/>
      <w:sz w:val="18"/>
    </w:rPr>
  </w:style>
  <w:style w:type="character" w:customStyle="1" w:styleId="Heading2Char">
    <w:name w:val="Heading 2 Char"/>
    <w:basedOn w:val="DefaultParagraphFont"/>
    <w:link w:val="Heading2"/>
    <w:rsid w:val="006C06DC"/>
    <w:rPr>
      <w:rFonts w:ascii="Arial" w:eastAsiaTheme="majorEastAsia" w:hAnsi="Arial" w:cstheme="majorBidi"/>
      <w:color w:val="E5004B"/>
      <w:sz w:val="36"/>
      <w:szCs w:val="26"/>
    </w:rPr>
  </w:style>
  <w:style w:type="paragraph" w:customStyle="1" w:styleId="USSingleSpacedParagraph">
    <w:name w:val="US Single Spaced Paragraph"/>
    <w:basedOn w:val="Normal"/>
    <w:uiPriority w:val="5"/>
    <w:rsid w:val="005C31DE"/>
    <w:pPr>
      <w:spacing w:after="0"/>
    </w:pPr>
  </w:style>
  <w:style w:type="character" w:customStyle="1" w:styleId="Heading3Char">
    <w:name w:val="Heading 3 Char"/>
    <w:basedOn w:val="DefaultParagraphFont"/>
    <w:link w:val="Heading3"/>
    <w:rsid w:val="006C06DC"/>
    <w:rPr>
      <w:rFonts w:ascii="Arial" w:eastAsiaTheme="majorEastAsia" w:hAnsi="Arial" w:cstheme="majorBidi"/>
      <w:b/>
      <w:color w:val="74C6C7"/>
      <w:sz w:val="28"/>
      <w:szCs w:val="24"/>
    </w:rPr>
  </w:style>
  <w:style w:type="character" w:customStyle="1" w:styleId="Heading4Char">
    <w:name w:val="Heading 4 Char"/>
    <w:basedOn w:val="DefaultParagraphFont"/>
    <w:link w:val="Heading4"/>
    <w:uiPriority w:val="2"/>
    <w:rsid w:val="006C06DC"/>
    <w:rPr>
      <w:rFonts w:ascii="Arial" w:eastAsiaTheme="majorEastAsia" w:hAnsi="Arial" w:cstheme="majorBidi"/>
      <w:b/>
      <w:iCs/>
      <w:sz w:val="24"/>
    </w:rPr>
  </w:style>
  <w:style w:type="character" w:customStyle="1" w:styleId="Heading5Char">
    <w:name w:val="Heading 5 Char"/>
    <w:basedOn w:val="DefaultParagraphFont"/>
    <w:link w:val="Heading5"/>
    <w:uiPriority w:val="2"/>
    <w:rsid w:val="006C06DC"/>
    <w:rPr>
      <w:rFonts w:ascii="Arial" w:eastAsiaTheme="majorEastAsia" w:hAnsi="Arial" w:cstheme="majorBidi"/>
      <w:b/>
      <w:sz w:val="20"/>
    </w:rPr>
  </w:style>
  <w:style w:type="paragraph" w:customStyle="1" w:styleId="USIntroduction">
    <w:name w:val="US Introduction"/>
    <w:basedOn w:val="Normal"/>
    <w:next w:val="USBodyText"/>
    <w:uiPriority w:val="5"/>
    <w:rsid w:val="00B5636A"/>
    <w:pPr>
      <w:spacing w:before="340" w:after="227" w:line="340" w:lineRule="atLeast"/>
    </w:pPr>
    <w:rPr>
      <w:rFonts w:ascii="Georgia" w:hAnsi="Georgia"/>
      <w:sz w:val="28"/>
    </w:rPr>
  </w:style>
  <w:style w:type="paragraph" w:customStyle="1" w:styleId="USPullQuote">
    <w:name w:val="US Pull Quote"/>
    <w:basedOn w:val="SureRed"/>
    <w:uiPriority w:val="5"/>
    <w:rsid w:val="00D44ADF"/>
    <w:pPr>
      <w:pBdr>
        <w:top w:val="single" w:sz="4" w:space="14" w:color="E5004B"/>
        <w:bottom w:val="single" w:sz="4" w:space="14" w:color="E5004B"/>
      </w:pBdr>
      <w:spacing w:before="284" w:after="454" w:line="340" w:lineRule="atLeast"/>
    </w:pPr>
    <w:rPr>
      <w:sz w:val="28"/>
    </w:rPr>
  </w:style>
  <w:style w:type="paragraph" w:styleId="FootnoteText">
    <w:name w:val="footnote text"/>
    <w:basedOn w:val="Normal"/>
    <w:link w:val="FootnoteTextChar"/>
    <w:uiPriority w:val="99"/>
    <w:rsid w:val="00B81402"/>
    <w:pPr>
      <w:tabs>
        <w:tab w:val="left" w:pos="425"/>
      </w:tabs>
      <w:spacing w:after="57" w:line="170" w:lineRule="atLeast"/>
      <w:ind w:left="425" w:hanging="425"/>
    </w:pPr>
    <w:rPr>
      <w:sz w:val="14"/>
      <w:szCs w:val="20"/>
    </w:rPr>
  </w:style>
  <w:style w:type="character" w:customStyle="1" w:styleId="FootnoteTextChar">
    <w:name w:val="Footnote Text Char"/>
    <w:basedOn w:val="DefaultParagraphFont"/>
    <w:link w:val="FootnoteText"/>
    <w:uiPriority w:val="99"/>
    <w:rsid w:val="006C06DC"/>
    <w:rPr>
      <w:rFonts w:ascii="Arial" w:hAnsi="Arial"/>
      <w:sz w:val="14"/>
      <w:szCs w:val="20"/>
    </w:rPr>
  </w:style>
  <w:style w:type="character" w:styleId="FootnoteReference">
    <w:name w:val="footnote reference"/>
    <w:basedOn w:val="DefaultParagraphFont"/>
    <w:uiPriority w:val="99"/>
    <w:unhideWhenUsed/>
    <w:rsid w:val="00B87B04"/>
    <w:rPr>
      <w:vertAlign w:val="superscript"/>
    </w:rPr>
  </w:style>
  <w:style w:type="table" w:customStyle="1" w:styleId="TableDefault">
    <w:name w:val="Table Default"/>
    <w:basedOn w:val="TableNormal"/>
    <w:uiPriority w:val="99"/>
    <w:rsid w:val="000C5447"/>
    <w:pPr>
      <w:spacing w:after="0" w:line="240" w:lineRule="auto"/>
    </w:pPr>
    <w:tblPr>
      <w:tblStyleRowBandSize w:val="1"/>
      <w:tblStyleColBandSize w:val="1"/>
      <w:tblBorders>
        <w:top w:val="single" w:sz="4" w:space="0" w:color="5C4870"/>
        <w:bottom w:val="single" w:sz="4" w:space="0" w:color="5C4870"/>
        <w:insideH w:val="single" w:sz="4" w:space="0" w:color="5C4870"/>
      </w:tblBorders>
    </w:tblPr>
    <w:tblStylePr w:type="firstRow">
      <w:tblPr/>
      <w:trPr>
        <w:tblHeader/>
      </w:trPr>
      <w:tcPr>
        <w:shd w:val="clear" w:color="auto" w:fill="5C4870"/>
      </w:tcPr>
    </w:tblStylePr>
    <w:tblStylePr w:type="band2Horz">
      <w:tblPr/>
      <w:tcPr>
        <w:shd w:val="clear" w:color="auto" w:fill="EEECF0"/>
      </w:tcPr>
    </w:tblStylePr>
  </w:style>
  <w:style w:type="paragraph" w:styleId="Caption">
    <w:name w:val="caption"/>
    <w:basedOn w:val="Normal"/>
    <w:next w:val="USBodyText"/>
    <w:uiPriority w:val="35"/>
    <w:qFormat/>
    <w:rsid w:val="00322D00"/>
    <w:pPr>
      <w:keepNext/>
      <w:keepLines/>
      <w:tabs>
        <w:tab w:val="left" w:pos="1049"/>
      </w:tabs>
      <w:spacing w:before="397" w:after="57"/>
      <w:ind w:left="1049" w:hanging="1049"/>
    </w:pPr>
    <w:rPr>
      <w:b/>
      <w:iCs/>
      <w:szCs w:val="18"/>
    </w:rPr>
  </w:style>
  <w:style w:type="paragraph" w:customStyle="1" w:styleId="TSTableNormal1">
    <w:name w:val="TS Table Normal1"/>
    <w:basedOn w:val="Normal"/>
    <w:uiPriority w:val="9"/>
    <w:rsid w:val="00A365B0"/>
    <w:pPr>
      <w:spacing w:before="57" w:after="57" w:line="190" w:lineRule="atLeast"/>
      <w:ind w:right="227"/>
    </w:pPr>
    <w:rPr>
      <w:sz w:val="16"/>
    </w:rPr>
  </w:style>
  <w:style w:type="paragraph" w:customStyle="1" w:styleId="TSTableHeading">
    <w:name w:val="TS Table Heading"/>
    <w:basedOn w:val="Normal"/>
    <w:uiPriority w:val="9"/>
    <w:rsid w:val="0051181E"/>
    <w:pPr>
      <w:spacing w:before="57" w:after="57" w:line="190" w:lineRule="atLeast"/>
    </w:pPr>
    <w:rPr>
      <w:b/>
      <w:color w:val="FFFFFF"/>
      <w:sz w:val="16"/>
    </w:rPr>
  </w:style>
  <w:style w:type="paragraph" w:customStyle="1" w:styleId="TSOtherBodyText">
    <w:name w:val="TS Other (Body Text)"/>
    <w:basedOn w:val="TSTableNormal1"/>
    <w:uiPriority w:val="9"/>
    <w:rsid w:val="00A365B0"/>
    <w:pPr>
      <w:ind w:right="0"/>
    </w:pPr>
  </w:style>
  <w:style w:type="paragraph" w:customStyle="1" w:styleId="TSTextBodyText">
    <w:name w:val="TS Text (Body Text)"/>
    <w:basedOn w:val="Normal"/>
    <w:uiPriority w:val="9"/>
    <w:rsid w:val="0051181E"/>
    <w:pPr>
      <w:spacing w:before="57" w:after="57" w:line="190" w:lineRule="atLeast"/>
      <w:ind w:right="227"/>
    </w:pPr>
    <w:rPr>
      <w:sz w:val="16"/>
    </w:rPr>
  </w:style>
  <w:style w:type="paragraph" w:customStyle="1" w:styleId="TSNumber1">
    <w:name w:val="TS Number 1"/>
    <w:basedOn w:val="Normal"/>
    <w:uiPriority w:val="9"/>
    <w:rsid w:val="00C37888"/>
    <w:pPr>
      <w:numPr>
        <w:numId w:val="16"/>
      </w:numPr>
      <w:spacing w:before="57" w:after="57" w:line="190" w:lineRule="atLeast"/>
      <w:ind w:right="227"/>
    </w:pPr>
    <w:rPr>
      <w:sz w:val="16"/>
    </w:rPr>
  </w:style>
  <w:style w:type="paragraph" w:customStyle="1" w:styleId="TSNumbera">
    <w:name w:val="TS Number a"/>
    <w:basedOn w:val="Normal"/>
    <w:uiPriority w:val="9"/>
    <w:rsid w:val="00C37888"/>
    <w:pPr>
      <w:numPr>
        <w:ilvl w:val="1"/>
        <w:numId w:val="16"/>
      </w:numPr>
      <w:tabs>
        <w:tab w:val="left" w:pos="425"/>
      </w:tabs>
      <w:spacing w:before="57" w:after="57" w:line="190" w:lineRule="atLeast"/>
      <w:ind w:right="227"/>
    </w:pPr>
    <w:rPr>
      <w:sz w:val="16"/>
    </w:rPr>
  </w:style>
  <w:style w:type="paragraph" w:customStyle="1" w:styleId="TSNumberi">
    <w:name w:val="TS Number i"/>
    <w:basedOn w:val="Normal"/>
    <w:uiPriority w:val="9"/>
    <w:rsid w:val="00C37888"/>
    <w:pPr>
      <w:numPr>
        <w:ilvl w:val="2"/>
        <w:numId w:val="16"/>
      </w:numPr>
      <w:tabs>
        <w:tab w:val="left" w:pos="641"/>
      </w:tabs>
      <w:spacing w:before="57" w:after="57" w:line="190" w:lineRule="atLeast"/>
      <w:ind w:right="227"/>
    </w:pPr>
    <w:rPr>
      <w:sz w:val="16"/>
    </w:rPr>
  </w:style>
  <w:style w:type="paragraph" w:customStyle="1" w:styleId="TSIndent1">
    <w:name w:val="TS Indent 1"/>
    <w:basedOn w:val="TSTableNormal1"/>
    <w:uiPriority w:val="9"/>
    <w:rsid w:val="00A365B0"/>
    <w:pPr>
      <w:ind w:left="215"/>
    </w:pPr>
  </w:style>
  <w:style w:type="paragraph" w:customStyle="1" w:styleId="TSIndent2">
    <w:name w:val="TS Indent 2"/>
    <w:basedOn w:val="TSTableNormal1"/>
    <w:uiPriority w:val="9"/>
    <w:rsid w:val="00A365B0"/>
    <w:pPr>
      <w:ind w:left="425"/>
    </w:pPr>
  </w:style>
  <w:style w:type="paragraph" w:customStyle="1" w:styleId="TSIndent3">
    <w:name w:val="TS Indent 3"/>
    <w:basedOn w:val="TSTableNormal1"/>
    <w:uiPriority w:val="9"/>
    <w:rsid w:val="00A365B0"/>
    <w:pPr>
      <w:ind w:left="641"/>
    </w:pPr>
  </w:style>
  <w:style w:type="paragraph" w:customStyle="1" w:styleId="TCopiesto">
    <w:name w:val="T_Copies to"/>
    <w:basedOn w:val="Normal"/>
    <w:next w:val="USBodyText"/>
    <w:uiPriority w:val="19"/>
    <w:rsid w:val="00F85BF0"/>
    <w:pPr>
      <w:tabs>
        <w:tab w:val="left" w:pos="1276"/>
      </w:tabs>
      <w:spacing w:before="160"/>
      <w:ind w:left="1276" w:hanging="1276"/>
    </w:pPr>
  </w:style>
  <w:style w:type="paragraph" w:customStyle="1" w:styleId="TEnclosures">
    <w:name w:val="T_Enclosures"/>
    <w:basedOn w:val="Normal"/>
    <w:next w:val="USBodyText"/>
    <w:uiPriority w:val="19"/>
    <w:rsid w:val="001158D4"/>
    <w:pPr>
      <w:tabs>
        <w:tab w:val="left" w:pos="1276"/>
      </w:tabs>
      <w:spacing w:before="160" w:after="0"/>
      <w:ind w:left="1276" w:hanging="1276"/>
    </w:pPr>
  </w:style>
  <w:style w:type="paragraph" w:customStyle="1" w:styleId="Comments">
    <w:name w:val="Comments"/>
    <w:basedOn w:val="Normal"/>
    <w:uiPriority w:val="8"/>
    <w:rsid w:val="0045451D"/>
    <w:pPr>
      <w:shd w:val="clear" w:color="auto" w:fill="FFFF00"/>
    </w:pPr>
  </w:style>
  <w:style w:type="paragraph" w:customStyle="1" w:styleId="USWhiteSpace">
    <w:name w:val="US White Space"/>
    <w:basedOn w:val="Normal"/>
    <w:uiPriority w:val="4"/>
    <w:rsid w:val="00EE7CBD"/>
    <w:pPr>
      <w:spacing w:after="0" w:line="240" w:lineRule="auto"/>
    </w:pPr>
    <w:rPr>
      <w:sz w:val="12"/>
    </w:rPr>
  </w:style>
  <w:style w:type="paragraph" w:customStyle="1" w:styleId="TSBodyHeading">
    <w:name w:val="TS Body Heading"/>
    <w:basedOn w:val="TSOtherBodyText"/>
    <w:next w:val="TSTextBodyText"/>
    <w:uiPriority w:val="9"/>
    <w:rsid w:val="00724DBC"/>
    <w:pPr>
      <w:spacing w:before="80" w:after="20"/>
    </w:pPr>
    <w:rPr>
      <w:b/>
    </w:rPr>
  </w:style>
  <w:style w:type="paragraph" w:customStyle="1" w:styleId="TSMixedB2">
    <w:name w:val="TS Mixed B2"/>
    <w:basedOn w:val="TSTableNormal1"/>
    <w:uiPriority w:val="9"/>
    <w:rsid w:val="00C37888"/>
    <w:pPr>
      <w:numPr>
        <w:numId w:val="15"/>
      </w:numPr>
    </w:pPr>
  </w:style>
  <w:style w:type="paragraph" w:customStyle="1" w:styleId="TSMixedB3">
    <w:name w:val="TS Mixed B3"/>
    <w:basedOn w:val="TSTableNormal1"/>
    <w:uiPriority w:val="9"/>
    <w:rsid w:val="00C37888"/>
    <w:pPr>
      <w:numPr>
        <w:ilvl w:val="1"/>
        <w:numId w:val="15"/>
      </w:numPr>
    </w:pPr>
  </w:style>
  <w:style w:type="paragraph" w:customStyle="1" w:styleId="USSource">
    <w:name w:val="US Source"/>
    <w:basedOn w:val="Normal"/>
    <w:uiPriority w:val="4"/>
    <w:rsid w:val="009308BF"/>
    <w:pPr>
      <w:spacing w:before="57" w:after="57" w:line="170" w:lineRule="atLeast"/>
    </w:pPr>
    <w:rPr>
      <w:sz w:val="14"/>
    </w:rPr>
  </w:style>
  <w:style w:type="paragraph" w:customStyle="1" w:styleId="USNotes">
    <w:name w:val="US Notes"/>
    <w:basedOn w:val="Normal"/>
    <w:uiPriority w:val="5"/>
    <w:rsid w:val="008977A1"/>
    <w:pPr>
      <w:numPr>
        <w:numId w:val="10"/>
      </w:numPr>
      <w:spacing w:before="57" w:after="57" w:line="170" w:lineRule="atLeast"/>
    </w:pPr>
    <w:rPr>
      <w:sz w:val="14"/>
    </w:rPr>
  </w:style>
  <w:style w:type="paragraph" w:customStyle="1" w:styleId="TSTextSingle">
    <w:name w:val="TS Text (Single)"/>
    <w:basedOn w:val="TSOtherBodyText"/>
    <w:uiPriority w:val="9"/>
    <w:rsid w:val="00A365B0"/>
    <w:pPr>
      <w:spacing w:before="0" w:after="0" w:line="240" w:lineRule="auto"/>
    </w:pPr>
  </w:style>
  <w:style w:type="paragraph" w:customStyle="1" w:styleId="TSBullet1">
    <w:name w:val="TS Bullet 1"/>
    <w:basedOn w:val="TSTableNormal1"/>
    <w:uiPriority w:val="9"/>
    <w:rsid w:val="00C37888"/>
    <w:pPr>
      <w:numPr>
        <w:numId w:val="14"/>
      </w:numPr>
    </w:pPr>
  </w:style>
  <w:style w:type="paragraph" w:customStyle="1" w:styleId="TSBullet2">
    <w:name w:val="TS Bullet 2"/>
    <w:basedOn w:val="TSTableNormal1"/>
    <w:uiPriority w:val="9"/>
    <w:rsid w:val="00C37888"/>
    <w:pPr>
      <w:numPr>
        <w:ilvl w:val="1"/>
        <w:numId w:val="14"/>
      </w:numPr>
    </w:pPr>
  </w:style>
  <w:style w:type="paragraph" w:customStyle="1" w:styleId="TSBullet3">
    <w:name w:val="TS Bullet 3"/>
    <w:basedOn w:val="TSTableNormal1"/>
    <w:uiPriority w:val="9"/>
    <w:rsid w:val="00C37888"/>
    <w:pPr>
      <w:numPr>
        <w:ilvl w:val="2"/>
        <w:numId w:val="14"/>
      </w:numPr>
    </w:pPr>
  </w:style>
  <w:style w:type="paragraph" w:customStyle="1" w:styleId="NHHeading1">
    <w:name w:val="NH Heading 1"/>
    <w:basedOn w:val="Heading1"/>
    <w:next w:val="USBodyText"/>
    <w:uiPriority w:val="4"/>
    <w:rsid w:val="007F6B4B"/>
    <w:pPr>
      <w:numPr>
        <w:numId w:val="8"/>
      </w:numPr>
      <w:outlineLvl w:val="6"/>
    </w:pPr>
  </w:style>
  <w:style w:type="character" w:customStyle="1" w:styleId="Heading6Char">
    <w:name w:val="Heading 6 Char"/>
    <w:basedOn w:val="DefaultParagraphFont"/>
    <w:link w:val="Heading6"/>
    <w:uiPriority w:val="9"/>
    <w:semiHidden/>
    <w:rsid w:val="00F4518E"/>
    <w:rPr>
      <w:rFonts w:asciiTheme="majorHAnsi" w:eastAsiaTheme="majorEastAsia" w:hAnsiTheme="majorHAnsi" w:cstheme="majorBidi"/>
      <w:color w:val="986A00" w:themeColor="accent1" w:themeShade="7F"/>
      <w:sz w:val="20"/>
    </w:rPr>
  </w:style>
  <w:style w:type="paragraph" w:customStyle="1" w:styleId="NHHeading2">
    <w:name w:val="NH Heading 2"/>
    <w:basedOn w:val="Heading2"/>
    <w:next w:val="USBodyText"/>
    <w:uiPriority w:val="4"/>
    <w:rsid w:val="007F6B4B"/>
    <w:pPr>
      <w:numPr>
        <w:ilvl w:val="1"/>
        <w:numId w:val="8"/>
      </w:numPr>
      <w:outlineLvl w:val="7"/>
    </w:pPr>
  </w:style>
  <w:style w:type="paragraph" w:customStyle="1" w:styleId="NHHeading3">
    <w:name w:val="NH Heading 3"/>
    <w:basedOn w:val="Heading3"/>
    <w:next w:val="USBodyText"/>
    <w:uiPriority w:val="4"/>
    <w:rsid w:val="007F6B4B"/>
    <w:pPr>
      <w:numPr>
        <w:ilvl w:val="2"/>
        <w:numId w:val="8"/>
      </w:numPr>
      <w:outlineLvl w:val="8"/>
    </w:pPr>
  </w:style>
  <w:style w:type="paragraph" w:customStyle="1" w:styleId="NHHeading4">
    <w:name w:val="NH Heading 4"/>
    <w:basedOn w:val="Heading4"/>
    <w:next w:val="USBodyText"/>
    <w:uiPriority w:val="4"/>
    <w:rsid w:val="007F6B4B"/>
    <w:pPr>
      <w:numPr>
        <w:ilvl w:val="3"/>
        <w:numId w:val="8"/>
      </w:numPr>
    </w:pPr>
  </w:style>
  <w:style w:type="paragraph" w:customStyle="1" w:styleId="NHHeading5">
    <w:name w:val="NH Heading 5"/>
    <w:basedOn w:val="Heading5"/>
    <w:next w:val="USBodyText"/>
    <w:uiPriority w:val="4"/>
    <w:rsid w:val="007F6B4B"/>
    <w:pPr>
      <w:numPr>
        <w:ilvl w:val="4"/>
        <w:numId w:val="8"/>
      </w:numPr>
    </w:pPr>
  </w:style>
  <w:style w:type="paragraph" w:customStyle="1" w:styleId="LNHEADING1">
    <w:name w:val="LN HEADING 1"/>
    <w:basedOn w:val="Heading1"/>
    <w:next w:val="LNPara2"/>
    <w:uiPriority w:val="6"/>
    <w:rsid w:val="00C37888"/>
    <w:pPr>
      <w:numPr>
        <w:numId w:val="11"/>
      </w:numPr>
      <w:outlineLvl w:val="5"/>
    </w:pPr>
  </w:style>
  <w:style w:type="character" w:customStyle="1" w:styleId="Heading7Char">
    <w:name w:val="Heading 7 Char"/>
    <w:basedOn w:val="DefaultParagraphFont"/>
    <w:link w:val="Heading7"/>
    <w:uiPriority w:val="9"/>
    <w:semiHidden/>
    <w:rsid w:val="00F4518E"/>
    <w:rPr>
      <w:rFonts w:asciiTheme="majorHAnsi" w:eastAsiaTheme="majorEastAsia" w:hAnsiTheme="majorHAnsi" w:cstheme="majorBidi"/>
      <w:i/>
      <w:iCs/>
      <w:color w:val="986A00" w:themeColor="accent1" w:themeShade="7F"/>
      <w:sz w:val="20"/>
    </w:rPr>
  </w:style>
  <w:style w:type="character" w:customStyle="1" w:styleId="Heading8Char">
    <w:name w:val="Heading 8 Char"/>
    <w:basedOn w:val="DefaultParagraphFont"/>
    <w:link w:val="Heading8"/>
    <w:uiPriority w:val="9"/>
    <w:semiHidden/>
    <w:rsid w:val="000A42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425B"/>
    <w:rPr>
      <w:rFonts w:asciiTheme="majorHAnsi" w:eastAsiaTheme="majorEastAsia" w:hAnsiTheme="majorHAnsi" w:cstheme="majorBidi"/>
      <w:i/>
      <w:iCs/>
      <w:color w:val="272727" w:themeColor="text1" w:themeTint="D8"/>
      <w:sz w:val="21"/>
      <w:szCs w:val="21"/>
    </w:rPr>
  </w:style>
  <w:style w:type="paragraph" w:customStyle="1" w:styleId="LNPara2">
    <w:name w:val="LN Para 2"/>
    <w:basedOn w:val="Normal"/>
    <w:uiPriority w:val="6"/>
    <w:rsid w:val="00C37888"/>
    <w:pPr>
      <w:numPr>
        <w:ilvl w:val="1"/>
        <w:numId w:val="11"/>
      </w:numPr>
    </w:pPr>
  </w:style>
  <w:style w:type="paragraph" w:customStyle="1" w:styleId="LNPara3">
    <w:name w:val="LN Para 3"/>
    <w:basedOn w:val="Normal"/>
    <w:uiPriority w:val="6"/>
    <w:rsid w:val="00C37888"/>
    <w:pPr>
      <w:numPr>
        <w:ilvl w:val="2"/>
        <w:numId w:val="11"/>
      </w:numPr>
    </w:pPr>
  </w:style>
  <w:style w:type="paragraph" w:customStyle="1" w:styleId="LNParaa">
    <w:name w:val="LN Para a"/>
    <w:basedOn w:val="Normal"/>
    <w:uiPriority w:val="6"/>
    <w:rsid w:val="00C37888"/>
    <w:pPr>
      <w:numPr>
        <w:ilvl w:val="3"/>
        <w:numId w:val="11"/>
      </w:numPr>
    </w:pPr>
  </w:style>
  <w:style w:type="paragraph" w:customStyle="1" w:styleId="LNParai">
    <w:name w:val="LN Para i"/>
    <w:basedOn w:val="Normal"/>
    <w:uiPriority w:val="6"/>
    <w:rsid w:val="00C37888"/>
    <w:pPr>
      <w:numPr>
        <w:ilvl w:val="4"/>
        <w:numId w:val="11"/>
      </w:numPr>
    </w:pPr>
  </w:style>
  <w:style w:type="paragraph" w:customStyle="1" w:styleId="LNParaB1">
    <w:name w:val="LN Para B1"/>
    <w:basedOn w:val="Normal"/>
    <w:uiPriority w:val="6"/>
    <w:rsid w:val="00C37888"/>
    <w:pPr>
      <w:numPr>
        <w:ilvl w:val="5"/>
        <w:numId w:val="11"/>
      </w:numPr>
    </w:pPr>
  </w:style>
  <w:style w:type="paragraph" w:customStyle="1" w:styleId="LNParaB2">
    <w:name w:val="LN Para B2"/>
    <w:basedOn w:val="Normal"/>
    <w:uiPriority w:val="6"/>
    <w:rsid w:val="00C37888"/>
    <w:pPr>
      <w:numPr>
        <w:ilvl w:val="6"/>
        <w:numId w:val="11"/>
      </w:numPr>
    </w:pPr>
  </w:style>
  <w:style w:type="paragraph" w:customStyle="1" w:styleId="LNParaB3">
    <w:name w:val="LN Para B3"/>
    <w:basedOn w:val="Normal"/>
    <w:uiPriority w:val="6"/>
    <w:rsid w:val="00C37888"/>
    <w:pPr>
      <w:numPr>
        <w:ilvl w:val="7"/>
        <w:numId w:val="11"/>
      </w:numPr>
    </w:pPr>
  </w:style>
  <w:style w:type="paragraph" w:customStyle="1" w:styleId="LNHeading2">
    <w:name w:val="LN Heading 2"/>
    <w:basedOn w:val="Heading2"/>
    <w:next w:val="LNPara2"/>
    <w:uiPriority w:val="6"/>
    <w:rsid w:val="00C37888"/>
    <w:pPr>
      <w:ind w:left="851"/>
    </w:pPr>
  </w:style>
  <w:style w:type="paragraph" w:customStyle="1" w:styleId="LNHeading3">
    <w:name w:val="LN Heading 3"/>
    <w:basedOn w:val="Heading3"/>
    <w:next w:val="LNPara2"/>
    <w:uiPriority w:val="6"/>
    <w:rsid w:val="00C37888"/>
    <w:pPr>
      <w:ind w:left="851"/>
    </w:pPr>
  </w:style>
  <w:style w:type="paragraph" w:customStyle="1" w:styleId="LNHeading4">
    <w:name w:val="LN Heading 4"/>
    <w:basedOn w:val="Heading4"/>
    <w:next w:val="LNPara2"/>
    <w:uiPriority w:val="6"/>
    <w:rsid w:val="00C37888"/>
    <w:pPr>
      <w:ind w:left="851"/>
    </w:pPr>
  </w:style>
  <w:style w:type="paragraph" w:customStyle="1" w:styleId="LNHeading5">
    <w:name w:val="LN Heading 5"/>
    <w:basedOn w:val="Heading5"/>
    <w:next w:val="LNPara2"/>
    <w:uiPriority w:val="6"/>
    <w:rsid w:val="00C37888"/>
    <w:pPr>
      <w:ind w:left="851"/>
    </w:pPr>
  </w:style>
  <w:style w:type="paragraph" w:customStyle="1" w:styleId="ApxHeading1">
    <w:name w:val="Apx Heading 1"/>
    <w:basedOn w:val="Heading1"/>
    <w:next w:val="USBodyText"/>
    <w:uiPriority w:val="3"/>
    <w:rsid w:val="00D53C80"/>
    <w:pPr>
      <w:numPr>
        <w:numId w:val="9"/>
      </w:numPr>
    </w:pPr>
  </w:style>
  <w:style w:type="paragraph" w:customStyle="1" w:styleId="ApxHeading2">
    <w:name w:val="Apx Heading 2"/>
    <w:basedOn w:val="Heading2"/>
    <w:next w:val="USBodyText"/>
    <w:uiPriority w:val="3"/>
    <w:rsid w:val="00D53C80"/>
  </w:style>
  <w:style w:type="paragraph" w:customStyle="1" w:styleId="ApxHeading3">
    <w:name w:val="Apx Heading 3"/>
    <w:basedOn w:val="Heading3"/>
    <w:next w:val="USBodyText"/>
    <w:uiPriority w:val="3"/>
    <w:rsid w:val="00D53C80"/>
  </w:style>
  <w:style w:type="paragraph" w:customStyle="1" w:styleId="ApxHeading4">
    <w:name w:val="Apx Heading 4"/>
    <w:basedOn w:val="Heading4"/>
    <w:next w:val="USBodyText"/>
    <w:uiPriority w:val="3"/>
    <w:rsid w:val="00D53C80"/>
  </w:style>
  <w:style w:type="paragraph" w:customStyle="1" w:styleId="ApxHeading5">
    <w:name w:val="Apx Heading 5"/>
    <w:basedOn w:val="Heading5"/>
    <w:next w:val="USBodyText"/>
    <w:uiPriority w:val="3"/>
    <w:rsid w:val="00D53C80"/>
  </w:style>
  <w:style w:type="paragraph" w:customStyle="1" w:styleId="LNIndent1">
    <w:name w:val="LN Indent 1"/>
    <w:basedOn w:val="Normal"/>
    <w:uiPriority w:val="6"/>
    <w:rsid w:val="00C37888"/>
    <w:pPr>
      <w:ind w:left="851"/>
    </w:pPr>
  </w:style>
  <w:style w:type="paragraph" w:customStyle="1" w:styleId="LNIndent2">
    <w:name w:val="LN Indent 2"/>
    <w:basedOn w:val="Normal"/>
    <w:uiPriority w:val="6"/>
    <w:rsid w:val="00C37888"/>
    <w:pPr>
      <w:ind w:left="1276"/>
    </w:pPr>
  </w:style>
  <w:style w:type="paragraph" w:customStyle="1" w:styleId="LNIndent3">
    <w:name w:val="LN Indent 3"/>
    <w:basedOn w:val="Normal"/>
    <w:uiPriority w:val="6"/>
    <w:rsid w:val="00C37888"/>
    <w:pPr>
      <w:ind w:left="1701"/>
    </w:pPr>
  </w:style>
  <w:style w:type="paragraph" w:customStyle="1" w:styleId="LNIndent4">
    <w:name w:val="LN Indent 4"/>
    <w:basedOn w:val="Normal"/>
    <w:uiPriority w:val="6"/>
    <w:rsid w:val="00C37888"/>
    <w:pPr>
      <w:ind w:left="2126"/>
    </w:pPr>
  </w:style>
  <w:style w:type="table" w:styleId="TableGridLight">
    <w:name w:val="Grid Table Light"/>
    <w:basedOn w:val="TableNormal"/>
    <w:uiPriority w:val="40"/>
    <w:rsid w:val="00420B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USPlaceholder">
    <w:name w:val="US Placeholder"/>
    <w:basedOn w:val="Normal"/>
    <w:uiPriority w:val="4"/>
    <w:rsid w:val="00B87B04"/>
    <w:pPr>
      <w:keepNext/>
      <w:spacing w:after="0" w:line="240" w:lineRule="auto"/>
      <w:ind w:left="-17"/>
    </w:pPr>
    <w:rPr>
      <w:noProof/>
      <w:sz w:val="2"/>
    </w:rPr>
  </w:style>
  <w:style w:type="paragraph" w:customStyle="1" w:styleId="USNotesHeading">
    <w:name w:val="US Notes (Heading)"/>
    <w:basedOn w:val="Normal"/>
    <w:uiPriority w:val="5"/>
    <w:rsid w:val="00322D00"/>
    <w:pPr>
      <w:spacing w:before="113" w:line="170" w:lineRule="atLeast"/>
    </w:pPr>
    <w:rPr>
      <w:b/>
      <w:sz w:val="14"/>
    </w:rPr>
  </w:style>
  <w:style w:type="paragraph" w:customStyle="1" w:styleId="TClosing">
    <w:name w:val="T_Closing"/>
    <w:basedOn w:val="Normal"/>
    <w:uiPriority w:val="19"/>
    <w:rsid w:val="00C837AB"/>
  </w:style>
  <w:style w:type="paragraph" w:customStyle="1" w:styleId="TSignature">
    <w:name w:val="T_Signature"/>
    <w:basedOn w:val="USBodyText"/>
    <w:uiPriority w:val="19"/>
    <w:rsid w:val="00D041F1"/>
    <w:pPr>
      <w:spacing w:before="480" w:after="480"/>
    </w:pPr>
  </w:style>
  <w:style w:type="paragraph" w:styleId="BalloonText">
    <w:name w:val="Balloon Text"/>
    <w:basedOn w:val="Normal"/>
    <w:link w:val="BalloonTextChar"/>
    <w:uiPriority w:val="99"/>
    <w:semiHidden/>
    <w:unhideWhenUsed/>
    <w:rsid w:val="00631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10"/>
    <w:rPr>
      <w:rFonts w:ascii="Segoe UI" w:hAnsi="Segoe UI" w:cs="Segoe UI"/>
      <w:sz w:val="18"/>
      <w:szCs w:val="18"/>
    </w:rPr>
  </w:style>
  <w:style w:type="paragraph" w:customStyle="1" w:styleId="CoverHeading1">
    <w:name w:val="Cover Heading 1"/>
    <w:basedOn w:val="Normal"/>
    <w:next w:val="CoverDocumentType"/>
    <w:uiPriority w:val="19"/>
    <w:rsid w:val="009A0960"/>
    <w:pPr>
      <w:keepNext/>
      <w:spacing w:after="680" w:line="480" w:lineRule="atLeast"/>
    </w:pPr>
    <w:rPr>
      <w:b/>
      <w:caps/>
      <w:color w:val="000000"/>
      <w:sz w:val="48"/>
    </w:rPr>
  </w:style>
  <w:style w:type="paragraph" w:customStyle="1" w:styleId="CoverDocumentType">
    <w:name w:val="Cover Document Type"/>
    <w:basedOn w:val="SureRed"/>
    <w:next w:val="CoverSubheading"/>
    <w:uiPriority w:val="19"/>
    <w:rsid w:val="009A0960"/>
    <w:pPr>
      <w:keepNext/>
      <w:spacing w:before="340" w:after="284" w:line="420" w:lineRule="atLeast"/>
    </w:pPr>
    <w:rPr>
      <w:sz w:val="36"/>
    </w:rPr>
  </w:style>
  <w:style w:type="paragraph" w:customStyle="1" w:styleId="CoverSubheading">
    <w:name w:val="Cover Subheading"/>
    <w:basedOn w:val="Normal"/>
    <w:uiPriority w:val="19"/>
    <w:rsid w:val="009A0960"/>
    <w:pPr>
      <w:keepNext/>
      <w:spacing w:before="113" w:after="170"/>
    </w:pPr>
    <w:rPr>
      <w:b/>
    </w:rPr>
  </w:style>
  <w:style w:type="paragraph" w:customStyle="1" w:styleId="CoverDate">
    <w:name w:val="Cover Date"/>
    <w:basedOn w:val="Normal"/>
    <w:uiPriority w:val="19"/>
    <w:rsid w:val="009A0960"/>
    <w:pPr>
      <w:spacing w:before="113"/>
    </w:pPr>
  </w:style>
  <w:style w:type="paragraph" w:customStyle="1" w:styleId="HeadingContents">
    <w:name w:val="Heading Contents"/>
    <w:basedOn w:val="Heading1"/>
    <w:uiPriority w:val="2"/>
    <w:rsid w:val="00390D69"/>
    <w:pPr>
      <w:pageBreakBefore w:val="0"/>
      <w:spacing w:before="680" w:after="220" w:line="480" w:lineRule="atLeast"/>
      <w:outlineLvl w:val="9"/>
    </w:pPr>
  </w:style>
  <w:style w:type="paragraph" w:styleId="TOCHeading">
    <w:name w:val="TOC Heading"/>
    <w:basedOn w:val="Heading1"/>
    <w:next w:val="Normal"/>
    <w:uiPriority w:val="39"/>
    <w:semiHidden/>
    <w:rsid w:val="00380AAF"/>
    <w:pPr>
      <w:pageBreakBefore w:val="0"/>
      <w:spacing w:before="240" w:after="0" w:line="259" w:lineRule="auto"/>
      <w:ind w:right="0"/>
      <w:outlineLvl w:val="9"/>
    </w:pPr>
    <w:rPr>
      <w:rFonts w:asciiTheme="majorHAnsi" w:hAnsiTheme="majorHAnsi"/>
      <w:b w:val="0"/>
      <w:caps w:val="0"/>
      <w:color w:val="E59F00" w:themeColor="accent1" w:themeShade="BF"/>
      <w:sz w:val="32"/>
      <w:lang w:val="en-US"/>
    </w:rPr>
  </w:style>
  <w:style w:type="paragraph" w:styleId="TOC1">
    <w:name w:val="toc 1"/>
    <w:basedOn w:val="Normal"/>
    <w:next w:val="Normal"/>
    <w:uiPriority w:val="39"/>
    <w:unhideWhenUsed/>
    <w:rsid w:val="0092418C"/>
    <w:pPr>
      <w:tabs>
        <w:tab w:val="right" w:pos="9072"/>
      </w:tabs>
      <w:spacing w:before="170" w:after="80" w:line="280" w:lineRule="atLeast"/>
      <w:ind w:right="851"/>
    </w:pPr>
    <w:rPr>
      <w:sz w:val="24"/>
    </w:rPr>
  </w:style>
  <w:style w:type="paragraph" w:styleId="TOC2">
    <w:name w:val="toc 2"/>
    <w:basedOn w:val="Normal"/>
    <w:next w:val="Normal"/>
    <w:uiPriority w:val="39"/>
    <w:unhideWhenUsed/>
    <w:rsid w:val="00853045"/>
    <w:pPr>
      <w:tabs>
        <w:tab w:val="right" w:pos="9072"/>
      </w:tabs>
      <w:spacing w:after="80"/>
      <w:ind w:right="851"/>
    </w:pPr>
  </w:style>
  <w:style w:type="paragraph" w:styleId="TOC3">
    <w:name w:val="toc 3"/>
    <w:basedOn w:val="Normal"/>
    <w:next w:val="Normal"/>
    <w:uiPriority w:val="39"/>
    <w:unhideWhenUsed/>
    <w:rsid w:val="00853045"/>
    <w:pPr>
      <w:tabs>
        <w:tab w:val="right" w:pos="9072"/>
      </w:tabs>
      <w:spacing w:after="80"/>
      <w:ind w:left="425" w:right="851"/>
    </w:pPr>
  </w:style>
  <w:style w:type="character" w:styleId="Hyperlink">
    <w:name w:val="Hyperlink"/>
    <w:basedOn w:val="DefaultParagraphFont"/>
    <w:uiPriority w:val="99"/>
    <w:rsid w:val="00A4666D"/>
    <w:rPr>
      <w:color w:val="03B2C4"/>
      <w:u w:val="single"/>
    </w:rPr>
  </w:style>
  <w:style w:type="paragraph" w:styleId="TOC4">
    <w:name w:val="toc 4"/>
    <w:basedOn w:val="Normal"/>
    <w:next w:val="Normal"/>
    <w:uiPriority w:val="39"/>
    <w:unhideWhenUsed/>
    <w:rsid w:val="00853045"/>
    <w:pPr>
      <w:tabs>
        <w:tab w:val="right" w:pos="9072"/>
      </w:tabs>
      <w:spacing w:after="80"/>
      <w:ind w:left="851" w:right="851"/>
    </w:pPr>
  </w:style>
  <w:style w:type="paragraph" w:styleId="TOC5">
    <w:name w:val="toc 5"/>
    <w:basedOn w:val="Normal"/>
    <w:next w:val="Normal"/>
    <w:uiPriority w:val="39"/>
    <w:unhideWhenUsed/>
    <w:rsid w:val="00853045"/>
    <w:pPr>
      <w:tabs>
        <w:tab w:val="right" w:pos="9072"/>
      </w:tabs>
      <w:spacing w:after="80"/>
      <w:ind w:left="1276" w:right="851"/>
    </w:pPr>
  </w:style>
  <w:style w:type="paragraph" w:styleId="TOC8">
    <w:name w:val="toc 8"/>
    <w:basedOn w:val="TOC2"/>
    <w:next w:val="Normal"/>
    <w:uiPriority w:val="39"/>
    <w:unhideWhenUsed/>
    <w:rsid w:val="00A03F1D"/>
    <w:pPr>
      <w:ind w:left="851" w:hanging="851"/>
    </w:pPr>
  </w:style>
  <w:style w:type="paragraph" w:styleId="TOC9">
    <w:name w:val="toc 9"/>
    <w:basedOn w:val="Normal"/>
    <w:next w:val="Normal"/>
    <w:uiPriority w:val="39"/>
    <w:unhideWhenUsed/>
    <w:rsid w:val="00A03F1D"/>
    <w:pPr>
      <w:tabs>
        <w:tab w:val="left" w:pos="1701"/>
        <w:tab w:val="right" w:pos="9072"/>
      </w:tabs>
      <w:spacing w:after="80"/>
      <w:ind w:left="1702" w:right="851" w:hanging="851"/>
    </w:pPr>
  </w:style>
  <w:style w:type="paragraph" w:styleId="TableofFigures">
    <w:name w:val="table of figures"/>
    <w:basedOn w:val="Normal"/>
    <w:next w:val="Normal"/>
    <w:uiPriority w:val="99"/>
    <w:unhideWhenUsed/>
    <w:rsid w:val="00853045"/>
    <w:pPr>
      <w:tabs>
        <w:tab w:val="left" w:pos="1049"/>
        <w:tab w:val="right" w:pos="9072"/>
      </w:tabs>
      <w:spacing w:after="80"/>
      <w:ind w:left="1049" w:right="851" w:hanging="1049"/>
    </w:pPr>
  </w:style>
  <w:style w:type="paragraph" w:customStyle="1" w:styleId="FooterPortraitOdd">
    <w:name w:val="Footer Portrait Odd"/>
    <w:basedOn w:val="Footer"/>
    <w:uiPriority w:val="11"/>
    <w:rsid w:val="00B20014"/>
    <w:rPr>
      <w:noProof/>
      <w:lang w:eastAsia="en-NZ"/>
    </w:rPr>
  </w:style>
  <w:style w:type="paragraph" w:customStyle="1" w:styleId="FooterPortraitEven">
    <w:name w:val="Footer Portrait Even"/>
    <w:basedOn w:val="Footer"/>
    <w:uiPriority w:val="11"/>
    <w:rsid w:val="00B43FB4"/>
    <w:pPr>
      <w:tabs>
        <w:tab w:val="clear" w:pos="851"/>
        <w:tab w:val="clear" w:pos="9072"/>
        <w:tab w:val="right" w:pos="8222"/>
      </w:tabs>
    </w:pPr>
    <w:rPr>
      <w:lang w:eastAsia="en-NZ"/>
    </w:rPr>
  </w:style>
  <w:style w:type="character" w:customStyle="1" w:styleId="FooterDateTime">
    <w:name w:val="Footer Date Time"/>
    <w:basedOn w:val="DefaultParagraphFont"/>
    <w:uiPriority w:val="11"/>
    <w:rsid w:val="00844C2D"/>
    <w:rPr>
      <w:color w:val="ABA9AD"/>
      <w:sz w:val="16"/>
    </w:rPr>
  </w:style>
  <w:style w:type="paragraph" w:styleId="TOC7">
    <w:name w:val="toc 7"/>
    <w:basedOn w:val="TOC1"/>
    <w:next w:val="Normal"/>
    <w:uiPriority w:val="39"/>
    <w:unhideWhenUsed/>
    <w:rsid w:val="00A03F1D"/>
    <w:pPr>
      <w:tabs>
        <w:tab w:val="left" w:pos="851"/>
      </w:tabs>
      <w:ind w:left="851" w:hanging="851"/>
    </w:pPr>
  </w:style>
  <w:style w:type="paragraph" w:styleId="TOC6">
    <w:name w:val="toc 6"/>
    <w:basedOn w:val="TOC1"/>
    <w:next w:val="Normal"/>
    <w:uiPriority w:val="39"/>
    <w:unhideWhenUsed/>
    <w:rsid w:val="00853045"/>
    <w:pPr>
      <w:tabs>
        <w:tab w:val="clear" w:pos="9072"/>
        <w:tab w:val="left" w:pos="851"/>
        <w:tab w:val="right" w:pos="9060"/>
      </w:tabs>
    </w:pPr>
  </w:style>
  <w:style w:type="table" w:styleId="PlainTable3">
    <w:name w:val="Plain Table 3"/>
    <w:basedOn w:val="TableNormal"/>
    <w:uiPriority w:val="43"/>
    <w:rsid w:val="009241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3">
    <w:name w:val="List Table 1 Light Accent 3"/>
    <w:basedOn w:val="TableNormal"/>
    <w:uiPriority w:val="46"/>
    <w:rsid w:val="00A03F1D"/>
    <w:pPr>
      <w:spacing w:after="0" w:line="240" w:lineRule="auto"/>
    </w:pPr>
    <w:tblPr>
      <w:tblStyleRowBandSize w:val="1"/>
      <w:tblStyleColBandSize w:val="1"/>
    </w:tblPr>
    <w:tblStylePr w:type="firstRow">
      <w:rPr>
        <w:b/>
        <w:bCs/>
      </w:rPr>
      <w:tblPr/>
      <w:tcPr>
        <w:tcBorders>
          <w:bottom w:val="single" w:sz="4" w:space="0" w:color="F9B98A" w:themeColor="accent3" w:themeTint="99"/>
        </w:tcBorders>
      </w:tcPr>
    </w:tblStylePr>
    <w:tblStylePr w:type="lastRow">
      <w:rPr>
        <w:b/>
        <w:bCs/>
      </w:rPr>
      <w:tblPr/>
      <w:tcPr>
        <w:tcBorders>
          <w:top w:val="single" w:sz="4" w:space="0" w:color="F9B98A" w:themeColor="accent3" w:themeTint="99"/>
        </w:tcBorders>
      </w:tcPr>
    </w:tblStylePr>
    <w:tblStylePr w:type="firstCol">
      <w:rPr>
        <w:b/>
        <w:bCs/>
      </w:rPr>
    </w:tblStylePr>
    <w:tblStylePr w:type="lastCol">
      <w:rPr>
        <w:b/>
        <w:bCs/>
      </w:rPr>
    </w:tblStylePr>
    <w:tblStylePr w:type="band1Vert">
      <w:tblPr/>
      <w:tcPr>
        <w:shd w:val="clear" w:color="auto" w:fill="FDE7D8" w:themeFill="accent3" w:themeFillTint="33"/>
      </w:tcPr>
    </w:tblStylePr>
    <w:tblStylePr w:type="band1Horz">
      <w:tblPr/>
      <w:tcPr>
        <w:shd w:val="clear" w:color="auto" w:fill="FDE7D8" w:themeFill="accent3" w:themeFillTint="33"/>
      </w:tcPr>
    </w:tblStylePr>
  </w:style>
  <w:style w:type="paragraph" w:customStyle="1" w:styleId="FooterLandscapeEven">
    <w:name w:val="Footer Landscape Even"/>
    <w:basedOn w:val="Footer"/>
    <w:uiPriority w:val="11"/>
    <w:rsid w:val="006C7FB5"/>
    <w:pPr>
      <w:tabs>
        <w:tab w:val="clear" w:pos="851"/>
        <w:tab w:val="clear" w:pos="9072"/>
        <w:tab w:val="right" w:pos="13154"/>
      </w:tabs>
    </w:pPr>
  </w:style>
  <w:style w:type="paragraph" w:customStyle="1" w:styleId="FooterA3Even">
    <w:name w:val="Footer A3 Even"/>
    <w:basedOn w:val="Footer"/>
    <w:uiPriority w:val="11"/>
    <w:rsid w:val="006C7FB5"/>
    <w:pPr>
      <w:tabs>
        <w:tab w:val="clear" w:pos="851"/>
        <w:tab w:val="clear" w:pos="9072"/>
        <w:tab w:val="right" w:pos="20129"/>
      </w:tabs>
    </w:pPr>
  </w:style>
  <w:style w:type="paragraph" w:customStyle="1" w:styleId="SNHeading1">
    <w:name w:val="SN Heading 1"/>
    <w:basedOn w:val="Heading1"/>
    <w:next w:val="SNNumber1"/>
    <w:uiPriority w:val="7"/>
    <w:rsid w:val="00C37888"/>
    <w:pPr>
      <w:numPr>
        <w:numId w:val="13"/>
      </w:numPr>
    </w:pPr>
  </w:style>
  <w:style w:type="paragraph" w:customStyle="1" w:styleId="SNNumber1">
    <w:name w:val="SN Number 1"/>
    <w:basedOn w:val="Normal"/>
    <w:uiPriority w:val="7"/>
    <w:rsid w:val="005C17C1"/>
    <w:pPr>
      <w:numPr>
        <w:numId w:val="20"/>
      </w:numPr>
      <w:spacing w:before="113"/>
    </w:pPr>
  </w:style>
  <w:style w:type="paragraph" w:customStyle="1" w:styleId="SNPara1">
    <w:name w:val="SN Para 1"/>
    <w:basedOn w:val="Normal"/>
    <w:uiPriority w:val="7"/>
    <w:rsid w:val="005C17C1"/>
    <w:pPr>
      <w:numPr>
        <w:ilvl w:val="3"/>
        <w:numId w:val="20"/>
      </w:numPr>
      <w:spacing w:before="113"/>
    </w:pPr>
  </w:style>
  <w:style w:type="paragraph" w:customStyle="1" w:styleId="SNParaa">
    <w:name w:val="SN Para a"/>
    <w:basedOn w:val="Normal"/>
    <w:uiPriority w:val="7"/>
    <w:rsid w:val="005C17C1"/>
    <w:pPr>
      <w:numPr>
        <w:ilvl w:val="1"/>
        <w:numId w:val="20"/>
      </w:numPr>
      <w:spacing w:before="113"/>
    </w:pPr>
  </w:style>
  <w:style w:type="paragraph" w:customStyle="1" w:styleId="SNParaB1">
    <w:name w:val="SN Para B1"/>
    <w:basedOn w:val="Normal"/>
    <w:uiPriority w:val="7"/>
    <w:rsid w:val="005C17C1"/>
    <w:pPr>
      <w:numPr>
        <w:ilvl w:val="4"/>
        <w:numId w:val="20"/>
      </w:numPr>
      <w:spacing w:before="113"/>
    </w:pPr>
  </w:style>
  <w:style w:type="paragraph" w:customStyle="1" w:styleId="SNParaB2">
    <w:name w:val="SN Para B2"/>
    <w:basedOn w:val="Normal"/>
    <w:uiPriority w:val="7"/>
    <w:rsid w:val="005C17C1"/>
    <w:pPr>
      <w:numPr>
        <w:ilvl w:val="5"/>
        <w:numId w:val="20"/>
      </w:numPr>
      <w:spacing w:before="113"/>
    </w:pPr>
  </w:style>
  <w:style w:type="paragraph" w:customStyle="1" w:styleId="SNParai">
    <w:name w:val="SN Para i"/>
    <w:basedOn w:val="Normal"/>
    <w:uiPriority w:val="7"/>
    <w:rsid w:val="005C17C1"/>
    <w:pPr>
      <w:numPr>
        <w:ilvl w:val="2"/>
        <w:numId w:val="20"/>
      </w:numPr>
      <w:spacing w:before="113"/>
    </w:pPr>
  </w:style>
  <w:style w:type="paragraph" w:customStyle="1" w:styleId="SNBullet1">
    <w:name w:val="SN Bullet 1"/>
    <w:basedOn w:val="USBodyText"/>
    <w:uiPriority w:val="7"/>
    <w:rsid w:val="00C37888"/>
    <w:pPr>
      <w:numPr>
        <w:numId w:val="12"/>
      </w:numPr>
      <w:spacing w:before="0"/>
    </w:pPr>
  </w:style>
  <w:style w:type="paragraph" w:customStyle="1" w:styleId="SNBullet2">
    <w:name w:val="SN Bullet 2"/>
    <w:basedOn w:val="USBodyText"/>
    <w:uiPriority w:val="7"/>
    <w:rsid w:val="00C37888"/>
    <w:pPr>
      <w:numPr>
        <w:ilvl w:val="1"/>
        <w:numId w:val="12"/>
      </w:numPr>
      <w:spacing w:before="0"/>
    </w:pPr>
  </w:style>
  <w:style w:type="paragraph" w:customStyle="1" w:styleId="SNBullet3">
    <w:name w:val="SN Bullet 3"/>
    <w:basedOn w:val="USBodyText"/>
    <w:uiPriority w:val="7"/>
    <w:rsid w:val="00C37888"/>
    <w:pPr>
      <w:numPr>
        <w:ilvl w:val="2"/>
        <w:numId w:val="12"/>
      </w:numPr>
      <w:spacing w:before="0"/>
    </w:pPr>
  </w:style>
  <w:style w:type="paragraph" w:customStyle="1" w:styleId="HeadingSectionDivider">
    <w:name w:val="Heading Section Divider"/>
    <w:basedOn w:val="Heading1"/>
    <w:uiPriority w:val="2"/>
    <w:semiHidden/>
    <w:rsid w:val="00C57284"/>
    <w:rPr>
      <w:b w:val="0"/>
      <w:color w:val="000000" w:themeColor="text1"/>
    </w:rPr>
  </w:style>
  <w:style w:type="paragraph" w:customStyle="1" w:styleId="USNote">
    <w:name w:val="US Note"/>
    <w:basedOn w:val="USNotes"/>
    <w:uiPriority w:val="5"/>
    <w:rsid w:val="00DD7E65"/>
    <w:pPr>
      <w:numPr>
        <w:numId w:val="0"/>
      </w:numPr>
    </w:pPr>
  </w:style>
  <w:style w:type="paragraph" w:customStyle="1" w:styleId="SNHeading2">
    <w:name w:val="SN Heading 2"/>
    <w:basedOn w:val="Heading2"/>
    <w:next w:val="SNNumber1"/>
    <w:uiPriority w:val="7"/>
    <w:rsid w:val="00C37888"/>
  </w:style>
  <w:style w:type="paragraph" w:customStyle="1" w:styleId="SNHeading3">
    <w:name w:val="SN Heading 3"/>
    <w:basedOn w:val="Heading3"/>
    <w:next w:val="SNNumber1"/>
    <w:uiPriority w:val="7"/>
    <w:rsid w:val="00C37888"/>
  </w:style>
  <w:style w:type="paragraph" w:customStyle="1" w:styleId="SNHeading4">
    <w:name w:val="SN Heading 4"/>
    <w:basedOn w:val="Heading4"/>
    <w:next w:val="SNNumber1"/>
    <w:uiPriority w:val="7"/>
    <w:rsid w:val="00C37888"/>
  </w:style>
  <w:style w:type="paragraph" w:customStyle="1" w:styleId="SNHeading5">
    <w:name w:val="SN Heading 5"/>
    <w:basedOn w:val="Heading5"/>
    <w:next w:val="SNNumber1"/>
    <w:uiPriority w:val="7"/>
    <w:rsid w:val="00C37888"/>
  </w:style>
  <w:style w:type="paragraph" w:customStyle="1" w:styleId="HeadingSectionDivider-Black">
    <w:name w:val="Heading Section Divider - Black"/>
    <w:basedOn w:val="Heading1"/>
    <w:uiPriority w:val="2"/>
    <w:rsid w:val="00C57284"/>
    <w:pPr>
      <w:pageBreakBefore w:val="0"/>
    </w:pPr>
    <w:rPr>
      <w:b w:val="0"/>
      <w:color w:val="000000" w:themeColor="text1"/>
    </w:rPr>
  </w:style>
  <w:style w:type="paragraph" w:customStyle="1" w:styleId="HeadingSectionDivider-BlueArrows">
    <w:name w:val="Heading Section Divider - Blue Arrows"/>
    <w:basedOn w:val="Normal"/>
    <w:uiPriority w:val="2"/>
    <w:rsid w:val="00A125AE"/>
    <w:pPr>
      <w:keepNext/>
      <w:keepLines/>
      <w:framePr w:wrap="around" w:vAnchor="page" w:hAnchor="margin" w:xAlign="center" w:y="6805"/>
      <w:spacing w:after="0" w:line="300" w:lineRule="atLeast"/>
      <w:jc w:val="center"/>
      <w:outlineLvl w:val="0"/>
    </w:pPr>
    <w:rPr>
      <w:rFonts w:eastAsiaTheme="majorEastAsia" w:cstheme="majorBidi"/>
      <w:b/>
      <w:caps/>
      <w:color w:val="000000" w:themeColor="text1"/>
      <w:sz w:val="48"/>
      <w:szCs w:val="32"/>
    </w:rPr>
  </w:style>
  <w:style w:type="paragraph" w:customStyle="1" w:styleId="HeadingSectionDivider-White">
    <w:name w:val="Heading Section Divider - White"/>
    <w:basedOn w:val="HeadingSectionDivider-Black"/>
    <w:uiPriority w:val="2"/>
    <w:rsid w:val="00C57284"/>
    <w:pPr>
      <w:outlineLvl w:val="9"/>
    </w:pPr>
    <w:rPr>
      <w:bCs/>
      <w:color w:val="FFFFFF" w:themeColor="background1"/>
    </w:rPr>
  </w:style>
  <w:style w:type="paragraph" w:customStyle="1" w:styleId="USPullQuoteBlack">
    <w:name w:val="US Pull Quote Black"/>
    <w:basedOn w:val="Normal"/>
    <w:uiPriority w:val="5"/>
    <w:rsid w:val="00B87B04"/>
    <w:pPr>
      <w:pBdr>
        <w:top w:val="single" w:sz="4" w:space="14" w:color="auto"/>
        <w:bottom w:val="single" w:sz="4" w:space="14" w:color="auto"/>
      </w:pBdr>
      <w:spacing w:before="284" w:after="454" w:line="340" w:lineRule="atLeast"/>
    </w:pPr>
    <w:rPr>
      <w:b/>
      <w:bCs/>
      <w:sz w:val="28"/>
    </w:rPr>
  </w:style>
  <w:style w:type="paragraph" w:customStyle="1" w:styleId="USPullQuoteWhite">
    <w:name w:val="US Pull Quote White"/>
    <w:basedOn w:val="USPullQuote"/>
    <w:uiPriority w:val="5"/>
    <w:rsid w:val="00C57284"/>
    <w:pPr>
      <w:pBdr>
        <w:top w:val="single" w:sz="4" w:space="14" w:color="FFFFFF" w:themeColor="background1"/>
        <w:bottom w:val="single" w:sz="4" w:space="14" w:color="FFFFFF" w:themeColor="background1"/>
      </w:pBdr>
    </w:pPr>
    <w:rPr>
      <w:b/>
      <w:bCs/>
      <w:color w:val="FFFFFF" w:themeColor="background1"/>
    </w:rPr>
  </w:style>
  <w:style w:type="paragraph" w:customStyle="1" w:styleId="TSTableHeadingBlack">
    <w:name w:val="TS Table Heading Black"/>
    <w:basedOn w:val="Normal"/>
    <w:uiPriority w:val="9"/>
    <w:rsid w:val="0051181E"/>
    <w:pPr>
      <w:spacing w:before="57" w:after="57" w:line="190" w:lineRule="atLeast"/>
    </w:pPr>
    <w:rPr>
      <w:b/>
      <w:sz w:val="16"/>
    </w:rPr>
  </w:style>
  <w:style w:type="character" w:styleId="FollowedHyperlink">
    <w:name w:val="FollowedHyperlink"/>
    <w:basedOn w:val="DefaultParagraphFont"/>
    <w:uiPriority w:val="5"/>
    <w:rsid w:val="005028B1"/>
    <w:rPr>
      <w:color w:val="95D3D4"/>
      <w:u w:val="single"/>
    </w:rPr>
  </w:style>
  <w:style w:type="paragraph" w:customStyle="1" w:styleId="HeadingNonContents">
    <w:name w:val="Heading Non Contents"/>
    <w:basedOn w:val="HeadingContents"/>
    <w:uiPriority w:val="2"/>
    <w:rsid w:val="00D71C59"/>
  </w:style>
  <w:style w:type="paragraph" w:customStyle="1" w:styleId="USWhiteSpaceAfterTable">
    <w:name w:val="US White Space After Table"/>
    <w:basedOn w:val="USWhiteSpace"/>
    <w:next w:val="USBodyText"/>
    <w:uiPriority w:val="4"/>
    <w:rsid w:val="00C77539"/>
    <w:pPr>
      <w:spacing w:after="277"/>
    </w:pPr>
  </w:style>
  <w:style w:type="paragraph" w:customStyle="1" w:styleId="SNIndent1">
    <w:name w:val="SN Indent 1"/>
    <w:basedOn w:val="Normal"/>
    <w:uiPriority w:val="7"/>
    <w:rsid w:val="00C37888"/>
    <w:pPr>
      <w:ind w:left="851"/>
    </w:pPr>
  </w:style>
  <w:style w:type="paragraph" w:customStyle="1" w:styleId="SNIndent2">
    <w:name w:val="SN Indent 2"/>
    <w:basedOn w:val="Normal"/>
    <w:uiPriority w:val="7"/>
    <w:rsid w:val="00C37888"/>
    <w:pPr>
      <w:ind w:left="1276"/>
    </w:pPr>
  </w:style>
  <w:style w:type="paragraph" w:customStyle="1" w:styleId="SNIndent3">
    <w:name w:val="SN Indent 3"/>
    <w:basedOn w:val="Normal"/>
    <w:uiPriority w:val="7"/>
    <w:rsid w:val="00C37888"/>
    <w:pPr>
      <w:ind w:left="1701"/>
    </w:pPr>
  </w:style>
  <w:style w:type="paragraph" w:customStyle="1" w:styleId="SNIndent4">
    <w:name w:val="SN Indent 4"/>
    <w:basedOn w:val="Normal"/>
    <w:uiPriority w:val="7"/>
    <w:rsid w:val="00C37888"/>
    <w:pPr>
      <w:ind w:left="2126"/>
    </w:pPr>
  </w:style>
  <w:style w:type="character" w:customStyle="1" w:styleId="HyperlinkSourceTextReference">
    <w:name w:val="Hyperlink (Source Text Reference)"/>
    <w:basedOn w:val="DefaultParagraphFont"/>
    <w:uiPriority w:val="5"/>
    <w:rsid w:val="00B87B04"/>
    <w:rPr>
      <w:color w:val="74C6C7"/>
      <w:u w:val="single"/>
    </w:rPr>
  </w:style>
  <w:style w:type="paragraph" w:customStyle="1" w:styleId="USPullQuoteBlue">
    <w:name w:val="US Pull Quote Blue"/>
    <w:basedOn w:val="Normal"/>
    <w:uiPriority w:val="5"/>
    <w:rsid w:val="00B87B04"/>
    <w:pPr>
      <w:pBdr>
        <w:top w:val="single" w:sz="4" w:space="14" w:color="74C6C7"/>
        <w:bottom w:val="single" w:sz="4" w:space="14" w:color="74C6C7"/>
      </w:pBdr>
      <w:spacing w:before="284" w:after="454" w:line="340" w:lineRule="atLeast"/>
    </w:pPr>
    <w:rPr>
      <w:color w:val="74C6C7"/>
      <w:sz w:val="28"/>
    </w:rPr>
  </w:style>
  <w:style w:type="paragraph" w:customStyle="1" w:styleId="USWhiteSpaceBeforeTable">
    <w:name w:val="US White Space Before Table"/>
    <w:basedOn w:val="Normal"/>
    <w:uiPriority w:val="4"/>
    <w:rsid w:val="0006047A"/>
    <w:pPr>
      <w:spacing w:after="277" w:line="240" w:lineRule="auto"/>
    </w:pPr>
    <w:rPr>
      <w:sz w:val="12"/>
    </w:rPr>
  </w:style>
  <w:style w:type="paragraph" w:styleId="CommentText">
    <w:name w:val="annotation text"/>
    <w:basedOn w:val="Normal"/>
    <w:link w:val="CommentTextChar"/>
    <w:uiPriority w:val="99"/>
    <w:unhideWhenUsed/>
    <w:rsid w:val="00246BE2"/>
    <w:pPr>
      <w:spacing w:line="240" w:lineRule="auto"/>
    </w:pPr>
    <w:rPr>
      <w:szCs w:val="20"/>
    </w:rPr>
  </w:style>
  <w:style w:type="character" w:customStyle="1" w:styleId="CommentTextChar">
    <w:name w:val="Comment Text Char"/>
    <w:basedOn w:val="DefaultParagraphFont"/>
    <w:link w:val="CommentText"/>
    <w:uiPriority w:val="99"/>
    <w:rsid w:val="00246B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6BE2"/>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246BE2"/>
    <w:rPr>
      <w:rFonts w:ascii="Arial" w:hAnsi="Arial"/>
      <w:b/>
      <w:bCs/>
      <w:sz w:val="20"/>
      <w:szCs w:val="20"/>
    </w:rPr>
  </w:style>
  <w:style w:type="paragraph" w:customStyle="1" w:styleId="Sego">
    <w:name w:val="Sego"/>
    <w:basedOn w:val="USBodyText"/>
    <w:rsid w:val="00246BE2"/>
  </w:style>
  <w:style w:type="paragraph" w:customStyle="1" w:styleId="Number">
    <w:name w:val="Number"/>
    <w:basedOn w:val="USBodyText"/>
    <w:link w:val="NumberChar"/>
    <w:uiPriority w:val="19"/>
    <w:rsid w:val="00183DF7"/>
    <w:pPr>
      <w:numPr>
        <w:numId w:val="21"/>
      </w:numPr>
      <w:spacing w:before="0" w:after="120"/>
      <w:ind w:right="255"/>
    </w:pPr>
    <w:rPr>
      <w:rFonts w:ascii="Calibri" w:hAnsi="Calibri" w:cs="Calibri"/>
      <w:szCs w:val="20"/>
    </w:rPr>
  </w:style>
  <w:style w:type="paragraph" w:customStyle="1" w:styleId="Bodysub-heading">
    <w:name w:val="Body sub-heading"/>
    <w:basedOn w:val="USBodyText"/>
    <w:link w:val="Bodysub-headingChar"/>
    <w:uiPriority w:val="19"/>
    <w:rsid w:val="005D2759"/>
    <w:pPr>
      <w:spacing w:after="120"/>
      <w:ind w:right="255"/>
    </w:pPr>
    <w:rPr>
      <w:rFonts w:ascii="Calibri" w:hAnsi="Calibri" w:cs="Calibri"/>
      <w:b/>
      <w:bCs/>
    </w:rPr>
  </w:style>
  <w:style w:type="character" w:customStyle="1" w:styleId="USBodyTextChar">
    <w:name w:val="US Body Text Char"/>
    <w:basedOn w:val="DefaultParagraphFont"/>
    <w:link w:val="USBodyText"/>
    <w:uiPriority w:val="5"/>
    <w:rsid w:val="005D2759"/>
    <w:rPr>
      <w:rFonts w:ascii="Arial" w:hAnsi="Arial"/>
      <w:sz w:val="20"/>
    </w:rPr>
  </w:style>
  <w:style w:type="character" w:customStyle="1" w:styleId="NumberChar">
    <w:name w:val="Number Char"/>
    <w:basedOn w:val="USBodyTextChar"/>
    <w:link w:val="Number"/>
    <w:uiPriority w:val="19"/>
    <w:rsid w:val="00183DF7"/>
    <w:rPr>
      <w:rFonts w:ascii="Calibri" w:hAnsi="Calibri" w:cs="Calibri"/>
      <w:sz w:val="20"/>
      <w:szCs w:val="20"/>
    </w:rPr>
  </w:style>
  <w:style w:type="paragraph" w:customStyle="1" w:styleId="Sectionheading">
    <w:name w:val="Section heading"/>
    <w:basedOn w:val="USBodyText"/>
    <w:link w:val="SectionheadingChar"/>
    <w:uiPriority w:val="19"/>
    <w:rsid w:val="00107AA8"/>
    <w:pPr>
      <w:spacing w:before="120" w:after="200"/>
    </w:pPr>
    <w:rPr>
      <w:b/>
      <w:bCs/>
      <w:sz w:val="24"/>
      <w:szCs w:val="24"/>
    </w:rPr>
  </w:style>
  <w:style w:type="character" w:customStyle="1" w:styleId="Bodysub-headingChar">
    <w:name w:val="Body sub-heading Char"/>
    <w:basedOn w:val="USBodyTextChar"/>
    <w:link w:val="Bodysub-heading"/>
    <w:uiPriority w:val="19"/>
    <w:rsid w:val="005D2759"/>
    <w:rPr>
      <w:rFonts w:ascii="Calibri" w:hAnsi="Calibri" w:cs="Calibri"/>
      <w:b/>
      <w:bCs/>
      <w:sz w:val="20"/>
    </w:rPr>
  </w:style>
  <w:style w:type="paragraph" w:customStyle="1" w:styleId="Title1">
    <w:name w:val="Title1"/>
    <w:basedOn w:val="USBodyText"/>
    <w:link w:val="Title1Char"/>
    <w:uiPriority w:val="19"/>
    <w:qFormat/>
    <w:rsid w:val="005D2759"/>
    <w:pPr>
      <w:spacing w:before="240" w:after="120" w:line="240" w:lineRule="auto"/>
      <w:ind w:left="1560"/>
    </w:pPr>
    <w:rPr>
      <w:rFonts w:ascii="Segoe UI" w:hAnsi="Segoe UI" w:cs="Segoe UI"/>
      <w:b/>
      <w:bCs/>
      <w:color w:val="03B2C4"/>
      <w:sz w:val="36"/>
      <w:szCs w:val="36"/>
    </w:rPr>
  </w:style>
  <w:style w:type="character" w:customStyle="1" w:styleId="SectionheadingChar">
    <w:name w:val="Section heading Char"/>
    <w:basedOn w:val="USBodyTextChar"/>
    <w:link w:val="Sectionheading"/>
    <w:uiPriority w:val="19"/>
    <w:rsid w:val="00107AA8"/>
    <w:rPr>
      <w:rFonts w:ascii="Arial" w:hAnsi="Arial"/>
      <w:b/>
      <w:bCs/>
      <w:sz w:val="24"/>
      <w:szCs w:val="24"/>
    </w:rPr>
  </w:style>
  <w:style w:type="paragraph" w:customStyle="1" w:styleId="Romannumerals">
    <w:name w:val="Roman numerals"/>
    <w:basedOn w:val="USBodyText"/>
    <w:link w:val="RomannumeralsChar"/>
    <w:uiPriority w:val="19"/>
    <w:rsid w:val="00183DF7"/>
    <w:pPr>
      <w:numPr>
        <w:numId w:val="22"/>
      </w:numPr>
      <w:spacing w:before="0" w:after="120"/>
      <w:ind w:left="765" w:right="255" w:hanging="255"/>
    </w:pPr>
    <w:rPr>
      <w:rFonts w:ascii="Calibri" w:hAnsi="Calibri" w:cs="Calibri"/>
      <w:szCs w:val="20"/>
    </w:rPr>
  </w:style>
  <w:style w:type="character" w:customStyle="1" w:styleId="Title1Char">
    <w:name w:val="Title1 Char"/>
    <w:basedOn w:val="USBodyTextChar"/>
    <w:link w:val="Title1"/>
    <w:uiPriority w:val="19"/>
    <w:rsid w:val="005D2759"/>
    <w:rPr>
      <w:rFonts w:ascii="Segoe UI" w:hAnsi="Segoe UI" w:cs="Segoe UI"/>
      <w:b/>
      <w:bCs/>
      <w:color w:val="03B2C4"/>
      <w:sz w:val="36"/>
      <w:szCs w:val="36"/>
    </w:rPr>
  </w:style>
  <w:style w:type="character" w:styleId="UnresolvedMention">
    <w:name w:val="Unresolved Mention"/>
    <w:basedOn w:val="DefaultParagraphFont"/>
    <w:uiPriority w:val="99"/>
    <w:unhideWhenUsed/>
    <w:rsid w:val="00530243"/>
    <w:rPr>
      <w:color w:val="605E5C"/>
      <w:shd w:val="clear" w:color="auto" w:fill="E1DFDD"/>
    </w:rPr>
  </w:style>
  <w:style w:type="character" w:customStyle="1" w:styleId="RomannumeralsChar">
    <w:name w:val="Roman numerals Char"/>
    <w:basedOn w:val="USBodyTextChar"/>
    <w:link w:val="Romannumerals"/>
    <w:uiPriority w:val="19"/>
    <w:rsid w:val="00183DF7"/>
    <w:rPr>
      <w:rFonts w:ascii="Calibri" w:hAnsi="Calibri" w:cs="Calibri"/>
      <w:sz w:val="20"/>
      <w:szCs w:val="20"/>
    </w:rPr>
  </w:style>
  <w:style w:type="paragraph" w:styleId="NoSpacing">
    <w:name w:val="No Spacing"/>
    <w:link w:val="NoSpacingChar"/>
    <w:uiPriority w:val="1"/>
    <w:qFormat/>
    <w:rsid w:val="009334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33451"/>
    <w:rPr>
      <w:rFonts w:eastAsiaTheme="minorEastAsia"/>
      <w:lang w:val="en-US"/>
    </w:rPr>
  </w:style>
  <w:style w:type="paragraph" w:customStyle="1" w:styleId="Sectionsub-heading">
    <w:name w:val="Section sub-heading"/>
    <w:basedOn w:val="USBodyText"/>
    <w:link w:val="Sectionsub-headingChar"/>
    <w:uiPriority w:val="19"/>
    <w:qFormat/>
    <w:rsid w:val="00F96333"/>
    <w:pPr>
      <w:spacing w:before="240" w:after="200"/>
    </w:pPr>
    <w:rPr>
      <w:rFonts w:ascii="Calibri" w:hAnsi="Calibri" w:cs="Calibri"/>
      <w:b/>
      <w:color w:val="182B46"/>
      <w:sz w:val="26"/>
    </w:rPr>
  </w:style>
  <w:style w:type="paragraph" w:customStyle="1" w:styleId="Bodynumbercopy">
    <w:name w:val="Body number copy"/>
    <w:basedOn w:val="Number"/>
    <w:link w:val="BodynumbercopyChar"/>
    <w:uiPriority w:val="19"/>
    <w:qFormat/>
    <w:rsid w:val="00F96333"/>
    <w:pPr>
      <w:numPr>
        <w:numId w:val="23"/>
      </w:numPr>
    </w:pPr>
    <w:rPr>
      <w:sz w:val="21"/>
      <w:szCs w:val="21"/>
    </w:rPr>
  </w:style>
  <w:style w:type="character" w:customStyle="1" w:styleId="Sectionsub-headingChar">
    <w:name w:val="Section sub-heading Char"/>
    <w:basedOn w:val="USBodyTextChar"/>
    <w:link w:val="Sectionsub-heading"/>
    <w:uiPriority w:val="19"/>
    <w:rsid w:val="00F96333"/>
    <w:rPr>
      <w:rFonts w:ascii="Calibri" w:hAnsi="Calibri" w:cs="Calibri"/>
      <w:b/>
      <w:color w:val="182B46"/>
      <w:sz w:val="26"/>
    </w:rPr>
  </w:style>
  <w:style w:type="paragraph" w:customStyle="1" w:styleId="Bodysub-heading2">
    <w:name w:val="Body sub-heading2"/>
    <w:basedOn w:val="USBodyText"/>
    <w:link w:val="Bodysub-heading2Char"/>
    <w:uiPriority w:val="19"/>
    <w:qFormat/>
    <w:rsid w:val="00A4666D"/>
    <w:pPr>
      <w:spacing w:after="120"/>
      <w:ind w:right="255"/>
    </w:pPr>
    <w:rPr>
      <w:rFonts w:ascii="Calibri" w:hAnsi="Calibri" w:cs="Calibri"/>
      <w:color w:val="03B2C4"/>
      <w:sz w:val="22"/>
      <w:szCs w:val="21"/>
    </w:rPr>
  </w:style>
  <w:style w:type="character" w:customStyle="1" w:styleId="BodynumbercopyChar">
    <w:name w:val="Body number copy Char"/>
    <w:basedOn w:val="NumberChar"/>
    <w:link w:val="Bodynumbercopy"/>
    <w:uiPriority w:val="19"/>
    <w:rsid w:val="00F96333"/>
    <w:rPr>
      <w:rFonts w:ascii="Calibri" w:hAnsi="Calibri" w:cs="Calibri"/>
      <w:sz w:val="21"/>
      <w:szCs w:val="21"/>
    </w:rPr>
  </w:style>
  <w:style w:type="paragraph" w:customStyle="1" w:styleId="Bodyromannumerals">
    <w:name w:val="Body roman numerals"/>
    <w:basedOn w:val="USBodyText"/>
    <w:link w:val="BodyromannumeralsChar"/>
    <w:uiPriority w:val="19"/>
    <w:qFormat/>
    <w:rsid w:val="00A4666D"/>
    <w:pPr>
      <w:spacing w:before="60" w:after="120"/>
      <w:ind w:right="255"/>
    </w:pPr>
    <w:rPr>
      <w:rFonts w:ascii="Calibri" w:hAnsi="Calibri" w:cs="Calibri"/>
      <w:sz w:val="21"/>
      <w:szCs w:val="21"/>
    </w:rPr>
  </w:style>
  <w:style w:type="character" w:customStyle="1" w:styleId="Bodysub-heading2Char">
    <w:name w:val="Body sub-heading2 Char"/>
    <w:basedOn w:val="USBodyTextChar"/>
    <w:link w:val="Bodysub-heading2"/>
    <w:uiPriority w:val="19"/>
    <w:rsid w:val="00A4666D"/>
    <w:rPr>
      <w:rFonts w:ascii="Calibri" w:hAnsi="Calibri" w:cs="Calibri"/>
      <w:color w:val="03B2C4"/>
      <w:sz w:val="20"/>
      <w:szCs w:val="21"/>
    </w:rPr>
  </w:style>
  <w:style w:type="table" w:styleId="GridTable1Light-Accent1">
    <w:name w:val="Grid Table 1 Light Accent 1"/>
    <w:basedOn w:val="TableNormal"/>
    <w:uiPriority w:val="46"/>
    <w:rsid w:val="00A4666D"/>
    <w:pPr>
      <w:spacing w:after="0" w:line="240" w:lineRule="auto"/>
    </w:pPr>
    <w:tblPr>
      <w:tblStyleRowBandSize w:val="1"/>
      <w:tblStyleColBandSize w:val="1"/>
      <w:tblBorders>
        <w:top w:val="single" w:sz="4" w:space="0" w:color="FFE6AD" w:themeColor="accent1" w:themeTint="66"/>
        <w:left w:val="single" w:sz="4" w:space="0" w:color="FFE6AD" w:themeColor="accent1" w:themeTint="66"/>
        <w:bottom w:val="single" w:sz="4" w:space="0" w:color="FFE6AD" w:themeColor="accent1" w:themeTint="66"/>
        <w:right w:val="single" w:sz="4" w:space="0" w:color="FFE6AD" w:themeColor="accent1" w:themeTint="66"/>
        <w:insideH w:val="single" w:sz="4" w:space="0" w:color="FFE6AD" w:themeColor="accent1" w:themeTint="66"/>
        <w:insideV w:val="single" w:sz="4" w:space="0" w:color="FFE6AD" w:themeColor="accent1" w:themeTint="66"/>
      </w:tblBorders>
    </w:tblPr>
    <w:tblStylePr w:type="firstRow">
      <w:rPr>
        <w:b/>
        <w:bCs/>
      </w:rPr>
      <w:tblPr/>
      <w:tcPr>
        <w:tcBorders>
          <w:bottom w:val="single" w:sz="12" w:space="0" w:color="FFD984" w:themeColor="accent1" w:themeTint="99"/>
        </w:tcBorders>
      </w:tcPr>
    </w:tblStylePr>
    <w:tblStylePr w:type="lastRow">
      <w:rPr>
        <w:b/>
        <w:bCs/>
      </w:rPr>
      <w:tblPr/>
      <w:tcPr>
        <w:tcBorders>
          <w:top w:val="double" w:sz="2" w:space="0" w:color="FFD984" w:themeColor="accent1" w:themeTint="99"/>
        </w:tcBorders>
      </w:tcPr>
    </w:tblStylePr>
    <w:tblStylePr w:type="firstCol">
      <w:rPr>
        <w:b/>
        <w:bCs/>
      </w:rPr>
    </w:tblStylePr>
    <w:tblStylePr w:type="lastCol">
      <w:rPr>
        <w:b/>
        <w:bCs/>
      </w:rPr>
    </w:tblStylePr>
  </w:style>
  <w:style w:type="character" w:customStyle="1" w:styleId="BodyromannumeralsChar">
    <w:name w:val="Body roman numerals Char"/>
    <w:basedOn w:val="USBodyTextChar"/>
    <w:link w:val="Bodyromannumerals"/>
    <w:uiPriority w:val="19"/>
    <w:rsid w:val="00A4666D"/>
    <w:rPr>
      <w:rFonts w:ascii="Calibri" w:hAnsi="Calibri" w:cs="Calibri"/>
      <w:sz w:val="21"/>
      <w:szCs w:val="21"/>
    </w:rPr>
  </w:style>
  <w:style w:type="paragraph" w:customStyle="1" w:styleId="Bodybullet1">
    <w:name w:val="Body bullet1"/>
    <w:basedOn w:val="USBodyText"/>
    <w:link w:val="Bodybullet1Char"/>
    <w:uiPriority w:val="19"/>
    <w:rsid w:val="00F96333"/>
    <w:pPr>
      <w:framePr w:hSpace="180" w:wrap="around" w:vAnchor="text" w:hAnchor="margin" w:y="674"/>
      <w:numPr>
        <w:numId w:val="24"/>
      </w:numPr>
      <w:spacing w:before="0" w:after="0" w:line="240" w:lineRule="auto"/>
      <w:ind w:left="567" w:hanging="567"/>
    </w:pPr>
    <w:rPr>
      <w:rFonts w:ascii="Calibri" w:hAnsi="Calibri" w:cs="Calibri"/>
      <w:sz w:val="21"/>
      <w:szCs w:val="21"/>
    </w:rPr>
  </w:style>
  <w:style w:type="paragraph" w:customStyle="1" w:styleId="Bodybullet2">
    <w:name w:val="Body bullet 2"/>
    <w:basedOn w:val="USBodyText"/>
    <w:link w:val="Bodybullet2Char"/>
    <w:uiPriority w:val="19"/>
    <w:qFormat/>
    <w:rsid w:val="00F60163"/>
    <w:pPr>
      <w:framePr w:hSpace="180" w:wrap="around" w:vAnchor="text" w:hAnchor="margin" w:y="674"/>
      <w:numPr>
        <w:ilvl w:val="1"/>
        <w:numId w:val="25"/>
      </w:numPr>
      <w:spacing w:before="0" w:afterLines="25" w:after="25" w:line="240" w:lineRule="auto"/>
      <w:ind w:left="754" w:hanging="357"/>
    </w:pPr>
    <w:rPr>
      <w:rFonts w:ascii="Calibri" w:hAnsi="Calibri" w:cs="Calibri"/>
      <w:sz w:val="21"/>
      <w:szCs w:val="21"/>
    </w:rPr>
  </w:style>
  <w:style w:type="character" w:customStyle="1" w:styleId="Bodybullet1Char">
    <w:name w:val="Body bullet1 Char"/>
    <w:basedOn w:val="USBodyTextChar"/>
    <w:link w:val="Bodybullet1"/>
    <w:uiPriority w:val="19"/>
    <w:rsid w:val="00F96333"/>
    <w:rPr>
      <w:rFonts w:ascii="Calibri" w:hAnsi="Calibri" w:cs="Calibri"/>
      <w:sz w:val="21"/>
      <w:szCs w:val="21"/>
    </w:rPr>
  </w:style>
  <w:style w:type="paragraph" w:customStyle="1" w:styleId="Bodybullet10">
    <w:name w:val="Body bullet 1"/>
    <w:basedOn w:val="Bodybullet1"/>
    <w:link w:val="Bodybullet1Char0"/>
    <w:uiPriority w:val="19"/>
    <w:qFormat/>
    <w:rsid w:val="00F60163"/>
    <w:pPr>
      <w:framePr w:wrap="around"/>
      <w:spacing w:afterLines="25" w:after="25"/>
      <w:ind w:left="397" w:hanging="397"/>
    </w:pPr>
  </w:style>
  <w:style w:type="character" w:customStyle="1" w:styleId="Bodybullet2Char">
    <w:name w:val="Body bullet 2 Char"/>
    <w:basedOn w:val="USBodyTextChar"/>
    <w:link w:val="Bodybullet2"/>
    <w:uiPriority w:val="19"/>
    <w:rsid w:val="00F60163"/>
    <w:rPr>
      <w:rFonts w:ascii="Calibri" w:hAnsi="Calibri" w:cs="Calibri"/>
      <w:sz w:val="21"/>
      <w:szCs w:val="21"/>
    </w:rPr>
  </w:style>
  <w:style w:type="character" w:customStyle="1" w:styleId="Bodybullet1Char0">
    <w:name w:val="Body bullet 1 Char"/>
    <w:basedOn w:val="Bodybullet1Char"/>
    <w:link w:val="Bodybullet10"/>
    <w:uiPriority w:val="19"/>
    <w:rsid w:val="00F60163"/>
    <w:rPr>
      <w:rFonts w:ascii="Calibri" w:hAnsi="Calibri" w:cs="Calibri"/>
      <w:sz w:val="21"/>
      <w:szCs w:val="21"/>
    </w:rPr>
  </w:style>
  <w:style w:type="paragraph" w:customStyle="1" w:styleId="xusbodytext">
    <w:name w:val="x_usbodytext"/>
    <w:basedOn w:val="Normal"/>
    <w:rsid w:val="00CD579C"/>
    <w:pPr>
      <w:spacing w:after="0" w:line="240" w:lineRule="auto"/>
    </w:pPr>
    <w:rPr>
      <w:rFonts w:ascii="Calibri" w:hAnsi="Calibri" w:cs="Calibri"/>
      <w:sz w:val="22"/>
      <w:lang w:eastAsia="en-NZ"/>
    </w:r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aliases w:val="List Paragraph numbered Char,List Bullet indent Char"/>
    <w:basedOn w:val="DefaultParagraphFont"/>
    <w:link w:val="ListParagraph"/>
    <w:uiPriority w:val="34"/>
    <w:rsid w:val="00940E3A"/>
    <w:rPr>
      <w:rFonts w:ascii="Arial" w:hAnsi="Arial"/>
      <w:sz w:val="20"/>
    </w:rPr>
  </w:style>
  <w:style w:type="paragraph" w:styleId="NormalWeb">
    <w:name w:val="Normal (Web)"/>
    <w:basedOn w:val="Normal"/>
    <w:uiPriority w:val="99"/>
    <w:semiHidden/>
    <w:unhideWhenUsed/>
    <w:rsid w:val="00940E3A"/>
    <w:pPr>
      <w:spacing w:before="100" w:beforeAutospacing="1" w:after="100" w:afterAutospacing="1" w:line="240" w:lineRule="auto"/>
    </w:pPr>
    <w:rPr>
      <w:rFonts w:ascii="Times New Roman" w:eastAsia="Times New Roman" w:hAnsi="Times New Roman" w:cs="Times New Roman"/>
      <w:sz w:val="24"/>
      <w:szCs w:val="24"/>
      <w:lang w:eastAsia="en-NZ"/>
    </w:rPr>
  </w:style>
  <w:style w:type="table" w:customStyle="1" w:styleId="TableGrid1">
    <w:name w:val="Table Grid1"/>
    <w:basedOn w:val="TableNormal"/>
    <w:next w:val="TableGrid"/>
    <w:uiPriority w:val="39"/>
    <w:rsid w:val="00940E3A"/>
    <w:pPr>
      <w:spacing w:after="0" w:line="240" w:lineRule="auto"/>
    </w:pPr>
    <w:rPr>
      <w:rFonts w:ascii="EYInterstate Light" w:eastAsia="Times New Roman" w:hAnsi="EYInterstate Light"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40E3A"/>
    <w:rPr>
      <w:color w:val="2B579A"/>
      <w:shd w:val="clear" w:color="auto" w:fill="E1DFDD"/>
    </w:rPr>
  </w:style>
  <w:style w:type="paragraph" w:customStyle="1" w:styleId="Tabletitles">
    <w:name w:val="Table titles"/>
    <w:basedOn w:val="NoSpacing"/>
    <w:qFormat/>
    <w:rsid w:val="00940E3A"/>
    <w:pPr>
      <w:spacing w:line="360" w:lineRule="auto"/>
    </w:pPr>
    <w:rPr>
      <w:rFonts w:ascii="Calibri" w:eastAsia="Times New Roman" w:hAnsi="Calibri" w:cs="Times New Roman"/>
      <w:szCs w:val="20"/>
    </w:rPr>
  </w:style>
  <w:style w:type="character" w:styleId="BookTitle">
    <w:name w:val="Book Title"/>
    <w:aliases w:val="Doc Title"/>
    <w:uiPriority w:val="33"/>
    <w:qFormat/>
    <w:rsid w:val="00940E3A"/>
    <w:rPr>
      <w:b/>
      <w:bCs/>
      <w:color w:val="182B46"/>
      <w:sz w:val="56"/>
      <w:szCs w:val="56"/>
    </w:rPr>
  </w:style>
  <w:style w:type="paragraph" w:styleId="Revision">
    <w:name w:val="Revision"/>
    <w:hidden/>
    <w:uiPriority w:val="99"/>
    <w:semiHidden/>
    <w:rsid w:val="00940E3A"/>
    <w:pPr>
      <w:spacing w:after="0" w:line="240" w:lineRule="auto"/>
    </w:pPr>
    <w:rPr>
      <w:rFonts w:ascii="Calibri" w:eastAsia="Times New Roman" w:hAnsi="Calibri" w:cs="Times New Roman"/>
      <w:szCs w:val="24"/>
      <w:lang w:eastAsia="en-NZ"/>
    </w:rPr>
  </w:style>
  <w:style w:type="numbering" w:customStyle="1" w:styleId="NoList1">
    <w:name w:val="No List1"/>
    <w:next w:val="NoList"/>
    <w:uiPriority w:val="99"/>
    <w:semiHidden/>
    <w:unhideWhenUsed/>
    <w:rsid w:val="00940E3A"/>
  </w:style>
  <w:style w:type="paragraph" w:customStyle="1" w:styleId="msonormal0">
    <w:name w:val="msonormal"/>
    <w:basedOn w:val="Normal"/>
    <w:rsid w:val="00940E3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ommentText1">
    <w:name w:val="Comment Text1"/>
    <w:basedOn w:val="Normal"/>
    <w:next w:val="CommentText"/>
    <w:uiPriority w:val="99"/>
    <w:semiHidden/>
    <w:rsid w:val="00940E3A"/>
    <w:pPr>
      <w:spacing w:after="160" w:line="240" w:lineRule="auto"/>
    </w:pPr>
    <w:rPr>
      <w:rFonts w:ascii="Calibri" w:eastAsia="Calibri" w:hAnsi="Calibri" w:cs="Times New Roman"/>
      <w:szCs w:val="20"/>
      <w:lang w:val="en-GB"/>
    </w:rPr>
  </w:style>
  <w:style w:type="character" w:customStyle="1" w:styleId="CommentTextChar1">
    <w:name w:val="Comment Text Char1"/>
    <w:basedOn w:val="DefaultParagraphFont"/>
    <w:uiPriority w:val="99"/>
    <w:semiHidden/>
    <w:locked/>
    <w:rsid w:val="00940E3A"/>
    <w:rPr>
      <w:rFonts w:ascii="Calibri" w:eastAsia="Calibri" w:hAnsi="Calibri" w:cs="Times New Roman"/>
      <w:sz w:val="20"/>
      <w:szCs w:val="20"/>
      <w:lang w:val="en-GB"/>
    </w:rPr>
  </w:style>
  <w:style w:type="table" w:customStyle="1" w:styleId="TableGrid2">
    <w:name w:val="Table Grid2"/>
    <w:basedOn w:val="TableNormal"/>
    <w:next w:val="TableGrid"/>
    <w:uiPriority w:val="39"/>
    <w:rsid w:val="00940E3A"/>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40E3A"/>
    <w:pPr>
      <w:spacing w:after="0" w:line="240" w:lineRule="auto"/>
    </w:pPr>
    <w:rPr>
      <w:rFonts w:ascii="Calibri" w:eastAsia="Times New Roman" w:hAnsi="Calibri" w:cs="Times New Roman"/>
      <w:szCs w:val="20"/>
      <w:lang w:eastAsia="en-NZ"/>
    </w:rPr>
  </w:style>
  <w:style w:type="character" w:customStyle="1" w:styleId="EndnoteTextChar">
    <w:name w:val="Endnote Text Char"/>
    <w:basedOn w:val="DefaultParagraphFont"/>
    <w:link w:val="EndnoteText"/>
    <w:uiPriority w:val="99"/>
    <w:semiHidden/>
    <w:rsid w:val="00940E3A"/>
    <w:rPr>
      <w:rFonts w:ascii="Calibri" w:eastAsia="Times New Roman" w:hAnsi="Calibri" w:cs="Times New Roman"/>
      <w:sz w:val="20"/>
      <w:szCs w:val="20"/>
      <w:lang w:eastAsia="en-NZ"/>
    </w:rPr>
  </w:style>
  <w:style w:type="character" w:styleId="EndnoteReference">
    <w:name w:val="endnote reference"/>
    <w:basedOn w:val="DefaultParagraphFont"/>
    <w:uiPriority w:val="99"/>
    <w:semiHidden/>
    <w:unhideWhenUsed/>
    <w:rsid w:val="00940E3A"/>
    <w:rPr>
      <w:vertAlign w:val="superscript"/>
    </w:rPr>
  </w:style>
  <w:style w:type="numbering" w:customStyle="1" w:styleId="NoList2">
    <w:name w:val="No List2"/>
    <w:next w:val="NoList"/>
    <w:uiPriority w:val="99"/>
    <w:semiHidden/>
    <w:unhideWhenUsed/>
    <w:rsid w:val="00940E3A"/>
  </w:style>
  <w:style w:type="table" w:customStyle="1" w:styleId="TableGrid3">
    <w:name w:val="Table Grid3"/>
    <w:basedOn w:val="TableNormal"/>
    <w:next w:val="TableGrid"/>
    <w:uiPriority w:val="39"/>
    <w:rsid w:val="00940E3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
    <w:name w:val="Title Page"/>
    <w:rsid w:val="00940E3A"/>
    <w:pPr>
      <w:spacing w:after="0" w:line="240" w:lineRule="auto"/>
      <w:jc w:val="center"/>
    </w:pPr>
    <w:rPr>
      <w:rFonts w:ascii="CG Omega" w:eastAsia="Times New Roman" w:hAnsi="CG Omega" w:cs="Times New Roman"/>
      <w:b/>
      <w:noProof/>
      <w:sz w:val="32"/>
      <w:szCs w:val="20"/>
      <w:lang w:val="en-GB"/>
    </w:rPr>
  </w:style>
  <w:style w:type="character" w:styleId="PageNumber">
    <w:name w:val="page number"/>
    <w:basedOn w:val="DefaultParagraphFont"/>
    <w:rsid w:val="00940E3A"/>
  </w:style>
  <w:style w:type="paragraph" w:styleId="BodyText">
    <w:name w:val="Body Text"/>
    <w:basedOn w:val="Normal"/>
    <w:link w:val="BodyTextChar"/>
    <w:semiHidden/>
    <w:rsid w:val="00940E3A"/>
    <w:pPr>
      <w:spacing w:after="0" w:line="240" w:lineRule="auto"/>
      <w:jc w:val="both"/>
    </w:pPr>
    <w:rPr>
      <w:rFonts w:ascii="CG Omega" w:eastAsia="Times New Roman" w:hAnsi="CG Omega" w:cs="Times New Roman"/>
      <w:sz w:val="24"/>
      <w:szCs w:val="20"/>
      <w:lang w:val="en-GB"/>
    </w:rPr>
  </w:style>
  <w:style w:type="character" w:customStyle="1" w:styleId="BodyTextChar">
    <w:name w:val="Body Text Char"/>
    <w:basedOn w:val="DefaultParagraphFont"/>
    <w:link w:val="BodyText"/>
    <w:semiHidden/>
    <w:rsid w:val="00940E3A"/>
    <w:rPr>
      <w:rFonts w:ascii="CG Omega" w:eastAsia="Times New Roman" w:hAnsi="CG Omega" w:cs="Times New Roman"/>
      <w:sz w:val="24"/>
      <w:szCs w:val="20"/>
      <w:lang w:val="en-GB"/>
    </w:rPr>
  </w:style>
  <w:style w:type="paragraph" w:styleId="BodyText2">
    <w:name w:val="Body Text 2"/>
    <w:basedOn w:val="Normal"/>
    <w:link w:val="BodyText2Char"/>
    <w:semiHidden/>
    <w:rsid w:val="00940E3A"/>
    <w:pPr>
      <w:spacing w:after="0" w:line="240" w:lineRule="auto"/>
      <w:jc w:val="both"/>
    </w:pPr>
    <w:rPr>
      <w:rFonts w:ascii="CG Omega" w:eastAsia="Times New Roman" w:hAnsi="CG Omega" w:cs="Times New Roman"/>
      <w:color w:val="000000"/>
      <w:sz w:val="24"/>
      <w:szCs w:val="20"/>
      <w:lang w:val="en-GB"/>
    </w:rPr>
  </w:style>
  <w:style w:type="character" w:customStyle="1" w:styleId="BodyText2Char">
    <w:name w:val="Body Text 2 Char"/>
    <w:basedOn w:val="DefaultParagraphFont"/>
    <w:link w:val="BodyText2"/>
    <w:semiHidden/>
    <w:rsid w:val="00940E3A"/>
    <w:rPr>
      <w:rFonts w:ascii="CG Omega" w:eastAsia="Times New Roman" w:hAnsi="CG Omega" w:cs="Times New Roman"/>
      <w:color w:val="000000"/>
      <w:sz w:val="24"/>
      <w:szCs w:val="20"/>
      <w:lang w:val="en-GB"/>
    </w:rPr>
  </w:style>
  <w:style w:type="character" w:customStyle="1" w:styleId="legterm">
    <w:name w:val="legterm"/>
    <w:basedOn w:val="DefaultParagraphFont"/>
    <w:rsid w:val="00C76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99588">
      <w:bodyDiv w:val="1"/>
      <w:marLeft w:val="0"/>
      <w:marRight w:val="0"/>
      <w:marTop w:val="0"/>
      <w:marBottom w:val="0"/>
      <w:divBdr>
        <w:top w:val="none" w:sz="0" w:space="0" w:color="auto"/>
        <w:left w:val="none" w:sz="0" w:space="0" w:color="auto"/>
        <w:bottom w:val="none" w:sz="0" w:space="0" w:color="auto"/>
        <w:right w:val="none" w:sz="0" w:space="0" w:color="auto"/>
      </w:divBdr>
    </w:div>
    <w:div w:id="700478900">
      <w:bodyDiv w:val="1"/>
      <w:marLeft w:val="0"/>
      <w:marRight w:val="0"/>
      <w:marTop w:val="0"/>
      <w:marBottom w:val="0"/>
      <w:divBdr>
        <w:top w:val="none" w:sz="0" w:space="0" w:color="auto"/>
        <w:left w:val="none" w:sz="0" w:space="0" w:color="auto"/>
        <w:bottom w:val="none" w:sz="0" w:space="0" w:color="auto"/>
        <w:right w:val="none" w:sz="0" w:space="0" w:color="auto"/>
      </w:divBdr>
    </w:div>
    <w:div w:id="1317493899">
      <w:bodyDiv w:val="1"/>
      <w:marLeft w:val="0"/>
      <w:marRight w:val="0"/>
      <w:marTop w:val="0"/>
      <w:marBottom w:val="0"/>
      <w:divBdr>
        <w:top w:val="none" w:sz="0" w:space="0" w:color="auto"/>
        <w:left w:val="none" w:sz="0" w:space="0" w:color="auto"/>
        <w:bottom w:val="none" w:sz="0" w:space="0" w:color="auto"/>
        <w:right w:val="none" w:sz="0" w:space="0" w:color="auto"/>
      </w:divBdr>
    </w:div>
    <w:div w:id="1390499845">
      <w:bodyDiv w:val="1"/>
      <w:marLeft w:val="0"/>
      <w:marRight w:val="0"/>
      <w:marTop w:val="0"/>
      <w:marBottom w:val="0"/>
      <w:divBdr>
        <w:top w:val="none" w:sz="0" w:space="0" w:color="auto"/>
        <w:left w:val="none" w:sz="0" w:space="0" w:color="auto"/>
        <w:bottom w:val="none" w:sz="0" w:space="0" w:color="auto"/>
        <w:right w:val="none" w:sz="0" w:space="0" w:color="auto"/>
      </w:divBdr>
      <w:divsChild>
        <w:div w:id="1760323216">
          <w:marLeft w:val="0"/>
          <w:marRight w:val="0"/>
          <w:marTop w:val="0"/>
          <w:marBottom w:val="0"/>
          <w:divBdr>
            <w:top w:val="none" w:sz="0" w:space="0" w:color="auto"/>
            <w:left w:val="none" w:sz="0" w:space="0" w:color="auto"/>
            <w:bottom w:val="none" w:sz="0" w:space="0" w:color="auto"/>
            <w:right w:val="none" w:sz="0" w:space="0" w:color="auto"/>
          </w:divBdr>
        </w:div>
      </w:divsChild>
    </w:div>
    <w:div w:id="1682776948">
      <w:bodyDiv w:val="1"/>
      <w:marLeft w:val="0"/>
      <w:marRight w:val="0"/>
      <w:marTop w:val="0"/>
      <w:marBottom w:val="0"/>
      <w:divBdr>
        <w:top w:val="none" w:sz="0" w:space="0" w:color="auto"/>
        <w:left w:val="none" w:sz="0" w:space="0" w:color="auto"/>
        <w:bottom w:val="none" w:sz="0" w:space="0" w:color="auto"/>
        <w:right w:val="none" w:sz="0" w:space="0" w:color="auto"/>
      </w:divBdr>
    </w:div>
    <w:div w:id="1796561338">
      <w:bodyDiv w:val="1"/>
      <w:marLeft w:val="0"/>
      <w:marRight w:val="0"/>
      <w:marTop w:val="0"/>
      <w:marBottom w:val="0"/>
      <w:divBdr>
        <w:top w:val="none" w:sz="0" w:space="0" w:color="auto"/>
        <w:left w:val="none" w:sz="0" w:space="0" w:color="auto"/>
        <w:bottom w:val="none" w:sz="0" w:space="0" w:color="auto"/>
        <w:right w:val="none" w:sz="0" w:space="0" w:color="auto"/>
      </w:divBdr>
    </w:div>
    <w:div w:id="1948542540">
      <w:bodyDiv w:val="1"/>
      <w:marLeft w:val="0"/>
      <w:marRight w:val="0"/>
      <w:marTop w:val="0"/>
      <w:marBottom w:val="0"/>
      <w:divBdr>
        <w:top w:val="none" w:sz="0" w:space="0" w:color="auto"/>
        <w:left w:val="none" w:sz="0" w:space="0" w:color="auto"/>
        <w:bottom w:val="none" w:sz="0" w:space="0" w:color="auto"/>
        <w:right w:val="none" w:sz="0" w:space="0" w:color="auto"/>
      </w:divBdr>
      <w:divsChild>
        <w:div w:id="1473326676">
          <w:marLeft w:val="0"/>
          <w:marRight w:val="0"/>
          <w:marTop w:val="0"/>
          <w:marBottom w:val="0"/>
          <w:divBdr>
            <w:top w:val="none" w:sz="0" w:space="0" w:color="auto"/>
            <w:left w:val="none" w:sz="0" w:space="0" w:color="auto"/>
            <w:bottom w:val="none" w:sz="0" w:space="0" w:color="auto"/>
            <w:right w:val="none" w:sz="0" w:space="0" w:color="auto"/>
          </w:divBdr>
        </w:div>
      </w:divsChild>
    </w:div>
    <w:div w:id="2104493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health.govt.nz/publication/drinking-water-standards-new-zealand-2005-revised-201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Baddeley\AppData\Roaming\Microsoft\Shared%20Templates\2013%20Blank.dotm" TargetMode="External"/></Relationships>
</file>

<file path=word/theme/theme1.xml><?xml version="1.0" encoding="utf-8"?>
<a:theme xmlns:a="http://schemas.openxmlformats.org/drawingml/2006/main" name="MJ 2013 Theme">
  <a:themeElements>
    <a:clrScheme name="MJ Colour Palette">
      <a:dk1>
        <a:srgbClr val="000000"/>
      </a:dk1>
      <a:lt1>
        <a:srgbClr val="FFFFFF"/>
      </a:lt1>
      <a:dk2>
        <a:srgbClr val="000000"/>
      </a:dk2>
      <a:lt2>
        <a:srgbClr val="FFFFFF"/>
      </a:lt2>
      <a:accent1>
        <a:srgbClr val="FFC233"/>
      </a:accent1>
      <a:accent2>
        <a:srgbClr val="394F5A"/>
      </a:accent2>
      <a:accent3>
        <a:srgbClr val="F68C3D"/>
      </a:accent3>
      <a:accent4>
        <a:srgbClr val="5C4870"/>
      </a:accent4>
      <a:accent5>
        <a:srgbClr val="F3797F"/>
      </a:accent5>
      <a:accent6>
        <a:srgbClr val="6BBAD9"/>
      </a:accent6>
      <a:hlink>
        <a:srgbClr val="74C6C7"/>
      </a:hlink>
      <a:folHlink>
        <a:srgbClr val="95D3D4"/>
      </a:folHlink>
    </a:clrScheme>
    <a:fontScheme name="MJ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6D791AA22684099EE4672EBEDF614" ma:contentTypeVersion="4" ma:contentTypeDescription="Create a new document." ma:contentTypeScope="" ma:versionID="30c1f6ad40d570e9519b63bb8dafbc95">
  <xsd:schema xmlns:xsd="http://www.w3.org/2001/XMLSchema" xmlns:xs="http://www.w3.org/2001/XMLSchema" xmlns:p="http://schemas.microsoft.com/office/2006/metadata/properties" xmlns:ns2="08a23fc5-e034-477c-ac83-93bc1440f322" targetNamespace="http://schemas.microsoft.com/office/2006/metadata/properties" ma:root="true" ma:fieldsID="830778f39291bb3ca65aa40eac42cee0" ns2:_="">
    <xsd:import namespace="08a23fc5-e034-477c-ac83-93bc1440f3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23fc5-e034-477c-ac83-93bc1440f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A0100-F091-4576-AFAF-13B0172D0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23fc5-e034-477c-ac83-93bc1440f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CDC71-F70A-4DD7-B773-5ED46CFC943B}">
  <ds:schemaRefs>
    <ds:schemaRef ds:uri="http://schemas.microsoft.com/sharepoint/v3/contenttype/forms"/>
  </ds:schemaRefs>
</ds:datastoreItem>
</file>

<file path=customXml/itemProps3.xml><?xml version="1.0" encoding="utf-8"?>
<ds:datastoreItem xmlns:ds="http://schemas.openxmlformats.org/officeDocument/2006/customXml" ds:itemID="{1E4F19CF-2AD3-43A4-B5A5-4A28D268F9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69D4FF-D301-4077-9D9C-FE6CE02599D2}">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338392</vt:lpwstr>
  </property>
  <property fmtid="{D5CDD505-2E9C-101B-9397-08002B2CF9AE}" pid="4" name="OptimizationTime">
    <vt:lpwstr>20201110_1233</vt:lpwstr>
  </property>
</Properties>
</file>

<file path=docProps/app.xml><?xml version="1.0" encoding="utf-8"?>
<Properties xmlns="http://schemas.openxmlformats.org/officeDocument/2006/extended-properties" xmlns:vt="http://schemas.openxmlformats.org/officeDocument/2006/docPropsVTypes">
  <Template>2013 Blank.dotm</Template>
  <TotalTime>9</TotalTime>
  <Pages>57</Pages>
  <Words>12550</Words>
  <Characters>69529</Characters>
  <Application>Microsoft Office Word</Application>
  <DocSecurity>0</DocSecurity>
  <Lines>2781</Lines>
  <Paragraphs>1709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Fu</dc:creator>
  <cp:keywords>Rel date: 7 Apr 2020</cp:keywords>
  <dc:description>Template developed by:  PCS Computer Training Limited
Tel: +64 274 411 150 | Email: rose-maree@pcstraining.co.nz</dc:description>
  <cp:lastModifiedBy>Georgia Sweet</cp:lastModifiedBy>
  <cp:revision>4</cp:revision>
  <cp:lastPrinted>2014-04-12T06:03:00Z</cp:lastPrinted>
  <dcterms:created xsi:type="dcterms:W3CDTF">2020-11-08T23:54:00Z</dcterms:created>
  <dcterms:modified xsi:type="dcterms:W3CDTF">2020-11-09T20:16:00Z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0x0101005C06D791AA22684099EE4672EBEDF614</vt:lpwstr>
  </property>
  <property fmtid="{D5CDD505-2E9C-101B-9397-08002B2CF9AE}" pid="3" name="Hydro Nation Area">
    <vt:lpwstr/>
  </property>
</Properties>
</file>