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671" w:rsidRPr="00FD0671" w:rsidRDefault="00FD0671" w:rsidP="00FD0671">
      <w:pPr>
        <w:pStyle w:val="Heading1"/>
        <w:jc w:val="right"/>
        <w:rPr>
          <w:noProof/>
          <w:sz w:val="32"/>
          <w:lang w:eastAsia="en-NZ"/>
        </w:rPr>
      </w:pPr>
      <w:bookmarkStart w:id="0" w:name="_GoBack"/>
      <w:bookmarkEnd w:id="0"/>
      <w:r>
        <w:rPr>
          <w:noProof/>
          <w:sz w:val="32"/>
          <w:lang w:eastAsia="en-NZ"/>
        </w:rPr>
        <w:drawing>
          <wp:inline distT="0" distB="0" distL="0" distR="0">
            <wp:extent cx="2301932" cy="406877"/>
            <wp:effectExtent l="0" t="0" r="3175" b="0"/>
            <wp:docPr id="1" name="Picture 1" descr="\\officetemplates.dia.govt.nz\diatemplates$\Templates\Images\Logo -  DIA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templates.dia.govt.nz\diatemplates$\Templates\Images\Logo -  DIA 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6061" cy="409374"/>
                    </a:xfrm>
                    <a:prstGeom prst="rect">
                      <a:avLst/>
                    </a:prstGeom>
                    <a:noFill/>
                    <a:ln>
                      <a:noFill/>
                    </a:ln>
                  </pic:spPr>
                </pic:pic>
              </a:graphicData>
            </a:graphic>
          </wp:inline>
        </w:drawing>
      </w:r>
    </w:p>
    <w:p w:rsidR="00FD0671" w:rsidRPr="003B0A7A" w:rsidRDefault="00FD0671" w:rsidP="00FD0671">
      <w:pPr>
        <w:pStyle w:val="Heading1"/>
        <w:rPr>
          <w:noProof/>
          <w:lang w:eastAsia="en-NZ"/>
        </w:rPr>
      </w:pPr>
      <w:r w:rsidRPr="003B0A7A">
        <w:rPr>
          <w:noProof/>
          <w:lang w:eastAsia="en-NZ"/>
        </w:rPr>
        <w:t>Quarterly Volunteering and Donating Indicators</w:t>
      </w:r>
    </w:p>
    <w:p w:rsidR="00FD0671" w:rsidRPr="00C5568D" w:rsidRDefault="00FD0671" w:rsidP="00FD0671">
      <w:pPr>
        <w:keepLines w:val="0"/>
        <w:spacing w:before="0" w:after="0"/>
        <w:jc w:val="both"/>
        <w:rPr>
          <w:rFonts w:asciiTheme="minorHAnsi" w:eastAsia="Times New Roman" w:hAnsiTheme="minorHAnsi" w:cs="Arial"/>
          <w:sz w:val="22"/>
        </w:rPr>
      </w:pPr>
      <w:r w:rsidRPr="003B0A7A">
        <w:rPr>
          <w:rFonts w:asciiTheme="minorHAnsi" w:eastAsia="Times New Roman" w:hAnsiTheme="minorHAnsi" w:cs="Arial"/>
          <w:sz w:val="22"/>
        </w:rPr>
        <w:t xml:space="preserve">This is an update of the key indicators of volunteering and donating in New Zealand through the quarter ending </w:t>
      </w:r>
      <w:r>
        <w:rPr>
          <w:rFonts w:asciiTheme="minorHAnsi" w:eastAsia="Times New Roman" w:hAnsiTheme="minorHAnsi" w:cs="Arial"/>
          <w:sz w:val="22"/>
        </w:rPr>
        <w:t>30 September 2014</w:t>
      </w:r>
      <w:r w:rsidRPr="003B0A7A">
        <w:rPr>
          <w:rFonts w:asciiTheme="minorHAnsi" w:eastAsia="Times New Roman" w:hAnsiTheme="minorHAnsi" w:cs="Arial"/>
          <w:sz w:val="22"/>
        </w:rPr>
        <w:t>.</w:t>
      </w:r>
    </w:p>
    <w:p w:rsidR="00FD0671" w:rsidRPr="003B0A7A" w:rsidRDefault="00FD0671" w:rsidP="00FD0671">
      <w:pPr>
        <w:pStyle w:val="Heading2"/>
      </w:pPr>
      <w:r w:rsidRPr="003B0A7A">
        <w:t>Background</w:t>
      </w:r>
    </w:p>
    <w:p w:rsidR="00FD0671" w:rsidRPr="003B0A7A" w:rsidRDefault="00FD0671" w:rsidP="00FD0671">
      <w:pPr>
        <w:keepLines w:val="0"/>
        <w:spacing w:after="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 xml:space="preserve">This update provides statistics for the most recent quarter, including comparisons with the previous quarter and the same quarter in the previous year. It also identifies some long-term trends. </w:t>
      </w:r>
    </w:p>
    <w:p w:rsidR="00FD0671" w:rsidRPr="003B0A7A" w:rsidRDefault="00FD0671" w:rsidP="00FD0671">
      <w:pPr>
        <w:keepLines w:val="0"/>
        <w:spacing w:after="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The Quarterly Volunteering and Donating Indicators include:</w:t>
      </w:r>
    </w:p>
    <w:p w:rsidR="00FD0671" w:rsidRPr="003B0A7A" w:rsidRDefault="00FD0671" w:rsidP="00FD0671">
      <w:pPr>
        <w:keepLines w:val="0"/>
        <w:numPr>
          <w:ilvl w:val="0"/>
          <w:numId w:val="25"/>
        </w:numPr>
        <w:spacing w:before="0" w:after="0" w:line="276" w:lineRule="auto"/>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the percentage of people volunteering;</w:t>
      </w:r>
    </w:p>
    <w:p w:rsidR="00FD0671" w:rsidRPr="003B0A7A" w:rsidRDefault="00FD0671" w:rsidP="00FD0671">
      <w:pPr>
        <w:keepLines w:val="0"/>
        <w:numPr>
          <w:ilvl w:val="0"/>
          <w:numId w:val="25"/>
        </w:numPr>
        <w:spacing w:before="0" w:after="0" w:line="276" w:lineRule="auto"/>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 xml:space="preserve">average and median hours volunteered; </w:t>
      </w:r>
    </w:p>
    <w:p w:rsidR="00FD0671" w:rsidRPr="003B0A7A" w:rsidRDefault="00FD0671" w:rsidP="00FD0671">
      <w:pPr>
        <w:keepLines w:val="0"/>
        <w:numPr>
          <w:ilvl w:val="0"/>
          <w:numId w:val="25"/>
        </w:numPr>
        <w:spacing w:before="0" w:after="0" w:line="276" w:lineRule="auto"/>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the percentage of people donating money and goods; and</w:t>
      </w:r>
    </w:p>
    <w:p w:rsidR="00FD0671" w:rsidRPr="00C5568D" w:rsidRDefault="00FD0671" w:rsidP="00FD0671">
      <w:pPr>
        <w:keepLines w:val="0"/>
        <w:numPr>
          <w:ilvl w:val="0"/>
          <w:numId w:val="25"/>
        </w:numPr>
        <w:spacing w:before="0" w:after="0" w:line="276" w:lineRule="auto"/>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 xml:space="preserve">the average and median dollars donated. </w:t>
      </w:r>
    </w:p>
    <w:p w:rsidR="00FD0671" w:rsidRPr="003B0A7A" w:rsidRDefault="00FD0671" w:rsidP="00FD0671">
      <w:pPr>
        <w:pStyle w:val="Heading2"/>
      </w:pPr>
      <w:r w:rsidRPr="003B0A7A">
        <w:t>Source</w:t>
      </w:r>
    </w:p>
    <w:p w:rsidR="00FD0671" w:rsidRPr="003B0A7A" w:rsidRDefault="00FD0671" w:rsidP="00FD0671">
      <w:pPr>
        <w:keepLines w:val="0"/>
        <w:spacing w:after="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The Quarterly Volunteering and Donating Indicators are sourced from the Nielsen Consumer and Media Insights (CMI) survey. The Nielsen CMI survey results</w:t>
      </w:r>
      <w:r>
        <w:rPr>
          <w:rFonts w:asciiTheme="minorHAnsi" w:eastAsia="Times New Roman" w:hAnsiTheme="minorHAnsi" w:cs="Arial"/>
          <w:sz w:val="22"/>
          <w:szCs w:val="22"/>
        </w:rPr>
        <w:t xml:space="preserve"> are based on a mixture of face-</w:t>
      </w:r>
      <w:r w:rsidRPr="003B0A7A">
        <w:rPr>
          <w:rFonts w:asciiTheme="minorHAnsi" w:eastAsia="Times New Roman" w:hAnsiTheme="minorHAnsi" w:cs="Arial"/>
          <w:sz w:val="22"/>
          <w:szCs w:val="22"/>
        </w:rPr>
        <w:t>to</w:t>
      </w:r>
      <w:r>
        <w:rPr>
          <w:rFonts w:asciiTheme="minorHAnsi" w:eastAsia="Times New Roman" w:hAnsiTheme="minorHAnsi" w:cs="Arial"/>
          <w:sz w:val="22"/>
          <w:szCs w:val="22"/>
        </w:rPr>
        <w:t>-</w:t>
      </w:r>
      <w:r w:rsidRPr="003B0A7A">
        <w:rPr>
          <w:rFonts w:asciiTheme="minorHAnsi" w:eastAsia="Times New Roman" w:hAnsiTheme="minorHAnsi" w:cs="Arial"/>
          <w:sz w:val="22"/>
          <w:szCs w:val="22"/>
        </w:rPr>
        <w:t>face interviews and a self-completion diary with a representative sample of 3,000 people per quarter aged 10 years and older spread throughout New Zealand.</w:t>
      </w:r>
    </w:p>
    <w:p w:rsidR="00FD0671" w:rsidRPr="003B0A7A" w:rsidRDefault="00FD0671" w:rsidP="00FD0671">
      <w:pPr>
        <w:pStyle w:val="Heading2"/>
      </w:pPr>
      <w:r w:rsidRPr="003B0A7A">
        <w:t>Overall findings</w:t>
      </w:r>
    </w:p>
    <w:p w:rsidR="00FD0671" w:rsidRPr="003B0A7A" w:rsidRDefault="00FD0671" w:rsidP="00FD0671">
      <w:pPr>
        <w:keepLines w:val="0"/>
        <w:spacing w:after="0"/>
        <w:jc w:val="both"/>
        <w:rPr>
          <w:rFonts w:asciiTheme="minorHAnsi" w:eastAsia="Times New Roman" w:hAnsiTheme="minorHAnsi" w:cs="Arial"/>
          <w:b/>
          <w:sz w:val="22"/>
          <w:szCs w:val="22"/>
        </w:rPr>
      </w:pPr>
      <w:r w:rsidRPr="003B0A7A">
        <w:rPr>
          <w:rFonts w:asciiTheme="minorHAnsi" w:eastAsia="Times New Roman" w:hAnsiTheme="minorHAnsi"/>
          <w:noProof/>
          <w:lang w:eastAsia="en-NZ"/>
        </w:rPr>
        <mc:AlternateContent>
          <mc:Choice Requires="wps">
            <w:drawing>
              <wp:anchor distT="0" distB="0" distL="114300" distR="114300" simplePos="0" relativeHeight="251659264" behindDoc="0" locked="0" layoutInCell="1" allowOverlap="1" wp14:anchorId="1D80DEAD" wp14:editId="73EB47D2">
                <wp:simplePos x="0" y="0"/>
                <wp:positionH relativeFrom="column">
                  <wp:posOffset>13970</wp:posOffset>
                </wp:positionH>
                <wp:positionV relativeFrom="paragraph">
                  <wp:posOffset>114817</wp:posOffset>
                </wp:positionV>
                <wp:extent cx="5253990" cy="1679944"/>
                <wp:effectExtent l="0" t="0" r="2286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1679944"/>
                        </a:xfrm>
                        <a:prstGeom prst="rect">
                          <a:avLst/>
                        </a:prstGeom>
                        <a:solidFill>
                          <a:srgbClr val="FFFFFF"/>
                        </a:solidFill>
                        <a:ln w="25400">
                          <a:solidFill>
                            <a:schemeClr val="accent3"/>
                          </a:solidFill>
                          <a:miter lim="800000"/>
                          <a:headEnd/>
                          <a:tailEnd/>
                        </a:ln>
                      </wps:spPr>
                      <wps:txbx>
                        <w:txbxContent>
                          <w:p w:rsidR="00FD0671" w:rsidRPr="003B0A7A" w:rsidRDefault="00FD0671" w:rsidP="00FD0671">
                            <w:pPr>
                              <w:spacing w:after="80"/>
                              <w:rPr>
                                <w:rFonts w:asciiTheme="minorHAnsi" w:hAnsiTheme="minorHAnsi" w:cs="Arial"/>
                                <w:sz w:val="22"/>
                              </w:rPr>
                            </w:pPr>
                            <w:r w:rsidRPr="003B0A7A">
                              <w:rPr>
                                <w:rFonts w:asciiTheme="minorHAnsi" w:hAnsiTheme="minorHAnsi" w:cs="Arial"/>
                                <w:sz w:val="22"/>
                              </w:rPr>
                              <w:t xml:space="preserve">The overall findings for the </w:t>
                            </w:r>
                            <w:r>
                              <w:rPr>
                                <w:rFonts w:asciiTheme="minorHAnsi" w:hAnsiTheme="minorHAnsi" w:cs="Arial"/>
                                <w:sz w:val="22"/>
                              </w:rPr>
                              <w:t>September 2014</w:t>
                            </w:r>
                            <w:r w:rsidRPr="003B0A7A">
                              <w:rPr>
                                <w:rFonts w:asciiTheme="minorHAnsi" w:hAnsiTheme="minorHAnsi" w:cs="Arial"/>
                                <w:sz w:val="22"/>
                              </w:rPr>
                              <w:t xml:space="preserve"> quarter are:</w:t>
                            </w:r>
                          </w:p>
                          <w:p w:rsidR="00FD0671" w:rsidRDefault="00FD0671" w:rsidP="00FD0671">
                            <w:pPr>
                              <w:keepLines w:val="0"/>
                              <w:numPr>
                                <w:ilvl w:val="0"/>
                                <w:numId w:val="26"/>
                              </w:numPr>
                              <w:spacing w:before="0" w:after="80"/>
                              <w:jc w:val="both"/>
                              <w:rPr>
                                <w:rFonts w:asciiTheme="minorHAnsi" w:hAnsiTheme="minorHAnsi" w:cs="Arial"/>
                                <w:sz w:val="22"/>
                              </w:rPr>
                            </w:pPr>
                            <w:r>
                              <w:rPr>
                                <w:rFonts w:asciiTheme="minorHAnsi" w:hAnsiTheme="minorHAnsi" w:cs="Arial"/>
                                <w:sz w:val="22"/>
                              </w:rPr>
                              <w:t xml:space="preserve">During the September 2014 quarter, nearly 35 per cent of all respondents volunteered at least one hour of their time. This is the highest volunteering rate of the five years measured. </w:t>
                            </w:r>
                          </w:p>
                          <w:p w:rsidR="00FD0671" w:rsidRDefault="00FD0671" w:rsidP="00FD0671">
                            <w:pPr>
                              <w:keepLines w:val="0"/>
                              <w:numPr>
                                <w:ilvl w:val="0"/>
                                <w:numId w:val="26"/>
                              </w:numPr>
                              <w:spacing w:before="0" w:after="80"/>
                              <w:rPr>
                                <w:rFonts w:asciiTheme="minorHAnsi" w:hAnsiTheme="minorHAnsi" w:cs="Arial"/>
                                <w:sz w:val="22"/>
                              </w:rPr>
                            </w:pPr>
                            <w:r>
                              <w:rPr>
                                <w:rFonts w:asciiTheme="minorHAnsi" w:hAnsiTheme="minorHAnsi" w:cs="Arial"/>
                                <w:sz w:val="22"/>
                              </w:rPr>
                              <w:t>Of those who volunteered, 59 per cent were female and 41 per cent were male.</w:t>
                            </w:r>
                          </w:p>
                          <w:p w:rsidR="00FD0671" w:rsidRPr="003B0A7A" w:rsidRDefault="00FD0671" w:rsidP="00FD0671">
                            <w:pPr>
                              <w:keepLines w:val="0"/>
                              <w:numPr>
                                <w:ilvl w:val="0"/>
                                <w:numId w:val="26"/>
                              </w:numPr>
                              <w:spacing w:before="0" w:after="80"/>
                              <w:rPr>
                                <w:rFonts w:asciiTheme="minorHAnsi" w:hAnsiTheme="minorHAnsi" w:cs="Arial"/>
                                <w:sz w:val="22"/>
                              </w:rPr>
                            </w:pPr>
                            <w:r>
                              <w:rPr>
                                <w:rFonts w:asciiTheme="minorHAnsi" w:hAnsiTheme="minorHAnsi" w:cs="Arial"/>
                                <w:sz w:val="22"/>
                              </w:rPr>
                              <w:t>Results from the September 2014 quarter show that people between the ages of 30-39 volunteered the most.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1pt;margin-top:9.05pt;width:413.7pt;height:13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" strokecolor="#dd8e00 [3206]" strokeweight="2pt">
                <v:textbox>
                  <w:txbxContent>
                    <w:p w:rsidR="00FD0671" w:rsidRPr="003B0A7A" w:rsidRDefault="00FD0671" w:rsidP="00FD0671">
                      <w:pPr>
                        <w:spacing w:after="80"/>
                        <w:rPr>
                          <w:rFonts w:asciiTheme="minorHAnsi" w:hAnsiTheme="minorHAnsi" w:cs="Arial"/>
                          <w:sz w:val="22"/>
                        </w:rPr>
                      </w:pPr>
                      <w:r w:rsidRPr="003B0A7A">
                        <w:rPr>
                          <w:rFonts w:asciiTheme="minorHAnsi" w:hAnsiTheme="minorHAnsi" w:cs="Arial"/>
                          <w:sz w:val="22"/>
                        </w:rPr>
                        <w:t xml:space="preserve">The overall findings for the </w:t>
                      </w:r>
                      <w:r>
                        <w:rPr>
                          <w:rFonts w:asciiTheme="minorHAnsi" w:hAnsiTheme="minorHAnsi" w:cs="Arial"/>
                          <w:sz w:val="22"/>
                        </w:rPr>
                        <w:t>September 2014</w:t>
                      </w:r>
                      <w:r w:rsidRPr="003B0A7A">
                        <w:rPr>
                          <w:rFonts w:asciiTheme="minorHAnsi" w:hAnsiTheme="minorHAnsi" w:cs="Arial"/>
                          <w:sz w:val="22"/>
                        </w:rPr>
                        <w:t xml:space="preserve"> quarter are:</w:t>
                      </w:r>
                    </w:p>
                    <w:p w:rsidR="00FD0671" w:rsidRDefault="00FD0671" w:rsidP="00FD0671">
                      <w:pPr>
                        <w:keepLines w:val="0"/>
                        <w:numPr>
                          <w:ilvl w:val="0"/>
                          <w:numId w:val="26"/>
                        </w:numPr>
                        <w:spacing w:before="0" w:after="80"/>
                        <w:jc w:val="both"/>
                        <w:rPr>
                          <w:rFonts w:asciiTheme="minorHAnsi" w:hAnsiTheme="minorHAnsi" w:cs="Arial"/>
                          <w:sz w:val="22"/>
                        </w:rPr>
                      </w:pPr>
                      <w:r>
                        <w:rPr>
                          <w:rFonts w:asciiTheme="minorHAnsi" w:hAnsiTheme="minorHAnsi" w:cs="Arial"/>
                          <w:sz w:val="22"/>
                        </w:rPr>
                        <w:t xml:space="preserve">During the September 2014 quarter, nearly 35 per cent of all respondents volunteered at least one hour of their time. This is the highest volunteering rate of the five years measured. </w:t>
                      </w:r>
                    </w:p>
                    <w:p w:rsidR="00FD0671" w:rsidRDefault="00FD0671" w:rsidP="00FD0671">
                      <w:pPr>
                        <w:keepLines w:val="0"/>
                        <w:numPr>
                          <w:ilvl w:val="0"/>
                          <w:numId w:val="26"/>
                        </w:numPr>
                        <w:spacing w:before="0" w:after="80"/>
                        <w:rPr>
                          <w:rFonts w:asciiTheme="minorHAnsi" w:hAnsiTheme="minorHAnsi" w:cs="Arial"/>
                          <w:sz w:val="22"/>
                        </w:rPr>
                      </w:pPr>
                      <w:r>
                        <w:rPr>
                          <w:rFonts w:asciiTheme="minorHAnsi" w:hAnsiTheme="minorHAnsi" w:cs="Arial"/>
                          <w:sz w:val="22"/>
                        </w:rPr>
                        <w:t>Of those who volunteered, 59 per cent were female and 41 per cent were male.</w:t>
                      </w:r>
                    </w:p>
                    <w:p w:rsidR="00FD0671" w:rsidRPr="003B0A7A" w:rsidRDefault="00FD0671" w:rsidP="00FD0671">
                      <w:pPr>
                        <w:keepLines w:val="0"/>
                        <w:numPr>
                          <w:ilvl w:val="0"/>
                          <w:numId w:val="26"/>
                        </w:numPr>
                        <w:spacing w:before="0" w:after="80"/>
                        <w:rPr>
                          <w:rFonts w:asciiTheme="minorHAnsi" w:hAnsiTheme="minorHAnsi" w:cs="Arial"/>
                          <w:sz w:val="22"/>
                        </w:rPr>
                      </w:pPr>
                      <w:r>
                        <w:rPr>
                          <w:rFonts w:asciiTheme="minorHAnsi" w:hAnsiTheme="minorHAnsi" w:cs="Arial"/>
                          <w:sz w:val="22"/>
                        </w:rPr>
                        <w:t>Results from the September 2014 quarter show that people between the ages of 30-39 volunteered the most.</w:t>
                      </w:r>
                    </w:p>
                  </w:txbxContent>
                </v:textbox>
              </v:shape>
            </w:pict>
          </mc:Fallback>
        </mc:AlternateContent>
      </w:r>
    </w:p>
    <w:p w:rsidR="00FD0671" w:rsidRPr="003B0A7A" w:rsidRDefault="00FD0671" w:rsidP="00FD0671">
      <w:pPr>
        <w:keepLines w:val="0"/>
        <w:spacing w:after="0"/>
        <w:jc w:val="both"/>
        <w:rPr>
          <w:rFonts w:asciiTheme="minorHAnsi" w:eastAsia="Times New Roman" w:hAnsiTheme="minorHAnsi" w:cs="Arial"/>
          <w:b/>
          <w:sz w:val="22"/>
          <w:szCs w:val="22"/>
        </w:rPr>
      </w:pPr>
    </w:p>
    <w:p w:rsidR="00FD0671" w:rsidRPr="003B0A7A" w:rsidRDefault="00FD0671" w:rsidP="00FD0671">
      <w:pPr>
        <w:keepLines w:val="0"/>
        <w:spacing w:before="0" w:after="0"/>
        <w:jc w:val="both"/>
        <w:rPr>
          <w:rFonts w:asciiTheme="minorHAnsi" w:eastAsia="Times New Roman" w:hAnsiTheme="minorHAnsi" w:cs="Arial"/>
          <w:b/>
          <w:sz w:val="22"/>
          <w:szCs w:val="22"/>
        </w:rPr>
      </w:pPr>
    </w:p>
    <w:p w:rsidR="00FD0671" w:rsidRPr="003B0A7A" w:rsidRDefault="00FD0671" w:rsidP="00FD0671">
      <w:pPr>
        <w:keepLines w:val="0"/>
        <w:spacing w:before="0" w:after="0"/>
        <w:jc w:val="both"/>
        <w:rPr>
          <w:rFonts w:asciiTheme="minorHAnsi" w:eastAsia="Times New Roman" w:hAnsiTheme="minorHAnsi" w:cs="Arial"/>
          <w:b/>
          <w:sz w:val="22"/>
          <w:szCs w:val="22"/>
        </w:rPr>
      </w:pPr>
    </w:p>
    <w:p w:rsidR="00FD0671" w:rsidRPr="003B0A7A" w:rsidRDefault="00FD0671" w:rsidP="00FD0671">
      <w:pPr>
        <w:keepLines w:val="0"/>
        <w:spacing w:before="0" w:after="0"/>
        <w:jc w:val="both"/>
        <w:rPr>
          <w:rFonts w:asciiTheme="minorHAnsi" w:eastAsia="Times New Roman" w:hAnsiTheme="minorHAnsi" w:cs="Arial"/>
          <w:b/>
          <w:sz w:val="22"/>
          <w:szCs w:val="22"/>
        </w:rPr>
      </w:pPr>
    </w:p>
    <w:p w:rsidR="00FD0671" w:rsidRPr="003B0A7A" w:rsidRDefault="00FD0671" w:rsidP="00FD0671">
      <w:pPr>
        <w:keepLines w:val="0"/>
        <w:spacing w:before="0" w:after="0"/>
        <w:jc w:val="both"/>
        <w:rPr>
          <w:rFonts w:asciiTheme="minorHAnsi" w:eastAsia="Times New Roman" w:hAnsiTheme="minorHAnsi" w:cs="Arial"/>
          <w:b/>
          <w:sz w:val="22"/>
          <w:szCs w:val="22"/>
        </w:rPr>
      </w:pPr>
    </w:p>
    <w:p w:rsidR="00FD0671" w:rsidRPr="003B0A7A" w:rsidRDefault="00FD0671" w:rsidP="00FD0671">
      <w:pPr>
        <w:keepLines w:val="0"/>
        <w:spacing w:before="0" w:after="0"/>
        <w:jc w:val="both"/>
        <w:rPr>
          <w:rFonts w:asciiTheme="minorHAnsi" w:eastAsia="Times New Roman" w:hAnsiTheme="minorHAnsi" w:cs="Arial"/>
          <w:b/>
          <w:sz w:val="22"/>
          <w:szCs w:val="22"/>
        </w:rPr>
      </w:pPr>
    </w:p>
    <w:p w:rsidR="00FD0671" w:rsidRPr="003B0A7A" w:rsidRDefault="00FD0671" w:rsidP="00FD0671">
      <w:pPr>
        <w:keepLines w:val="0"/>
        <w:spacing w:before="0" w:after="0"/>
        <w:jc w:val="both"/>
        <w:rPr>
          <w:rFonts w:asciiTheme="minorHAnsi" w:eastAsia="Times New Roman" w:hAnsiTheme="minorHAnsi" w:cs="Arial"/>
          <w:b/>
          <w:sz w:val="22"/>
          <w:szCs w:val="22"/>
        </w:rPr>
      </w:pPr>
    </w:p>
    <w:p w:rsidR="00FD0671" w:rsidRPr="003B0A7A" w:rsidRDefault="00FD0671" w:rsidP="00FD0671">
      <w:pPr>
        <w:keepLines w:val="0"/>
        <w:spacing w:before="0" w:after="0"/>
        <w:jc w:val="both"/>
        <w:rPr>
          <w:rFonts w:asciiTheme="minorHAnsi" w:eastAsia="Times New Roman" w:hAnsiTheme="minorHAnsi" w:cs="Arial"/>
          <w:b/>
          <w:sz w:val="22"/>
          <w:szCs w:val="22"/>
        </w:rPr>
      </w:pPr>
    </w:p>
    <w:p w:rsidR="00FD0671" w:rsidRPr="003B0A7A" w:rsidRDefault="00FD0671" w:rsidP="00FD0671">
      <w:pPr>
        <w:keepLines w:val="0"/>
        <w:spacing w:before="0" w:after="0"/>
        <w:jc w:val="both"/>
        <w:rPr>
          <w:rFonts w:asciiTheme="minorHAnsi" w:eastAsia="Times New Roman" w:hAnsiTheme="minorHAnsi" w:cs="Arial"/>
          <w:sz w:val="22"/>
          <w:szCs w:val="22"/>
        </w:rPr>
      </w:pPr>
    </w:p>
    <w:p w:rsidR="00FD0671" w:rsidRPr="003B0A7A" w:rsidRDefault="00FD0671" w:rsidP="00FD0671">
      <w:pPr>
        <w:pStyle w:val="Heading2"/>
      </w:pPr>
      <w:r w:rsidRPr="003B0A7A">
        <w:t>Further information</w:t>
      </w:r>
    </w:p>
    <w:p w:rsidR="00FD0671" w:rsidRPr="003B0A7A" w:rsidRDefault="00FD0671" w:rsidP="00FD0671">
      <w:pPr>
        <w:keepLines w:val="0"/>
        <w:spacing w:after="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Please see the table at the end of this report for a complete list of Quarterly Volunteering and Donating Indicators from the March 2010 quarter onwards.</w:t>
      </w:r>
    </w:p>
    <w:p w:rsidR="00FD0671" w:rsidRPr="003B0A7A" w:rsidRDefault="00FD0671" w:rsidP="00FD0671">
      <w:pPr>
        <w:keepLines w:val="0"/>
        <w:spacing w:before="240" w:after="360"/>
        <w:rPr>
          <w:rFonts w:asciiTheme="minorHAnsi" w:eastAsia="Times New Roman" w:hAnsiTheme="minorHAnsi" w:cs="Arial"/>
          <w:sz w:val="22"/>
          <w:szCs w:val="22"/>
        </w:rPr>
      </w:pPr>
    </w:p>
    <w:p w:rsidR="00FD0671" w:rsidRPr="003B0A7A" w:rsidRDefault="00FD0671" w:rsidP="00FD0671">
      <w:pPr>
        <w:keepLines w:val="0"/>
        <w:jc w:val="center"/>
        <w:rPr>
          <w:rFonts w:asciiTheme="minorHAnsi" w:eastAsia="Times New Roman" w:hAnsiTheme="minorHAnsi" w:cs="Arial"/>
          <w:sz w:val="22"/>
          <w:szCs w:val="22"/>
        </w:rPr>
      </w:pPr>
      <w:r w:rsidRPr="0098672D">
        <w:rPr>
          <w:noProof/>
          <w:lang w:eastAsia="en-NZ"/>
        </w:rPr>
        <w:lastRenderedPageBreak/>
        <w:drawing>
          <wp:inline distT="0" distB="0" distL="0" distR="0" wp14:anchorId="4393A000" wp14:editId="116DE9BC">
            <wp:extent cx="5760085" cy="35188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518816"/>
                    </a:xfrm>
                    <a:prstGeom prst="rect">
                      <a:avLst/>
                    </a:prstGeom>
                    <a:noFill/>
                    <a:ln>
                      <a:noFill/>
                    </a:ln>
                  </pic:spPr>
                </pic:pic>
              </a:graphicData>
            </a:graphic>
          </wp:inline>
        </w:drawing>
      </w:r>
    </w:p>
    <w:p w:rsidR="00FD0671" w:rsidRPr="003B0A7A" w:rsidRDefault="00FD0671" w:rsidP="00FD0671">
      <w:pPr>
        <w:pStyle w:val="Heading2"/>
      </w:pPr>
      <w:r w:rsidRPr="003B0A7A">
        <w:t xml:space="preserve">Volunteering </w:t>
      </w:r>
    </w:p>
    <w:p w:rsidR="00FD0671" w:rsidRPr="003B0A7A" w:rsidRDefault="00FD0671" w:rsidP="00FD0671">
      <w:pPr>
        <w:keepLines w:val="0"/>
        <w:spacing w:after="120"/>
        <w:jc w:val="both"/>
        <w:rPr>
          <w:rFonts w:asciiTheme="minorHAnsi" w:eastAsia="Times New Roman" w:hAnsiTheme="minorHAnsi" w:cs="Arial"/>
          <w:sz w:val="22"/>
          <w:szCs w:val="22"/>
        </w:rPr>
      </w:pPr>
      <w:r>
        <w:rPr>
          <w:rFonts w:asciiTheme="minorHAnsi" w:eastAsia="Times New Roman" w:hAnsiTheme="minorHAnsi" w:cs="Arial"/>
          <w:sz w:val="22"/>
          <w:szCs w:val="22"/>
        </w:rPr>
        <w:t>Thirty-four and a half</w:t>
      </w:r>
      <w:r w:rsidRPr="003B0A7A">
        <w:rPr>
          <w:rFonts w:asciiTheme="minorHAnsi" w:eastAsia="Times New Roman" w:hAnsiTheme="minorHAnsi" w:cs="Arial"/>
          <w:sz w:val="22"/>
          <w:szCs w:val="22"/>
        </w:rPr>
        <w:t xml:space="preserve"> per cent of respondents said they had volunteered at least one hour during the </w:t>
      </w:r>
      <w:r>
        <w:rPr>
          <w:rFonts w:asciiTheme="minorHAnsi" w:eastAsia="Times New Roman" w:hAnsiTheme="minorHAnsi" w:cs="Arial"/>
          <w:sz w:val="22"/>
          <w:szCs w:val="22"/>
        </w:rPr>
        <w:t>September 2014 quarter. This is nearly a five</w:t>
      </w:r>
      <w:r w:rsidRPr="003B0A7A">
        <w:rPr>
          <w:rFonts w:asciiTheme="minorHAnsi" w:eastAsia="Times New Roman" w:hAnsiTheme="minorHAnsi" w:cs="Arial"/>
          <w:sz w:val="22"/>
          <w:szCs w:val="22"/>
        </w:rPr>
        <w:t xml:space="preserve"> per cent increase</w:t>
      </w:r>
      <w:r>
        <w:rPr>
          <w:rFonts w:asciiTheme="minorHAnsi" w:eastAsia="Times New Roman" w:hAnsiTheme="minorHAnsi" w:cs="Arial"/>
          <w:sz w:val="22"/>
          <w:szCs w:val="22"/>
        </w:rPr>
        <w:t xml:space="preserve"> from the previous quarter (30.0 per cent) and a seven per cent increase</w:t>
      </w:r>
      <w:r w:rsidRPr="003B0A7A">
        <w:rPr>
          <w:rFonts w:asciiTheme="minorHAnsi" w:eastAsia="Times New Roman" w:hAnsiTheme="minorHAnsi" w:cs="Arial"/>
          <w:sz w:val="22"/>
          <w:szCs w:val="22"/>
        </w:rPr>
        <w:t xml:space="preserve"> from the </w:t>
      </w:r>
      <w:r>
        <w:rPr>
          <w:rFonts w:asciiTheme="minorHAnsi" w:eastAsia="Times New Roman" w:hAnsiTheme="minorHAnsi" w:cs="Arial"/>
          <w:sz w:val="22"/>
          <w:szCs w:val="22"/>
        </w:rPr>
        <w:t>September 2013 quarter (27.5</w:t>
      </w:r>
      <w:r w:rsidRPr="003B0A7A">
        <w:rPr>
          <w:rFonts w:asciiTheme="minorHAnsi" w:eastAsia="Times New Roman" w:hAnsiTheme="minorHAnsi" w:cs="Arial"/>
          <w:sz w:val="22"/>
          <w:szCs w:val="22"/>
        </w:rPr>
        <w:t xml:space="preserve"> per cent).</w:t>
      </w:r>
    </w:p>
    <w:p w:rsidR="00FD0671" w:rsidRPr="003B0A7A" w:rsidRDefault="00FD0671" w:rsidP="00FD0671">
      <w:pPr>
        <w:keepLines w:val="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 xml:space="preserve">The median hours volunteered in the </w:t>
      </w:r>
      <w:r>
        <w:rPr>
          <w:rFonts w:asciiTheme="minorHAnsi" w:eastAsia="Times New Roman" w:hAnsiTheme="minorHAnsi" w:cs="Arial"/>
          <w:sz w:val="22"/>
          <w:szCs w:val="22"/>
        </w:rPr>
        <w:t>September 2014 quarter was nine</w:t>
      </w:r>
      <w:r w:rsidRPr="003B0A7A">
        <w:rPr>
          <w:rFonts w:asciiTheme="minorHAnsi" w:eastAsia="Times New Roman" w:hAnsiTheme="minorHAnsi" w:cs="Arial"/>
          <w:sz w:val="22"/>
          <w:szCs w:val="22"/>
        </w:rPr>
        <w:t xml:space="preserve"> hours, the same as the previous quarter. When comparing the current quarter with the same quarter in the previous year, the median hours </w:t>
      </w:r>
      <w:r>
        <w:rPr>
          <w:rFonts w:asciiTheme="minorHAnsi" w:eastAsia="Times New Roman" w:hAnsiTheme="minorHAnsi" w:cs="Arial"/>
          <w:sz w:val="22"/>
          <w:szCs w:val="22"/>
        </w:rPr>
        <w:t>volunteered dropped by one hour</w:t>
      </w:r>
      <w:r w:rsidRPr="003B0A7A">
        <w:rPr>
          <w:rFonts w:asciiTheme="minorHAnsi" w:eastAsia="Times New Roman" w:hAnsiTheme="minorHAnsi" w:cs="Arial"/>
          <w:sz w:val="22"/>
          <w:szCs w:val="22"/>
        </w:rPr>
        <w:t>.</w:t>
      </w:r>
    </w:p>
    <w:p w:rsidR="00FD0671" w:rsidRPr="003B0A7A" w:rsidRDefault="00FD0671" w:rsidP="00FD0671">
      <w:pPr>
        <w:pStyle w:val="Heading3"/>
      </w:pPr>
      <w:r w:rsidRPr="003B0A7A">
        <w:t>Long-term trends</w:t>
      </w:r>
    </w:p>
    <w:p w:rsidR="00FD0671" w:rsidRDefault="00FD0671" w:rsidP="00FD0671">
      <w:pPr>
        <w:keepLines w:val="0"/>
        <w:jc w:val="both"/>
        <w:rPr>
          <w:rFonts w:asciiTheme="minorHAnsi" w:eastAsia="Times New Roman" w:hAnsiTheme="minorHAnsi" w:cs="Arial"/>
          <w:sz w:val="22"/>
          <w:szCs w:val="22"/>
        </w:rPr>
      </w:pPr>
      <w:r>
        <w:rPr>
          <w:rFonts w:asciiTheme="minorHAnsi" w:eastAsia="Times New Roman" w:hAnsiTheme="minorHAnsi" w:cs="Arial"/>
          <w:sz w:val="22"/>
          <w:szCs w:val="22"/>
        </w:rPr>
        <w:t>Since June 2013</w:t>
      </w:r>
      <w:r w:rsidRPr="003B0A7A">
        <w:rPr>
          <w:rFonts w:asciiTheme="minorHAnsi" w:eastAsia="Times New Roman" w:hAnsiTheme="minorHAnsi" w:cs="Arial"/>
          <w:sz w:val="22"/>
          <w:szCs w:val="22"/>
        </w:rPr>
        <w:t>, the percentage of people surveyed who volunteered in New Zealand h</w:t>
      </w:r>
      <w:r>
        <w:rPr>
          <w:rFonts w:asciiTheme="minorHAnsi" w:eastAsia="Times New Roman" w:hAnsiTheme="minorHAnsi" w:cs="Arial"/>
          <w:sz w:val="22"/>
          <w:szCs w:val="22"/>
        </w:rPr>
        <w:t>as generally trended upward</w:t>
      </w:r>
      <w:r w:rsidRPr="003B0A7A">
        <w:rPr>
          <w:rFonts w:asciiTheme="minorHAnsi" w:eastAsia="Times New Roman" w:hAnsiTheme="minorHAnsi" w:cs="Arial"/>
          <w:sz w:val="22"/>
          <w:szCs w:val="22"/>
        </w:rPr>
        <w:t xml:space="preserve">s. The median hours volunteered per month has remained stable at around 10 hours over the last </w:t>
      </w:r>
      <w:r>
        <w:rPr>
          <w:rFonts w:asciiTheme="minorHAnsi" w:eastAsia="Times New Roman" w:hAnsiTheme="minorHAnsi" w:cs="Arial"/>
          <w:sz w:val="22"/>
          <w:szCs w:val="22"/>
        </w:rPr>
        <w:t>five years</w:t>
      </w:r>
      <w:r w:rsidRPr="003B0A7A">
        <w:rPr>
          <w:rFonts w:asciiTheme="minorHAnsi" w:eastAsia="Times New Roman" w:hAnsiTheme="minorHAnsi" w:cs="Arial"/>
          <w:sz w:val="22"/>
          <w:szCs w:val="22"/>
        </w:rPr>
        <w:t>.</w:t>
      </w:r>
    </w:p>
    <w:p w:rsidR="00FD0671" w:rsidRPr="003B0A7A" w:rsidRDefault="00FD0671" w:rsidP="00FD0671">
      <w:pPr>
        <w:keepLines w:val="0"/>
        <w:jc w:val="both"/>
        <w:rPr>
          <w:rFonts w:asciiTheme="minorHAnsi" w:eastAsia="Times New Roman" w:hAnsiTheme="minorHAnsi" w:cs="Arial"/>
          <w:sz w:val="22"/>
          <w:szCs w:val="22"/>
        </w:rPr>
      </w:pPr>
      <w:r w:rsidRPr="00D1086F">
        <w:rPr>
          <w:rFonts w:asciiTheme="minorHAnsi" w:eastAsia="Times New Roman" w:hAnsiTheme="minorHAnsi" w:cs="Arial"/>
          <w:sz w:val="22"/>
          <w:szCs w:val="22"/>
        </w:rPr>
        <w:t xml:space="preserve">Volunteering and donating indicators remain relatively stable over time. As the Nielsen survey does not ask questions about respondents’ intentions, changes in volunteering rates are not easy to interpret. Seasonal variation </w:t>
      </w:r>
      <w:r>
        <w:rPr>
          <w:rFonts w:asciiTheme="minorHAnsi" w:eastAsia="Times New Roman" w:hAnsiTheme="minorHAnsi" w:cs="Arial"/>
          <w:sz w:val="22"/>
          <w:szCs w:val="22"/>
        </w:rPr>
        <w:t>does occur. V</w:t>
      </w:r>
      <w:r w:rsidRPr="00D1086F">
        <w:rPr>
          <w:rFonts w:asciiTheme="minorHAnsi" w:eastAsia="Times New Roman" w:hAnsiTheme="minorHAnsi" w:cs="Arial"/>
          <w:sz w:val="22"/>
          <w:szCs w:val="22"/>
        </w:rPr>
        <w:t>olunteering rates are lower during the summer months.</w:t>
      </w:r>
    </w:p>
    <w:p w:rsidR="00FD0671" w:rsidRPr="003B0A7A" w:rsidRDefault="00FD0671" w:rsidP="00FD0671">
      <w:pPr>
        <w:keepLines w:val="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By way of comparison, Statistics New Zealand’s General Social Survey (NZGSS) 2012 reported that 30</w:t>
      </w:r>
      <w:r>
        <w:rPr>
          <w:rFonts w:asciiTheme="minorHAnsi" w:eastAsia="Times New Roman" w:hAnsiTheme="minorHAnsi" w:cs="Arial"/>
          <w:sz w:val="22"/>
          <w:szCs w:val="22"/>
        </w:rPr>
        <w:t>.0</w:t>
      </w:r>
      <w:r w:rsidRPr="003B0A7A">
        <w:rPr>
          <w:rFonts w:asciiTheme="minorHAnsi" w:eastAsia="Times New Roman" w:hAnsiTheme="minorHAnsi" w:cs="Arial"/>
          <w:sz w:val="22"/>
          <w:szCs w:val="22"/>
        </w:rPr>
        <w:t xml:space="preserve"> per cent of their respondents had undertaken volunteer work with a group or organisation.</w:t>
      </w:r>
      <w:r w:rsidRPr="003B0A7A">
        <w:rPr>
          <w:rFonts w:asciiTheme="minorHAnsi" w:eastAsia="Times New Roman" w:hAnsiTheme="minorHAnsi" w:cs="Arial"/>
          <w:sz w:val="22"/>
          <w:szCs w:val="22"/>
          <w:vertAlign w:val="superscript"/>
        </w:rPr>
        <w:footnoteReference w:id="1"/>
      </w:r>
      <w:r w:rsidRPr="003B0A7A">
        <w:rPr>
          <w:rFonts w:asciiTheme="minorHAnsi" w:eastAsia="Times New Roman" w:hAnsiTheme="minorHAnsi" w:cs="Arial"/>
          <w:sz w:val="22"/>
          <w:szCs w:val="22"/>
        </w:rPr>
        <w:t xml:space="preserve"> This is similar to the Nielsen statistics presented in this report</w:t>
      </w:r>
      <w:r>
        <w:rPr>
          <w:rFonts w:asciiTheme="minorHAnsi" w:eastAsia="Times New Roman" w:hAnsiTheme="minorHAnsi" w:cs="Arial"/>
          <w:sz w:val="22"/>
          <w:szCs w:val="22"/>
        </w:rPr>
        <w:t xml:space="preserve"> which show that, on average, 31.0</w:t>
      </w:r>
      <w:r w:rsidRPr="003B0A7A">
        <w:rPr>
          <w:rFonts w:asciiTheme="minorHAnsi" w:eastAsia="Times New Roman" w:hAnsiTheme="minorHAnsi" w:cs="Arial"/>
          <w:sz w:val="22"/>
          <w:szCs w:val="22"/>
        </w:rPr>
        <w:t xml:space="preserve"> per cent of respondents participated in some form of volunteer work during the year ending March 2013 (roughly the same period as that of the NZGSS). </w:t>
      </w:r>
    </w:p>
    <w:p w:rsidR="00FD0671" w:rsidRPr="003B0A7A" w:rsidRDefault="00FD0671" w:rsidP="00FD0671">
      <w:pPr>
        <w:keepLines w:val="0"/>
        <w:spacing w:before="0" w:line="280" w:lineRule="atLeast"/>
        <w:jc w:val="both"/>
        <w:rPr>
          <w:rFonts w:asciiTheme="minorHAnsi" w:eastAsia="Times New Roman" w:hAnsiTheme="minorHAnsi"/>
          <w:sz w:val="22"/>
        </w:rPr>
      </w:pPr>
    </w:p>
    <w:p w:rsidR="00FD0671" w:rsidRPr="003B0A7A" w:rsidRDefault="00FD0671" w:rsidP="00FD0671">
      <w:pPr>
        <w:keepLines w:val="0"/>
        <w:spacing w:before="240"/>
        <w:jc w:val="center"/>
        <w:rPr>
          <w:rFonts w:asciiTheme="minorHAnsi" w:eastAsia="Times New Roman" w:hAnsiTheme="minorHAnsi"/>
          <w:noProof/>
          <w:lang w:eastAsia="en-NZ"/>
        </w:rPr>
      </w:pPr>
      <w:r w:rsidRPr="00A124A7">
        <w:rPr>
          <w:noProof/>
          <w:lang w:eastAsia="en-NZ"/>
        </w:rPr>
        <w:lastRenderedPageBreak/>
        <w:drawing>
          <wp:inline distT="0" distB="0" distL="0" distR="0" wp14:anchorId="77822B4D" wp14:editId="57C42581">
            <wp:extent cx="5760085" cy="3511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511075"/>
                    </a:xfrm>
                    <a:prstGeom prst="rect">
                      <a:avLst/>
                    </a:prstGeom>
                    <a:noFill/>
                    <a:ln>
                      <a:noFill/>
                    </a:ln>
                  </pic:spPr>
                </pic:pic>
              </a:graphicData>
            </a:graphic>
          </wp:inline>
        </w:drawing>
      </w:r>
    </w:p>
    <w:p w:rsidR="00FD0671" w:rsidRPr="003B0A7A" w:rsidRDefault="00FD0671" w:rsidP="00FD0671">
      <w:pPr>
        <w:pStyle w:val="Heading2"/>
      </w:pPr>
      <w:r w:rsidRPr="003B0A7A">
        <w:t xml:space="preserve">Donations of money </w:t>
      </w:r>
    </w:p>
    <w:p w:rsidR="00FD0671" w:rsidRPr="003B0A7A" w:rsidRDefault="00FD0671" w:rsidP="00FD0671">
      <w:pPr>
        <w:keepLines w:val="0"/>
        <w:spacing w:after="0"/>
        <w:jc w:val="both"/>
        <w:rPr>
          <w:rFonts w:asciiTheme="minorHAnsi" w:eastAsia="Times New Roman" w:hAnsiTheme="minorHAnsi" w:cs="Arial"/>
          <w:sz w:val="22"/>
          <w:szCs w:val="22"/>
        </w:rPr>
      </w:pPr>
      <w:r>
        <w:rPr>
          <w:rFonts w:asciiTheme="minorHAnsi" w:eastAsia="Times New Roman" w:hAnsiTheme="minorHAnsi" w:cs="Arial"/>
          <w:sz w:val="22"/>
          <w:szCs w:val="22"/>
        </w:rPr>
        <w:t>Forty-one</w:t>
      </w:r>
      <w:r w:rsidRPr="003B0A7A">
        <w:rPr>
          <w:rFonts w:asciiTheme="minorHAnsi" w:eastAsia="Times New Roman" w:hAnsiTheme="minorHAnsi" w:cs="Arial"/>
          <w:sz w:val="22"/>
          <w:szCs w:val="22"/>
        </w:rPr>
        <w:t xml:space="preserve"> per cent of respondents said they had donated money to a charity or worthy cause in the </w:t>
      </w:r>
      <w:r>
        <w:rPr>
          <w:rFonts w:asciiTheme="minorHAnsi" w:eastAsia="Times New Roman" w:hAnsiTheme="minorHAnsi" w:cs="Arial"/>
          <w:sz w:val="22"/>
          <w:szCs w:val="22"/>
        </w:rPr>
        <w:t>September 2014</w:t>
      </w:r>
      <w:r w:rsidRPr="003B0A7A">
        <w:rPr>
          <w:rFonts w:asciiTheme="minorHAnsi" w:eastAsia="Times New Roman" w:hAnsiTheme="minorHAnsi" w:cs="Arial"/>
          <w:sz w:val="22"/>
          <w:szCs w:val="22"/>
        </w:rPr>
        <w:t xml:space="preserve"> quarter. This </w:t>
      </w:r>
      <w:r>
        <w:rPr>
          <w:rFonts w:asciiTheme="minorHAnsi" w:eastAsia="Times New Roman" w:hAnsiTheme="minorHAnsi" w:cs="Arial"/>
          <w:sz w:val="22"/>
          <w:szCs w:val="22"/>
        </w:rPr>
        <w:t>is the same as the previous quarter and is a four per cent increase from September 2013 (37.0</w:t>
      </w:r>
      <w:r w:rsidRPr="003B0A7A">
        <w:rPr>
          <w:rFonts w:asciiTheme="minorHAnsi" w:eastAsia="Times New Roman" w:hAnsiTheme="minorHAnsi" w:cs="Arial"/>
          <w:sz w:val="22"/>
          <w:szCs w:val="22"/>
        </w:rPr>
        <w:t xml:space="preserve"> per cent).</w:t>
      </w:r>
    </w:p>
    <w:p w:rsidR="00FD0671" w:rsidRPr="003B0A7A" w:rsidRDefault="00FD0671" w:rsidP="00FD0671">
      <w:pPr>
        <w:keepLines w:val="0"/>
        <w:spacing w:after="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 xml:space="preserve">The median dollars donated in the </w:t>
      </w:r>
      <w:r>
        <w:rPr>
          <w:rFonts w:asciiTheme="minorHAnsi" w:eastAsia="Times New Roman" w:hAnsiTheme="minorHAnsi" w:cs="Arial"/>
          <w:sz w:val="22"/>
          <w:szCs w:val="22"/>
        </w:rPr>
        <w:t>September 2014 quarter was $4</w:t>
      </w:r>
      <w:r w:rsidRPr="003B0A7A">
        <w:rPr>
          <w:rFonts w:asciiTheme="minorHAnsi" w:eastAsia="Times New Roman" w:hAnsiTheme="minorHAnsi" w:cs="Arial"/>
          <w:sz w:val="22"/>
          <w:szCs w:val="22"/>
        </w:rPr>
        <w:t xml:space="preserve">0, </w:t>
      </w:r>
      <w:r>
        <w:rPr>
          <w:rFonts w:asciiTheme="minorHAnsi" w:eastAsia="Times New Roman" w:hAnsiTheme="minorHAnsi" w:cs="Arial"/>
          <w:sz w:val="22"/>
          <w:szCs w:val="22"/>
        </w:rPr>
        <w:t>the same as the previous</w:t>
      </w:r>
      <w:r w:rsidRPr="003B0A7A">
        <w:rPr>
          <w:rFonts w:asciiTheme="minorHAnsi" w:eastAsia="Times New Roman" w:hAnsiTheme="minorHAnsi" w:cs="Arial"/>
          <w:sz w:val="22"/>
          <w:szCs w:val="22"/>
        </w:rPr>
        <w:t xml:space="preserve"> quarter. Compared to the same quarter in the previous year, the median amount of money donated </w:t>
      </w:r>
      <w:r>
        <w:rPr>
          <w:rFonts w:asciiTheme="minorHAnsi" w:eastAsia="Times New Roman" w:hAnsiTheme="minorHAnsi" w:cs="Arial"/>
          <w:sz w:val="22"/>
          <w:szCs w:val="22"/>
        </w:rPr>
        <w:t>has increased by $19</w:t>
      </w:r>
      <w:r w:rsidRPr="003B0A7A">
        <w:rPr>
          <w:rFonts w:asciiTheme="minorHAnsi" w:eastAsia="Times New Roman" w:hAnsiTheme="minorHAnsi" w:cs="Arial"/>
          <w:sz w:val="22"/>
          <w:szCs w:val="22"/>
        </w:rPr>
        <w:t>.</w:t>
      </w:r>
    </w:p>
    <w:p w:rsidR="00FD0671" w:rsidRPr="003B0A7A" w:rsidRDefault="00FD0671" w:rsidP="00FD0671">
      <w:pPr>
        <w:pStyle w:val="Heading3"/>
      </w:pPr>
      <w:r w:rsidRPr="003B0A7A">
        <w:t>Long-term trends</w:t>
      </w:r>
    </w:p>
    <w:p w:rsidR="00FD0671" w:rsidRDefault="00FD0671" w:rsidP="00FD0671">
      <w:pPr>
        <w:keepLines w:val="0"/>
        <w:spacing w:after="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 xml:space="preserve">The percentage of the population aged 10 years and older donating money reached a peak of 46 per cent in the June 2011 quarter, most likely due to donations related to the Canterbury earthquakes.  </w:t>
      </w:r>
    </w:p>
    <w:p w:rsidR="00FD0671" w:rsidRPr="003B0A7A" w:rsidRDefault="00FD0671" w:rsidP="00FD0671">
      <w:pPr>
        <w:keepLines w:val="0"/>
        <w:spacing w:after="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 xml:space="preserve">From </w:t>
      </w:r>
      <w:r>
        <w:rPr>
          <w:rFonts w:asciiTheme="minorHAnsi" w:eastAsia="Times New Roman" w:hAnsiTheme="minorHAnsi" w:cs="Arial"/>
          <w:sz w:val="22"/>
          <w:szCs w:val="22"/>
        </w:rPr>
        <w:t xml:space="preserve">December 2010 through to September </w:t>
      </w:r>
      <w:r w:rsidRPr="003B0A7A">
        <w:rPr>
          <w:rFonts w:asciiTheme="minorHAnsi" w:eastAsia="Times New Roman" w:hAnsiTheme="minorHAnsi" w:cs="Arial"/>
          <w:sz w:val="22"/>
          <w:szCs w:val="22"/>
        </w:rPr>
        <w:t>2012 the median amount of money donated was stable at around $40 per month.  December 2012 saw a 25</w:t>
      </w:r>
      <w:r>
        <w:rPr>
          <w:rFonts w:asciiTheme="minorHAnsi" w:eastAsia="Times New Roman" w:hAnsiTheme="minorHAnsi" w:cs="Arial"/>
          <w:sz w:val="22"/>
          <w:szCs w:val="22"/>
        </w:rPr>
        <w:t>.0</w:t>
      </w:r>
      <w:r w:rsidRPr="003B0A7A">
        <w:rPr>
          <w:rFonts w:asciiTheme="minorHAnsi" w:eastAsia="Times New Roman" w:hAnsiTheme="minorHAnsi" w:cs="Arial"/>
          <w:sz w:val="22"/>
          <w:szCs w:val="22"/>
        </w:rPr>
        <w:t xml:space="preserve"> per cent decline to $30 per month, before a spike to $48 in March 2013 and subsequent return to $30 in the June 2013 quarter. </w:t>
      </w:r>
      <w:r>
        <w:rPr>
          <w:rFonts w:asciiTheme="minorHAnsi" w:eastAsia="Times New Roman" w:hAnsiTheme="minorHAnsi" w:cs="Arial"/>
          <w:sz w:val="22"/>
          <w:szCs w:val="22"/>
        </w:rPr>
        <w:t>The median amount of money donated declined again in the September 2013 quarter to $21 per month, before steadily rising again to $40 per month by the September 2014 quarter.</w:t>
      </w:r>
    </w:p>
    <w:p w:rsidR="00FD0671" w:rsidRPr="003B0A7A" w:rsidRDefault="00FD0671" w:rsidP="00FD0671">
      <w:pPr>
        <w:keepLines w:val="0"/>
        <w:spacing w:line="280" w:lineRule="atLeast"/>
        <w:jc w:val="both"/>
        <w:rPr>
          <w:rFonts w:asciiTheme="minorHAnsi" w:eastAsia="Times New Roman" w:hAnsiTheme="minorHAnsi"/>
          <w:sz w:val="22"/>
        </w:rPr>
      </w:pPr>
    </w:p>
    <w:p w:rsidR="00FD0671" w:rsidRPr="003B0A7A" w:rsidRDefault="00FD0671" w:rsidP="00FD0671">
      <w:pPr>
        <w:keepLines w:val="0"/>
        <w:spacing w:line="280" w:lineRule="atLeast"/>
        <w:jc w:val="both"/>
        <w:rPr>
          <w:rFonts w:asciiTheme="minorHAnsi" w:eastAsia="Times New Roman" w:hAnsiTheme="minorHAnsi"/>
          <w:sz w:val="22"/>
        </w:rPr>
      </w:pPr>
    </w:p>
    <w:p w:rsidR="00FD0671" w:rsidRPr="003B0A7A" w:rsidRDefault="00FD0671" w:rsidP="00FD0671">
      <w:pPr>
        <w:keepLines w:val="0"/>
        <w:spacing w:before="0" w:line="280" w:lineRule="atLeast"/>
        <w:jc w:val="center"/>
        <w:rPr>
          <w:rFonts w:asciiTheme="minorHAnsi" w:eastAsia="Times New Roman" w:hAnsiTheme="minorHAnsi"/>
          <w:sz w:val="22"/>
        </w:rPr>
      </w:pPr>
      <w:r w:rsidRPr="0098672D">
        <w:rPr>
          <w:noProof/>
          <w:lang w:eastAsia="en-NZ"/>
        </w:rPr>
        <w:lastRenderedPageBreak/>
        <w:drawing>
          <wp:inline distT="0" distB="0" distL="0" distR="0" wp14:anchorId="2C11F2FF" wp14:editId="47A3F59B">
            <wp:extent cx="5760085" cy="35188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518816"/>
                    </a:xfrm>
                    <a:prstGeom prst="rect">
                      <a:avLst/>
                    </a:prstGeom>
                    <a:noFill/>
                    <a:ln>
                      <a:noFill/>
                    </a:ln>
                  </pic:spPr>
                </pic:pic>
              </a:graphicData>
            </a:graphic>
          </wp:inline>
        </w:drawing>
      </w:r>
    </w:p>
    <w:p w:rsidR="00FD0671" w:rsidRPr="003B0A7A" w:rsidRDefault="00FD0671" w:rsidP="00FD0671">
      <w:pPr>
        <w:pStyle w:val="Heading2"/>
      </w:pPr>
      <w:r w:rsidRPr="003B0A7A">
        <w:t xml:space="preserve">Donations of goods </w:t>
      </w:r>
    </w:p>
    <w:p w:rsidR="00FD0671" w:rsidRPr="003B0A7A" w:rsidRDefault="00FD0671" w:rsidP="00FD0671">
      <w:pPr>
        <w:keepLines w:val="0"/>
        <w:spacing w:after="0" w:line="280" w:lineRule="atLeast"/>
        <w:jc w:val="both"/>
        <w:rPr>
          <w:rFonts w:asciiTheme="minorHAnsi" w:eastAsia="Times New Roman" w:hAnsiTheme="minorHAnsi"/>
          <w:sz w:val="22"/>
          <w:lang w:eastAsia="en-NZ"/>
        </w:rPr>
      </w:pPr>
      <w:r w:rsidRPr="003B0A7A">
        <w:rPr>
          <w:rFonts w:asciiTheme="minorHAnsi" w:eastAsia="Times New Roman" w:hAnsiTheme="minorHAnsi"/>
          <w:sz w:val="22"/>
          <w:lang w:eastAsia="en-NZ"/>
        </w:rPr>
        <w:t xml:space="preserve">In the </w:t>
      </w:r>
      <w:r>
        <w:rPr>
          <w:rFonts w:asciiTheme="minorHAnsi" w:eastAsia="Times New Roman" w:hAnsiTheme="minorHAnsi"/>
          <w:sz w:val="22"/>
          <w:lang w:eastAsia="en-NZ"/>
        </w:rPr>
        <w:t>September 2014 quarter, 18.5</w:t>
      </w:r>
      <w:r w:rsidRPr="003B0A7A">
        <w:rPr>
          <w:rFonts w:asciiTheme="minorHAnsi" w:eastAsia="Times New Roman" w:hAnsiTheme="minorHAnsi"/>
          <w:sz w:val="22"/>
          <w:lang w:eastAsia="en-NZ"/>
        </w:rPr>
        <w:t xml:space="preserve"> per cent of respondents had donated goods to a charity or worthy cause, </w:t>
      </w:r>
      <w:r>
        <w:rPr>
          <w:rFonts w:asciiTheme="minorHAnsi" w:eastAsia="Times New Roman" w:hAnsiTheme="minorHAnsi"/>
          <w:sz w:val="22"/>
          <w:lang w:eastAsia="en-NZ"/>
        </w:rPr>
        <w:t>the same as</w:t>
      </w:r>
      <w:r w:rsidRPr="003B0A7A">
        <w:rPr>
          <w:rFonts w:asciiTheme="minorHAnsi" w:eastAsia="Times New Roman" w:hAnsiTheme="minorHAnsi"/>
          <w:sz w:val="22"/>
          <w:lang w:eastAsia="en-NZ"/>
        </w:rPr>
        <w:t xml:space="preserve"> the previous quarter. When comparing the current quarter with the same quarter in the previous year, the percentage of responden</w:t>
      </w:r>
      <w:r>
        <w:rPr>
          <w:rFonts w:asciiTheme="minorHAnsi" w:eastAsia="Times New Roman" w:hAnsiTheme="minorHAnsi"/>
          <w:sz w:val="22"/>
          <w:lang w:eastAsia="en-NZ"/>
        </w:rPr>
        <w:t>ts who donated goods has risen by nearly four</w:t>
      </w:r>
      <w:r w:rsidRPr="003B0A7A">
        <w:rPr>
          <w:rFonts w:asciiTheme="minorHAnsi" w:eastAsia="Times New Roman" w:hAnsiTheme="minorHAnsi"/>
          <w:sz w:val="22"/>
          <w:lang w:eastAsia="en-NZ"/>
        </w:rPr>
        <w:t xml:space="preserve"> per cent.</w:t>
      </w:r>
    </w:p>
    <w:p w:rsidR="00FD0671" w:rsidRPr="003B0A7A" w:rsidRDefault="00FD0671" w:rsidP="00FD0671">
      <w:pPr>
        <w:pStyle w:val="Heading3"/>
      </w:pPr>
      <w:r w:rsidRPr="003B0A7A">
        <w:t>Long-term trends</w:t>
      </w:r>
    </w:p>
    <w:p w:rsidR="00FD0671" w:rsidRPr="003B0A7A" w:rsidRDefault="00FD0671" w:rsidP="00FD0671">
      <w:pPr>
        <w:keepLines w:val="0"/>
        <w:spacing w:after="0"/>
        <w:jc w:val="both"/>
        <w:rPr>
          <w:rFonts w:asciiTheme="minorHAnsi" w:eastAsia="Times New Roman" w:hAnsiTheme="minorHAnsi" w:cs="Arial"/>
          <w:b/>
          <w:sz w:val="20"/>
          <w:szCs w:val="22"/>
        </w:rPr>
      </w:pPr>
      <w:r w:rsidRPr="003B0A7A">
        <w:rPr>
          <w:rFonts w:asciiTheme="minorHAnsi" w:eastAsia="Times New Roman" w:hAnsiTheme="minorHAnsi" w:cs="Arial"/>
          <w:sz w:val="22"/>
          <w:lang w:eastAsia="en-NZ"/>
        </w:rPr>
        <w:t xml:space="preserve">Overall the percentage of people donating goods is less than for those donating money. However, trends for the donation of money show greater variation than for the donations of goods. </w:t>
      </w:r>
    </w:p>
    <w:p w:rsidR="00FD0671" w:rsidRPr="003B0A7A" w:rsidRDefault="00FD0671" w:rsidP="00FD0671">
      <w:pPr>
        <w:keepLines w:val="0"/>
        <w:spacing w:before="240" w:after="0" w:line="280" w:lineRule="atLeast"/>
        <w:jc w:val="both"/>
        <w:rPr>
          <w:rFonts w:asciiTheme="minorHAnsi" w:eastAsia="Times New Roman" w:hAnsiTheme="minorHAnsi"/>
          <w:sz w:val="22"/>
          <w:lang w:eastAsia="en-NZ"/>
        </w:rPr>
      </w:pPr>
    </w:p>
    <w:p w:rsidR="00FD0671" w:rsidRPr="003B0A7A" w:rsidRDefault="00FD0671" w:rsidP="00FD0671">
      <w:pPr>
        <w:keepLines w:val="0"/>
        <w:spacing w:before="0" w:line="280" w:lineRule="atLeast"/>
        <w:jc w:val="both"/>
        <w:rPr>
          <w:rFonts w:asciiTheme="minorHAnsi" w:eastAsia="Times New Roman" w:hAnsiTheme="minorHAnsi"/>
          <w:sz w:val="22"/>
          <w:lang w:eastAsia="en-NZ"/>
        </w:rPr>
      </w:pPr>
    </w:p>
    <w:p w:rsidR="00FD0671" w:rsidRPr="003B0A7A" w:rsidRDefault="00FD0671" w:rsidP="00FD0671">
      <w:pPr>
        <w:keepLines w:val="0"/>
        <w:spacing w:before="0" w:line="280" w:lineRule="atLeast"/>
        <w:jc w:val="both"/>
        <w:rPr>
          <w:rFonts w:asciiTheme="minorHAnsi" w:eastAsia="Times New Roman" w:hAnsiTheme="minorHAnsi"/>
          <w:sz w:val="22"/>
          <w:lang w:eastAsia="en-NZ"/>
        </w:rPr>
      </w:pPr>
    </w:p>
    <w:p w:rsidR="00FD0671" w:rsidRPr="003B0A7A" w:rsidRDefault="00FD0671" w:rsidP="00FD0671">
      <w:pPr>
        <w:keepLines w:val="0"/>
        <w:spacing w:before="0" w:line="280" w:lineRule="atLeast"/>
        <w:jc w:val="both"/>
        <w:rPr>
          <w:rFonts w:asciiTheme="minorHAnsi" w:eastAsia="Times New Roman" w:hAnsiTheme="minorHAnsi"/>
          <w:sz w:val="22"/>
          <w:lang w:eastAsia="en-NZ"/>
        </w:rPr>
      </w:pPr>
    </w:p>
    <w:p w:rsidR="00FD0671" w:rsidRPr="003B0A7A" w:rsidRDefault="00FD0671" w:rsidP="00FD0671">
      <w:pPr>
        <w:keepLines w:val="0"/>
        <w:spacing w:before="0" w:line="280" w:lineRule="atLeast"/>
        <w:jc w:val="both"/>
        <w:rPr>
          <w:rFonts w:asciiTheme="minorHAnsi" w:eastAsia="Times New Roman" w:hAnsiTheme="minorHAnsi"/>
          <w:sz w:val="22"/>
          <w:lang w:eastAsia="en-NZ"/>
        </w:rPr>
      </w:pPr>
    </w:p>
    <w:p w:rsidR="00FD0671" w:rsidRPr="003B0A7A" w:rsidRDefault="00FD0671" w:rsidP="00FD0671">
      <w:pPr>
        <w:keepLines w:val="0"/>
        <w:spacing w:before="0" w:line="280" w:lineRule="atLeast"/>
        <w:jc w:val="both"/>
        <w:rPr>
          <w:rFonts w:asciiTheme="minorHAnsi" w:eastAsia="Times New Roman" w:hAnsiTheme="minorHAnsi"/>
          <w:sz w:val="22"/>
          <w:lang w:eastAsia="en-NZ"/>
        </w:rPr>
      </w:pPr>
    </w:p>
    <w:p w:rsidR="00FD0671" w:rsidRPr="003B0A7A" w:rsidRDefault="00FD0671" w:rsidP="00FD0671">
      <w:pPr>
        <w:keepLines w:val="0"/>
        <w:spacing w:before="0" w:line="280" w:lineRule="atLeast"/>
        <w:jc w:val="both"/>
        <w:rPr>
          <w:rFonts w:asciiTheme="minorHAnsi" w:eastAsia="Times New Roman" w:hAnsiTheme="minorHAnsi"/>
          <w:sz w:val="22"/>
          <w:lang w:eastAsia="en-NZ"/>
        </w:rPr>
      </w:pPr>
    </w:p>
    <w:p w:rsidR="00FD0671" w:rsidRPr="003B0A7A" w:rsidRDefault="00FD0671" w:rsidP="00FD0671">
      <w:pPr>
        <w:keepLines w:val="0"/>
        <w:spacing w:before="0" w:line="280" w:lineRule="atLeast"/>
        <w:jc w:val="both"/>
        <w:rPr>
          <w:rFonts w:asciiTheme="minorHAnsi" w:eastAsia="Times New Roman" w:hAnsiTheme="minorHAnsi"/>
          <w:sz w:val="22"/>
          <w:lang w:eastAsia="en-NZ"/>
        </w:rPr>
      </w:pPr>
    </w:p>
    <w:p w:rsidR="00FD0671" w:rsidRPr="003B0A7A" w:rsidRDefault="00FD0671" w:rsidP="00FD0671">
      <w:pPr>
        <w:keepLines w:val="0"/>
        <w:spacing w:before="0" w:line="280" w:lineRule="atLeast"/>
        <w:jc w:val="both"/>
        <w:rPr>
          <w:rFonts w:asciiTheme="minorHAnsi" w:eastAsia="Times New Roman" w:hAnsiTheme="minorHAnsi"/>
          <w:sz w:val="22"/>
          <w:lang w:eastAsia="en-NZ"/>
        </w:rPr>
      </w:pPr>
    </w:p>
    <w:p w:rsidR="00FD0671" w:rsidRPr="003B0A7A" w:rsidRDefault="00FD0671" w:rsidP="00FD0671">
      <w:pPr>
        <w:keepLines w:val="0"/>
        <w:spacing w:before="0" w:after="360"/>
        <w:jc w:val="both"/>
        <w:rPr>
          <w:rFonts w:asciiTheme="minorHAnsi" w:eastAsia="Times New Roman" w:hAnsiTheme="minorHAnsi"/>
          <w:noProof/>
          <w:lang w:eastAsia="en-NZ"/>
        </w:rPr>
      </w:pPr>
    </w:p>
    <w:p w:rsidR="00FD0671" w:rsidRPr="003B0A7A" w:rsidRDefault="00FD0671" w:rsidP="00FD0671">
      <w:pPr>
        <w:keepLines w:val="0"/>
        <w:spacing w:before="0"/>
        <w:jc w:val="center"/>
        <w:rPr>
          <w:rFonts w:asciiTheme="minorHAnsi" w:eastAsia="Times New Roman" w:hAnsiTheme="minorHAnsi"/>
          <w:noProof/>
          <w:lang w:eastAsia="en-NZ"/>
        </w:rPr>
      </w:pPr>
      <w:r w:rsidRPr="00D92F3C">
        <w:rPr>
          <w:noProof/>
          <w:lang w:eastAsia="en-NZ"/>
        </w:rPr>
        <w:lastRenderedPageBreak/>
        <w:drawing>
          <wp:inline distT="0" distB="0" distL="0" distR="0" wp14:anchorId="60C65048" wp14:editId="3302D471">
            <wp:extent cx="5760085" cy="3840057"/>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840057"/>
                    </a:xfrm>
                    <a:prstGeom prst="rect">
                      <a:avLst/>
                    </a:prstGeom>
                    <a:noFill/>
                    <a:ln>
                      <a:noFill/>
                    </a:ln>
                  </pic:spPr>
                </pic:pic>
              </a:graphicData>
            </a:graphic>
          </wp:inline>
        </w:drawing>
      </w:r>
    </w:p>
    <w:p w:rsidR="00FD0671" w:rsidRPr="003B0A7A" w:rsidRDefault="00FD0671" w:rsidP="00FD0671">
      <w:pPr>
        <w:pStyle w:val="Heading2"/>
      </w:pPr>
      <w:r w:rsidRPr="003B0A7A">
        <w:t>Gender and Volunteering</w:t>
      </w:r>
    </w:p>
    <w:p w:rsidR="00FD0671" w:rsidRPr="003B0A7A" w:rsidRDefault="00FD0671" w:rsidP="00FD0671">
      <w:pPr>
        <w:keepLines w:val="0"/>
        <w:spacing w:before="0" w:after="12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 xml:space="preserve">In the </w:t>
      </w:r>
      <w:r>
        <w:rPr>
          <w:rFonts w:asciiTheme="minorHAnsi" w:eastAsia="Times New Roman" w:hAnsiTheme="minorHAnsi" w:cs="Arial"/>
          <w:sz w:val="22"/>
          <w:szCs w:val="22"/>
        </w:rPr>
        <w:t>September 2014 quarter, 34.5</w:t>
      </w:r>
      <w:r w:rsidRPr="003B0A7A">
        <w:rPr>
          <w:rFonts w:asciiTheme="minorHAnsi" w:eastAsia="Times New Roman" w:hAnsiTheme="minorHAnsi" w:cs="Arial"/>
          <w:sz w:val="22"/>
          <w:szCs w:val="22"/>
        </w:rPr>
        <w:t xml:space="preserve"> per cent of respondents 10 years and older mentioned they volunteered at least one hour of their time. Of those responden</w:t>
      </w:r>
      <w:r>
        <w:rPr>
          <w:rFonts w:asciiTheme="minorHAnsi" w:eastAsia="Times New Roman" w:hAnsiTheme="minorHAnsi" w:cs="Arial"/>
          <w:sz w:val="22"/>
          <w:szCs w:val="22"/>
        </w:rPr>
        <w:t>ts who said they volunteered, 59.0 per cent were females and 41.0</w:t>
      </w:r>
      <w:r w:rsidRPr="003B0A7A">
        <w:rPr>
          <w:rFonts w:asciiTheme="minorHAnsi" w:eastAsia="Times New Roman" w:hAnsiTheme="minorHAnsi" w:cs="Arial"/>
          <w:sz w:val="22"/>
          <w:szCs w:val="22"/>
        </w:rPr>
        <w:t xml:space="preserve"> per cent were males.</w:t>
      </w:r>
    </w:p>
    <w:p w:rsidR="00FD0671" w:rsidRPr="003B0A7A" w:rsidRDefault="00FD0671" w:rsidP="00FD0671">
      <w:pPr>
        <w:keepLines w:val="0"/>
        <w:spacing w:before="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 xml:space="preserve">Compared with the previous quarter, there has been </w:t>
      </w:r>
      <w:r>
        <w:rPr>
          <w:rFonts w:asciiTheme="minorHAnsi" w:eastAsia="Times New Roman" w:hAnsiTheme="minorHAnsi" w:cs="Arial"/>
          <w:sz w:val="22"/>
          <w:szCs w:val="22"/>
        </w:rPr>
        <w:t>a small decrease</w:t>
      </w:r>
      <w:r w:rsidRPr="003B0A7A">
        <w:rPr>
          <w:rFonts w:asciiTheme="minorHAnsi" w:eastAsia="Times New Roman" w:hAnsiTheme="minorHAnsi" w:cs="Arial"/>
          <w:sz w:val="22"/>
          <w:szCs w:val="22"/>
        </w:rPr>
        <w:t xml:space="preserve"> in the percentage of males volunt</w:t>
      </w:r>
      <w:r>
        <w:rPr>
          <w:rFonts w:asciiTheme="minorHAnsi" w:eastAsia="Times New Roman" w:hAnsiTheme="minorHAnsi" w:cs="Arial"/>
          <w:sz w:val="22"/>
          <w:szCs w:val="22"/>
        </w:rPr>
        <w:t>eering, from 43.0 per cent in June 2014 to 41.0 per cent in the September 2014</w:t>
      </w:r>
      <w:r w:rsidRPr="003B0A7A">
        <w:rPr>
          <w:rFonts w:asciiTheme="minorHAnsi" w:eastAsia="Times New Roman" w:hAnsiTheme="minorHAnsi" w:cs="Arial"/>
          <w:sz w:val="22"/>
          <w:szCs w:val="22"/>
        </w:rPr>
        <w:t xml:space="preserve"> quarter. The percentage of females volunteering </w:t>
      </w:r>
      <w:r>
        <w:rPr>
          <w:rFonts w:asciiTheme="minorHAnsi" w:eastAsia="Times New Roman" w:hAnsiTheme="minorHAnsi" w:cs="Arial"/>
          <w:sz w:val="22"/>
          <w:szCs w:val="22"/>
        </w:rPr>
        <w:t>increased from 57.0 per cent to 59.0</w:t>
      </w:r>
      <w:r w:rsidRPr="003B0A7A">
        <w:rPr>
          <w:rFonts w:asciiTheme="minorHAnsi" w:eastAsia="Times New Roman" w:hAnsiTheme="minorHAnsi" w:cs="Arial"/>
          <w:sz w:val="22"/>
          <w:szCs w:val="22"/>
        </w:rPr>
        <w:t xml:space="preserve"> per cent over the same period.</w:t>
      </w:r>
    </w:p>
    <w:p w:rsidR="00FD0671" w:rsidRPr="003B0A7A" w:rsidRDefault="00FD0671" w:rsidP="00FD0671">
      <w:pPr>
        <w:pStyle w:val="Heading3"/>
      </w:pPr>
      <w:r w:rsidRPr="003B0A7A">
        <w:t>Long-term trends</w:t>
      </w:r>
    </w:p>
    <w:p w:rsidR="00FD0671" w:rsidRPr="003B0A7A" w:rsidRDefault="00FD0671" w:rsidP="00FD0671">
      <w:pPr>
        <w:keepLines w:val="0"/>
        <w:spacing w:before="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Over the previous four years, females have generally vo</w:t>
      </w:r>
      <w:r>
        <w:rPr>
          <w:rFonts w:asciiTheme="minorHAnsi" w:eastAsia="Times New Roman" w:hAnsiTheme="minorHAnsi" w:cs="Arial"/>
          <w:sz w:val="22"/>
          <w:szCs w:val="22"/>
        </w:rPr>
        <w:t>lunteered more than males. In 16 of the 19</w:t>
      </w:r>
      <w:r w:rsidRPr="003B0A7A">
        <w:rPr>
          <w:rFonts w:asciiTheme="minorHAnsi" w:eastAsia="Times New Roman" w:hAnsiTheme="minorHAnsi" w:cs="Arial"/>
          <w:sz w:val="22"/>
          <w:szCs w:val="22"/>
        </w:rPr>
        <w:t xml:space="preserve"> quarters analysed, females volunteered more than males.   </w:t>
      </w:r>
    </w:p>
    <w:p w:rsidR="00FD0671" w:rsidRPr="003B0A7A" w:rsidRDefault="00FD0671" w:rsidP="00FD0671">
      <w:pPr>
        <w:keepLines w:val="0"/>
        <w:spacing w:before="0" w:after="200"/>
        <w:rPr>
          <w:rFonts w:asciiTheme="minorHAnsi" w:eastAsia="Times New Roman" w:hAnsiTheme="minorHAnsi" w:cs="Arial"/>
          <w:color w:val="FFFFFF"/>
          <w:sz w:val="22"/>
          <w:szCs w:val="22"/>
        </w:rPr>
      </w:pPr>
    </w:p>
    <w:p w:rsidR="00FD0671" w:rsidRPr="003B0A7A" w:rsidRDefault="00FD0671" w:rsidP="00FD0671">
      <w:pPr>
        <w:keepLines w:val="0"/>
        <w:spacing w:before="0" w:after="200"/>
        <w:rPr>
          <w:rFonts w:asciiTheme="minorHAnsi" w:eastAsia="Times New Roman" w:hAnsiTheme="minorHAnsi" w:cs="Arial"/>
          <w:color w:val="FFFFFF"/>
          <w:sz w:val="22"/>
          <w:szCs w:val="22"/>
        </w:rPr>
      </w:pPr>
    </w:p>
    <w:p w:rsidR="00FD0671" w:rsidRPr="003B0A7A" w:rsidRDefault="00FD0671" w:rsidP="00FD0671">
      <w:pPr>
        <w:keepLines w:val="0"/>
        <w:spacing w:before="0" w:after="200"/>
        <w:rPr>
          <w:rFonts w:asciiTheme="minorHAnsi" w:eastAsia="Times New Roman" w:hAnsiTheme="minorHAnsi" w:cs="Arial"/>
          <w:color w:val="FFFFFF"/>
          <w:sz w:val="22"/>
          <w:szCs w:val="22"/>
        </w:rPr>
      </w:pPr>
    </w:p>
    <w:p w:rsidR="00FD0671" w:rsidRPr="003B0A7A" w:rsidRDefault="00FD0671" w:rsidP="00FD0671">
      <w:pPr>
        <w:keepLines w:val="0"/>
        <w:spacing w:before="0" w:after="200"/>
        <w:rPr>
          <w:rFonts w:asciiTheme="minorHAnsi" w:eastAsia="Times New Roman" w:hAnsiTheme="minorHAnsi" w:cs="Arial"/>
          <w:color w:val="FFFFFF"/>
          <w:sz w:val="22"/>
          <w:szCs w:val="22"/>
        </w:rPr>
      </w:pPr>
    </w:p>
    <w:p w:rsidR="00FD0671" w:rsidRPr="003B0A7A" w:rsidRDefault="00FD0671" w:rsidP="00FD0671">
      <w:pPr>
        <w:keepLines w:val="0"/>
        <w:spacing w:before="0" w:after="200"/>
        <w:rPr>
          <w:rFonts w:asciiTheme="minorHAnsi" w:eastAsia="Times New Roman" w:hAnsiTheme="minorHAnsi" w:cs="Arial"/>
          <w:color w:val="FFFFFF"/>
          <w:sz w:val="22"/>
          <w:szCs w:val="22"/>
        </w:rPr>
      </w:pPr>
    </w:p>
    <w:p w:rsidR="00FD0671" w:rsidRPr="003B0A7A" w:rsidRDefault="00FD0671" w:rsidP="00FD0671">
      <w:pPr>
        <w:keepLines w:val="0"/>
        <w:spacing w:before="0"/>
        <w:jc w:val="both"/>
        <w:rPr>
          <w:rFonts w:asciiTheme="minorHAnsi" w:eastAsia="Times New Roman" w:hAnsiTheme="minorHAnsi" w:cs="Arial"/>
          <w:b/>
          <w:sz w:val="22"/>
          <w:szCs w:val="22"/>
        </w:rPr>
      </w:pPr>
    </w:p>
    <w:p w:rsidR="00FD0671" w:rsidRDefault="00FD0671" w:rsidP="00FD0671">
      <w:pPr>
        <w:keepLines w:val="0"/>
        <w:rPr>
          <w:rFonts w:asciiTheme="minorHAnsi" w:eastAsia="Times New Roman" w:hAnsiTheme="minorHAnsi"/>
          <w:noProof/>
          <w:lang w:eastAsia="en-NZ"/>
        </w:rPr>
      </w:pPr>
      <w:r>
        <w:rPr>
          <w:rFonts w:asciiTheme="minorHAnsi" w:eastAsia="Times New Roman" w:hAnsiTheme="minorHAnsi"/>
          <w:noProof/>
          <w:lang w:eastAsia="en-NZ"/>
        </w:rPr>
        <w:br w:type="page"/>
      </w:r>
    </w:p>
    <w:p w:rsidR="00FD0671" w:rsidRPr="003B0A7A" w:rsidRDefault="00FD0671" w:rsidP="00FD0671">
      <w:pPr>
        <w:keepLines w:val="0"/>
        <w:spacing w:before="0"/>
        <w:jc w:val="center"/>
        <w:rPr>
          <w:rFonts w:asciiTheme="minorHAnsi" w:eastAsia="Times New Roman" w:hAnsiTheme="minorHAnsi"/>
        </w:rPr>
      </w:pPr>
      <w:r>
        <w:rPr>
          <w:noProof/>
          <w:lang w:eastAsia="en-NZ"/>
        </w:rPr>
        <w:lastRenderedPageBreak/>
        <w:drawing>
          <wp:inline distT="0" distB="0" distL="0" distR="0" wp14:anchorId="54084779" wp14:editId="5CAADEFF">
            <wp:extent cx="5760085" cy="3201893"/>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0671" w:rsidRPr="003B0A7A" w:rsidRDefault="00FD0671" w:rsidP="00FD0671">
      <w:pPr>
        <w:pStyle w:val="Heading2"/>
      </w:pPr>
      <w:r w:rsidRPr="003B0A7A">
        <w:t xml:space="preserve">Age and Volunteering </w:t>
      </w:r>
    </w:p>
    <w:p w:rsidR="00FD0671" w:rsidRPr="003B0A7A" w:rsidRDefault="00FD0671" w:rsidP="00FD0671">
      <w:pPr>
        <w:keepLines w:val="0"/>
        <w:spacing w:before="0" w:after="120"/>
        <w:jc w:val="both"/>
        <w:rPr>
          <w:rFonts w:asciiTheme="minorHAnsi" w:eastAsia="Times New Roman" w:hAnsiTheme="minorHAnsi"/>
        </w:rPr>
      </w:pPr>
      <w:r w:rsidRPr="003B0A7A">
        <w:rPr>
          <w:rFonts w:asciiTheme="minorHAnsi" w:eastAsia="Times New Roman" w:hAnsiTheme="minorHAnsi" w:cs="Arial"/>
          <w:sz w:val="22"/>
          <w:szCs w:val="22"/>
        </w:rPr>
        <w:t xml:space="preserve">The age profile of respondents shows that during the </w:t>
      </w:r>
      <w:r>
        <w:rPr>
          <w:rFonts w:asciiTheme="minorHAnsi" w:eastAsia="Times New Roman" w:hAnsiTheme="minorHAnsi" w:cs="Arial"/>
          <w:sz w:val="22"/>
          <w:szCs w:val="22"/>
        </w:rPr>
        <w:t>September 2014</w:t>
      </w:r>
      <w:r w:rsidRPr="003B0A7A">
        <w:rPr>
          <w:rFonts w:asciiTheme="minorHAnsi" w:eastAsia="Times New Roman" w:hAnsiTheme="minorHAnsi" w:cs="Arial"/>
          <w:sz w:val="22"/>
          <w:szCs w:val="22"/>
        </w:rPr>
        <w:t xml:space="preserve"> quar</w:t>
      </w:r>
      <w:r>
        <w:rPr>
          <w:rFonts w:asciiTheme="minorHAnsi" w:eastAsia="Times New Roman" w:hAnsiTheme="minorHAnsi" w:cs="Arial"/>
          <w:sz w:val="22"/>
          <w:szCs w:val="22"/>
        </w:rPr>
        <w:t>ter people between the ages of 30-3</w:t>
      </w:r>
      <w:r w:rsidRPr="003B0A7A">
        <w:rPr>
          <w:rFonts w:asciiTheme="minorHAnsi" w:eastAsia="Times New Roman" w:hAnsiTheme="minorHAnsi" w:cs="Arial"/>
          <w:sz w:val="22"/>
          <w:szCs w:val="22"/>
        </w:rPr>
        <w:t>9 years volunteer</w:t>
      </w:r>
      <w:r>
        <w:rPr>
          <w:rFonts w:asciiTheme="minorHAnsi" w:eastAsia="Times New Roman" w:hAnsiTheme="minorHAnsi" w:cs="Arial"/>
          <w:sz w:val="22"/>
          <w:szCs w:val="22"/>
        </w:rPr>
        <w:t>ed the most, and those aged 10-1</w:t>
      </w:r>
      <w:r w:rsidRPr="003B0A7A">
        <w:rPr>
          <w:rFonts w:asciiTheme="minorHAnsi" w:eastAsia="Times New Roman" w:hAnsiTheme="minorHAnsi" w:cs="Arial"/>
          <w:sz w:val="22"/>
          <w:szCs w:val="22"/>
        </w:rPr>
        <w:t xml:space="preserve">9 years volunteered the least. </w:t>
      </w:r>
    </w:p>
    <w:p w:rsidR="00FD0671" w:rsidRPr="003B0A7A" w:rsidRDefault="00FD0671" w:rsidP="00FD0671">
      <w:pPr>
        <w:keepLines w:val="0"/>
        <w:spacing w:before="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 xml:space="preserve">When comparing the volunteering numbers of the </w:t>
      </w:r>
      <w:r>
        <w:rPr>
          <w:rFonts w:asciiTheme="minorHAnsi" w:eastAsia="Times New Roman" w:hAnsiTheme="minorHAnsi" w:cs="Arial"/>
          <w:sz w:val="22"/>
          <w:szCs w:val="22"/>
        </w:rPr>
        <w:t>September 2014</w:t>
      </w:r>
      <w:r w:rsidRPr="003B0A7A">
        <w:rPr>
          <w:rFonts w:asciiTheme="minorHAnsi" w:eastAsia="Times New Roman" w:hAnsiTheme="minorHAnsi" w:cs="Arial"/>
          <w:sz w:val="22"/>
          <w:szCs w:val="22"/>
        </w:rPr>
        <w:t xml:space="preserve"> quarter </w:t>
      </w:r>
      <w:r>
        <w:rPr>
          <w:rFonts w:asciiTheme="minorHAnsi" w:eastAsia="Times New Roman" w:hAnsiTheme="minorHAnsi" w:cs="Arial"/>
          <w:sz w:val="22"/>
          <w:szCs w:val="22"/>
        </w:rPr>
        <w:t>with the previous quarter, five</w:t>
      </w:r>
      <w:r w:rsidRPr="003B0A7A">
        <w:rPr>
          <w:rFonts w:asciiTheme="minorHAnsi" w:eastAsia="Times New Roman" w:hAnsiTheme="minorHAnsi" w:cs="Arial"/>
          <w:sz w:val="22"/>
          <w:szCs w:val="22"/>
        </w:rPr>
        <w:t xml:space="preserve"> age groupings saw a</w:t>
      </w:r>
      <w:r>
        <w:rPr>
          <w:rFonts w:asciiTheme="minorHAnsi" w:eastAsia="Times New Roman" w:hAnsiTheme="minorHAnsi" w:cs="Arial"/>
          <w:sz w:val="22"/>
          <w:szCs w:val="22"/>
        </w:rPr>
        <w:t>n in</w:t>
      </w:r>
      <w:r w:rsidRPr="003B0A7A">
        <w:rPr>
          <w:rFonts w:asciiTheme="minorHAnsi" w:eastAsia="Times New Roman" w:hAnsiTheme="minorHAnsi" w:cs="Arial"/>
          <w:sz w:val="22"/>
          <w:szCs w:val="22"/>
        </w:rPr>
        <w:t xml:space="preserve">crease in the percentage of those volunteering, </w:t>
      </w:r>
      <w:r>
        <w:rPr>
          <w:rFonts w:asciiTheme="minorHAnsi" w:eastAsia="Times New Roman" w:hAnsiTheme="minorHAnsi" w:cs="Arial"/>
          <w:sz w:val="22"/>
          <w:szCs w:val="22"/>
        </w:rPr>
        <w:t>while the remaining three saw decreases. The 20-2</w:t>
      </w:r>
      <w:r w:rsidRPr="003B0A7A">
        <w:rPr>
          <w:rFonts w:asciiTheme="minorHAnsi" w:eastAsia="Times New Roman" w:hAnsiTheme="minorHAnsi" w:cs="Arial"/>
          <w:sz w:val="22"/>
          <w:szCs w:val="22"/>
        </w:rPr>
        <w:t>9 age grouping saw the largest change occur with</w:t>
      </w:r>
      <w:r>
        <w:rPr>
          <w:rFonts w:asciiTheme="minorHAnsi" w:eastAsia="Times New Roman" w:hAnsiTheme="minorHAnsi" w:cs="Arial"/>
          <w:sz w:val="22"/>
          <w:szCs w:val="22"/>
        </w:rPr>
        <w:t xml:space="preserve"> around</w:t>
      </w:r>
      <w:r w:rsidRPr="003B0A7A">
        <w:rPr>
          <w:rFonts w:asciiTheme="minorHAnsi" w:eastAsia="Times New Roman" w:hAnsiTheme="minorHAnsi" w:cs="Arial"/>
          <w:sz w:val="22"/>
          <w:szCs w:val="22"/>
        </w:rPr>
        <w:t xml:space="preserve"> a 1</w:t>
      </w:r>
      <w:r>
        <w:rPr>
          <w:rFonts w:asciiTheme="minorHAnsi" w:eastAsia="Times New Roman" w:hAnsiTheme="minorHAnsi" w:cs="Arial"/>
          <w:sz w:val="22"/>
          <w:szCs w:val="22"/>
        </w:rPr>
        <w:t>2.0</w:t>
      </w:r>
      <w:r w:rsidRPr="003B0A7A">
        <w:rPr>
          <w:rFonts w:asciiTheme="minorHAnsi" w:eastAsia="Times New Roman" w:hAnsiTheme="minorHAnsi" w:cs="Arial"/>
          <w:sz w:val="22"/>
          <w:szCs w:val="22"/>
        </w:rPr>
        <w:t xml:space="preserve"> per cent increase in volunteering between quarters. </w:t>
      </w:r>
    </w:p>
    <w:p w:rsidR="00FD0671" w:rsidRPr="003B0A7A" w:rsidRDefault="00FD0671" w:rsidP="00FD0671">
      <w:pPr>
        <w:pStyle w:val="Heading3"/>
      </w:pPr>
      <w:r w:rsidRPr="003B0A7A">
        <w:t>Long-term trends</w:t>
      </w:r>
    </w:p>
    <w:p w:rsidR="00FD0671" w:rsidRPr="003B0A7A" w:rsidRDefault="00FD0671" w:rsidP="00FD0671">
      <w:pPr>
        <w:keepLines w:val="0"/>
        <w:spacing w:before="0" w:after="0"/>
        <w:jc w:val="both"/>
        <w:rPr>
          <w:rFonts w:asciiTheme="minorHAnsi" w:eastAsia="Times New Roman" w:hAnsiTheme="minorHAnsi" w:cs="Arial"/>
          <w:sz w:val="22"/>
        </w:rPr>
      </w:pPr>
      <w:r>
        <w:rPr>
          <w:rFonts w:asciiTheme="minorHAnsi" w:eastAsia="Times New Roman" w:hAnsiTheme="minorHAnsi" w:cs="Arial"/>
          <w:sz w:val="22"/>
        </w:rPr>
        <w:t>Over the previous five</w:t>
      </w:r>
      <w:r w:rsidRPr="003B0A7A">
        <w:rPr>
          <w:rFonts w:asciiTheme="minorHAnsi" w:eastAsia="Times New Roman" w:hAnsiTheme="minorHAnsi" w:cs="Arial"/>
          <w:sz w:val="22"/>
        </w:rPr>
        <w:t xml:space="preserve"> years, people between the ages of 40-49 have had the highest percentag</w:t>
      </w:r>
      <w:r>
        <w:rPr>
          <w:rFonts w:asciiTheme="minorHAnsi" w:eastAsia="Times New Roman" w:hAnsiTheme="minorHAnsi" w:cs="Arial"/>
          <w:sz w:val="22"/>
        </w:rPr>
        <w:t>e of volunteers for 11 of the 19</w:t>
      </w:r>
      <w:r w:rsidRPr="003B0A7A">
        <w:rPr>
          <w:rFonts w:asciiTheme="minorHAnsi" w:eastAsia="Times New Roman" w:hAnsiTheme="minorHAnsi" w:cs="Arial"/>
          <w:sz w:val="22"/>
        </w:rPr>
        <w:t xml:space="preserve"> quarters analysed. </w:t>
      </w:r>
    </w:p>
    <w:p w:rsidR="00FD0671" w:rsidRPr="003B0A7A" w:rsidRDefault="00FD0671" w:rsidP="00FD0671">
      <w:pPr>
        <w:keepLines w:val="0"/>
        <w:spacing w:before="0" w:after="0"/>
        <w:jc w:val="both"/>
        <w:rPr>
          <w:rFonts w:asciiTheme="minorHAnsi" w:eastAsia="Times New Roman" w:hAnsiTheme="minorHAnsi" w:cs="Arial"/>
          <w:sz w:val="22"/>
        </w:rPr>
      </w:pPr>
    </w:p>
    <w:p w:rsidR="00FD0671" w:rsidRPr="003B0A7A" w:rsidRDefault="00FD0671" w:rsidP="00FD0671">
      <w:pPr>
        <w:keepLines w:val="0"/>
        <w:spacing w:before="0" w:after="0"/>
        <w:jc w:val="both"/>
        <w:rPr>
          <w:rFonts w:asciiTheme="minorHAnsi" w:eastAsia="Times New Roman" w:hAnsiTheme="minorHAnsi" w:cs="Arial"/>
          <w:sz w:val="22"/>
        </w:rPr>
      </w:pPr>
      <w:r>
        <w:rPr>
          <w:rFonts w:asciiTheme="minorHAnsi" w:eastAsia="Times New Roman" w:hAnsiTheme="minorHAnsi" w:cs="Arial"/>
          <w:sz w:val="22"/>
        </w:rPr>
        <w:t>In comparison</w:t>
      </w:r>
      <w:r w:rsidRPr="003B0A7A">
        <w:rPr>
          <w:rFonts w:asciiTheme="minorHAnsi" w:eastAsia="Times New Roman" w:hAnsiTheme="minorHAnsi" w:cs="Arial"/>
          <w:sz w:val="22"/>
        </w:rPr>
        <w:t>, people between the ages of 10-19 have had the lowest</w:t>
      </w:r>
      <w:r>
        <w:rPr>
          <w:rFonts w:asciiTheme="minorHAnsi" w:eastAsia="Times New Roman" w:hAnsiTheme="minorHAnsi" w:cs="Arial"/>
          <w:sz w:val="22"/>
        </w:rPr>
        <w:t xml:space="preserve"> percentage of volunteers for 16 of the 19</w:t>
      </w:r>
      <w:r w:rsidRPr="003B0A7A">
        <w:rPr>
          <w:rFonts w:asciiTheme="minorHAnsi" w:eastAsia="Times New Roman" w:hAnsiTheme="minorHAnsi" w:cs="Arial"/>
          <w:sz w:val="22"/>
        </w:rPr>
        <w:t xml:space="preserve"> quarters analysed.</w:t>
      </w: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Pr="003B0A7A" w:rsidRDefault="00FD0671" w:rsidP="00FD0671">
      <w:pPr>
        <w:keepLines w:val="0"/>
        <w:spacing w:before="0" w:after="0"/>
        <w:rPr>
          <w:rFonts w:asciiTheme="minorHAnsi" w:eastAsia="Times New Roman" w:hAnsiTheme="minorHAnsi"/>
        </w:rPr>
      </w:pPr>
    </w:p>
    <w:p w:rsidR="00FD0671" w:rsidRDefault="00FD0671" w:rsidP="00FD0671">
      <w:pPr>
        <w:keepLines w:val="0"/>
        <w:rPr>
          <w:rFonts w:asciiTheme="minorHAnsi" w:eastAsia="Times New Roman" w:hAnsiTheme="minorHAnsi"/>
          <w:noProof/>
          <w:lang w:eastAsia="en-NZ"/>
        </w:rPr>
      </w:pPr>
      <w:r>
        <w:rPr>
          <w:rFonts w:asciiTheme="minorHAnsi" w:eastAsia="Times New Roman" w:hAnsiTheme="minorHAnsi"/>
          <w:noProof/>
          <w:lang w:eastAsia="en-NZ"/>
        </w:rPr>
        <w:br w:type="page"/>
      </w:r>
    </w:p>
    <w:p w:rsidR="00FD0671" w:rsidRPr="003B0A7A" w:rsidRDefault="00FD0671" w:rsidP="00FD0671">
      <w:pPr>
        <w:keepLines w:val="0"/>
        <w:spacing w:before="0" w:after="0"/>
        <w:jc w:val="center"/>
        <w:rPr>
          <w:rFonts w:asciiTheme="minorHAnsi" w:eastAsia="Times New Roman" w:hAnsiTheme="minorHAnsi"/>
        </w:rPr>
      </w:pPr>
      <w:r>
        <w:rPr>
          <w:noProof/>
          <w:lang w:eastAsia="en-NZ"/>
        </w:rPr>
        <w:lastRenderedPageBreak/>
        <w:drawing>
          <wp:inline distT="0" distB="0" distL="0" distR="0" wp14:anchorId="154929C4" wp14:editId="32D3F0F0">
            <wp:extent cx="5760085" cy="320167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0671" w:rsidRPr="003B0A7A" w:rsidRDefault="00FD0671" w:rsidP="00FD0671">
      <w:pPr>
        <w:keepLines w:val="0"/>
        <w:spacing w:before="0" w:after="120"/>
        <w:rPr>
          <w:rFonts w:asciiTheme="minorHAnsi" w:eastAsia="Times New Roman" w:hAnsiTheme="minorHAnsi"/>
        </w:rPr>
      </w:pPr>
    </w:p>
    <w:p w:rsidR="00FD0671" w:rsidRPr="003B0A7A" w:rsidRDefault="00FD0671" w:rsidP="00FD0671">
      <w:pPr>
        <w:pStyle w:val="Heading2"/>
      </w:pPr>
      <w:r w:rsidRPr="003B0A7A">
        <w:t>Ethnicity and Volunteering</w:t>
      </w:r>
    </w:p>
    <w:p w:rsidR="00FD0671" w:rsidRPr="003B0A7A" w:rsidRDefault="00FD0671" w:rsidP="00FD0671">
      <w:pPr>
        <w:keepLines w:val="0"/>
        <w:spacing w:before="0" w:after="120"/>
        <w:rPr>
          <w:rFonts w:asciiTheme="minorHAnsi" w:eastAsia="Times New Roman" w:hAnsiTheme="minorHAnsi" w:cs="Arial"/>
          <w:sz w:val="22"/>
          <w:szCs w:val="22"/>
        </w:rPr>
      </w:pPr>
      <w:r w:rsidRPr="003B0A7A">
        <w:rPr>
          <w:rFonts w:asciiTheme="minorHAnsi" w:eastAsia="Times New Roman" w:hAnsiTheme="minorHAnsi" w:cs="Arial"/>
          <w:sz w:val="22"/>
          <w:szCs w:val="22"/>
        </w:rPr>
        <w:t xml:space="preserve">The ethnic profile of respondents who volunteered during the </w:t>
      </w:r>
      <w:r>
        <w:rPr>
          <w:rFonts w:asciiTheme="minorHAnsi" w:eastAsia="Times New Roman" w:hAnsiTheme="minorHAnsi" w:cs="Arial"/>
          <w:sz w:val="22"/>
          <w:szCs w:val="22"/>
        </w:rPr>
        <w:t>September</w:t>
      </w:r>
      <w:r w:rsidRPr="003B0A7A">
        <w:rPr>
          <w:rFonts w:asciiTheme="minorHAnsi" w:eastAsia="Times New Roman" w:hAnsiTheme="minorHAnsi" w:cs="Arial"/>
          <w:sz w:val="22"/>
          <w:szCs w:val="22"/>
        </w:rPr>
        <w:t xml:space="preserve"> 201</w:t>
      </w:r>
      <w:r>
        <w:rPr>
          <w:rFonts w:asciiTheme="minorHAnsi" w:eastAsia="Times New Roman" w:hAnsiTheme="minorHAnsi" w:cs="Arial"/>
          <w:sz w:val="22"/>
          <w:szCs w:val="22"/>
        </w:rPr>
        <w:t>4</w:t>
      </w:r>
      <w:r w:rsidRPr="003B0A7A">
        <w:rPr>
          <w:rFonts w:asciiTheme="minorHAnsi" w:eastAsia="Times New Roman" w:hAnsiTheme="minorHAnsi" w:cs="Arial"/>
          <w:sz w:val="22"/>
          <w:szCs w:val="22"/>
        </w:rPr>
        <w:t xml:space="preserve"> quarter roughly aligns with the ethnic profile of Statistics New Zealand’s Projected Ethnic Population.</w:t>
      </w:r>
      <w:r w:rsidRPr="003B0A7A">
        <w:rPr>
          <w:rFonts w:asciiTheme="minorHAnsi" w:eastAsia="Times New Roman" w:hAnsiTheme="minorHAnsi" w:cs="Arial"/>
          <w:sz w:val="20"/>
          <w:szCs w:val="2"/>
          <w:vertAlign w:val="superscript"/>
        </w:rPr>
        <w:footnoteReference w:id="2"/>
      </w:r>
      <w:r w:rsidRPr="003B0A7A">
        <w:rPr>
          <w:rFonts w:asciiTheme="minorHAnsi" w:eastAsia="Times New Roman" w:hAnsiTheme="minorHAnsi" w:cs="Arial"/>
          <w:sz w:val="52"/>
          <w:szCs w:val="22"/>
        </w:rPr>
        <w:t xml:space="preserve"> </w:t>
      </w:r>
      <w:r w:rsidRPr="003B0A7A">
        <w:rPr>
          <w:rFonts w:asciiTheme="minorHAnsi" w:eastAsia="Times New Roman" w:hAnsiTheme="minorHAnsi" w:cs="Arial"/>
          <w:sz w:val="22"/>
          <w:szCs w:val="22"/>
        </w:rPr>
        <w:t xml:space="preserve">This means the ethnic profile of New Zealand volunteers in the survey is therefore similar to the ethnic profile of the wider New Zealand population. </w:t>
      </w:r>
    </w:p>
    <w:p w:rsidR="00FD0671" w:rsidRDefault="00FD0671" w:rsidP="00FD0671">
      <w:pPr>
        <w:keepLines w:val="0"/>
        <w:spacing w:before="0" w:after="200"/>
        <w:jc w:val="both"/>
        <w:rPr>
          <w:rFonts w:asciiTheme="minorHAnsi" w:eastAsia="Times New Roman" w:hAnsiTheme="minorHAnsi" w:cs="Arial"/>
          <w:sz w:val="22"/>
          <w:szCs w:val="22"/>
        </w:rPr>
      </w:pPr>
      <w:r w:rsidRPr="003B0A7A">
        <w:rPr>
          <w:rFonts w:asciiTheme="minorHAnsi" w:eastAsia="Times New Roman" w:hAnsiTheme="minorHAnsi" w:cs="Arial"/>
          <w:sz w:val="22"/>
          <w:szCs w:val="22"/>
        </w:rPr>
        <w:t xml:space="preserve">It is important to note that different cultures may define 'volunteering' in a variety of ways. For example, Māori define </w:t>
      </w:r>
      <w:r w:rsidRPr="003B0A7A">
        <w:rPr>
          <w:rFonts w:asciiTheme="minorHAnsi" w:eastAsia="Times New Roman" w:hAnsiTheme="minorHAnsi" w:cs="Arial"/>
          <w:color w:val="121212"/>
          <w:sz w:val="22"/>
          <w:szCs w:val="22"/>
        </w:rPr>
        <w:t>mahi aroha as the unpaid activity performed in accordance with cultural obligations and the principles of tikanga. Pacific Peoples and other cultural groups may also not consider the unpaid work they do in their communities to be volunteering. Volunteering figures may therefore be under-reported for some ethnic groups.</w:t>
      </w:r>
      <w:r w:rsidRPr="003B0A7A">
        <w:rPr>
          <w:rFonts w:asciiTheme="minorHAnsi" w:eastAsia="Times New Roman" w:hAnsiTheme="minorHAnsi" w:cs="Arial"/>
          <w:sz w:val="20"/>
          <w:szCs w:val="20"/>
          <w:vertAlign w:val="superscript"/>
        </w:rPr>
        <w:footnoteReference w:id="3"/>
      </w:r>
    </w:p>
    <w:p w:rsidR="00FD0671" w:rsidRDefault="00FD0671" w:rsidP="00FD0671">
      <w:pPr>
        <w:rPr>
          <w:rFonts w:asciiTheme="minorHAnsi" w:eastAsia="Times New Roman" w:hAnsiTheme="minorHAnsi" w:cs="Arial"/>
          <w:sz w:val="22"/>
          <w:szCs w:val="22"/>
        </w:rPr>
        <w:sectPr w:rsidR="00FD0671" w:rsidSect="00CF4BE3">
          <w:headerReference w:type="default" r:id="rId16"/>
          <w:footerReference w:type="default" r:id="rId17"/>
          <w:pgSz w:w="11907" w:h="16840" w:code="9"/>
          <w:pgMar w:top="1418" w:right="1418" w:bottom="992" w:left="1418" w:header="425" w:footer="635" w:gutter="0"/>
          <w:cols w:space="708"/>
          <w:docGrid w:linePitch="360"/>
        </w:sectPr>
      </w:pPr>
    </w:p>
    <w:p w:rsidR="00FD0671" w:rsidRDefault="00FD0671" w:rsidP="00FD0671">
      <w:pPr>
        <w:pStyle w:val="Heading3"/>
      </w:pPr>
      <w:r>
        <w:lastRenderedPageBreak/>
        <w:t>Quarterly Volunteering and Donating Indicators</w:t>
      </w:r>
    </w:p>
    <w:p w:rsidR="00FD0671" w:rsidRPr="002B17BF" w:rsidRDefault="00FD0671" w:rsidP="00FD0671">
      <w:r>
        <w:t>March 2010 – September 2014</w:t>
      </w:r>
    </w:p>
    <w:p w:rsidR="002777D8" w:rsidRPr="002777D8" w:rsidRDefault="00FD0671" w:rsidP="002777D8">
      <w:r>
        <w:rPr>
          <w:noProof/>
          <w:lang w:eastAsia="en-NZ"/>
        </w:rPr>
        <w:drawing>
          <wp:inline distT="0" distB="0" distL="0" distR="0" wp14:anchorId="7D635701" wp14:editId="670DAAC9">
            <wp:extent cx="9163050" cy="491220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63050" cy="4912202"/>
                    </a:xfrm>
                    <a:prstGeom prst="rect">
                      <a:avLst/>
                    </a:prstGeom>
                    <a:noFill/>
                    <a:ln>
                      <a:noFill/>
                    </a:ln>
                  </pic:spPr>
                </pic:pic>
              </a:graphicData>
            </a:graphic>
          </wp:inline>
        </w:drawing>
      </w:r>
    </w:p>
    <w:sectPr w:rsidR="002777D8" w:rsidRPr="002777D8" w:rsidSect="00FD0671">
      <w:headerReference w:type="default" r:id="rId19"/>
      <w:footerReference w:type="default" r:id="rId20"/>
      <w:pgSz w:w="16840" w:h="11907" w:orient="landscape" w:code="9"/>
      <w:pgMar w:top="1418" w:right="1418" w:bottom="1418" w:left="992"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671" w:rsidRDefault="00FD0671">
      <w:r>
        <w:separator/>
      </w:r>
    </w:p>
    <w:p w:rsidR="00FD0671" w:rsidRDefault="00FD0671"/>
    <w:p w:rsidR="00FD0671" w:rsidRDefault="00FD0671"/>
  </w:endnote>
  <w:endnote w:type="continuationSeparator" w:id="0">
    <w:p w:rsidR="00FD0671" w:rsidRDefault="00FD0671">
      <w:r>
        <w:continuationSeparator/>
      </w:r>
    </w:p>
    <w:p w:rsidR="00FD0671" w:rsidRDefault="00FD0671"/>
    <w:p w:rsidR="00FD0671" w:rsidRDefault="00FD06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unga">
    <w:panose1 w:val="020B0802040204020203"/>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671" w:rsidRDefault="00FD0671" w:rsidP="00525E69">
    <w:pPr>
      <w:pStyle w:val="Footer"/>
      <w:tabs>
        <w:tab w:val="right" w:pos="9071"/>
      </w:tabs>
      <w:ind w:right="-1"/>
    </w:pPr>
    <w:r>
      <w:tab/>
      <w:t xml:space="preserve">Page </w:t>
    </w:r>
    <w:r>
      <w:fldChar w:fldCharType="begin"/>
    </w:r>
    <w:r>
      <w:instrText xml:space="preserve"> PAGE  \* Arabic  \* MERGEFORMAT </w:instrText>
    </w:r>
    <w:r>
      <w:fldChar w:fldCharType="separate"/>
    </w:r>
    <w:r w:rsidR="00CE5504">
      <w:rPr>
        <w:noProof/>
      </w:rPr>
      <w:t>2</w:t>
    </w:r>
    <w:r>
      <w:fldChar w:fldCharType="end"/>
    </w:r>
    <w:r>
      <w:t xml:space="preserve"> of </w:t>
    </w:r>
    <w:fldSimple w:instr=" NUMPAGES   \* MERGEFORMAT ">
      <w:r w:rsidR="00CE5504">
        <w:rPr>
          <w:noProof/>
        </w:rPr>
        <w:t>8</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14C" w:rsidRDefault="004B214C"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CE5504">
      <w:rPr>
        <w:noProof/>
      </w:rPr>
      <w:t>8</w:t>
    </w:r>
    <w:r>
      <w:fldChar w:fldCharType="end"/>
    </w:r>
    <w:r>
      <w:t xml:space="preserve"> of </w:t>
    </w:r>
    <w:r w:rsidR="00CE5504">
      <w:fldChar w:fldCharType="begin"/>
    </w:r>
    <w:r w:rsidR="00CE5504">
      <w:instrText xml:space="preserve"> NUMPAGES   \* MERGEFORMAT </w:instrText>
    </w:r>
    <w:r w:rsidR="00CE5504">
      <w:fldChar w:fldCharType="separate"/>
    </w:r>
    <w:r w:rsidR="00CE5504">
      <w:rPr>
        <w:noProof/>
      </w:rPr>
      <w:t>8</w:t>
    </w:r>
    <w:r w:rsidR="00CE55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671" w:rsidRDefault="00FD0671" w:rsidP="00FB1990">
      <w:pPr>
        <w:pStyle w:val="Spacer"/>
      </w:pPr>
      <w:r>
        <w:separator/>
      </w:r>
    </w:p>
    <w:p w:rsidR="00FD0671" w:rsidRDefault="00FD0671" w:rsidP="00FB1990">
      <w:pPr>
        <w:pStyle w:val="Spacer"/>
      </w:pPr>
    </w:p>
  </w:footnote>
  <w:footnote w:type="continuationSeparator" w:id="0">
    <w:p w:rsidR="00FD0671" w:rsidRDefault="00FD0671">
      <w:r>
        <w:continuationSeparator/>
      </w:r>
    </w:p>
    <w:p w:rsidR="00FD0671" w:rsidRDefault="00FD0671"/>
    <w:p w:rsidR="00FD0671" w:rsidRDefault="00FD0671"/>
  </w:footnote>
  <w:footnote w:id="1">
    <w:p w:rsidR="00FD0671" w:rsidRPr="00C41981" w:rsidRDefault="00FD0671" w:rsidP="00FD0671">
      <w:pPr>
        <w:pStyle w:val="FootnoteText"/>
        <w:rPr>
          <w:rFonts w:ascii="Arial" w:hAnsi="Arial" w:cs="Arial"/>
          <w:i/>
          <w:sz w:val="16"/>
        </w:rPr>
      </w:pPr>
      <w:r w:rsidRPr="00C41981">
        <w:rPr>
          <w:rStyle w:val="FootnoteReference"/>
          <w:rFonts w:ascii="Arial" w:hAnsi="Arial" w:cs="Arial"/>
        </w:rPr>
        <w:footnoteRef/>
      </w:r>
      <w:r w:rsidRPr="00C41981">
        <w:rPr>
          <w:rFonts w:ascii="Arial" w:hAnsi="Arial" w:cs="Arial"/>
        </w:rPr>
        <w:t xml:space="preserve"> </w:t>
      </w:r>
      <w:r>
        <w:rPr>
          <w:rFonts w:ascii="Arial" w:hAnsi="Arial" w:cs="Arial"/>
          <w:sz w:val="16"/>
        </w:rPr>
        <w:t xml:space="preserve">Statistics New Zealand (13 August 2013), </w:t>
      </w:r>
      <w:r>
        <w:rPr>
          <w:rFonts w:ascii="Arial" w:hAnsi="Arial" w:cs="Arial"/>
          <w:i/>
          <w:sz w:val="16"/>
        </w:rPr>
        <w:t>New Zealand General Social Survey: 2012.</w:t>
      </w:r>
    </w:p>
  </w:footnote>
  <w:footnote w:id="2">
    <w:p w:rsidR="00FD0671" w:rsidRPr="006C1179" w:rsidRDefault="00FD0671" w:rsidP="00FD0671">
      <w:pPr>
        <w:jc w:val="both"/>
        <w:rPr>
          <w:rFonts w:asciiTheme="minorHAnsi" w:hAnsiTheme="minorHAnsi" w:cs="Arial"/>
          <w:sz w:val="20"/>
          <w:szCs w:val="20"/>
        </w:rPr>
      </w:pPr>
      <w:r w:rsidRPr="006C1179">
        <w:rPr>
          <w:rStyle w:val="FootnoteReference"/>
          <w:rFonts w:asciiTheme="minorHAnsi" w:hAnsiTheme="minorHAnsi" w:cs="Arial"/>
          <w:sz w:val="20"/>
          <w:szCs w:val="20"/>
        </w:rPr>
        <w:footnoteRef/>
      </w:r>
      <w:r w:rsidRPr="006C1179">
        <w:rPr>
          <w:rFonts w:asciiTheme="minorHAnsi" w:hAnsiTheme="minorHAnsi" w:cs="Arial"/>
          <w:sz w:val="20"/>
          <w:szCs w:val="20"/>
        </w:rPr>
        <w:t xml:space="preserve"> </w:t>
      </w:r>
      <w:r w:rsidRPr="006C1179">
        <w:rPr>
          <w:rFonts w:asciiTheme="minorHAnsi" w:hAnsiTheme="minorHAnsi" w:cs="Arial"/>
          <w:sz w:val="16"/>
          <w:szCs w:val="16"/>
        </w:rPr>
        <w:t xml:space="preserve">“Projected Ethnic Population of New Zealand, by Age and Sex ” </w:t>
      </w:r>
      <w:r w:rsidRPr="006C1179">
        <w:rPr>
          <w:rFonts w:asciiTheme="minorHAnsi" w:hAnsiTheme="minorHAnsi" w:cs="Arial"/>
          <w:i/>
          <w:sz w:val="16"/>
          <w:szCs w:val="16"/>
        </w:rPr>
        <w:t>Statistics New Zealand’s Projected Population Estimates, 2006 (base) – 2026</w:t>
      </w:r>
      <w:r w:rsidRPr="006C1179">
        <w:rPr>
          <w:rFonts w:asciiTheme="minorHAnsi" w:hAnsiTheme="minorHAnsi" w:cs="Arial"/>
          <w:sz w:val="16"/>
          <w:szCs w:val="16"/>
        </w:rPr>
        <w:t>.</w:t>
      </w:r>
    </w:p>
  </w:footnote>
  <w:footnote w:id="3">
    <w:p w:rsidR="00FD0671" w:rsidRPr="004B74DB" w:rsidRDefault="00FD0671" w:rsidP="00FD0671">
      <w:pPr>
        <w:pStyle w:val="FootnoteText"/>
        <w:jc w:val="both"/>
        <w:rPr>
          <w:rFonts w:ascii="Arial" w:hAnsi="Arial" w:cs="Arial"/>
          <w:sz w:val="16"/>
          <w:szCs w:val="16"/>
        </w:rPr>
      </w:pPr>
      <w:r w:rsidRPr="006C1179">
        <w:rPr>
          <w:rStyle w:val="FootnoteReference"/>
          <w:rFonts w:asciiTheme="minorHAnsi" w:hAnsiTheme="minorHAnsi" w:cs="Arial"/>
        </w:rPr>
        <w:footnoteRef/>
      </w:r>
      <w:r w:rsidRPr="006C1179">
        <w:rPr>
          <w:rFonts w:asciiTheme="minorHAnsi" w:hAnsiTheme="minorHAnsi" w:cs="Arial"/>
        </w:rPr>
        <w:t xml:space="preserve"> </w:t>
      </w:r>
      <w:r w:rsidRPr="006C1179">
        <w:rPr>
          <w:rFonts w:asciiTheme="minorHAnsi" w:hAnsiTheme="minorHAnsi" w:cs="Arial"/>
          <w:sz w:val="16"/>
          <w:szCs w:val="16"/>
          <w:lang w:eastAsia="en-NZ"/>
        </w:rPr>
        <w:t xml:space="preserve">Office for the Community and Voluntary Sector (2007). </w:t>
      </w:r>
      <w:r w:rsidRPr="006C1179">
        <w:rPr>
          <w:rFonts w:asciiTheme="minorHAnsi" w:hAnsiTheme="minorHAnsi" w:cs="Arial"/>
          <w:i/>
          <w:sz w:val="16"/>
          <w:szCs w:val="16"/>
          <w:lang w:eastAsia="en-NZ"/>
        </w:rPr>
        <w:t>Mahi Aroha: Maori Perspectives on Volunteering and Cultural Obligations.</w:t>
      </w:r>
      <w:r w:rsidRPr="006C1179">
        <w:rPr>
          <w:rFonts w:asciiTheme="minorHAnsi" w:hAnsiTheme="minorHAnsi"/>
        </w:rPr>
        <w:t xml:space="preserve"> </w:t>
      </w:r>
      <w:hyperlink r:id="rId1" w:history="1">
        <w:r w:rsidRPr="006C1179">
          <w:rPr>
            <w:rStyle w:val="Hyperlink"/>
            <w:rFonts w:asciiTheme="minorHAnsi" w:hAnsiTheme="minorHAnsi" w:cs="Arial"/>
            <w:i/>
            <w:sz w:val="16"/>
            <w:szCs w:val="16"/>
            <w:lang w:eastAsia="en-NZ"/>
          </w:rPr>
          <w:t>http://www.ocvs.govt.nz/documents/work-pragramme/encouraging-participation/volunteering-research/mahi-aroha.pdf</w:t>
        </w:r>
      </w:hyperlink>
      <w:r>
        <w:rPr>
          <w:rFonts w:ascii="Arial" w:hAnsi="Arial" w:cs="Arial"/>
          <w:i/>
          <w:sz w:val="16"/>
          <w:szCs w:val="16"/>
          <w:lang w:eastAsia="en-NZ"/>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671" w:rsidRDefault="00FD0671" w:rsidP="00460B3F">
    <w:pPr>
      <w:pStyle w:val="Header"/>
      <w:tabs>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14C" w:rsidRDefault="004B214C" w:rsidP="00460B3F">
    <w:pPr>
      <w:pStyle w:val="Header"/>
      <w:tabs>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48D71284"/>
    <w:multiLevelType w:val="hybridMultilevel"/>
    <w:tmpl w:val="2F448C70"/>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16">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1">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2">
    <w:nsid w:val="678702E6"/>
    <w:multiLevelType w:val="hybridMultilevel"/>
    <w:tmpl w:val="DC94A4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4">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5">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7"/>
  </w:num>
  <w:num w:numId="8">
    <w:abstractNumId w:val="18"/>
  </w:num>
  <w:num w:numId="9">
    <w:abstractNumId w:val="14"/>
  </w:num>
  <w:num w:numId="10">
    <w:abstractNumId w:val="10"/>
  </w:num>
  <w:num w:numId="11">
    <w:abstractNumId w:val="19"/>
  </w:num>
  <w:num w:numId="12">
    <w:abstractNumId w:val="21"/>
  </w:num>
  <w:num w:numId="13">
    <w:abstractNumId w:val="24"/>
  </w:num>
  <w:num w:numId="14">
    <w:abstractNumId w:val="7"/>
  </w:num>
  <w:num w:numId="15">
    <w:abstractNumId w:val="12"/>
  </w:num>
  <w:num w:numId="16">
    <w:abstractNumId w:val="25"/>
  </w:num>
  <w:num w:numId="17">
    <w:abstractNumId w:val="23"/>
  </w:num>
  <w:num w:numId="18">
    <w:abstractNumId w:val="20"/>
  </w:num>
  <w:num w:numId="19">
    <w:abstractNumId w:val="16"/>
  </w:num>
  <w:num w:numId="20">
    <w:abstractNumId w:val="13"/>
  </w:num>
  <w:num w:numId="21">
    <w:abstractNumId w:val="9"/>
  </w:num>
  <w:num w:numId="22">
    <w:abstractNumId w:val="6"/>
  </w:num>
  <w:num w:numId="23">
    <w:abstractNumId w:val="11"/>
  </w:num>
  <w:num w:numId="24">
    <w:abstractNumId w:val="8"/>
  </w:num>
  <w:num w:numId="25">
    <w:abstractNumId w:val="15"/>
  </w:num>
  <w:num w:numId="2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4097"/>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671"/>
    <w:rsid w:val="00003360"/>
    <w:rsid w:val="00003FC7"/>
    <w:rsid w:val="00005919"/>
    <w:rsid w:val="00007C42"/>
    <w:rsid w:val="00015020"/>
    <w:rsid w:val="0001647B"/>
    <w:rsid w:val="00020010"/>
    <w:rsid w:val="00034673"/>
    <w:rsid w:val="00036671"/>
    <w:rsid w:val="00037226"/>
    <w:rsid w:val="000409E2"/>
    <w:rsid w:val="00044EA1"/>
    <w:rsid w:val="00054574"/>
    <w:rsid w:val="0005649A"/>
    <w:rsid w:val="00063BB2"/>
    <w:rsid w:val="00065F18"/>
    <w:rsid w:val="00067005"/>
    <w:rsid w:val="00076035"/>
    <w:rsid w:val="00077013"/>
    <w:rsid w:val="00091C3A"/>
    <w:rsid w:val="000B5151"/>
    <w:rsid w:val="000D61F6"/>
    <w:rsid w:val="000E3240"/>
    <w:rsid w:val="000E677B"/>
    <w:rsid w:val="000F4ADF"/>
    <w:rsid w:val="000F61AF"/>
    <w:rsid w:val="0010171C"/>
    <w:rsid w:val="00102FAD"/>
    <w:rsid w:val="00121870"/>
    <w:rsid w:val="00126FDE"/>
    <w:rsid w:val="0013703F"/>
    <w:rsid w:val="00140ED2"/>
    <w:rsid w:val="00143E7C"/>
    <w:rsid w:val="0014415C"/>
    <w:rsid w:val="0014565E"/>
    <w:rsid w:val="001536C9"/>
    <w:rsid w:val="0016433D"/>
    <w:rsid w:val="00184C0F"/>
    <w:rsid w:val="001A5F55"/>
    <w:rsid w:val="001C0031"/>
    <w:rsid w:val="001C0C30"/>
    <w:rsid w:val="001D0111"/>
    <w:rsid w:val="001D7EAE"/>
    <w:rsid w:val="001E64FC"/>
    <w:rsid w:val="001F0724"/>
    <w:rsid w:val="002007DF"/>
    <w:rsid w:val="00205FE8"/>
    <w:rsid w:val="00206BA3"/>
    <w:rsid w:val="00215160"/>
    <w:rsid w:val="002224B4"/>
    <w:rsid w:val="00226D5E"/>
    <w:rsid w:val="00237A3D"/>
    <w:rsid w:val="00240E83"/>
    <w:rsid w:val="002502D1"/>
    <w:rsid w:val="00260A17"/>
    <w:rsid w:val="00270EEC"/>
    <w:rsid w:val="002777D8"/>
    <w:rsid w:val="002806A2"/>
    <w:rsid w:val="00297CC7"/>
    <w:rsid w:val="002A194F"/>
    <w:rsid w:val="002A4BD9"/>
    <w:rsid w:val="002A4FE7"/>
    <w:rsid w:val="002B1CEB"/>
    <w:rsid w:val="002D3125"/>
    <w:rsid w:val="002D4F42"/>
    <w:rsid w:val="0030084C"/>
    <w:rsid w:val="003039E1"/>
    <w:rsid w:val="003129BA"/>
    <w:rsid w:val="003148FC"/>
    <w:rsid w:val="0032132E"/>
    <w:rsid w:val="00330820"/>
    <w:rsid w:val="003465C8"/>
    <w:rsid w:val="0037016B"/>
    <w:rsid w:val="00370FC0"/>
    <w:rsid w:val="00373206"/>
    <w:rsid w:val="003737ED"/>
    <w:rsid w:val="00375B80"/>
    <w:rsid w:val="00377352"/>
    <w:rsid w:val="003A10DA"/>
    <w:rsid w:val="003A12C8"/>
    <w:rsid w:val="003A6FFE"/>
    <w:rsid w:val="003A7695"/>
    <w:rsid w:val="003B3A23"/>
    <w:rsid w:val="003B6592"/>
    <w:rsid w:val="003C772C"/>
    <w:rsid w:val="003F2B58"/>
    <w:rsid w:val="003F5886"/>
    <w:rsid w:val="0040020C"/>
    <w:rsid w:val="00401CA0"/>
    <w:rsid w:val="0040700B"/>
    <w:rsid w:val="00407F54"/>
    <w:rsid w:val="00411341"/>
    <w:rsid w:val="00413966"/>
    <w:rsid w:val="00415015"/>
    <w:rsid w:val="00415CDB"/>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A5823"/>
    <w:rsid w:val="004B0AAF"/>
    <w:rsid w:val="004B214C"/>
    <w:rsid w:val="004B3924"/>
    <w:rsid w:val="004C4DDD"/>
    <w:rsid w:val="004C5F40"/>
    <w:rsid w:val="004C6953"/>
    <w:rsid w:val="004C7001"/>
    <w:rsid w:val="004D1706"/>
    <w:rsid w:val="004D243F"/>
    <w:rsid w:val="004D7473"/>
    <w:rsid w:val="004F2E8A"/>
    <w:rsid w:val="004F55E1"/>
    <w:rsid w:val="00501C4B"/>
    <w:rsid w:val="005028A7"/>
    <w:rsid w:val="005078B7"/>
    <w:rsid w:val="00510D73"/>
    <w:rsid w:val="00512ACB"/>
    <w:rsid w:val="0052216D"/>
    <w:rsid w:val="00526115"/>
    <w:rsid w:val="00533FAF"/>
    <w:rsid w:val="005366B6"/>
    <w:rsid w:val="00554BCD"/>
    <w:rsid w:val="00555F60"/>
    <w:rsid w:val="005605A5"/>
    <w:rsid w:val="00560B3C"/>
    <w:rsid w:val="00561A97"/>
    <w:rsid w:val="00563DAC"/>
    <w:rsid w:val="005675E0"/>
    <w:rsid w:val="00570A71"/>
    <w:rsid w:val="00570C00"/>
    <w:rsid w:val="00576AAA"/>
    <w:rsid w:val="0058206B"/>
    <w:rsid w:val="00585690"/>
    <w:rsid w:val="00594AAA"/>
    <w:rsid w:val="00595B33"/>
    <w:rsid w:val="0059662F"/>
    <w:rsid w:val="005B7254"/>
    <w:rsid w:val="005D3066"/>
    <w:rsid w:val="005E4B13"/>
    <w:rsid w:val="005E4C02"/>
    <w:rsid w:val="005F01DF"/>
    <w:rsid w:val="005F76CC"/>
    <w:rsid w:val="005F7FF8"/>
    <w:rsid w:val="006004C4"/>
    <w:rsid w:val="00600CA4"/>
    <w:rsid w:val="00602416"/>
    <w:rsid w:val="006025CE"/>
    <w:rsid w:val="006041F2"/>
    <w:rsid w:val="006064F5"/>
    <w:rsid w:val="00617298"/>
    <w:rsid w:val="00637753"/>
    <w:rsid w:val="00660CE4"/>
    <w:rsid w:val="00662716"/>
    <w:rsid w:val="00676C9F"/>
    <w:rsid w:val="00677B13"/>
    <w:rsid w:val="00677F4E"/>
    <w:rsid w:val="00681A08"/>
    <w:rsid w:val="00685ECF"/>
    <w:rsid w:val="006875B8"/>
    <w:rsid w:val="00687CEA"/>
    <w:rsid w:val="00694E01"/>
    <w:rsid w:val="00695171"/>
    <w:rsid w:val="00695B75"/>
    <w:rsid w:val="006A1A95"/>
    <w:rsid w:val="006A38B7"/>
    <w:rsid w:val="006A5C31"/>
    <w:rsid w:val="006B1CB2"/>
    <w:rsid w:val="006B1DD1"/>
    <w:rsid w:val="006B3396"/>
    <w:rsid w:val="006B4FE7"/>
    <w:rsid w:val="006C195E"/>
    <w:rsid w:val="006D638F"/>
    <w:rsid w:val="006D7384"/>
    <w:rsid w:val="006E7BF7"/>
    <w:rsid w:val="00702F2C"/>
    <w:rsid w:val="007068C8"/>
    <w:rsid w:val="00715B8F"/>
    <w:rsid w:val="0073106E"/>
    <w:rsid w:val="00755142"/>
    <w:rsid w:val="00756BB7"/>
    <w:rsid w:val="0075764B"/>
    <w:rsid w:val="00760C01"/>
    <w:rsid w:val="00761293"/>
    <w:rsid w:val="00767C04"/>
    <w:rsid w:val="007736A2"/>
    <w:rsid w:val="00775643"/>
    <w:rsid w:val="007A6226"/>
    <w:rsid w:val="007B3C61"/>
    <w:rsid w:val="007D1918"/>
    <w:rsid w:val="007F03F2"/>
    <w:rsid w:val="008031DF"/>
    <w:rsid w:val="008065D7"/>
    <w:rsid w:val="008111A3"/>
    <w:rsid w:val="00816E30"/>
    <w:rsid w:val="0082264B"/>
    <w:rsid w:val="0082765B"/>
    <w:rsid w:val="008352B1"/>
    <w:rsid w:val="008353E7"/>
    <w:rsid w:val="00835BD7"/>
    <w:rsid w:val="008428E8"/>
    <w:rsid w:val="00843D71"/>
    <w:rsid w:val="00846F11"/>
    <w:rsid w:val="0084745A"/>
    <w:rsid w:val="00870045"/>
    <w:rsid w:val="00876E5F"/>
    <w:rsid w:val="00884A12"/>
    <w:rsid w:val="00890CE4"/>
    <w:rsid w:val="00891ED7"/>
    <w:rsid w:val="008B7B54"/>
    <w:rsid w:val="008C3187"/>
    <w:rsid w:val="008C5E4F"/>
    <w:rsid w:val="008D63B7"/>
    <w:rsid w:val="008D6A03"/>
    <w:rsid w:val="008D6CA7"/>
    <w:rsid w:val="008E508C"/>
    <w:rsid w:val="008E7FEE"/>
    <w:rsid w:val="008F2F06"/>
    <w:rsid w:val="008F31F5"/>
    <w:rsid w:val="008F67F5"/>
    <w:rsid w:val="008F6BCE"/>
    <w:rsid w:val="00900D4B"/>
    <w:rsid w:val="00905F9B"/>
    <w:rsid w:val="00913E95"/>
    <w:rsid w:val="009170B9"/>
    <w:rsid w:val="00923A87"/>
    <w:rsid w:val="00927482"/>
    <w:rsid w:val="00936FF5"/>
    <w:rsid w:val="0094654B"/>
    <w:rsid w:val="0095112B"/>
    <w:rsid w:val="0095712A"/>
    <w:rsid w:val="00973A6D"/>
    <w:rsid w:val="009804E0"/>
    <w:rsid w:val="00983735"/>
    <w:rsid w:val="009865AA"/>
    <w:rsid w:val="00987080"/>
    <w:rsid w:val="0098765A"/>
    <w:rsid w:val="00987E5B"/>
    <w:rsid w:val="00991620"/>
    <w:rsid w:val="009968B0"/>
    <w:rsid w:val="009A6CB2"/>
    <w:rsid w:val="009B0982"/>
    <w:rsid w:val="009B4C99"/>
    <w:rsid w:val="009C13FB"/>
    <w:rsid w:val="009D28CF"/>
    <w:rsid w:val="009E5D36"/>
    <w:rsid w:val="009E6375"/>
    <w:rsid w:val="009E7CA0"/>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7BFB"/>
    <w:rsid w:val="00AB0BBC"/>
    <w:rsid w:val="00AB3A92"/>
    <w:rsid w:val="00AB478B"/>
    <w:rsid w:val="00AB47AC"/>
    <w:rsid w:val="00AB4AD9"/>
    <w:rsid w:val="00AD6E77"/>
    <w:rsid w:val="00AD7A25"/>
    <w:rsid w:val="00AE2666"/>
    <w:rsid w:val="00AF3A5A"/>
    <w:rsid w:val="00AF3E15"/>
    <w:rsid w:val="00AF5218"/>
    <w:rsid w:val="00AF60A0"/>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0217"/>
    <w:rsid w:val="00C96BFD"/>
    <w:rsid w:val="00C96C98"/>
    <w:rsid w:val="00CA5358"/>
    <w:rsid w:val="00CB1DCA"/>
    <w:rsid w:val="00CD502A"/>
    <w:rsid w:val="00CE5504"/>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27B3"/>
    <w:rsid w:val="00DA5101"/>
    <w:rsid w:val="00DA79EF"/>
    <w:rsid w:val="00DB0C0B"/>
    <w:rsid w:val="00DB3B74"/>
    <w:rsid w:val="00DC5870"/>
    <w:rsid w:val="00DD0384"/>
    <w:rsid w:val="00DD0901"/>
    <w:rsid w:val="00DD4AB0"/>
    <w:rsid w:val="00DE16B6"/>
    <w:rsid w:val="00DE3323"/>
    <w:rsid w:val="00DE36CA"/>
    <w:rsid w:val="00DE7E63"/>
    <w:rsid w:val="00DF77A2"/>
    <w:rsid w:val="00E367C5"/>
    <w:rsid w:val="00E37E71"/>
    <w:rsid w:val="00E42486"/>
    <w:rsid w:val="00E42847"/>
    <w:rsid w:val="00E46064"/>
    <w:rsid w:val="00E604A1"/>
    <w:rsid w:val="00E7293C"/>
    <w:rsid w:val="00E73AA8"/>
    <w:rsid w:val="00E76812"/>
    <w:rsid w:val="00E80228"/>
    <w:rsid w:val="00E86D2A"/>
    <w:rsid w:val="00E8711A"/>
    <w:rsid w:val="00EA2ED4"/>
    <w:rsid w:val="00EA491A"/>
    <w:rsid w:val="00EB1583"/>
    <w:rsid w:val="00EB54A9"/>
    <w:rsid w:val="00EC23FB"/>
    <w:rsid w:val="00EC7017"/>
    <w:rsid w:val="00ED4356"/>
    <w:rsid w:val="00ED7681"/>
    <w:rsid w:val="00EE243C"/>
    <w:rsid w:val="00EF63C6"/>
    <w:rsid w:val="00F034FB"/>
    <w:rsid w:val="00F05606"/>
    <w:rsid w:val="00F105F5"/>
    <w:rsid w:val="00F1075A"/>
    <w:rsid w:val="00F22E82"/>
    <w:rsid w:val="00F2483A"/>
    <w:rsid w:val="00F337BF"/>
    <w:rsid w:val="00F33D14"/>
    <w:rsid w:val="00F473B6"/>
    <w:rsid w:val="00F52E57"/>
    <w:rsid w:val="00F53E06"/>
    <w:rsid w:val="00F54188"/>
    <w:rsid w:val="00F54CC0"/>
    <w:rsid w:val="00F727A5"/>
    <w:rsid w:val="00F847A9"/>
    <w:rsid w:val="00FA5FE9"/>
    <w:rsid w:val="00FA67D2"/>
    <w:rsid w:val="00FB1990"/>
    <w:rsid w:val="00FB302F"/>
    <w:rsid w:val="00FB5A92"/>
    <w:rsid w:val="00FC1C69"/>
    <w:rsid w:val="00FC3739"/>
    <w:rsid w:val="00FD0671"/>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iPriority="0"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FD0671"/>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semiHidden/>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FootnoteTextChar">
    <w:name w:val="Footnote Text Char"/>
    <w:basedOn w:val="DefaultParagraphFont"/>
    <w:link w:val="FootnoteText"/>
    <w:semiHidden/>
    <w:rsid w:val="00FD0671"/>
    <w:rPr>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iPriority="0"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FD0671"/>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semiHidden/>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customStyle="1" w:styleId="FootnoteTextChar">
    <w:name w:val="Footnote Text Char"/>
    <w:basedOn w:val="DefaultParagraphFont"/>
    <w:link w:val="FootnoteText"/>
    <w:semiHidden/>
    <w:rsid w:val="00FD0671"/>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cvs.govt.nz/documents/work-pragramme/encouraging-participation/volunteering-research/mahi-aroha.pdf%2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ranhaza\AppData\Local\Temp\RSL_DMS.tmp\08-05%2011-40-34%204002701DA%20-%20Volunteering%20and%20Donating%20Indicators%20-%20MASTE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sz="1300" b="1">
                <a:latin typeface="+mn-lt"/>
              </a:defRPr>
            </a:pPr>
            <a:r>
              <a:rPr lang="en-NZ" sz="1200" b="1">
                <a:latin typeface="+mn-lt"/>
              </a:rPr>
              <a:t>Age and Volunteering</a:t>
            </a:r>
          </a:p>
        </c:rich>
      </c:tx>
      <c:layout>
        <c:manualLayout>
          <c:xMode val="edge"/>
          <c:yMode val="edge"/>
          <c:x val="0.33679311409603208"/>
          <c:y val="2.754100181921704E-2"/>
        </c:manualLayout>
      </c:layout>
      <c:overlay val="0"/>
    </c:title>
    <c:autoTitleDeleted val="0"/>
    <c:plotArea>
      <c:layout>
        <c:manualLayout>
          <c:layoutTarget val="inner"/>
          <c:xMode val="edge"/>
          <c:yMode val="edge"/>
          <c:x val="8.3372703412073493E-2"/>
          <c:y val="0.20168978877640295"/>
          <c:w val="0.88659240389069016"/>
          <c:h val="0.68538654890360928"/>
        </c:manualLayout>
      </c:layout>
      <c:barChart>
        <c:barDir val="col"/>
        <c:grouping val="clustered"/>
        <c:varyColors val="0"/>
        <c:ser>
          <c:idx val="0"/>
          <c:order val="0"/>
          <c:tx>
            <c:strRef>
              <c:f>Age!$B$59</c:f>
              <c:strCache>
                <c:ptCount val="1"/>
                <c:pt idx="0">
                  <c:v>June 2014 Quarter</c:v>
                </c:pt>
              </c:strCache>
            </c:strRef>
          </c:tx>
          <c:spPr>
            <a:solidFill>
              <a:schemeClr val="tx2">
                <a:lumMod val="50000"/>
              </a:schemeClr>
            </a:solidFill>
          </c:spPr>
          <c:invertIfNegative val="0"/>
          <c:cat>
            <c:strRef>
              <c:f>Age!$C$41:$I$41</c:f>
              <c:strCache>
                <c:ptCount val="7"/>
                <c:pt idx="0">
                  <c:v>10-19 Years</c:v>
                </c:pt>
                <c:pt idx="1">
                  <c:v>20-29 Years</c:v>
                </c:pt>
                <c:pt idx="2">
                  <c:v>30-39 Years</c:v>
                </c:pt>
                <c:pt idx="3">
                  <c:v>40-49 Years</c:v>
                </c:pt>
                <c:pt idx="4">
                  <c:v>50-59 Years</c:v>
                </c:pt>
                <c:pt idx="5">
                  <c:v>60-74 Years</c:v>
                </c:pt>
                <c:pt idx="6">
                  <c:v>75+ Years</c:v>
                </c:pt>
              </c:strCache>
            </c:strRef>
          </c:cat>
          <c:val>
            <c:numRef>
              <c:f>Age!$C$59:$I$59</c:f>
              <c:numCache>
                <c:formatCode>General</c:formatCode>
                <c:ptCount val="7"/>
                <c:pt idx="0">
                  <c:v>23.54</c:v>
                </c:pt>
                <c:pt idx="1">
                  <c:v>22.41</c:v>
                </c:pt>
                <c:pt idx="2">
                  <c:v>36.03</c:v>
                </c:pt>
                <c:pt idx="3">
                  <c:v>36.450000000000003</c:v>
                </c:pt>
                <c:pt idx="4">
                  <c:v>29.68</c:v>
                </c:pt>
                <c:pt idx="5">
                  <c:v>32.58</c:v>
                </c:pt>
                <c:pt idx="6">
                  <c:v>23.51</c:v>
                </c:pt>
              </c:numCache>
            </c:numRef>
          </c:val>
        </c:ser>
        <c:ser>
          <c:idx val="1"/>
          <c:order val="1"/>
          <c:tx>
            <c:strRef>
              <c:f>Age!$B$60</c:f>
              <c:strCache>
                <c:ptCount val="1"/>
                <c:pt idx="0">
                  <c:v>September 2014 Quarter</c:v>
                </c:pt>
              </c:strCache>
            </c:strRef>
          </c:tx>
          <c:spPr>
            <a:solidFill>
              <a:schemeClr val="bg2">
                <a:lumMod val="75000"/>
              </a:schemeClr>
            </a:solidFill>
          </c:spPr>
          <c:invertIfNegative val="0"/>
          <c:cat>
            <c:strRef>
              <c:f>Age!$C$41:$I$41</c:f>
              <c:strCache>
                <c:ptCount val="7"/>
                <c:pt idx="0">
                  <c:v>10-19 Years</c:v>
                </c:pt>
                <c:pt idx="1">
                  <c:v>20-29 Years</c:v>
                </c:pt>
                <c:pt idx="2">
                  <c:v>30-39 Years</c:v>
                </c:pt>
                <c:pt idx="3">
                  <c:v>40-49 Years</c:v>
                </c:pt>
                <c:pt idx="4">
                  <c:v>50-59 Years</c:v>
                </c:pt>
                <c:pt idx="5">
                  <c:v>60-74 Years</c:v>
                </c:pt>
                <c:pt idx="6">
                  <c:v>75+ Years</c:v>
                </c:pt>
              </c:strCache>
            </c:strRef>
          </c:cat>
          <c:val>
            <c:numRef>
              <c:f>Age!$C$60:$I$60</c:f>
              <c:numCache>
                <c:formatCode>General</c:formatCode>
                <c:ptCount val="7"/>
                <c:pt idx="0">
                  <c:v>20.170000000000002</c:v>
                </c:pt>
                <c:pt idx="1">
                  <c:v>34.42</c:v>
                </c:pt>
                <c:pt idx="2">
                  <c:v>44.34</c:v>
                </c:pt>
                <c:pt idx="3">
                  <c:v>35.82</c:v>
                </c:pt>
                <c:pt idx="4">
                  <c:v>37.17</c:v>
                </c:pt>
                <c:pt idx="5">
                  <c:v>35.15</c:v>
                </c:pt>
                <c:pt idx="6">
                  <c:v>35.22</c:v>
                </c:pt>
              </c:numCache>
            </c:numRef>
          </c:val>
        </c:ser>
        <c:dLbls>
          <c:showLegendKey val="0"/>
          <c:showVal val="0"/>
          <c:showCatName val="0"/>
          <c:showSerName val="0"/>
          <c:showPercent val="0"/>
          <c:showBubbleSize val="0"/>
        </c:dLbls>
        <c:gapWidth val="62"/>
        <c:overlap val="-10"/>
        <c:axId val="124991360"/>
        <c:axId val="124992896"/>
      </c:barChart>
      <c:catAx>
        <c:axId val="124991360"/>
        <c:scaling>
          <c:orientation val="minMax"/>
        </c:scaling>
        <c:delete val="0"/>
        <c:axPos val="b"/>
        <c:numFmt formatCode="General" sourceLinked="1"/>
        <c:majorTickMark val="none"/>
        <c:minorTickMark val="none"/>
        <c:tickLblPos val="nextTo"/>
        <c:txPr>
          <a:bodyPr rot="0" vert="horz"/>
          <a:lstStyle/>
          <a:p>
            <a:pPr>
              <a:defRPr sz="1000">
                <a:latin typeface="+mn-lt"/>
              </a:defRPr>
            </a:pPr>
            <a:endParaRPr lang="en-US"/>
          </a:p>
        </c:txPr>
        <c:crossAx val="124992896"/>
        <c:crosses val="autoZero"/>
        <c:auto val="1"/>
        <c:lblAlgn val="ctr"/>
        <c:lblOffset val="100"/>
        <c:noMultiLvlLbl val="0"/>
      </c:catAx>
      <c:valAx>
        <c:axId val="124992896"/>
        <c:scaling>
          <c:orientation val="minMax"/>
          <c:max val="50"/>
        </c:scaling>
        <c:delete val="0"/>
        <c:axPos val="l"/>
        <c:title>
          <c:tx>
            <c:rich>
              <a:bodyPr rot="-5400000" vert="horz"/>
              <a:lstStyle/>
              <a:p>
                <a:pPr>
                  <a:defRPr sz="800">
                    <a:latin typeface="+mn-lt"/>
                  </a:defRPr>
                </a:pPr>
                <a:r>
                  <a:rPr lang="en-NZ" sz="800" b="1">
                    <a:latin typeface="+mn-lt"/>
                  </a:rPr>
                  <a:t>Percentage of population 10+</a:t>
                </a:r>
              </a:p>
            </c:rich>
          </c:tx>
          <c:overlay val="0"/>
        </c:title>
        <c:numFmt formatCode="General" sourceLinked="1"/>
        <c:majorTickMark val="out"/>
        <c:minorTickMark val="in"/>
        <c:tickLblPos val="nextTo"/>
        <c:txPr>
          <a:bodyPr rot="0" vert="horz"/>
          <a:lstStyle/>
          <a:p>
            <a:pPr>
              <a:defRPr sz="1000">
                <a:latin typeface="+mn-lt"/>
              </a:defRPr>
            </a:pPr>
            <a:endParaRPr lang="en-US"/>
          </a:p>
        </c:txPr>
        <c:crossAx val="124991360"/>
        <c:crosses val="autoZero"/>
        <c:crossBetween val="between"/>
      </c:valAx>
    </c:plotArea>
    <c:legend>
      <c:legendPos val="r"/>
      <c:legendEntry>
        <c:idx val="0"/>
        <c:txPr>
          <a:bodyPr/>
          <a:lstStyle/>
          <a:p>
            <a:pPr>
              <a:defRPr sz="1050">
                <a:latin typeface="+mn-lt"/>
              </a:defRPr>
            </a:pPr>
            <a:endParaRPr lang="en-US"/>
          </a:p>
        </c:txPr>
      </c:legendEntry>
      <c:layout>
        <c:manualLayout>
          <c:xMode val="edge"/>
          <c:yMode val="edge"/>
          <c:x val="0.24400231588698471"/>
          <c:y val="6.8896665694565956E-2"/>
          <c:w val="0.50843399012340962"/>
          <c:h val="0.13612465108528102"/>
        </c:manualLayout>
      </c:layout>
      <c:overlay val="0"/>
      <c:txPr>
        <a:bodyPr/>
        <a:lstStyle/>
        <a:p>
          <a:pPr>
            <a:defRPr sz="1050">
              <a:latin typeface="+mn-lt"/>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Arial" pitchFamily="34" charset="0"/>
          <a:ea typeface="Calibri"/>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sz="1400">
                <a:latin typeface="+mn-lt"/>
                <a:cs typeface="Arial" pitchFamily="34" charset="0"/>
              </a:defRPr>
            </a:pPr>
            <a:r>
              <a:rPr lang="en-NZ" sz="1200">
                <a:latin typeface="+mn-lt"/>
                <a:cs typeface="Arial" pitchFamily="34" charset="0"/>
              </a:rPr>
              <a:t>Ethnicity and Volunteering</a:t>
            </a:r>
          </a:p>
        </c:rich>
      </c:tx>
      <c:layout>
        <c:manualLayout>
          <c:xMode val="edge"/>
          <c:yMode val="edge"/>
          <c:x val="0.35796371777057279"/>
          <c:y val="4.1960310516740963E-2"/>
        </c:manualLayout>
      </c:layout>
      <c:overlay val="0"/>
    </c:title>
    <c:autoTitleDeleted val="0"/>
    <c:plotArea>
      <c:layout>
        <c:manualLayout>
          <c:layoutTarget val="inner"/>
          <c:xMode val="edge"/>
          <c:yMode val="edge"/>
          <c:x val="0.11438723080577126"/>
          <c:y val="0.18636357816691981"/>
          <c:w val="0.79635560122465199"/>
          <c:h val="0.67189552525446516"/>
        </c:manualLayout>
      </c:layout>
      <c:barChart>
        <c:barDir val="col"/>
        <c:grouping val="clustered"/>
        <c:varyColors val="0"/>
        <c:ser>
          <c:idx val="1"/>
          <c:order val="0"/>
          <c:tx>
            <c:strRef>
              <c:f>Ethnicity!$B$37</c:f>
              <c:strCache>
                <c:ptCount val="1"/>
                <c:pt idx="0">
                  <c:v>June 2014 Quarter</c:v>
                </c:pt>
              </c:strCache>
            </c:strRef>
          </c:tx>
          <c:spPr>
            <a:solidFill>
              <a:schemeClr val="tx2">
                <a:lumMod val="50000"/>
              </a:schemeClr>
            </a:solidFill>
          </c:spPr>
          <c:invertIfNegative val="0"/>
          <c:cat>
            <c:strRef>
              <c:f>Ethnicity!$C$29:$F$29</c:f>
              <c:strCache>
                <c:ptCount val="4"/>
                <c:pt idx="0">
                  <c:v>European</c:v>
                </c:pt>
                <c:pt idx="1">
                  <c:v>Māori</c:v>
                </c:pt>
                <c:pt idx="2">
                  <c:v>Pacific Peoples</c:v>
                </c:pt>
                <c:pt idx="3">
                  <c:v>Other</c:v>
                </c:pt>
              </c:strCache>
            </c:strRef>
          </c:cat>
          <c:val>
            <c:numRef>
              <c:f>Ethnicity!$C$37:$F$37</c:f>
              <c:numCache>
                <c:formatCode>General</c:formatCode>
                <c:ptCount val="4"/>
                <c:pt idx="0">
                  <c:v>72.7</c:v>
                </c:pt>
                <c:pt idx="1">
                  <c:v>14.09</c:v>
                </c:pt>
                <c:pt idx="2">
                  <c:v>5.69</c:v>
                </c:pt>
                <c:pt idx="3">
                  <c:v>14.96</c:v>
                </c:pt>
              </c:numCache>
            </c:numRef>
          </c:val>
        </c:ser>
        <c:ser>
          <c:idx val="0"/>
          <c:order val="1"/>
          <c:tx>
            <c:strRef>
              <c:f>Ethnicity!$B$38</c:f>
              <c:strCache>
                <c:ptCount val="1"/>
                <c:pt idx="0">
                  <c:v>September 2014 Quarter</c:v>
                </c:pt>
              </c:strCache>
            </c:strRef>
          </c:tx>
          <c:spPr>
            <a:solidFill>
              <a:schemeClr val="bg2">
                <a:lumMod val="75000"/>
              </a:schemeClr>
            </a:solidFill>
          </c:spPr>
          <c:invertIfNegative val="0"/>
          <c:cat>
            <c:strRef>
              <c:f>Ethnicity!$C$29:$F$29</c:f>
              <c:strCache>
                <c:ptCount val="4"/>
                <c:pt idx="0">
                  <c:v>European</c:v>
                </c:pt>
                <c:pt idx="1">
                  <c:v>Māori</c:v>
                </c:pt>
                <c:pt idx="2">
                  <c:v>Pacific Peoples</c:v>
                </c:pt>
                <c:pt idx="3">
                  <c:v>Other</c:v>
                </c:pt>
              </c:strCache>
            </c:strRef>
          </c:cat>
          <c:val>
            <c:numRef>
              <c:f>Ethnicity!$C$38:$F$38</c:f>
              <c:numCache>
                <c:formatCode>General</c:formatCode>
                <c:ptCount val="4"/>
                <c:pt idx="0">
                  <c:v>74.489999999999995</c:v>
                </c:pt>
                <c:pt idx="1">
                  <c:v>15.38</c:v>
                </c:pt>
                <c:pt idx="2">
                  <c:v>6.68</c:v>
                </c:pt>
                <c:pt idx="3">
                  <c:v>10.88</c:v>
                </c:pt>
              </c:numCache>
            </c:numRef>
          </c:val>
        </c:ser>
        <c:dLbls>
          <c:showLegendKey val="0"/>
          <c:showVal val="0"/>
          <c:showCatName val="0"/>
          <c:showSerName val="0"/>
          <c:showPercent val="0"/>
          <c:showBubbleSize val="0"/>
        </c:dLbls>
        <c:gapWidth val="100"/>
        <c:overlap val="-10"/>
        <c:axId val="138981376"/>
        <c:axId val="139307264"/>
      </c:barChart>
      <c:catAx>
        <c:axId val="138981376"/>
        <c:scaling>
          <c:orientation val="minMax"/>
        </c:scaling>
        <c:delete val="0"/>
        <c:axPos val="b"/>
        <c:numFmt formatCode="General" sourceLinked="1"/>
        <c:majorTickMark val="out"/>
        <c:minorTickMark val="none"/>
        <c:tickLblPos val="nextTo"/>
        <c:txPr>
          <a:bodyPr rot="0" vert="horz"/>
          <a:lstStyle/>
          <a:p>
            <a:pPr>
              <a:defRPr sz="1000">
                <a:latin typeface="+mn-lt"/>
                <a:cs typeface="Arial" pitchFamily="34" charset="0"/>
              </a:defRPr>
            </a:pPr>
            <a:endParaRPr lang="en-US"/>
          </a:p>
        </c:txPr>
        <c:crossAx val="139307264"/>
        <c:crosses val="autoZero"/>
        <c:auto val="1"/>
        <c:lblAlgn val="ctr"/>
        <c:lblOffset val="100"/>
        <c:noMultiLvlLbl val="0"/>
      </c:catAx>
      <c:valAx>
        <c:axId val="139307264"/>
        <c:scaling>
          <c:orientation val="minMax"/>
          <c:max val="100"/>
        </c:scaling>
        <c:delete val="0"/>
        <c:axPos val="l"/>
        <c:title>
          <c:tx>
            <c:rich>
              <a:bodyPr rot="-5400000" vert="horz"/>
              <a:lstStyle/>
              <a:p>
                <a:pPr>
                  <a:defRPr>
                    <a:latin typeface="+mn-lt"/>
                  </a:defRPr>
                </a:pPr>
                <a:r>
                  <a:rPr lang="en-NZ" sz="800">
                    <a:latin typeface="+mn-lt"/>
                    <a:cs typeface="Arial" pitchFamily="34" charset="0"/>
                  </a:rPr>
                  <a:t>Percentage of population 10+</a:t>
                </a:r>
              </a:p>
            </c:rich>
          </c:tx>
          <c:overlay val="0"/>
        </c:title>
        <c:numFmt formatCode="General" sourceLinked="1"/>
        <c:majorTickMark val="out"/>
        <c:minorTickMark val="in"/>
        <c:tickLblPos val="nextTo"/>
        <c:txPr>
          <a:bodyPr rot="0" vert="horz"/>
          <a:lstStyle/>
          <a:p>
            <a:pPr>
              <a:defRPr sz="1000">
                <a:latin typeface="+mn-lt"/>
                <a:cs typeface="Arial" pitchFamily="34" charset="0"/>
              </a:defRPr>
            </a:pPr>
            <a:endParaRPr lang="en-US"/>
          </a:p>
        </c:txPr>
        <c:crossAx val="138981376"/>
        <c:crosses val="autoZero"/>
        <c:crossBetween val="between"/>
      </c:valAx>
    </c:plotArea>
    <c:legend>
      <c:legendPos val="t"/>
      <c:layout>
        <c:manualLayout>
          <c:xMode val="edge"/>
          <c:yMode val="edge"/>
          <c:x val="0.24876393392002469"/>
          <c:y val="0.11648766126456415"/>
          <c:w val="0.5156708352632392"/>
          <c:h val="6.8062325542640509E-2"/>
        </c:manualLayout>
      </c:layout>
      <c:overlay val="0"/>
      <c:txPr>
        <a:bodyPr/>
        <a:lstStyle/>
        <a:p>
          <a:pPr>
            <a:defRPr sz="1050">
              <a:latin typeface="+mn-lt"/>
              <a:cs typeface="Arial" pitchFamily="34" charset="0"/>
            </a:defRPr>
          </a:pPr>
          <a:endParaRPr lang="en-US"/>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0.0493</cdr:x>
      <cdr:y>0.88453</cdr:y>
    </cdr:from>
    <cdr:to>
      <cdr:x>0.9493</cdr:x>
      <cdr:y>0.99307</cdr:y>
    </cdr:to>
    <cdr:sp macro="" textlink="">
      <cdr:nvSpPr>
        <cdr:cNvPr id="7" name="TextBox 6"/>
        <cdr:cNvSpPr txBox="1"/>
      </cdr:nvSpPr>
      <cdr:spPr>
        <a:xfrm xmlns:a="http://schemas.openxmlformats.org/drawingml/2006/main">
          <a:off x="333375" y="3648075"/>
          <a:ext cx="6086475"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NZ"/>
        </a:p>
      </cdr:txBody>
    </cdr:sp>
  </cdr:relSizeAnchor>
</c:userShape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83494-283A-479A-8778-BEAD5431C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5D2692F8</Template>
  <TotalTime>0</TotalTime>
  <Pages>8</Pages>
  <Words>1082</Words>
  <Characters>5754</Characters>
  <Application>Microsoft Office Word</Application>
  <DocSecurity>4</DocSecurity>
  <Lines>159</Lines>
  <Paragraphs>56</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6780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Zachery Branham</dc:creator>
  <cp:lastModifiedBy>Tim Bollinger</cp:lastModifiedBy>
  <cp:revision>2</cp:revision>
  <cp:lastPrinted>2015-05-12T20:52:00Z</cp:lastPrinted>
  <dcterms:created xsi:type="dcterms:W3CDTF">2015-05-17T21:16:00Z</dcterms:created>
  <dcterms:modified xsi:type="dcterms:W3CDTF">2015-05-17T21:16:00Z</dcterms:modified>
</cp:coreProperties>
</file>