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8" w:rsidRDefault="00306ECE" w:rsidP="0046518F">
      <w:pPr>
        <w:spacing w:before="0" w:after="120"/>
        <w:rPr>
          <w:b/>
          <w:sz w:val="50"/>
          <w:szCs w:val="50"/>
        </w:rPr>
      </w:pPr>
      <w:bookmarkStart w:id="0" w:name="_GoBack"/>
      <w:bookmarkEnd w:id="0"/>
      <w:r w:rsidRPr="0046518F">
        <w:rPr>
          <w:b/>
          <w:noProof/>
          <w:sz w:val="50"/>
          <w:szCs w:val="50"/>
          <w:lang w:eastAsia="en-NZ"/>
        </w:rPr>
        <w:drawing>
          <wp:anchor distT="0" distB="0" distL="114300" distR="114300" simplePos="0" relativeHeight="251658240" behindDoc="1" locked="0" layoutInCell="1" allowOverlap="1" wp14:anchorId="64E45F89" wp14:editId="64E45F8A">
            <wp:simplePos x="0" y="0"/>
            <wp:positionH relativeFrom="page">
              <wp:posOffset>-13063</wp:posOffset>
            </wp:positionH>
            <wp:positionV relativeFrom="page">
              <wp:posOffset>-19594</wp:posOffset>
            </wp:positionV>
            <wp:extent cx="7621591" cy="163439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 Local Services mast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591" cy="163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9D9">
        <w:rPr>
          <w:b/>
          <w:noProof/>
          <w:sz w:val="50"/>
          <w:szCs w:val="50"/>
          <w:lang w:eastAsia="en-NZ"/>
        </w:rPr>
        <w:t>Information sheet 5</w:t>
      </w:r>
    </w:p>
    <w:p w:rsidR="005C13D1" w:rsidRDefault="005C13D1" w:rsidP="0046518F">
      <w:pPr>
        <w:spacing w:before="0" w:after="120"/>
        <w:rPr>
          <w:sz w:val="20"/>
          <w:szCs w:val="20"/>
        </w:rPr>
      </w:pPr>
      <w:r w:rsidRPr="005C13D1">
        <w:rPr>
          <w:sz w:val="20"/>
          <w:szCs w:val="20"/>
        </w:rPr>
        <w:t>March 2016</w:t>
      </w:r>
    </w:p>
    <w:p w:rsidR="00E11D25" w:rsidRPr="00E11D25" w:rsidRDefault="00E11D25" w:rsidP="00AA3922">
      <w:pPr>
        <w:pStyle w:val="Heading1"/>
      </w:pPr>
      <w:r>
        <w:t>Impact of Better Local Services on iwi</w:t>
      </w:r>
    </w:p>
    <w:p w:rsidR="005C13D1" w:rsidRPr="005C13D1" w:rsidRDefault="008C59D9" w:rsidP="00AA3922">
      <w:pPr>
        <w:pStyle w:val="Heading3"/>
      </w:pPr>
      <w:r>
        <w:t xml:space="preserve">Protecting the integrity of Treaty settlements </w:t>
      </w:r>
      <w:r w:rsidR="005C13D1" w:rsidRPr="005C13D1">
        <w:t xml:space="preserve"> </w:t>
      </w:r>
    </w:p>
    <w:p w:rsidR="00A16E72" w:rsidRDefault="009913A6" w:rsidP="009F0D17">
      <w:r w:rsidRPr="009913A6">
        <w:t>T</w:t>
      </w:r>
      <w:r w:rsidR="00E11D25">
        <w:t xml:space="preserve">he Better Local Services </w:t>
      </w:r>
      <w:r w:rsidR="0091261A">
        <w:t xml:space="preserve">reform </w:t>
      </w:r>
      <w:r w:rsidRPr="009913A6">
        <w:t>package creates new options for local government to</w:t>
      </w:r>
      <w:r>
        <w:t xml:space="preserve"> collaborate and innovate. </w:t>
      </w:r>
      <w:r w:rsidR="008C59D9" w:rsidRPr="005C13D1">
        <w:t xml:space="preserve">The </w:t>
      </w:r>
      <w:r w:rsidR="00A23A2B" w:rsidRPr="009913A6">
        <w:t xml:space="preserve">package </w:t>
      </w:r>
      <w:r w:rsidR="008C59D9">
        <w:t>will protect and complement iwi-council arrangements established under Treaty settlements and other legislation</w:t>
      </w:r>
      <w:r w:rsidR="009F0D17">
        <w:t>.</w:t>
      </w:r>
      <w:r w:rsidR="00A16E72">
        <w:t xml:space="preserve"> </w:t>
      </w:r>
    </w:p>
    <w:p w:rsidR="00D968AB" w:rsidRPr="00C9298E" w:rsidRDefault="00D968AB" w:rsidP="00AA3922">
      <w:pPr>
        <w:pStyle w:val="Heading4"/>
        <w:rPr>
          <w:b w:val="0"/>
        </w:rPr>
      </w:pPr>
      <w:r w:rsidRPr="00C9298E">
        <w:rPr>
          <w:b w:val="0"/>
        </w:rPr>
        <w:t>Treaty settlements and iwi involvement protected</w:t>
      </w:r>
    </w:p>
    <w:p w:rsidR="00A16E72" w:rsidRDefault="00D968AB" w:rsidP="009F0D17">
      <w:r>
        <w:t>Any c</w:t>
      </w:r>
      <w:r w:rsidR="00A16E72">
        <w:t>hanges to council governance, oversight</w:t>
      </w:r>
      <w:r>
        <w:t>,</w:t>
      </w:r>
      <w:r w:rsidR="00A16E72">
        <w:t xml:space="preserve"> and delivery of services </w:t>
      </w:r>
      <w:r>
        <w:t xml:space="preserve">using new options in </w:t>
      </w:r>
      <w:r w:rsidR="00A16E72">
        <w:t xml:space="preserve">the </w:t>
      </w:r>
      <w:r w:rsidR="00CC6E12">
        <w:t xml:space="preserve">Better Local Services </w:t>
      </w:r>
      <w:r w:rsidR="0091261A">
        <w:t xml:space="preserve">reform </w:t>
      </w:r>
      <w:r w:rsidR="00E11D25">
        <w:t>package</w:t>
      </w:r>
      <w:r w:rsidR="00A16E72">
        <w:t xml:space="preserve"> will need to be consistent with Treaty settlements and other legislation that provides for iwi involvement, but </w:t>
      </w:r>
      <w:r>
        <w:t xml:space="preserve">existing </w:t>
      </w:r>
      <w:r w:rsidR="00A16E72">
        <w:t xml:space="preserve">arrangements </w:t>
      </w:r>
      <w:r>
        <w:t xml:space="preserve">could </w:t>
      </w:r>
      <w:r w:rsidR="00A16E72">
        <w:t>be modified with iwi agreement.</w:t>
      </w:r>
    </w:p>
    <w:p w:rsidR="00D968AB" w:rsidRPr="00C9298E" w:rsidRDefault="00D968AB" w:rsidP="00AA3922">
      <w:pPr>
        <w:pStyle w:val="Heading4"/>
        <w:rPr>
          <w:b w:val="0"/>
        </w:rPr>
      </w:pPr>
      <w:r w:rsidRPr="00C9298E">
        <w:rPr>
          <w:b w:val="0"/>
        </w:rPr>
        <w:t>Treaty settlements to be reflected in reorganisation proposals</w:t>
      </w:r>
    </w:p>
    <w:p w:rsidR="00A16E72" w:rsidRDefault="00A16E72" w:rsidP="009F0D17">
      <w:r>
        <w:t>The Local Government Commission (and local authorities in the case of council-led reorganisations) will need to work with affected iwi to ensure Treaty settlement arran</w:t>
      </w:r>
      <w:r w:rsidR="00CC6E12">
        <w:t>gements are appropriately reflect</w:t>
      </w:r>
      <w:r>
        <w:t>ed in reorganisation proposals. They</w:t>
      </w:r>
      <w:r w:rsidR="00073C93">
        <w:t xml:space="preserve"> will</w:t>
      </w:r>
      <w:r w:rsidR="00CC6E12">
        <w:t xml:space="preserve"> also </w:t>
      </w:r>
      <w:r w:rsidR="00073C93">
        <w:t xml:space="preserve">need to </w:t>
      </w:r>
      <w:r w:rsidR="00CC6E12">
        <w:t>consult with the Attorney-General and the Minister for Treaty of Waitangi Negotiations about proposed changes to iwi-council arrangements</w:t>
      </w:r>
      <w:r w:rsidR="00156FC3">
        <w:t xml:space="preserve"> established </w:t>
      </w:r>
      <w:proofErr w:type="gramStart"/>
      <w:r w:rsidR="00156FC3">
        <w:t>under</w:t>
      </w:r>
      <w:proofErr w:type="gramEnd"/>
      <w:r w:rsidR="00156FC3">
        <w:t xml:space="preserve"> Treaty settlements and other legislation</w:t>
      </w:r>
      <w:r w:rsidR="00CC6E12">
        <w:t xml:space="preserve">. </w:t>
      </w:r>
    </w:p>
    <w:p w:rsidR="00D968AB" w:rsidRPr="00C9298E" w:rsidRDefault="00D968AB" w:rsidP="00AA3922">
      <w:pPr>
        <w:pStyle w:val="Heading4"/>
        <w:rPr>
          <w:b w:val="0"/>
        </w:rPr>
      </w:pPr>
      <w:r w:rsidRPr="00C9298E">
        <w:rPr>
          <w:b w:val="0"/>
        </w:rPr>
        <w:t>Statutory criteria</w:t>
      </w:r>
    </w:p>
    <w:p w:rsidR="005C13D1" w:rsidRPr="005C13D1" w:rsidRDefault="00CC6E12" w:rsidP="009F0D17">
      <w:r>
        <w:t>The</w:t>
      </w:r>
      <w:r w:rsidR="0091261A">
        <w:t>re will be statutory criteria</w:t>
      </w:r>
      <w:r w:rsidR="00E11D25">
        <w:t xml:space="preserve"> to guide the Commission and councils’ decisions on reorganisation proposals, including</w:t>
      </w:r>
      <w:r w:rsidR="00A16E72">
        <w:t>:</w:t>
      </w:r>
      <w:r w:rsidR="00A16E72">
        <w:rPr>
          <w:color w:val="FFFFFF" w:themeColor="background1"/>
        </w:rPr>
        <w:t xml:space="preserve"> authorities</w:t>
      </w:r>
      <w:r>
        <w:rPr>
          <w:color w:val="FFFFFF" w:themeColor="background1"/>
        </w:rPr>
        <w:t xml:space="preserve"> in the case of </w:t>
      </w:r>
    </w:p>
    <w:tbl>
      <w:tblPr>
        <w:tblStyle w:val="DIATable1"/>
        <w:tblW w:w="4877" w:type="pct"/>
        <w:tblBorders>
          <w:top w:val="single" w:sz="6" w:space="0" w:color="1F546B" w:themeColor="text2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none" w:sz="0" w:space="0" w:color="auto"/>
          <w:insideV w:val="single" w:sz="24" w:space="0" w:color="FFFFFF" w:themeColor="background1"/>
        </w:tblBorders>
        <w:shd w:val="clear" w:color="auto" w:fill="51A7CC" w:themeFill="text2" w:themeFillTint="99"/>
        <w:tblLook w:val="04A0" w:firstRow="1" w:lastRow="0" w:firstColumn="1" w:lastColumn="0" w:noHBand="0" w:noVBand="1"/>
      </w:tblPr>
      <w:tblGrid>
        <w:gridCol w:w="5060"/>
        <w:gridCol w:w="5020"/>
      </w:tblGrid>
      <w:tr w:rsidR="00A16E72" w:rsidRPr="005C13D1" w:rsidTr="008E5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0" w:type="pct"/>
            <w:tcBorders>
              <w:top w:val="nil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73E50" w:themeFill="text2" w:themeFillShade="BF"/>
          </w:tcPr>
          <w:p w:rsidR="00A16E72" w:rsidRPr="005C13D1" w:rsidRDefault="00A16E72" w:rsidP="005C13D1">
            <w:pPr>
              <w:rPr>
                <w:sz w:val="24"/>
              </w:rPr>
            </w:pPr>
            <w:r>
              <w:rPr>
                <w:sz w:val="24"/>
              </w:rPr>
              <w:t>Outcomes of a reorganisation investigation</w:t>
            </w:r>
          </w:p>
        </w:tc>
        <w:tc>
          <w:tcPr>
            <w:tcW w:w="2490" w:type="pct"/>
            <w:tcBorders>
              <w:top w:val="nil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73E50" w:themeFill="text2" w:themeFillShade="BF"/>
          </w:tcPr>
          <w:p w:rsidR="00A16E72" w:rsidRPr="005C13D1" w:rsidRDefault="00A16E72" w:rsidP="005C13D1">
            <w:pPr>
              <w:rPr>
                <w:sz w:val="24"/>
              </w:rPr>
            </w:pPr>
            <w:r>
              <w:rPr>
                <w:sz w:val="24"/>
              </w:rPr>
              <w:t>Implementing a reorganisation</w:t>
            </w:r>
          </w:p>
        </w:tc>
      </w:tr>
      <w:tr w:rsidR="00A16E72" w:rsidRPr="005C13D1" w:rsidTr="008E50F0">
        <w:tc>
          <w:tcPr>
            <w:tcW w:w="2510" w:type="pct"/>
            <w:tcBorders>
              <w:top w:val="nil"/>
            </w:tcBorders>
            <w:shd w:val="clear" w:color="auto" w:fill="51A7CC" w:themeFill="text2" w:themeFillTint="99"/>
          </w:tcPr>
          <w:p w:rsidR="00A16E72" w:rsidRPr="005C13D1" w:rsidRDefault="00CC6E12" w:rsidP="009F0D17">
            <w:pPr>
              <w:tabs>
                <w:tab w:val="num" w:pos="144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Unless otherwise agreed with affected iwi, arrangements to provide for iwi involvement in resource management should provide at least the same role and level of decision-making for iwi as any arrangement specified in a Treaty settlement or other legislation.</w:t>
            </w:r>
          </w:p>
        </w:tc>
        <w:tc>
          <w:tcPr>
            <w:tcW w:w="2490" w:type="pct"/>
            <w:tcBorders>
              <w:top w:val="nil"/>
            </w:tcBorders>
            <w:shd w:val="clear" w:color="auto" w:fill="51A7CC" w:themeFill="text2" w:themeFillTint="99"/>
          </w:tcPr>
          <w:p w:rsidR="00A16E72" w:rsidRPr="00C726A5" w:rsidRDefault="00CC6E12" w:rsidP="00CC6E12">
            <w:pPr>
              <w:pStyle w:val="Tablebullet"/>
              <w:numPr>
                <w:ilvl w:val="0"/>
                <w:numId w:val="0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</w:t>
            </w:r>
            <w:r w:rsidR="00A16E72">
              <w:rPr>
                <w:color w:val="FFFFFF" w:themeColor="background1"/>
              </w:rPr>
              <w:t>n deciding whether to implement a reorganisation,</w:t>
            </w:r>
            <w:r>
              <w:rPr>
                <w:color w:val="FFFFFF" w:themeColor="background1"/>
              </w:rPr>
              <w:t xml:space="preserve"> the Commission </w:t>
            </w:r>
            <w:r w:rsidR="00A16E72">
              <w:rPr>
                <w:color w:val="FFFFFF" w:themeColor="background1"/>
              </w:rPr>
              <w:t xml:space="preserve">must have regard to </w:t>
            </w:r>
            <w:r w:rsidR="00A16E72" w:rsidRPr="00C726A5">
              <w:rPr>
                <w:color w:val="FFFFFF" w:themeColor="background1"/>
              </w:rPr>
              <w:t xml:space="preserve">existing communities of interest, and the extent to which </w:t>
            </w:r>
            <w:r w:rsidR="00A16E72">
              <w:rPr>
                <w:color w:val="FFFFFF" w:themeColor="background1"/>
              </w:rPr>
              <w:t>the reorganisation would</w:t>
            </w:r>
            <w:r w:rsidR="00A16E72" w:rsidRPr="00C726A5">
              <w:rPr>
                <w:color w:val="FFFFFF" w:themeColor="background1"/>
              </w:rPr>
              <w:t xml:space="preserve"> maintain linkages between communities (including iwi and hapū) and sites/resources of significance to them</w:t>
            </w:r>
            <w:r w:rsidR="00A16E72">
              <w:rPr>
                <w:color w:val="FFFFFF" w:themeColor="background1"/>
              </w:rPr>
              <w:t>.</w:t>
            </w:r>
          </w:p>
        </w:tc>
      </w:tr>
    </w:tbl>
    <w:p w:rsidR="00E11D25" w:rsidRDefault="00E11D25" w:rsidP="00AA3922">
      <w:pPr>
        <w:pStyle w:val="Heading3"/>
      </w:pPr>
      <w:r>
        <w:t>Public Works Act powers for water and transport council-controlled organisations</w:t>
      </w:r>
    </w:p>
    <w:p w:rsidR="00681F4E" w:rsidRDefault="00E11D25" w:rsidP="00E11D25">
      <w:r>
        <w:t xml:space="preserve">Water and transport council-controlled organisations will have powers under the Public Works Act 1981 currently held by councils, which they will need to carry out their functions. For example, water council-controlled organisations will need powers to obtain easements for water </w:t>
      </w:r>
      <w:r w:rsidR="00073C93">
        <w:t xml:space="preserve">and wastewater </w:t>
      </w:r>
      <w:r>
        <w:t>pipes over private land.</w:t>
      </w:r>
      <w:r w:rsidR="00681F4E">
        <w:t xml:space="preserve"> </w:t>
      </w:r>
    </w:p>
    <w:p w:rsidR="0091261A" w:rsidRDefault="0091261A" w:rsidP="00E11D25"/>
    <w:p w:rsidR="00681F4E" w:rsidRDefault="004721A4" w:rsidP="00E11D25">
      <w:r>
        <w:lastRenderedPageBreak/>
        <w:t>The reforms propose</w:t>
      </w:r>
      <w:r w:rsidR="00681F4E">
        <w:t>:</w:t>
      </w:r>
    </w:p>
    <w:p w:rsidR="00681F4E" w:rsidRDefault="004721A4" w:rsidP="004721A4">
      <w:pPr>
        <w:pStyle w:val="Bullet"/>
        <w:ind w:left="360"/>
      </w:pPr>
      <w:r>
        <w:t>W</w:t>
      </w:r>
      <w:r w:rsidR="00E11D25">
        <w:t xml:space="preserve">ater council-controlled organisations that </w:t>
      </w:r>
      <w:r w:rsidR="00681F4E">
        <w:t xml:space="preserve">both </w:t>
      </w:r>
      <w:r w:rsidR="00E11D25">
        <w:t xml:space="preserve">own and manage assets </w:t>
      </w:r>
      <w:r w:rsidR="00C00F2B">
        <w:t xml:space="preserve">will have </w:t>
      </w:r>
      <w:r w:rsidR="00E11D25">
        <w:t>powers under the Public Works Act</w:t>
      </w:r>
      <w:r w:rsidR="0091261A">
        <w:t xml:space="preserve"> to acquire land or an interest in land</w:t>
      </w:r>
      <w:r>
        <w:t>.</w:t>
      </w:r>
    </w:p>
    <w:p w:rsidR="00E11D25" w:rsidRDefault="004721A4" w:rsidP="004721A4">
      <w:pPr>
        <w:pStyle w:val="Bullet"/>
        <w:spacing w:after="240"/>
        <w:ind w:left="360" w:hanging="357"/>
      </w:pPr>
      <w:r>
        <w:t>R</w:t>
      </w:r>
      <w:r w:rsidR="00073C93">
        <w:t xml:space="preserve">egional transport or </w:t>
      </w:r>
      <w:proofErr w:type="spellStart"/>
      <w:r w:rsidR="00073C93">
        <w:t>roading</w:t>
      </w:r>
      <w:proofErr w:type="spellEnd"/>
      <w:r w:rsidR="00073C93">
        <w:t xml:space="preserve"> </w:t>
      </w:r>
      <w:r w:rsidR="00E11D25">
        <w:t xml:space="preserve">council-controlled organisations </w:t>
      </w:r>
      <w:r w:rsidR="00C00F2B">
        <w:t xml:space="preserve">will have </w:t>
      </w:r>
      <w:r w:rsidR="00E11D25">
        <w:t>powers to require their shareholding councils to use Public Works Act powers on their behalf</w:t>
      </w:r>
      <w:r w:rsidR="0091261A">
        <w:t xml:space="preserve"> to acquire land or an interest in land</w:t>
      </w:r>
      <w:r w:rsidR="00E11D25">
        <w:t>.</w:t>
      </w:r>
    </w:p>
    <w:p w:rsidR="00E11D25" w:rsidRDefault="00E11D25" w:rsidP="00E11D25">
      <w:r>
        <w:t>Water and transport council-controlled organisations will be required to follow the processes prescribed in the Public Works Act, including the requirements relating specifically to Māori land.</w:t>
      </w:r>
    </w:p>
    <w:p w:rsidR="00E11D25" w:rsidRDefault="00E11D25" w:rsidP="00E11D25">
      <w:r>
        <w:t>The Public Works Act</w:t>
      </w:r>
      <w:r w:rsidR="0091261A">
        <w:t>, including its application</w:t>
      </w:r>
      <w:r>
        <w:t xml:space="preserve"> to Māori freehold land</w:t>
      </w:r>
      <w:r w:rsidR="0091261A">
        <w:t>, is being reviewed</w:t>
      </w:r>
      <w:r>
        <w:t xml:space="preserve"> as part of th</w:t>
      </w:r>
      <w:r w:rsidR="00C00F2B">
        <w:t xml:space="preserve">e Te </w:t>
      </w:r>
      <w:proofErr w:type="spellStart"/>
      <w:r w:rsidR="00C00F2B">
        <w:t>Ture</w:t>
      </w:r>
      <w:proofErr w:type="spellEnd"/>
      <w:r w:rsidR="00C00F2B">
        <w:t xml:space="preserve"> Whenua Māori reforms. </w:t>
      </w:r>
      <w:r>
        <w:t>The Better Local Services proposals to give water and transport council-controlled organisations Public Works Act powers will be considered as part of that review and changes made if required.</w:t>
      </w:r>
    </w:p>
    <w:p w:rsidR="005C13D1" w:rsidRPr="005C13D1" w:rsidRDefault="005C13D1" w:rsidP="00E11D25">
      <w:pPr>
        <w:pStyle w:val="Heading2"/>
      </w:pPr>
      <w:r w:rsidRPr="005C13D1">
        <w:t>For more information</w:t>
      </w:r>
    </w:p>
    <w:p w:rsidR="005C13D1" w:rsidRPr="005C13D1" w:rsidRDefault="005C13D1" w:rsidP="005C13D1">
      <w:r w:rsidRPr="005C13D1">
        <w:t xml:space="preserve">For more information see </w:t>
      </w:r>
      <w:hyperlink r:id="rId10" w:history="1">
        <w:r w:rsidRPr="005C13D1">
          <w:rPr>
            <w:color w:val="1F546B" w:themeColor="text2"/>
            <w:u w:val="single"/>
          </w:rPr>
          <w:t>dia.govt.nz/better-local-services</w:t>
        </w:r>
      </w:hyperlink>
      <w:r w:rsidRPr="005C13D1">
        <w:t xml:space="preserve">. </w:t>
      </w:r>
    </w:p>
    <w:sectPr w:rsidR="005C13D1" w:rsidRPr="005C13D1" w:rsidSect="0046518F">
      <w:headerReference w:type="default" r:id="rId11"/>
      <w:footerReference w:type="default" r:id="rId12"/>
      <w:pgSz w:w="11907" w:h="16840" w:code="9"/>
      <w:pgMar w:top="1440" w:right="1080" w:bottom="1440" w:left="709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35" w:rsidRDefault="00851235">
      <w:r>
        <w:separator/>
      </w:r>
    </w:p>
    <w:p w:rsidR="00851235" w:rsidRDefault="00851235"/>
    <w:p w:rsidR="00851235" w:rsidRDefault="00851235"/>
  </w:endnote>
  <w:endnote w:type="continuationSeparator" w:id="0">
    <w:p w:rsidR="00851235" w:rsidRDefault="00851235">
      <w:r>
        <w:continuationSeparator/>
      </w:r>
    </w:p>
    <w:p w:rsidR="00851235" w:rsidRDefault="00851235"/>
    <w:p w:rsidR="00851235" w:rsidRDefault="00851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A3" w:rsidRDefault="00755FA3" w:rsidP="00755FA3">
    <w:pPr>
      <w:pStyle w:val="Footer"/>
    </w:pPr>
  </w:p>
  <w:p w:rsidR="00BC20B2" w:rsidRPr="00755FA3" w:rsidRDefault="00755FA3" w:rsidP="00755FA3">
    <w:pPr>
      <w:pStyle w:val="Footer"/>
      <w:tabs>
        <w:tab w:val="left" w:pos="1440"/>
        <w:tab w:val="right" w:pos="10080"/>
      </w:tabs>
    </w:pPr>
    <w:r>
      <w:rPr>
        <w:noProof/>
        <w:lang w:eastAsia="en-NZ"/>
      </w:rPr>
      <w:drawing>
        <wp:inline distT="0" distB="0" distL="0" distR="0" wp14:anchorId="22AAB8A9" wp14:editId="33331C2F">
          <wp:extent cx="2003853" cy="36000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-CMY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85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51700">
      <w:rPr>
        <w:b/>
        <w:noProof/>
        <w:lang w:eastAsia="en-NZ"/>
      </w:rPr>
      <w:drawing>
        <wp:inline distT="0" distB="0" distL="0" distR="0" wp14:anchorId="7C31A6EA" wp14:editId="56BF040E">
          <wp:extent cx="2060866" cy="360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 -WHITE SPA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86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35" w:rsidRDefault="00851235" w:rsidP="00FB1990">
      <w:pPr>
        <w:pStyle w:val="Spacer"/>
      </w:pPr>
      <w:r>
        <w:separator/>
      </w:r>
    </w:p>
    <w:p w:rsidR="00851235" w:rsidRDefault="00851235" w:rsidP="00FB1990">
      <w:pPr>
        <w:pStyle w:val="Spacer"/>
      </w:pPr>
    </w:p>
  </w:footnote>
  <w:footnote w:type="continuationSeparator" w:id="0">
    <w:p w:rsidR="00851235" w:rsidRDefault="00851235">
      <w:r>
        <w:continuationSeparator/>
      </w:r>
    </w:p>
    <w:p w:rsidR="00851235" w:rsidRDefault="00851235"/>
    <w:p w:rsidR="00851235" w:rsidRDefault="008512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B2" w:rsidRDefault="00BC20B2" w:rsidP="003F2B68">
    <w:pPr>
      <w:pStyle w:val="Header"/>
      <w:tabs>
        <w:tab w:val="right" w:pos="9072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C0F2703"/>
    <w:multiLevelType w:val="hybridMultilevel"/>
    <w:tmpl w:val="B310DDF4"/>
    <w:lvl w:ilvl="0" w:tplc="14090001">
      <w:start w:val="1"/>
      <w:numFmt w:val="bullet"/>
      <w:lvlText w:val=""/>
      <w:lvlJc w:val="left"/>
      <w:pPr>
        <w:ind w:left="-37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30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23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15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-8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-1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4DA4F5B"/>
    <w:multiLevelType w:val="hybridMultilevel"/>
    <w:tmpl w:val="38187744"/>
    <w:lvl w:ilvl="0" w:tplc="049650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625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476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235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468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27C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A16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20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64A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24"/>
  </w:num>
  <w:num w:numId="14">
    <w:abstractNumId w:val="7"/>
  </w:num>
  <w:num w:numId="15">
    <w:abstractNumId w:val="12"/>
  </w:num>
  <w:num w:numId="16">
    <w:abstractNumId w:val="25"/>
  </w:num>
  <w:num w:numId="17">
    <w:abstractNumId w:val="23"/>
  </w:num>
  <w:num w:numId="18">
    <w:abstractNumId w:val="21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6"/>
  </w:num>
  <w:num w:numId="26">
    <w:abstractNumId w:val="20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68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3024"/>
    <w:rsid w:val="00054574"/>
    <w:rsid w:val="0005649A"/>
    <w:rsid w:val="00063BB2"/>
    <w:rsid w:val="00065F18"/>
    <w:rsid w:val="00067005"/>
    <w:rsid w:val="00073C93"/>
    <w:rsid w:val="00076035"/>
    <w:rsid w:val="00077013"/>
    <w:rsid w:val="00087428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0573"/>
    <w:rsid w:val="0015060E"/>
    <w:rsid w:val="001536C9"/>
    <w:rsid w:val="00156FC3"/>
    <w:rsid w:val="0016433D"/>
    <w:rsid w:val="00184C0F"/>
    <w:rsid w:val="001A5F55"/>
    <w:rsid w:val="001B2D1E"/>
    <w:rsid w:val="001C0031"/>
    <w:rsid w:val="001C0C30"/>
    <w:rsid w:val="001D0111"/>
    <w:rsid w:val="001D7EAE"/>
    <w:rsid w:val="001E64FC"/>
    <w:rsid w:val="001F0724"/>
    <w:rsid w:val="001F644C"/>
    <w:rsid w:val="002007DF"/>
    <w:rsid w:val="00205FE8"/>
    <w:rsid w:val="00206BA3"/>
    <w:rsid w:val="00215160"/>
    <w:rsid w:val="002224B4"/>
    <w:rsid w:val="00226D5E"/>
    <w:rsid w:val="00237A3D"/>
    <w:rsid w:val="00240E83"/>
    <w:rsid w:val="00242F6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C60E9"/>
    <w:rsid w:val="002D3125"/>
    <w:rsid w:val="002D4F42"/>
    <w:rsid w:val="002E26D6"/>
    <w:rsid w:val="0030084C"/>
    <w:rsid w:val="003039E1"/>
    <w:rsid w:val="00306ECE"/>
    <w:rsid w:val="003129BA"/>
    <w:rsid w:val="003148FC"/>
    <w:rsid w:val="0032132E"/>
    <w:rsid w:val="00330820"/>
    <w:rsid w:val="003465C8"/>
    <w:rsid w:val="0036533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D1EDF"/>
    <w:rsid w:val="003D23B9"/>
    <w:rsid w:val="003F2B58"/>
    <w:rsid w:val="003F2B6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6518F"/>
    <w:rsid w:val="004721A4"/>
    <w:rsid w:val="00472A55"/>
    <w:rsid w:val="00476068"/>
    <w:rsid w:val="004763B3"/>
    <w:rsid w:val="00477619"/>
    <w:rsid w:val="00486E6E"/>
    <w:rsid w:val="004875DF"/>
    <w:rsid w:val="00487C1D"/>
    <w:rsid w:val="00494C6F"/>
    <w:rsid w:val="00495A6F"/>
    <w:rsid w:val="004A5823"/>
    <w:rsid w:val="004B0AAF"/>
    <w:rsid w:val="004B214C"/>
    <w:rsid w:val="004B3924"/>
    <w:rsid w:val="004C16B9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0303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C13D1"/>
    <w:rsid w:val="005D15A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81A08"/>
    <w:rsid w:val="00681F4E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2197A"/>
    <w:rsid w:val="0073106E"/>
    <w:rsid w:val="00755142"/>
    <w:rsid w:val="00755FA3"/>
    <w:rsid w:val="00756BB7"/>
    <w:rsid w:val="0075764B"/>
    <w:rsid w:val="00760C01"/>
    <w:rsid w:val="00761293"/>
    <w:rsid w:val="00767C04"/>
    <w:rsid w:val="007736A2"/>
    <w:rsid w:val="007A6226"/>
    <w:rsid w:val="007B3C61"/>
    <w:rsid w:val="007C7C84"/>
    <w:rsid w:val="007D1918"/>
    <w:rsid w:val="007F03F2"/>
    <w:rsid w:val="007F36BC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1235"/>
    <w:rsid w:val="00870045"/>
    <w:rsid w:val="0087412F"/>
    <w:rsid w:val="00876E5F"/>
    <w:rsid w:val="00884A12"/>
    <w:rsid w:val="00890CE4"/>
    <w:rsid w:val="00891ED7"/>
    <w:rsid w:val="008B7B54"/>
    <w:rsid w:val="008C3187"/>
    <w:rsid w:val="008C59D9"/>
    <w:rsid w:val="008C5E4F"/>
    <w:rsid w:val="008D63B7"/>
    <w:rsid w:val="008D6A03"/>
    <w:rsid w:val="008D6CA7"/>
    <w:rsid w:val="008E508C"/>
    <w:rsid w:val="008E50F0"/>
    <w:rsid w:val="008E7FEE"/>
    <w:rsid w:val="008F2F06"/>
    <w:rsid w:val="008F31F5"/>
    <w:rsid w:val="008F67F5"/>
    <w:rsid w:val="008F6BCE"/>
    <w:rsid w:val="00900D4B"/>
    <w:rsid w:val="00905F9B"/>
    <w:rsid w:val="0091261A"/>
    <w:rsid w:val="00913E95"/>
    <w:rsid w:val="009170B9"/>
    <w:rsid w:val="00923A87"/>
    <w:rsid w:val="00927482"/>
    <w:rsid w:val="0093003A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3A6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9F0D17"/>
    <w:rsid w:val="009F24BA"/>
    <w:rsid w:val="009F620D"/>
    <w:rsid w:val="00A04392"/>
    <w:rsid w:val="00A069CE"/>
    <w:rsid w:val="00A109D8"/>
    <w:rsid w:val="00A16003"/>
    <w:rsid w:val="00A167D7"/>
    <w:rsid w:val="00A16E72"/>
    <w:rsid w:val="00A23A2B"/>
    <w:rsid w:val="00A23D39"/>
    <w:rsid w:val="00A23EC2"/>
    <w:rsid w:val="00A24FBB"/>
    <w:rsid w:val="00A3453E"/>
    <w:rsid w:val="00A42ED2"/>
    <w:rsid w:val="00A44B33"/>
    <w:rsid w:val="00A50C24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3922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20B2"/>
    <w:rsid w:val="00BC45F7"/>
    <w:rsid w:val="00BC6A06"/>
    <w:rsid w:val="00BD137C"/>
    <w:rsid w:val="00BE3BC7"/>
    <w:rsid w:val="00BF1AB7"/>
    <w:rsid w:val="00BF7FE9"/>
    <w:rsid w:val="00C00F2B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726A5"/>
    <w:rsid w:val="00C80D62"/>
    <w:rsid w:val="00C8388B"/>
    <w:rsid w:val="00C83B04"/>
    <w:rsid w:val="00C84944"/>
    <w:rsid w:val="00C90217"/>
    <w:rsid w:val="00C9298E"/>
    <w:rsid w:val="00C9498A"/>
    <w:rsid w:val="00C96BFD"/>
    <w:rsid w:val="00C96C98"/>
    <w:rsid w:val="00CA5358"/>
    <w:rsid w:val="00CB1DCA"/>
    <w:rsid w:val="00CB6FA7"/>
    <w:rsid w:val="00CC6E12"/>
    <w:rsid w:val="00CD502A"/>
    <w:rsid w:val="00CF12CF"/>
    <w:rsid w:val="00CF4BE3"/>
    <w:rsid w:val="00D060D2"/>
    <w:rsid w:val="00D13E2D"/>
    <w:rsid w:val="00D14394"/>
    <w:rsid w:val="00D242CD"/>
    <w:rsid w:val="00D26F74"/>
    <w:rsid w:val="00D32FAA"/>
    <w:rsid w:val="00D33528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968AB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0F8B"/>
    <w:rsid w:val="00DD4AB0"/>
    <w:rsid w:val="00DE16B6"/>
    <w:rsid w:val="00DE3323"/>
    <w:rsid w:val="00DE36CA"/>
    <w:rsid w:val="00DE7E63"/>
    <w:rsid w:val="00DF77A2"/>
    <w:rsid w:val="00DF796E"/>
    <w:rsid w:val="00E11D25"/>
    <w:rsid w:val="00E367C5"/>
    <w:rsid w:val="00E37E71"/>
    <w:rsid w:val="00E42486"/>
    <w:rsid w:val="00E42847"/>
    <w:rsid w:val="00E46064"/>
    <w:rsid w:val="00E555ED"/>
    <w:rsid w:val="00E604A1"/>
    <w:rsid w:val="00E65D81"/>
    <w:rsid w:val="00E7293C"/>
    <w:rsid w:val="00E73AA8"/>
    <w:rsid w:val="00E76812"/>
    <w:rsid w:val="00E80228"/>
    <w:rsid w:val="00E84F4C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15"/>
    <w:rsid w:val="00EF63C6"/>
    <w:rsid w:val="00F034FB"/>
    <w:rsid w:val="00F05606"/>
    <w:rsid w:val="00F105F5"/>
    <w:rsid w:val="00F1075A"/>
    <w:rsid w:val="00F209E0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553AB"/>
    <w:rsid w:val="00F727A5"/>
    <w:rsid w:val="00F823B2"/>
    <w:rsid w:val="00F847A9"/>
    <w:rsid w:val="00FA5FE9"/>
    <w:rsid w:val="00FA67D2"/>
    <w:rsid w:val="00FB1990"/>
    <w:rsid w:val="00FB302F"/>
    <w:rsid w:val="00FB5A92"/>
    <w:rsid w:val="00FC1C69"/>
    <w:rsid w:val="00FC3739"/>
    <w:rsid w:val="00FC790F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customStyle="1" w:styleId="DIATable1">
    <w:name w:val="_DIA Table1"/>
    <w:basedOn w:val="TableNormal"/>
    <w:uiPriority w:val="99"/>
    <w:rsid w:val="005C13D1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paragraph" w:styleId="CommentText">
    <w:name w:val="annotation text"/>
    <w:basedOn w:val="Normal"/>
    <w:link w:val="CommentTextChar"/>
    <w:uiPriority w:val="99"/>
    <w:semiHidden/>
    <w:rsid w:val="00C94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98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4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98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customStyle="1" w:styleId="DIATable1">
    <w:name w:val="_DIA Table1"/>
    <w:basedOn w:val="TableNormal"/>
    <w:uiPriority w:val="99"/>
    <w:rsid w:val="005C13D1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paragraph" w:styleId="CommentText">
    <w:name w:val="annotation text"/>
    <w:basedOn w:val="Normal"/>
    <w:link w:val="CommentTextChar"/>
    <w:uiPriority w:val="99"/>
    <w:semiHidden/>
    <w:rsid w:val="00C94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98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4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98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2409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ia.govt.nz/better-local-servi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9D3D-EA99-4060-BFEA-59AC171F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7930BA75</Template>
  <TotalTime>2</TotalTime>
  <Pages>2</Pages>
  <Words>479</Words>
  <Characters>2975</Characters>
  <Application>Microsoft Office Word</Application>
  <DocSecurity>4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Bollinger</dc:creator>
  <cp:lastModifiedBy>Tim Bollinger</cp:lastModifiedBy>
  <cp:revision>2</cp:revision>
  <cp:lastPrinted>2016-03-30T01:21:00Z</cp:lastPrinted>
  <dcterms:created xsi:type="dcterms:W3CDTF">2016-03-31T00:23:00Z</dcterms:created>
  <dcterms:modified xsi:type="dcterms:W3CDTF">2016-03-31T00:23:00Z</dcterms:modified>
</cp:coreProperties>
</file>