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22" w:rsidRPr="00553DF5" w:rsidRDefault="00A65D22" w:rsidP="002E00E1">
      <w:r>
        <w:rPr>
          <w:noProof/>
          <w:lang w:val="en-NZ" w:eastAsia="en-NZ"/>
        </w:rPr>
        <w:pict>
          <v:shapetype id="_x0000_t202" coordsize="21600,21600" o:spt="202" path="m,l,21600r21600,l21600,xe">
            <v:stroke joinstyle="miter"/>
            <v:path gradientshapeok="t" o:connecttype="rect"/>
          </v:shapetype>
          <v:shape id="_x0000_s1031" type="#_x0000_t202" style="position:absolute;margin-left:54pt;margin-top:-36pt;width:419.1pt;height:63.75pt;z-index:251654144;mso-wrap-distance-left:2.88pt;mso-wrap-distance-top:2.88pt;mso-wrap-distance-right:2.88pt;mso-wrap-distance-bottom:2.88pt" fillcolor="#000048" stroked="f" insetpen="t" o:cliptowrap="t">
            <v:stroke>
              <o:left v:ext="view" joinstyle="miter" insetpen="t"/>
              <o:top v:ext="view" joinstyle="miter" insetpen="t"/>
              <o:right v:ext="view" joinstyle="miter" insetpen="t"/>
              <o:bottom v:ext="view" joinstyle="miter" insetpen="t"/>
            </v:stroke>
            <v:shadow color="#ccc"/>
            <v:textbox style="mso-next-textbox:#_x0000_s1031;mso-column-margin:2mm" inset="2.88pt,2.88pt,2.88pt,2.88pt">
              <w:txbxContent>
                <w:p w:rsidR="00A65D22" w:rsidRDefault="00A65D22" w:rsidP="002C6029">
                  <w:pPr>
                    <w:widowControl w:val="0"/>
                    <w:rPr>
                      <w:rFonts w:cs="Arial"/>
                      <w:b/>
                      <w:bCs/>
                      <w:color w:val="FFFFFF"/>
                      <w:sz w:val="22"/>
                      <w:szCs w:val="22"/>
                      <w:lang w:val="en-NZ"/>
                    </w:rPr>
                  </w:pPr>
                  <w:r>
                    <w:rPr>
                      <w:rFonts w:cs="Arial"/>
                      <w:b/>
                      <w:bCs/>
                      <w:color w:val="FFFFFF"/>
                      <w:sz w:val="72"/>
                      <w:szCs w:val="72"/>
                      <w:lang w:val="en-NZ"/>
                    </w:rPr>
                    <w:t>AML / CFT</w:t>
                  </w:r>
                </w:p>
                <w:p w:rsidR="00A65D22" w:rsidRDefault="00A65D22"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rsidR="00A65D22" w:rsidRDefault="00A65D22"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w:r>
    </w:p>
    <w:p w:rsidR="00A65D22" w:rsidRPr="002C6029" w:rsidRDefault="00A65D22" w:rsidP="002E00E1">
      <w:pPr>
        <w:rPr>
          <w:lang w:val="en-NZ"/>
        </w:rPr>
      </w:pPr>
    </w:p>
    <w:p w:rsidR="00A65D22" w:rsidRPr="002C6029" w:rsidRDefault="00A65D22" w:rsidP="002E00E1">
      <w:pPr>
        <w:rPr>
          <w:lang w:val="en-NZ"/>
        </w:rPr>
      </w:pPr>
    </w:p>
    <w:p w:rsidR="00A65D22" w:rsidRDefault="00A65D22" w:rsidP="002E00E1">
      <w:pPr>
        <w:rPr>
          <w:lang w:val="en-NZ"/>
        </w:rPr>
      </w:pPr>
    </w:p>
    <w:p w:rsidR="00A65D22" w:rsidRDefault="00A65D22" w:rsidP="002E00E1">
      <w:pPr>
        <w:tabs>
          <w:tab w:val="left" w:pos="1080"/>
        </w:tabs>
        <w:ind w:left="720"/>
        <w:rPr>
          <w:lang w:val="en-NZ"/>
        </w:rP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r>
        <w:rPr>
          <w:noProof/>
          <w:lang w:val="en-NZ" w:eastAsia="en-NZ"/>
        </w:rPr>
        <w:pict>
          <v:shape id="_x0000_s1032" type="#_x0000_t202" style="position:absolute;left:0;text-align:left;margin-left:27pt;margin-top:11.4pt;width:387pt;height:218.4pt;z-index:251660288" stroked="f">
            <v:textbox style="mso-next-textbox:#_x0000_s1032">
              <w:txbxContent>
                <w:p w:rsidR="00A65D22" w:rsidRPr="006444A0" w:rsidRDefault="00A65D22">
                  <w:pPr>
                    <w:rPr>
                      <w:b/>
                      <w:sz w:val="96"/>
                      <w:szCs w:val="96"/>
                      <w:lang w:val="en-NZ"/>
                    </w:rPr>
                  </w:pPr>
                  <w:r>
                    <w:rPr>
                      <w:b/>
                      <w:sz w:val="96"/>
                      <w:szCs w:val="96"/>
                      <w:lang w:val="en-NZ"/>
                    </w:rPr>
                    <w:t xml:space="preserve">Countries Assessment Guideline              </w:t>
                  </w:r>
                </w:p>
              </w:txbxContent>
            </v:textbox>
          </v:shape>
        </w:pict>
      </w: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2E00E1">
      <w:pPr>
        <w:tabs>
          <w:tab w:val="left" w:pos="1440"/>
        </w:tabs>
        <w:jc w:val="center"/>
      </w:pPr>
    </w:p>
    <w:p w:rsidR="00A65D22" w:rsidRDefault="00A65D22" w:rsidP="007A4F5F">
      <w:pPr>
        <w:tabs>
          <w:tab w:val="left" w:pos="1440"/>
        </w:tabs>
      </w:pPr>
    </w:p>
    <w:p w:rsidR="00A65D22" w:rsidRDefault="00A65D22" w:rsidP="007A4F5F">
      <w:pPr>
        <w:tabs>
          <w:tab w:val="left" w:pos="1440"/>
        </w:tabs>
      </w:pPr>
    </w:p>
    <w:p w:rsidR="00A65D22" w:rsidRDefault="00A65D22" w:rsidP="007A4F5F">
      <w:pPr>
        <w:tabs>
          <w:tab w:val="left" w:pos="1440"/>
        </w:tabs>
      </w:pPr>
    </w:p>
    <w:p w:rsidR="00A65D22" w:rsidRDefault="00A65D22" w:rsidP="007A4F5F">
      <w:pPr>
        <w:tabs>
          <w:tab w:val="left" w:pos="1440"/>
        </w:tabs>
      </w:pPr>
    </w:p>
    <w:p w:rsidR="00A65D22" w:rsidRDefault="00A65D22" w:rsidP="007A4F5F">
      <w:pPr>
        <w:tabs>
          <w:tab w:val="left" w:pos="1440"/>
        </w:tabs>
      </w:pPr>
    </w:p>
    <w:p w:rsidR="00A65D22" w:rsidRDefault="00A65D22" w:rsidP="007A4F5F">
      <w:pPr>
        <w:tabs>
          <w:tab w:val="left" w:pos="1440"/>
        </w:tabs>
      </w:pPr>
    </w:p>
    <w:p w:rsidR="00A65D22" w:rsidRDefault="00A65D22" w:rsidP="007A4F5F">
      <w:pPr>
        <w:tabs>
          <w:tab w:val="left" w:pos="1440"/>
        </w:tabs>
      </w:pPr>
    </w:p>
    <w:p w:rsidR="00A65D22" w:rsidRDefault="00A65D22" w:rsidP="007A4F5F">
      <w:pPr>
        <w:tabs>
          <w:tab w:val="left" w:pos="1440"/>
        </w:tabs>
      </w:pPr>
    </w:p>
    <w:p w:rsidR="00A65D22" w:rsidRDefault="00A65D22" w:rsidP="007A4F5F">
      <w:pPr>
        <w:tabs>
          <w:tab w:val="left" w:pos="1440"/>
        </w:tabs>
      </w:pPr>
      <w:r>
        <w:t xml:space="preserve">           </w:t>
      </w:r>
    </w:p>
    <w:p w:rsidR="00A65D22" w:rsidRDefault="00A65D22" w:rsidP="007A4F5F">
      <w:pPr>
        <w:tabs>
          <w:tab w:val="left" w:pos="1440"/>
        </w:tabs>
      </w:pPr>
      <w:r>
        <w:rPr>
          <w:rFonts w:ascii="Calibri" w:hAnsi="Calibri"/>
          <w:sz w:val="22"/>
          <w:szCs w:val="22"/>
        </w:rPr>
        <w:t xml:space="preserve">               </w:t>
      </w:r>
      <w:r w:rsidRPr="00AA7956">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69.75pt">
            <v:imagedata r:id="rId7" o:title=""/>
          </v:shape>
        </w:pict>
      </w:r>
    </w:p>
    <w:p w:rsidR="00A65D22" w:rsidRDefault="00A65D22" w:rsidP="007A4F5F">
      <w:pPr>
        <w:tabs>
          <w:tab w:val="left" w:pos="1440"/>
        </w:tabs>
      </w:pPr>
      <w:r>
        <w:t xml:space="preserve">           </w:t>
      </w:r>
    </w:p>
    <w:p w:rsidR="00A65D22" w:rsidRDefault="00A65D22" w:rsidP="007A4F5F">
      <w:pPr>
        <w:tabs>
          <w:tab w:val="left" w:pos="1440"/>
        </w:tabs>
      </w:pPr>
      <w:r>
        <w:rPr>
          <w:noProof/>
          <w:lang w:val="en-NZ" w:eastAsia="en-NZ"/>
        </w:rPr>
        <w:pict>
          <v:shape id="_x0000_s1033" type="#_x0000_t75" alt="Colour RBNZ logo" style="position:absolute;margin-left:141.75pt;margin-top:592.45pt;width:206.95pt;height:56.5pt;z-index:251659264;visibility:visible" o:cliptowrap="t">
            <v:imagedata r:id="rId8" o:title=""/>
          </v:shape>
        </w:pict>
      </w:r>
      <w:r>
        <w:rPr>
          <w:noProof/>
          <w:lang w:val="en-NZ" w:eastAsia="en-NZ"/>
        </w:rPr>
        <w:pict>
          <v:shape id="_x0000_s1034" type="#_x0000_t75" alt="Colour RBNZ logo" style="position:absolute;margin-left:141.75pt;margin-top:592.45pt;width:206.95pt;height:56.5pt;z-index:251658240;visibility:visible" o:cliptowrap="t">
            <v:imagedata r:id="rId8" o:title=""/>
          </v:shape>
        </w:pict>
      </w:r>
      <w:r>
        <w:rPr>
          <w:noProof/>
          <w:lang w:val="en-NZ" w:eastAsia="en-NZ"/>
        </w:rPr>
        <w:pict>
          <v:shape id="_x0000_s1035" type="#_x0000_t75" alt="Colour RBNZ logo" style="position:absolute;margin-left:141.75pt;margin-top:592.45pt;width:206.95pt;height:56.5pt;z-index:251657216;visibility:visible" o:cliptowrap="t">
            <v:imagedata r:id="rId8" o:title=""/>
          </v:shape>
        </w:pict>
      </w:r>
      <w:r>
        <w:rPr>
          <w:noProof/>
          <w:lang w:val="en-NZ" w:eastAsia="en-NZ"/>
        </w:rPr>
        <w:pict>
          <v:shape id="_x0000_s1036" type="#_x0000_t75" alt="Colour RBNZ logo" style="position:absolute;margin-left:141.75pt;margin-top:592.45pt;width:206.95pt;height:56.5pt;z-index:251656192;visibility:visible" o:cliptowrap="t">
            <v:imagedata r:id="rId8" o:title=""/>
          </v:shape>
        </w:pict>
      </w:r>
      <w:r>
        <w:rPr>
          <w:noProof/>
          <w:lang w:val="en-NZ" w:eastAsia="en-NZ"/>
        </w:rPr>
        <w:pict>
          <v:shape id="Picture 5" o:spid="_x0000_s1037" type="#_x0000_t75" alt="Colour RBNZ logo" style="position:absolute;margin-left:36pt;margin-top:2.45pt;width:206.95pt;height:56.5pt;z-index:251655168;visibility:visible" o:cliptowrap="t">
            <v:imagedata r:id="rId8" o:title=""/>
          </v:shape>
        </w:pict>
      </w:r>
    </w:p>
    <w:p w:rsidR="00A65D22" w:rsidRDefault="00A65D22" w:rsidP="002E00E1">
      <w:pPr>
        <w:tabs>
          <w:tab w:val="left" w:pos="1620"/>
        </w:tabs>
      </w:pPr>
      <w:r>
        <w:t xml:space="preserve">           </w:t>
      </w:r>
    </w:p>
    <w:p w:rsidR="00A65D22" w:rsidRDefault="00A65D22" w:rsidP="002E00E1">
      <w:pPr>
        <w:tabs>
          <w:tab w:val="left" w:pos="1620"/>
        </w:tabs>
      </w:pPr>
      <w:r>
        <w:t xml:space="preserve">          </w:t>
      </w:r>
    </w:p>
    <w:p w:rsidR="00A65D22" w:rsidRDefault="00A65D22" w:rsidP="002E00E1">
      <w:pPr>
        <w:tabs>
          <w:tab w:val="left" w:pos="1620"/>
        </w:tabs>
      </w:pPr>
      <w:r>
        <w:t xml:space="preserve">          </w:t>
      </w:r>
    </w:p>
    <w:p w:rsidR="00A65D22" w:rsidRDefault="00A65D22" w:rsidP="002E00E1">
      <w:pPr>
        <w:tabs>
          <w:tab w:val="left" w:pos="1620"/>
        </w:tabs>
        <w:jc w:val="center"/>
      </w:pPr>
    </w:p>
    <w:p w:rsidR="00A65D22" w:rsidRDefault="00A65D22" w:rsidP="00704DA8">
      <w:pPr>
        <w:tabs>
          <w:tab w:val="left" w:pos="1620"/>
        </w:tabs>
      </w:pPr>
      <w:r>
        <w:t xml:space="preserve">          </w:t>
      </w:r>
      <w:r>
        <w:rPr>
          <w:noProof/>
          <w:lang w:val="en-NZ" w:eastAsia="en-NZ"/>
        </w:rPr>
        <w:pict>
          <v:line id="_x0000_s1038" style="position:absolute;z-index:251661312;visibility:visible;mso-wrap-edited:f;mso-wrap-distance-left:2.88pt;mso-wrap-distance-top:2.88pt;mso-wrap-distance-right:2.88pt;mso-wrap-distance-bottom:2.88pt;mso-position-horizontal-relative:text;mso-position-vertical-relative:text" from="82.2pt,793.8pt" to="559.25pt,793.8pt" strokecolor="navy" strokeweight=".25pt" o:cliptowrap="t">
            <v:shadow color="#ccc"/>
          </v:line>
        </w:pict>
      </w:r>
    </w:p>
    <w:p w:rsidR="00A65D22" w:rsidRDefault="00A65D22" w:rsidP="002E00E1">
      <w:pPr>
        <w:rPr>
          <w:lang w:val="en-NZ"/>
        </w:rPr>
      </w:pPr>
      <w:r>
        <w:t xml:space="preserve">          </w:t>
      </w:r>
      <w:r>
        <w:pict>
          <v:shape id="_x0000_i1026" type="#_x0000_t75" style="width:297.75pt;height:54pt">
            <v:imagedata r:id="rId9" o:title=""/>
          </v:shape>
        </w:pict>
      </w:r>
    </w:p>
    <w:p w:rsidR="00A65D22" w:rsidRDefault="00A65D22" w:rsidP="002E00E1">
      <w:pPr>
        <w:rPr>
          <w:lang w:val="en-NZ"/>
        </w:rPr>
        <w:sectPr w:rsidR="00A65D22" w:rsidSect="009B094B">
          <w:headerReference w:type="default" r:id="rId10"/>
          <w:footerReference w:type="even" r:id="rId11"/>
          <w:footerReference w:type="default" r:id="rId12"/>
          <w:pgSz w:w="11906" w:h="16838"/>
          <w:pgMar w:top="1440" w:right="907" w:bottom="1440" w:left="1797" w:header="709" w:footer="709" w:gutter="0"/>
          <w:cols w:space="708"/>
          <w:docGrid w:linePitch="360"/>
        </w:sectPr>
      </w:pPr>
    </w:p>
    <w:p w:rsidR="00A65D22" w:rsidRDefault="00A65D22" w:rsidP="005D2FAE">
      <w:pPr>
        <w:pStyle w:val="Heading2"/>
      </w:pPr>
      <w:r w:rsidRPr="003A6A52">
        <w:t>What is this guideline for?</w:t>
      </w:r>
    </w:p>
    <w:p w:rsidR="00A65D22" w:rsidRPr="00BC72ED" w:rsidRDefault="00A65D22" w:rsidP="005D2FAE"/>
    <w:p w:rsidR="00A65D22" w:rsidRDefault="00A65D22" w:rsidP="005D2FAE">
      <w:pPr>
        <w:pStyle w:val="Numbers1"/>
      </w:pPr>
      <w:r w:rsidRPr="000F5E62">
        <w:t xml:space="preserve">Under the Anti-Money Laundering and Countering Financing of Terrorism Act 2009 (the AML/CFT Act), and regulations made under the AML/CFT Act, </w:t>
      </w:r>
      <w:r>
        <w:t xml:space="preserve">you may need to assess aspects of another country’s regulatory environment. This may be necessary when you deal with a customer or institution resident or supervised in or from a foreign country. </w:t>
      </w:r>
    </w:p>
    <w:p w:rsidR="00A65D22" w:rsidRDefault="00A65D22" w:rsidP="005D2FAE">
      <w:pPr>
        <w:pStyle w:val="Numbers1"/>
        <w:numPr>
          <w:ilvl w:val="0"/>
          <w:numId w:val="0"/>
        </w:numPr>
      </w:pPr>
    </w:p>
    <w:p w:rsidR="00A65D22" w:rsidRDefault="00A65D22" w:rsidP="005D2FAE">
      <w:pPr>
        <w:pStyle w:val="Numbers1"/>
      </w:pPr>
      <w:r>
        <w:t xml:space="preserve">This guideline is designed to help you decide when you need to undertake this assessment, and how you could go about it. It </w:t>
      </w:r>
      <w:r w:rsidRPr="00FD6ABB">
        <w:t>provide</w:t>
      </w:r>
      <w:r>
        <w:t>s</w:t>
      </w:r>
      <w:r w:rsidRPr="00FD6ABB">
        <w:t xml:space="preserve"> information only and cannot be relied on as evidence of complying with the requirements of the </w:t>
      </w:r>
      <w:smartTag w:uri="urn:schemas-microsoft-com:office:smarttags" w:element="stockticker">
        <w:r w:rsidRPr="00FD6ABB">
          <w:t>AML</w:t>
        </w:r>
      </w:smartTag>
      <w:r w:rsidRPr="00FD6ABB">
        <w:t xml:space="preserve">/CFT Act. It does not constitute legal advice from any of the </w:t>
      </w:r>
      <w:smartTag w:uri="urn:schemas-microsoft-com:office:smarttags" w:element="stockticker">
        <w:r w:rsidRPr="00FD6ABB">
          <w:t>AML</w:t>
        </w:r>
      </w:smartTag>
      <w:r w:rsidRPr="00FD6ABB">
        <w:t>/CFT supervisors and cannot be relied on as such.</w:t>
      </w:r>
    </w:p>
    <w:p w:rsidR="00A65D22" w:rsidRDefault="00A65D22" w:rsidP="005D2FAE">
      <w:pPr>
        <w:pStyle w:val="Numbers1"/>
        <w:numPr>
          <w:ilvl w:val="0"/>
          <w:numId w:val="0"/>
        </w:numPr>
      </w:pPr>
    </w:p>
    <w:p w:rsidR="00A65D22" w:rsidRDefault="00A65D22" w:rsidP="005D2FAE">
      <w:pPr>
        <w:pStyle w:val="Numbers1"/>
      </w:pPr>
      <w:r w:rsidRPr="00FD6ABB">
        <w:t xml:space="preserve">After reading this guideline, if you still do not understand any of your obligations you should seek legal advice, or contact your </w:t>
      </w:r>
      <w:smartTag w:uri="urn:schemas-microsoft-com:office:smarttags" w:element="stockticker">
        <w:r w:rsidRPr="00FD6ABB">
          <w:t>AML</w:t>
        </w:r>
      </w:smartTag>
      <w:r w:rsidRPr="00FD6ABB">
        <w:t>/CFT supervisor.</w:t>
      </w:r>
    </w:p>
    <w:p w:rsidR="00A65D22" w:rsidRDefault="00A65D22" w:rsidP="005D2FAE">
      <w:pPr>
        <w:pStyle w:val="Numbers1"/>
        <w:numPr>
          <w:ilvl w:val="0"/>
          <w:numId w:val="0"/>
        </w:numPr>
        <w:ind w:left="471" w:hanging="471"/>
      </w:pPr>
    </w:p>
    <w:p w:rsidR="00A65D22" w:rsidRDefault="00A65D22" w:rsidP="005D2FAE">
      <w:pPr>
        <w:pStyle w:val="Numbers1"/>
        <w:numPr>
          <w:ilvl w:val="0"/>
          <w:numId w:val="0"/>
        </w:numPr>
        <w:ind w:left="471" w:hanging="471"/>
      </w:pPr>
    </w:p>
    <w:p w:rsidR="00A65D22" w:rsidRDefault="00A65D22" w:rsidP="005D2FAE">
      <w:pPr>
        <w:pStyle w:val="Heading2"/>
      </w:pPr>
      <w:r>
        <w:t xml:space="preserve">When </w:t>
      </w:r>
      <w:r w:rsidRPr="00C65691">
        <w:t>country assessments</w:t>
      </w:r>
      <w:r>
        <w:t xml:space="preserve"> are required</w:t>
      </w:r>
    </w:p>
    <w:p w:rsidR="00A65D22" w:rsidRPr="00BC72ED" w:rsidRDefault="00A65D22" w:rsidP="005D2FAE"/>
    <w:p w:rsidR="00A65D22" w:rsidRDefault="00A65D22" w:rsidP="005D2FAE">
      <w:pPr>
        <w:pStyle w:val="Numbers1"/>
      </w:pPr>
      <w:r w:rsidRPr="005D2FAE">
        <w:t>Circumstances when you may be required to conduct a country assessment include:</w:t>
      </w:r>
    </w:p>
    <w:p w:rsidR="00A65D22" w:rsidRPr="005D2FAE" w:rsidRDefault="00A65D22" w:rsidP="00DE6DDF">
      <w:pPr>
        <w:pStyle w:val="Numbers1"/>
        <w:numPr>
          <w:ilvl w:val="0"/>
          <w:numId w:val="0"/>
        </w:numPr>
      </w:pPr>
    </w:p>
    <w:p w:rsidR="00A65D22" w:rsidRDefault="00A65D22" w:rsidP="005D2FAE">
      <w:pPr>
        <w:pStyle w:val="Bullet1"/>
      </w:pPr>
      <w:r w:rsidRPr="005D2FAE">
        <w:t>when you intend to form a designated business group and one of the members is resident overseas;</w:t>
      </w:r>
    </w:p>
    <w:p w:rsidR="00A65D22" w:rsidRDefault="00A65D22" w:rsidP="00DE6DDF">
      <w:pPr>
        <w:pStyle w:val="Bullet1"/>
        <w:numPr>
          <w:ilvl w:val="0"/>
          <w:numId w:val="0"/>
        </w:numPr>
        <w:ind w:left="357"/>
      </w:pPr>
    </w:p>
    <w:p w:rsidR="00A65D22" w:rsidRDefault="00A65D22" w:rsidP="005D2FAE">
      <w:pPr>
        <w:pStyle w:val="Bullet1"/>
      </w:pPr>
      <w:r w:rsidRPr="005D2FAE">
        <w:t>when you establish a business relationship or conduct an occasional transac</w:t>
      </w:r>
      <w:r>
        <w:t xml:space="preserve">tion for a customer who is not </w:t>
      </w:r>
      <w:r w:rsidRPr="005D2FAE">
        <w:t xml:space="preserve">a </w:t>
      </w:r>
      <w:smartTag w:uri="urn:schemas-microsoft-com:office:smarttags" w:element="country-region">
        <w:smartTag w:uri="urn:schemas-microsoft-com:office:smarttags" w:element="place">
          <w:r w:rsidRPr="005D2FAE">
            <w:t>New Zealand</w:t>
          </w:r>
        </w:smartTag>
      </w:smartTag>
      <w:r w:rsidRPr="005D2FAE">
        <w:t xml:space="preserve"> resident;</w:t>
      </w:r>
    </w:p>
    <w:p w:rsidR="00A65D22" w:rsidRDefault="00A65D22" w:rsidP="00DE6DDF">
      <w:pPr>
        <w:pStyle w:val="Bullet1"/>
        <w:numPr>
          <w:ilvl w:val="0"/>
          <w:numId w:val="0"/>
        </w:numPr>
      </w:pPr>
    </w:p>
    <w:p w:rsidR="00A65D22" w:rsidRDefault="00A65D22" w:rsidP="005D2FAE">
      <w:pPr>
        <w:pStyle w:val="Bullet1"/>
      </w:pPr>
      <w:r w:rsidRPr="005D2FAE">
        <w:t>when you have or propose to have a correspondent banking relationship with an overseas financial institution;</w:t>
      </w:r>
    </w:p>
    <w:p w:rsidR="00A65D22" w:rsidRPr="005D2FAE" w:rsidRDefault="00A65D22" w:rsidP="00DE6DDF">
      <w:pPr>
        <w:pStyle w:val="Bullet1"/>
        <w:numPr>
          <w:ilvl w:val="0"/>
          <w:numId w:val="0"/>
        </w:numPr>
        <w:ind w:left="357"/>
      </w:pPr>
    </w:p>
    <w:p w:rsidR="00A65D22" w:rsidRDefault="00A65D22" w:rsidP="005D2FAE">
      <w:pPr>
        <w:pStyle w:val="Bullet1"/>
      </w:pPr>
      <w:r w:rsidRPr="005D2FAE">
        <w:t>when you intend to rely on an overseas person to conduct customer due diligence on your behalf;</w:t>
      </w:r>
    </w:p>
    <w:p w:rsidR="00A65D22" w:rsidRDefault="00A65D22" w:rsidP="00DE6DDF">
      <w:pPr>
        <w:pStyle w:val="Bullet1"/>
        <w:numPr>
          <w:ilvl w:val="0"/>
          <w:numId w:val="0"/>
        </w:numPr>
      </w:pPr>
    </w:p>
    <w:p w:rsidR="00A65D22" w:rsidRDefault="00A65D22" w:rsidP="005D2FAE">
      <w:pPr>
        <w:pStyle w:val="Bullet1"/>
      </w:pPr>
      <w:r w:rsidRPr="005D2FAE">
        <w:t>when you determine whether an overseas entity is a shell bank under the AML/CFT Act; and</w:t>
      </w:r>
    </w:p>
    <w:p w:rsidR="00A65D22" w:rsidRDefault="00A65D22" w:rsidP="00DE6DDF">
      <w:pPr>
        <w:pStyle w:val="Bullet1"/>
        <w:numPr>
          <w:ilvl w:val="0"/>
          <w:numId w:val="0"/>
        </w:numPr>
      </w:pPr>
    </w:p>
    <w:p w:rsidR="00A65D22" w:rsidRDefault="00A65D22" w:rsidP="005D2FAE">
      <w:pPr>
        <w:pStyle w:val="Bullet1"/>
      </w:pPr>
      <w:r w:rsidRPr="005D2FAE">
        <w:t>when developing your risk assessment and AML/CFT programme.</w:t>
      </w:r>
    </w:p>
    <w:p w:rsidR="00A65D22" w:rsidRDefault="00A65D22" w:rsidP="008C0CF1">
      <w:pPr>
        <w:pStyle w:val="Bullet1"/>
        <w:numPr>
          <w:ilvl w:val="0"/>
          <w:numId w:val="0"/>
        </w:numPr>
      </w:pPr>
    </w:p>
    <w:p w:rsidR="00A65D22" w:rsidRDefault="00A65D22" w:rsidP="008C0CF1">
      <w:pPr>
        <w:pStyle w:val="Numbers1"/>
      </w:pPr>
      <w:r>
        <w:t xml:space="preserve">The types of country assessment required in each circumstance is summarised in the table at Appendix 1 - </w:t>
      </w:r>
      <w:r w:rsidRPr="00B228CE">
        <w:rPr>
          <w:i/>
        </w:rPr>
        <w:t>When country assessments are required</w:t>
      </w:r>
      <w:r>
        <w:t>.</w:t>
      </w:r>
    </w:p>
    <w:p w:rsidR="00A65D22" w:rsidRDefault="00A65D22" w:rsidP="005D2FAE">
      <w:pPr>
        <w:pStyle w:val="Bullet1"/>
        <w:numPr>
          <w:ilvl w:val="0"/>
          <w:numId w:val="0"/>
        </w:numPr>
        <w:ind w:left="720" w:hanging="363"/>
      </w:pPr>
    </w:p>
    <w:p w:rsidR="00A65D22" w:rsidRDefault="00A65D22" w:rsidP="005D2FAE">
      <w:pPr>
        <w:pStyle w:val="Bullet1"/>
        <w:numPr>
          <w:ilvl w:val="0"/>
          <w:numId w:val="0"/>
        </w:numPr>
        <w:ind w:left="720" w:hanging="363"/>
      </w:pPr>
    </w:p>
    <w:p w:rsidR="00A65D22" w:rsidRDefault="00A65D22" w:rsidP="005D2FAE">
      <w:pPr>
        <w:pStyle w:val="Heading2"/>
      </w:pPr>
      <w:r>
        <w:t>Sources to assist an assessment</w:t>
      </w:r>
    </w:p>
    <w:p w:rsidR="00A65D22" w:rsidRPr="005D2FAE" w:rsidRDefault="00A65D22" w:rsidP="005D2FAE"/>
    <w:p w:rsidR="00A65D22" w:rsidRPr="005D2FAE" w:rsidRDefault="00A65D22" w:rsidP="005D2FAE">
      <w:pPr>
        <w:pStyle w:val="Heading3"/>
      </w:pPr>
      <w:r w:rsidRPr="005D2FAE">
        <w:t>Terms used in this guideline</w:t>
      </w:r>
    </w:p>
    <w:p w:rsidR="00A65D22" w:rsidRPr="00844953" w:rsidRDefault="00A65D22" w:rsidP="005D2FAE">
      <w:pPr>
        <w:pStyle w:val="Numbers1"/>
        <w:rPr>
          <w:rFonts w:ascii="Calibri" w:hAnsi="Calibri" w:cs="Arial"/>
        </w:rPr>
      </w:pPr>
      <w:r w:rsidRPr="005D2FAE">
        <w:t xml:space="preserve">This guideline uses the following terms which also appear in </w:t>
      </w:r>
      <w:r w:rsidRPr="009B0726">
        <w:rPr>
          <w:rFonts w:cs="Arial"/>
        </w:rPr>
        <w:t>AML/CFT Act</w:t>
      </w:r>
      <w:r w:rsidRPr="00844953">
        <w:rPr>
          <w:rFonts w:ascii="Calibri" w:hAnsi="Calibri" w:cs="Arial"/>
        </w:rPr>
        <w:t xml:space="preserve">.  </w:t>
      </w:r>
    </w:p>
    <w:p w:rsidR="00A65D22" w:rsidRDefault="00A65D22" w:rsidP="005D2FAE"/>
    <w:p w:rsidR="00A65D22" w:rsidRDefault="00A65D22" w:rsidP="00D83E53">
      <w:pPr>
        <w:pStyle w:val="Heading41"/>
        <w:rPr>
          <w:b/>
        </w:rPr>
      </w:pPr>
      <w:r w:rsidRPr="00F079C8">
        <w:t>Country</w:t>
      </w:r>
      <w:r w:rsidRPr="00285FAD">
        <w:rPr>
          <w:b/>
        </w:rPr>
        <w:t xml:space="preserve"> </w:t>
      </w:r>
    </w:p>
    <w:p w:rsidR="00A65D22" w:rsidRPr="00285FAD" w:rsidRDefault="00A65D22" w:rsidP="00D83E53">
      <w:pPr>
        <w:keepNext/>
        <w:rPr>
          <w:b/>
        </w:rPr>
      </w:pPr>
    </w:p>
    <w:p w:rsidR="00A65D22" w:rsidRDefault="00A65D22" w:rsidP="00D83E53">
      <w:pPr>
        <w:pStyle w:val="Numbers1"/>
        <w:keepNext/>
      </w:pPr>
      <w:r>
        <w:t>This is defined</w:t>
      </w:r>
      <w:r w:rsidRPr="003A6A52">
        <w:t xml:space="preserve"> </w:t>
      </w:r>
      <w:r>
        <w:t xml:space="preserve">in section 5 of the </w:t>
      </w:r>
      <w:smartTag w:uri="urn:schemas-microsoft-com:office:smarttags" w:element="country-region">
        <w:r>
          <w:t>AML</w:t>
        </w:r>
      </w:smartTag>
      <w:r>
        <w:t xml:space="preserve">/CFT Act. It </w:t>
      </w:r>
      <w:r w:rsidRPr="003A6A52">
        <w:t>include</w:t>
      </w:r>
      <w:r>
        <w:t xml:space="preserve">s </w:t>
      </w:r>
      <w:r w:rsidRPr="003A6A52">
        <w:t>any State, territory, province, or other part of a country</w:t>
      </w:r>
      <w:r>
        <w:t>. Jurisdiction has a similar meaning where it is used in the AML/CFT Act and regulations.</w:t>
      </w:r>
    </w:p>
    <w:p w:rsidR="00A65D22" w:rsidRDefault="00A65D22" w:rsidP="005D2FAE">
      <w:pPr>
        <w:pStyle w:val="Numbers1"/>
        <w:numPr>
          <w:ilvl w:val="0"/>
          <w:numId w:val="0"/>
        </w:numPr>
      </w:pPr>
    </w:p>
    <w:p w:rsidR="00A65D22" w:rsidRDefault="00A65D22" w:rsidP="005D2FAE">
      <w:pPr>
        <w:pStyle w:val="Heading41"/>
        <w:rPr>
          <w:rFonts w:ascii="Calibri" w:hAnsi="Calibri"/>
        </w:rPr>
      </w:pPr>
      <w:r w:rsidRPr="00F079C8">
        <w:t>AML/CFT systems and measures</w:t>
      </w:r>
      <w:r w:rsidRPr="00F079C8">
        <w:rPr>
          <w:rFonts w:ascii="Calibri" w:hAnsi="Calibri"/>
        </w:rPr>
        <w:t xml:space="preserve"> </w:t>
      </w:r>
    </w:p>
    <w:p w:rsidR="00A65D22" w:rsidRPr="005D2FAE" w:rsidRDefault="00A65D22" w:rsidP="005D2FAE">
      <w:pPr>
        <w:pStyle w:val="Numbers1"/>
        <w:numPr>
          <w:ilvl w:val="0"/>
          <w:numId w:val="0"/>
        </w:numPr>
      </w:pPr>
    </w:p>
    <w:p w:rsidR="00A65D22" w:rsidRDefault="00A65D22" w:rsidP="005D2FAE">
      <w:pPr>
        <w:pStyle w:val="Numbers1"/>
      </w:pPr>
      <w:r w:rsidRPr="005D2FAE">
        <w:t>There are</w:t>
      </w:r>
      <w:r>
        <w:t xml:space="preserve"> references in the AML/CFT Act to:</w:t>
      </w:r>
    </w:p>
    <w:p w:rsidR="00A65D22" w:rsidRPr="005D2FAE" w:rsidRDefault="00A65D22" w:rsidP="005D2FAE">
      <w:pPr>
        <w:pStyle w:val="Numbers1"/>
        <w:numPr>
          <w:ilvl w:val="0"/>
          <w:numId w:val="0"/>
        </w:numPr>
      </w:pPr>
    </w:p>
    <w:p w:rsidR="00A65D22" w:rsidRDefault="00A65D22" w:rsidP="005D2FAE">
      <w:pPr>
        <w:pStyle w:val="Bullet1"/>
      </w:pPr>
      <w:smartTag w:uri="urn:schemas-microsoft-com:office:smarttags" w:element="country-region">
        <w:r w:rsidRPr="005D2FAE">
          <w:t>AML</w:t>
        </w:r>
      </w:smartTag>
      <w:r w:rsidRPr="005D2FAE">
        <w:t>/CFT systems; or</w:t>
      </w:r>
    </w:p>
    <w:p w:rsidR="00A65D22" w:rsidRPr="005D2FAE" w:rsidRDefault="00A65D22" w:rsidP="00DE6DDF">
      <w:pPr>
        <w:pStyle w:val="Bullet1"/>
        <w:numPr>
          <w:ilvl w:val="0"/>
          <w:numId w:val="0"/>
        </w:numPr>
        <w:ind w:left="357"/>
      </w:pPr>
    </w:p>
    <w:p w:rsidR="00A65D22" w:rsidRDefault="00A65D22" w:rsidP="005D2FAE">
      <w:pPr>
        <w:pStyle w:val="Bullet1"/>
      </w:pPr>
      <w:smartTag w:uri="urn:schemas-microsoft-com:office:smarttags" w:element="country-region">
        <w:r w:rsidRPr="005D2FAE">
          <w:t>AML</w:t>
        </w:r>
      </w:smartTag>
      <w:r w:rsidRPr="005D2FAE">
        <w:t>/CFT systems and measures.</w:t>
      </w:r>
    </w:p>
    <w:p w:rsidR="00A65D22" w:rsidRPr="005D2FAE" w:rsidRDefault="00A65D22" w:rsidP="005D2FAE">
      <w:pPr>
        <w:pStyle w:val="Bullet1"/>
        <w:numPr>
          <w:ilvl w:val="0"/>
          <w:numId w:val="0"/>
        </w:numPr>
        <w:ind w:left="357"/>
      </w:pPr>
    </w:p>
    <w:p w:rsidR="00A65D22" w:rsidRDefault="00A65D22" w:rsidP="005D2FAE">
      <w:pPr>
        <w:pStyle w:val="Numbers1"/>
      </w:pPr>
      <w:r w:rsidRPr="005D2FAE">
        <w:t xml:space="preserve">In this document </w:t>
      </w:r>
      <w:smartTag w:uri="urn:schemas-microsoft-com:office:smarttags" w:element="country-region">
        <w:r w:rsidRPr="005D2FAE">
          <w:t>AML</w:t>
        </w:r>
      </w:smartTag>
      <w:r w:rsidRPr="005D2FAE">
        <w:t xml:space="preserve">/CFT systems/measures is used to describe both terms. </w:t>
      </w:r>
    </w:p>
    <w:p w:rsidR="00A65D22" w:rsidRPr="005D2FAE" w:rsidRDefault="00A65D22" w:rsidP="005D2FAE">
      <w:pPr>
        <w:pStyle w:val="Numbers1"/>
        <w:numPr>
          <w:ilvl w:val="0"/>
          <w:numId w:val="0"/>
        </w:numPr>
      </w:pPr>
    </w:p>
    <w:p w:rsidR="00A65D22" w:rsidRDefault="00A65D22" w:rsidP="005D2FAE">
      <w:pPr>
        <w:pStyle w:val="Heading41"/>
      </w:pPr>
      <w:r w:rsidRPr="00F079C8">
        <w:t>Supervised or regulated for AML/CFT purposes</w:t>
      </w:r>
    </w:p>
    <w:p w:rsidR="00A65D22" w:rsidRPr="005D2FAE" w:rsidRDefault="00A65D22" w:rsidP="005D2FAE"/>
    <w:p w:rsidR="00A65D22" w:rsidRDefault="00A65D22" w:rsidP="005D2FAE">
      <w:pPr>
        <w:pStyle w:val="Numbers1"/>
      </w:pPr>
      <w:r w:rsidRPr="005D2FAE">
        <w:t>There ar</w:t>
      </w:r>
      <w:r>
        <w:t>e references in the AML/CFT Act</w:t>
      </w:r>
      <w:r w:rsidRPr="005D2FAE">
        <w:t xml:space="preserve"> to:</w:t>
      </w:r>
    </w:p>
    <w:p w:rsidR="00A65D22" w:rsidRPr="005D2FAE" w:rsidRDefault="00A65D22" w:rsidP="005D2FAE">
      <w:pPr>
        <w:pStyle w:val="Numbers1"/>
        <w:numPr>
          <w:ilvl w:val="0"/>
          <w:numId w:val="0"/>
        </w:numPr>
      </w:pPr>
    </w:p>
    <w:p w:rsidR="00A65D22" w:rsidRDefault="00A65D22" w:rsidP="005D2FAE">
      <w:pPr>
        <w:pStyle w:val="Bullet1"/>
      </w:pPr>
      <w:r w:rsidRPr="005D2FAE">
        <w:t xml:space="preserve">supervised for </w:t>
      </w:r>
      <w:smartTag w:uri="urn:schemas-microsoft-com:office:smarttags" w:element="country-region">
        <w:r w:rsidRPr="005D2FAE">
          <w:t>AML</w:t>
        </w:r>
      </w:smartTag>
      <w:r w:rsidRPr="005D2FAE">
        <w:t>/CFT purposes; or</w:t>
      </w:r>
    </w:p>
    <w:p w:rsidR="00A65D22" w:rsidRPr="005D2FAE" w:rsidRDefault="00A65D22" w:rsidP="00E10AF0">
      <w:pPr>
        <w:pStyle w:val="Bullet1"/>
        <w:numPr>
          <w:ilvl w:val="0"/>
          <w:numId w:val="0"/>
        </w:numPr>
        <w:ind w:left="357"/>
      </w:pPr>
    </w:p>
    <w:p w:rsidR="00A65D22" w:rsidRDefault="00A65D22" w:rsidP="005D2FAE">
      <w:pPr>
        <w:pStyle w:val="Bullet1"/>
      </w:pPr>
      <w:r w:rsidRPr="005D2FAE">
        <w:t xml:space="preserve">supervised or regulated for </w:t>
      </w:r>
      <w:smartTag w:uri="urn:schemas-microsoft-com:office:smarttags" w:element="country-region">
        <w:r w:rsidRPr="005D2FAE">
          <w:t>AML</w:t>
        </w:r>
      </w:smartTag>
      <w:r w:rsidRPr="005D2FAE">
        <w:t>/CFT purposes.</w:t>
      </w:r>
    </w:p>
    <w:p w:rsidR="00A65D22" w:rsidRPr="005D2FAE" w:rsidRDefault="00A65D22" w:rsidP="005D2FAE">
      <w:pPr>
        <w:pStyle w:val="Bullet1"/>
        <w:numPr>
          <w:ilvl w:val="0"/>
          <w:numId w:val="0"/>
        </w:numPr>
        <w:ind w:left="357"/>
      </w:pPr>
    </w:p>
    <w:p w:rsidR="00A65D22" w:rsidRDefault="00A65D22" w:rsidP="005D2FAE">
      <w:pPr>
        <w:pStyle w:val="Numbers1"/>
      </w:pPr>
      <w:r w:rsidRPr="005D2FAE">
        <w:t xml:space="preserve">In this document supervised or regulated is used to describe both terms. </w:t>
      </w:r>
    </w:p>
    <w:p w:rsidR="00A65D22" w:rsidRPr="005D2FAE" w:rsidRDefault="00A65D22" w:rsidP="005D2FAE">
      <w:pPr>
        <w:pStyle w:val="Numbers1"/>
        <w:numPr>
          <w:ilvl w:val="0"/>
          <w:numId w:val="0"/>
        </w:numPr>
      </w:pPr>
    </w:p>
    <w:p w:rsidR="00A65D22" w:rsidRDefault="00A65D22" w:rsidP="00BF58ED">
      <w:pPr>
        <w:pStyle w:val="Heading3"/>
      </w:pPr>
      <w:r w:rsidRPr="00BF58ED">
        <w:t>Information sources to assist you</w:t>
      </w:r>
    </w:p>
    <w:p w:rsidR="00A65D22" w:rsidRPr="00E10AF0" w:rsidRDefault="00A65D22" w:rsidP="00BF58ED">
      <w:pPr>
        <w:pStyle w:val="Numbers1"/>
        <w:rPr>
          <w:rFonts w:ascii="Calibri" w:hAnsi="Calibri"/>
        </w:rPr>
      </w:pPr>
      <w:hyperlink r:id="rId13" w:history="1">
        <w:r w:rsidRPr="00BF58ED">
          <w:rPr>
            <w:rStyle w:val="Hyperlink"/>
            <w:rFonts w:cs="Arial"/>
          </w:rPr>
          <w:t>The Financial Action Task Force</w:t>
        </w:r>
      </w:hyperlink>
      <w:r w:rsidRPr="00BF58ED">
        <w:rPr>
          <w:rStyle w:val="FootnoteReference"/>
          <w:rFonts w:cs="Arial"/>
        </w:rPr>
        <w:footnoteReference w:id="1"/>
      </w:r>
      <w:r w:rsidRPr="00BF58ED">
        <w:t xml:space="preserve"> (</w:t>
      </w:r>
      <w:hyperlink r:id="rId14" w:history="1">
        <w:r w:rsidRPr="00BF58ED">
          <w:rPr>
            <w:rStyle w:val="Hyperlink"/>
            <w:rFonts w:cs="Arial"/>
          </w:rPr>
          <w:t>FATF</w:t>
        </w:r>
      </w:hyperlink>
      <w:r w:rsidRPr="00BF58ED">
        <w:t>) publishes reports on the AML/CFT regulatory environment of countries, and how compliant they are with FATF recommendations. FATF reports are a good starting point for your countries assessment but they are not always current, therefore</w:t>
      </w:r>
      <w:r>
        <w:t xml:space="preserve"> it may be necessary to consider additional sources of information. </w:t>
      </w:r>
    </w:p>
    <w:p w:rsidR="00A65D22" w:rsidRPr="00BF58ED" w:rsidRDefault="00A65D22" w:rsidP="00E10AF0">
      <w:pPr>
        <w:pStyle w:val="Numbers1"/>
        <w:numPr>
          <w:ilvl w:val="0"/>
          <w:numId w:val="0"/>
        </w:numPr>
        <w:rPr>
          <w:rFonts w:ascii="Calibri" w:hAnsi="Calibri"/>
        </w:rPr>
      </w:pPr>
    </w:p>
    <w:p w:rsidR="00A65D22" w:rsidRPr="00E10AF0" w:rsidRDefault="00A65D22" w:rsidP="00BF58ED">
      <w:pPr>
        <w:pStyle w:val="Numbers1"/>
        <w:rPr>
          <w:rFonts w:ascii="Calibri" w:hAnsi="Calibri" w:cs="Arial"/>
        </w:rPr>
      </w:pPr>
      <w:r>
        <w:t>T</w:t>
      </w:r>
      <w:r w:rsidRPr="007F7989">
        <w:t xml:space="preserve">he reputation of the country </w:t>
      </w:r>
      <w:r>
        <w:t>is</w:t>
      </w:r>
      <w:r w:rsidRPr="007F7989">
        <w:t xml:space="preserve"> another important factor to consider</w:t>
      </w:r>
      <w:r w:rsidRPr="00655611">
        <w:t>.</w:t>
      </w:r>
      <w:r>
        <w:t xml:space="preserve"> International organisations regularly publish reports on perceived crime and corruption levels in countries. </w:t>
      </w:r>
    </w:p>
    <w:p w:rsidR="00A65D22" w:rsidRDefault="00A65D22" w:rsidP="00E10AF0">
      <w:pPr>
        <w:pStyle w:val="Numbers1"/>
        <w:numPr>
          <w:ilvl w:val="0"/>
          <w:numId w:val="0"/>
        </w:numPr>
        <w:rPr>
          <w:rFonts w:ascii="Calibri" w:hAnsi="Calibri" w:cs="Arial"/>
        </w:rPr>
      </w:pPr>
    </w:p>
    <w:p w:rsidR="00A65D22" w:rsidRDefault="00A65D22" w:rsidP="00BF58ED">
      <w:pPr>
        <w:pStyle w:val="Numbers1"/>
      </w:pPr>
      <w:r>
        <w:t xml:space="preserve">Resources you could use for your countries assessment are listed in Appendix 2. </w:t>
      </w:r>
    </w:p>
    <w:p w:rsidR="00A65D22" w:rsidRPr="00BE6A24" w:rsidRDefault="00A65D22" w:rsidP="00BF58ED">
      <w:pPr>
        <w:pStyle w:val="Heading2"/>
      </w:pPr>
    </w:p>
    <w:p w:rsidR="00A65D22" w:rsidRDefault="00A65D22" w:rsidP="00BF58ED">
      <w:pPr>
        <w:pStyle w:val="Heading2"/>
      </w:pPr>
      <w:r>
        <w:t>Types of country assessments</w:t>
      </w:r>
    </w:p>
    <w:p w:rsidR="00A65D22" w:rsidRDefault="00A65D22" w:rsidP="005D2FAE">
      <w:pPr>
        <w:pStyle w:val="Heading2"/>
      </w:pPr>
    </w:p>
    <w:p w:rsidR="00A65D22" w:rsidRDefault="00A65D22" w:rsidP="00BF58ED">
      <w:pPr>
        <w:pStyle w:val="Numbers1"/>
      </w:pPr>
      <w:r>
        <w:t>Depending on the circumstances, you may be required to assess whether:</w:t>
      </w:r>
    </w:p>
    <w:p w:rsidR="00A65D22" w:rsidRDefault="00A65D22" w:rsidP="00BF58ED">
      <w:pPr>
        <w:pStyle w:val="Numbers1"/>
        <w:numPr>
          <w:ilvl w:val="0"/>
          <w:numId w:val="0"/>
        </w:numPr>
      </w:pPr>
    </w:p>
    <w:p w:rsidR="00A65D22" w:rsidRDefault="00A65D22" w:rsidP="00BF58ED">
      <w:pPr>
        <w:pStyle w:val="Bullet1"/>
      </w:pPr>
      <w:r>
        <w:t>a country has s</w:t>
      </w:r>
      <w:r w:rsidRPr="00C65691">
        <w:t xml:space="preserve">ufficient </w:t>
      </w:r>
      <w:smartTag w:uri="urn:schemas-microsoft-com:office:smarttags" w:element="country-region">
        <w:r w:rsidRPr="00C65691">
          <w:t>AML</w:t>
        </w:r>
      </w:smartTag>
      <w:r w:rsidRPr="00C65691">
        <w:t>/CFT systems/measures</w:t>
      </w:r>
      <w:r>
        <w:t>;</w:t>
      </w:r>
      <w:r w:rsidRPr="00C65691">
        <w:t xml:space="preserve"> </w:t>
      </w:r>
    </w:p>
    <w:p w:rsidR="00A65D22" w:rsidRDefault="00A65D22" w:rsidP="00E10AF0">
      <w:pPr>
        <w:pStyle w:val="Bullet1"/>
        <w:numPr>
          <w:ilvl w:val="0"/>
          <w:numId w:val="0"/>
        </w:numPr>
        <w:ind w:left="357"/>
      </w:pPr>
    </w:p>
    <w:p w:rsidR="00A65D22" w:rsidRDefault="00A65D22" w:rsidP="00BF58ED">
      <w:pPr>
        <w:pStyle w:val="Bullet1"/>
      </w:pPr>
      <w:r>
        <w:t>a person is s</w:t>
      </w:r>
      <w:r w:rsidRPr="00C65691">
        <w:t>upervised or regulated for AML/CFT purposes</w:t>
      </w:r>
      <w:r>
        <w:t>;</w:t>
      </w:r>
    </w:p>
    <w:p w:rsidR="00A65D22" w:rsidRDefault="00A65D22" w:rsidP="00E10AF0">
      <w:pPr>
        <w:pStyle w:val="Bullet1"/>
        <w:numPr>
          <w:ilvl w:val="0"/>
          <w:numId w:val="0"/>
        </w:numPr>
      </w:pPr>
    </w:p>
    <w:p w:rsidR="00A65D22" w:rsidRDefault="00A65D22" w:rsidP="00BF58ED">
      <w:pPr>
        <w:pStyle w:val="Bullet1"/>
      </w:pPr>
      <w:r>
        <w:t>a person is sufficiently s</w:t>
      </w:r>
      <w:r w:rsidRPr="00C65691">
        <w:t xml:space="preserve">upervised and </w:t>
      </w:r>
      <w:r>
        <w:t>monitored</w:t>
      </w:r>
      <w:r w:rsidRPr="00C65691">
        <w:t xml:space="preserve"> </w:t>
      </w:r>
      <w:r>
        <w:t>by a</w:t>
      </w:r>
      <w:r w:rsidRPr="00C65691">
        <w:t xml:space="preserve"> banking </w:t>
      </w:r>
      <w:r>
        <w:t>supervisor;</w:t>
      </w:r>
    </w:p>
    <w:p w:rsidR="00A65D22" w:rsidRDefault="00A65D22" w:rsidP="00E10AF0">
      <w:pPr>
        <w:pStyle w:val="Bullet1"/>
        <w:numPr>
          <w:ilvl w:val="0"/>
          <w:numId w:val="0"/>
        </w:numPr>
      </w:pPr>
    </w:p>
    <w:p w:rsidR="00A65D22" w:rsidRDefault="00A65D22" w:rsidP="00BF58ED">
      <w:pPr>
        <w:pStyle w:val="Bullet1"/>
      </w:pPr>
      <w:r>
        <w:t>a country has s</w:t>
      </w:r>
      <w:r w:rsidRPr="00ED4F8D">
        <w:t>ufficient AML/CFT systems/measures and supervised or regulated for AML/CFT purposes</w:t>
      </w:r>
      <w:r>
        <w:t>; or</w:t>
      </w:r>
    </w:p>
    <w:p w:rsidR="00A65D22" w:rsidRDefault="00A65D22" w:rsidP="00E10AF0">
      <w:pPr>
        <w:pStyle w:val="Bullet1"/>
        <w:numPr>
          <w:ilvl w:val="0"/>
          <w:numId w:val="0"/>
        </w:numPr>
      </w:pPr>
    </w:p>
    <w:p w:rsidR="00A65D22" w:rsidRDefault="00A65D22" w:rsidP="00BF58ED">
      <w:pPr>
        <w:pStyle w:val="Bullet1"/>
      </w:pPr>
      <w:r>
        <w:t>a country does not have, or has</w:t>
      </w:r>
      <w:r w:rsidRPr="00C65691">
        <w:t xml:space="preserve"> insufficient</w:t>
      </w:r>
      <w:r>
        <w:t>,</w:t>
      </w:r>
      <w:r w:rsidRPr="00C65691">
        <w:t xml:space="preserve"> AML/CFT systems/measures</w:t>
      </w:r>
      <w:r>
        <w:t>.</w:t>
      </w:r>
    </w:p>
    <w:p w:rsidR="00A65D22" w:rsidRDefault="00A65D22" w:rsidP="00BF58ED">
      <w:pPr>
        <w:pStyle w:val="Bullet1"/>
        <w:numPr>
          <w:ilvl w:val="0"/>
          <w:numId w:val="0"/>
        </w:numPr>
        <w:ind w:left="357"/>
      </w:pPr>
    </w:p>
    <w:p w:rsidR="00A65D22" w:rsidRDefault="00A65D22" w:rsidP="00BF58ED">
      <w:pPr>
        <w:pStyle w:val="Numbers1"/>
      </w:pPr>
      <w:r>
        <w:t>When you conduct your risk assessment</w:t>
      </w:r>
      <w:r>
        <w:rPr>
          <w:rStyle w:val="CommentReference"/>
        </w:rPr>
        <w:t xml:space="preserve"> </w:t>
      </w:r>
      <w:r>
        <w:t>you will need to assess the likelihood that your business could be used for money laundering or terrorist financing because of the countries you deal with.</w:t>
      </w:r>
      <w:r w:rsidRPr="00B02C1A">
        <w:t xml:space="preserve"> </w:t>
      </w:r>
    </w:p>
    <w:p w:rsidR="00A65D22" w:rsidRDefault="00A65D22" w:rsidP="00BF58ED">
      <w:pPr>
        <w:pStyle w:val="Numbers1"/>
        <w:numPr>
          <w:ilvl w:val="0"/>
          <w:numId w:val="0"/>
        </w:numPr>
      </w:pPr>
    </w:p>
    <w:p w:rsidR="00A65D22" w:rsidRDefault="00A65D22" w:rsidP="00BF58ED">
      <w:pPr>
        <w:pStyle w:val="Numbers1"/>
      </w:pPr>
      <w:r>
        <w:t>The AML/CFT Act requires specific types of assessments before dealing with persons that are resident or supervised in another country. It does not prohibit business relationships or transactions with persons based in those countries.</w:t>
      </w:r>
    </w:p>
    <w:p w:rsidR="00A65D22" w:rsidRDefault="00A65D22" w:rsidP="00BF58ED">
      <w:pPr>
        <w:pStyle w:val="Numbers1"/>
        <w:numPr>
          <w:ilvl w:val="0"/>
          <w:numId w:val="0"/>
        </w:numPr>
      </w:pPr>
    </w:p>
    <w:p w:rsidR="00A65D22" w:rsidRDefault="00A65D22" w:rsidP="00BF58ED">
      <w:pPr>
        <w:pStyle w:val="Heading3"/>
      </w:pPr>
      <w:r w:rsidRPr="00E64F2F">
        <w:t xml:space="preserve">Sufficient </w:t>
      </w:r>
      <w:smartTag w:uri="urn:schemas-microsoft-com:office:smarttags" w:element="country-region">
        <w:r w:rsidRPr="00E64F2F">
          <w:t>AML</w:t>
        </w:r>
      </w:smartTag>
      <w:r w:rsidRPr="00E64F2F">
        <w:t>/CFT systems/</w:t>
      </w:r>
      <w:r w:rsidRPr="00BF58ED">
        <w:t>measures</w:t>
      </w:r>
      <w:r>
        <w:t xml:space="preserve"> </w:t>
      </w:r>
    </w:p>
    <w:p w:rsidR="00A65D22" w:rsidRPr="00BF58ED" w:rsidRDefault="00A65D22" w:rsidP="00BF58ED">
      <w:pPr>
        <w:pStyle w:val="Numbers1"/>
        <w:rPr>
          <w:rFonts w:ascii="Calibri" w:hAnsi="Calibri" w:cs="Arial"/>
        </w:rPr>
      </w:pPr>
      <w:r>
        <w:t xml:space="preserve">You must assess whether a country has </w:t>
      </w:r>
      <w:r w:rsidRPr="00844953">
        <w:t>sufficient</w:t>
      </w:r>
      <w:r w:rsidRPr="007D7734">
        <w:rPr>
          <w:color w:val="FF0000"/>
        </w:rPr>
        <w:t xml:space="preserve"> </w:t>
      </w:r>
      <w:r>
        <w:t xml:space="preserve">AML/CFT systems/measures if you wish to conduct simplified due diligence on a government body located in that country. This is required under regulation 5 of the AML/CFT (Requirements and Compliance) Regulations 2011. </w:t>
      </w:r>
    </w:p>
    <w:p w:rsidR="00A65D22" w:rsidRPr="00BF58ED" w:rsidRDefault="00A65D22" w:rsidP="00BF58ED">
      <w:pPr>
        <w:pStyle w:val="Numbers1"/>
        <w:numPr>
          <w:ilvl w:val="0"/>
          <w:numId w:val="0"/>
        </w:numPr>
        <w:rPr>
          <w:rFonts w:ascii="Calibri" w:hAnsi="Calibri" w:cs="Arial"/>
        </w:rPr>
      </w:pPr>
    </w:p>
    <w:p w:rsidR="00A65D22" w:rsidRDefault="00A65D22" w:rsidP="00BF58ED">
      <w:pPr>
        <w:pStyle w:val="Numbers1"/>
      </w:pPr>
      <w:r>
        <w:t>‘S</w:t>
      </w:r>
      <w:r w:rsidRPr="00254F30">
        <w:t>ufficient</w:t>
      </w:r>
      <w:r>
        <w:t xml:space="preserve">’ is not defined in the AML/CFT Act or the regulations </w:t>
      </w:r>
      <w:r w:rsidRPr="00254F30">
        <w:t xml:space="preserve">and to some extent you have to use your own common sense and judgement </w:t>
      </w:r>
      <w:r>
        <w:t>to</w:t>
      </w:r>
      <w:r w:rsidRPr="00254F30">
        <w:t xml:space="preserve"> </w:t>
      </w:r>
      <w:r>
        <w:t>make this assessment.</w:t>
      </w:r>
    </w:p>
    <w:p w:rsidR="00A65D22" w:rsidRDefault="00A65D22" w:rsidP="00BF58ED">
      <w:pPr>
        <w:pStyle w:val="Numbers1"/>
        <w:numPr>
          <w:ilvl w:val="0"/>
          <w:numId w:val="0"/>
        </w:numPr>
      </w:pPr>
    </w:p>
    <w:p w:rsidR="00A65D22" w:rsidRDefault="00A65D22" w:rsidP="00BF58ED">
      <w:pPr>
        <w:pStyle w:val="Heading41"/>
      </w:pPr>
      <w:r>
        <w:t>Assessment</w:t>
      </w:r>
    </w:p>
    <w:p w:rsidR="00A65D22" w:rsidRPr="00BF58ED" w:rsidRDefault="00A65D22" w:rsidP="00BF58ED"/>
    <w:p w:rsidR="00A65D22" w:rsidRDefault="00A65D22" w:rsidP="00BF58ED">
      <w:pPr>
        <w:pStyle w:val="Numbers1"/>
      </w:pPr>
      <w:r>
        <w:t xml:space="preserve">When you conduct this assessment factors to consider include: </w:t>
      </w:r>
    </w:p>
    <w:p w:rsidR="00A65D22" w:rsidRDefault="00A65D22" w:rsidP="00E10AF0">
      <w:pPr>
        <w:pStyle w:val="Numbers1"/>
        <w:numPr>
          <w:ilvl w:val="0"/>
          <w:numId w:val="0"/>
        </w:numPr>
      </w:pPr>
    </w:p>
    <w:p w:rsidR="00A65D22" w:rsidRDefault="00A65D22" w:rsidP="00BF58ED">
      <w:pPr>
        <w:pStyle w:val="Bullet1"/>
      </w:pPr>
      <w:r>
        <w:t>whether the country has laws that make it illegal to launder money or finance terrorism;</w:t>
      </w:r>
    </w:p>
    <w:p w:rsidR="00A65D22" w:rsidRDefault="00A65D22" w:rsidP="00E10AF0">
      <w:pPr>
        <w:pStyle w:val="Bullet1"/>
        <w:numPr>
          <w:ilvl w:val="0"/>
          <w:numId w:val="0"/>
        </w:numPr>
        <w:ind w:left="357"/>
      </w:pPr>
    </w:p>
    <w:p w:rsidR="00A65D22" w:rsidRDefault="00A65D22" w:rsidP="00BF58ED">
      <w:pPr>
        <w:pStyle w:val="Bullet1"/>
      </w:pPr>
      <w:r>
        <w:t>whether the country’s legislative framework puts obligations on financial institutions for customer due diligence, account monitoring, suspicious transaction reporting and record keeping similar to those set out in the AML/CFT Act; and</w:t>
      </w:r>
    </w:p>
    <w:p w:rsidR="00A65D22" w:rsidRDefault="00A65D22" w:rsidP="00E10AF0">
      <w:pPr>
        <w:pStyle w:val="Bullet1"/>
        <w:numPr>
          <w:ilvl w:val="0"/>
          <w:numId w:val="0"/>
        </w:numPr>
      </w:pPr>
    </w:p>
    <w:p w:rsidR="00A65D22" w:rsidRDefault="00A65D22" w:rsidP="00BF58ED">
      <w:pPr>
        <w:pStyle w:val="Bullet1"/>
      </w:pPr>
      <w:r>
        <w:t>whether the country has an established and effective AML/CFT supervisory regime.</w:t>
      </w:r>
    </w:p>
    <w:p w:rsidR="00A65D22" w:rsidRDefault="00A65D22" w:rsidP="00BF58ED">
      <w:pPr>
        <w:pStyle w:val="Bullet1"/>
        <w:numPr>
          <w:ilvl w:val="0"/>
          <w:numId w:val="0"/>
        </w:numPr>
        <w:ind w:left="357"/>
      </w:pPr>
    </w:p>
    <w:p w:rsidR="00A65D22" w:rsidRDefault="00A65D22" w:rsidP="00BF58ED">
      <w:pPr>
        <w:pStyle w:val="Numbers1"/>
      </w:pPr>
      <w:r>
        <w:t>Some</w:t>
      </w:r>
      <w:r w:rsidRPr="00625D9C">
        <w:t xml:space="preserve"> </w:t>
      </w:r>
      <w:r>
        <w:t xml:space="preserve">other </w:t>
      </w:r>
      <w:r w:rsidRPr="00625D9C">
        <w:t xml:space="preserve">factors to consider </w:t>
      </w:r>
      <w:r>
        <w:t xml:space="preserve">during </w:t>
      </w:r>
      <w:r w:rsidRPr="00625D9C">
        <w:t>this assessment</w:t>
      </w:r>
      <w:r>
        <w:t xml:space="preserve"> are:</w:t>
      </w:r>
    </w:p>
    <w:p w:rsidR="00A65D22" w:rsidRDefault="00A65D22" w:rsidP="00E10AF0">
      <w:pPr>
        <w:pStyle w:val="Numbers1"/>
        <w:numPr>
          <w:ilvl w:val="0"/>
          <w:numId w:val="0"/>
        </w:numPr>
      </w:pPr>
    </w:p>
    <w:p w:rsidR="00A65D22" w:rsidRDefault="00A65D22" w:rsidP="00BF58ED">
      <w:pPr>
        <w:pStyle w:val="Bullet1"/>
        <w:rPr>
          <w:rFonts w:cs="Arial"/>
        </w:rPr>
      </w:pPr>
      <w:r>
        <w:t xml:space="preserve">membership of the Financial Action Task </w:t>
      </w:r>
      <w:r w:rsidRPr="00BF58ED">
        <w:rPr>
          <w:rFonts w:cs="Arial"/>
        </w:rPr>
        <w:t>Force (</w:t>
      </w:r>
      <w:hyperlink r:id="rId15" w:history="1">
        <w:r w:rsidRPr="00BF58ED">
          <w:rPr>
            <w:rStyle w:val="Hyperlink"/>
            <w:rFonts w:cs="Arial"/>
          </w:rPr>
          <w:t>FATF</w:t>
        </w:r>
      </w:hyperlink>
      <w:r w:rsidRPr="00BF58ED">
        <w:rPr>
          <w:rStyle w:val="FootnoteReference"/>
          <w:rFonts w:cs="Arial"/>
        </w:rPr>
        <w:footnoteReference w:id="2"/>
      </w:r>
      <w:r w:rsidRPr="00BF58ED">
        <w:rPr>
          <w:rFonts w:cs="Arial"/>
        </w:rPr>
        <w:t>), or a FATF regional body, for example, the Asia/Pacific Group on Money Laundering (</w:t>
      </w:r>
      <w:hyperlink r:id="rId16" w:history="1">
        <w:r w:rsidRPr="00BF58ED">
          <w:rPr>
            <w:rStyle w:val="Hyperlink"/>
            <w:rFonts w:cs="Arial"/>
          </w:rPr>
          <w:t>APG</w:t>
        </w:r>
      </w:hyperlink>
      <w:r w:rsidRPr="00BF58ED">
        <w:rPr>
          <w:rStyle w:val="FootnoteReference"/>
          <w:rFonts w:cs="Arial"/>
        </w:rPr>
        <w:footnoteReference w:id="3"/>
      </w:r>
      <w:r w:rsidRPr="00BF58ED">
        <w:rPr>
          <w:rFonts w:cs="Arial"/>
        </w:rPr>
        <w:t>). FATF and APG routinely assess the effectiveness of their member countries’ AML/CFT systems and measures;</w:t>
      </w:r>
    </w:p>
    <w:p w:rsidR="00A65D22" w:rsidRPr="00BF58ED" w:rsidRDefault="00A65D22" w:rsidP="00E10AF0">
      <w:pPr>
        <w:pStyle w:val="Bullet1"/>
        <w:numPr>
          <w:ilvl w:val="0"/>
          <w:numId w:val="0"/>
        </w:numPr>
        <w:ind w:left="357"/>
        <w:rPr>
          <w:rFonts w:cs="Arial"/>
        </w:rPr>
      </w:pPr>
    </w:p>
    <w:p w:rsidR="00A65D22" w:rsidRDefault="00A65D22" w:rsidP="00BF58ED">
      <w:pPr>
        <w:pStyle w:val="Bullet1"/>
      </w:pPr>
      <w:r w:rsidRPr="00BF58ED">
        <w:rPr>
          <w:rFonts w:cs="Arial"/>
        </w:rPr>
        <w:t xml:space="preserve">the results of any recent independent assessment of the country’s AML/CFT systems/measures, for example, a FATF mutual evaluation of the country. Such assessments can be found on the websites of </w:t>
      </w:r>
      <w:hyperlink r:id="rId17" w:history="1">
        <w:r w:rsidRPr="00BF58ED">
          <w:rPr>
            <w:rStyle w:val="Hyperlink"/>
            <w:rFonts w:cs="Arial"/>
          </w:rPr>
          <w:t>FATF</w:t>
        </w:r>
      </w:hyperlink>
      <w:r w:rsidRPr="00BF58ED">
        <w:rPr>
          <w:rStyle w:val="FootnoteReference"/>
          <w:rFonts w:cs="Arial"/>
        </w:rPr>
        <w:footnoteReference w:id="4"/>
      </w:r>
      <w:r w:rsidRPr="00BF58ED">
        <w:rPr>
          <w:rFonts w:cs="Arial"/>
        </w:rPr>
        <w:t xml:space="preserve"> or associated regional</w:t>
      </w:r>
      <w:r w:rsidRPr="00BF58ED">
        <w:t xml:space="preserve"> bodies; and</w:t>
      </w:r>
    </w:p>
    <w:p w:rsidR="00A65D22" w:rsidRDefault="00A65D22" w:rsidP="00E10AF0">
      <w:pPr>
        <w:pStyle w:val="Bullet1"/>
        <w:numPr>
          <w:ilvl w:val="0"/>
          <w:numId w:val="0"/>
        </w:numPr>
      </w:pPr>
    </w:p>
    <w:p w:rsidR="00A65D22" w:rsidRDefault="00A65D22" w:rsidP="00BF58ED">
      <w:pPr>
        <w:pStyle w:val="Bullet1"/>
      </w:pPr>
      <w:r w:rsidRPr="00BF58ED">
        <w:t>any public concerns raised about a country’s AML/CFT systems/measures.</w:t>
      </w:r>
    </w:p>
    <w:p w:rsidR="00A65D22" w:rsidRPr="00BF58ED" w:rsidRDefault="00A65D22" w:rsidP="00BF58ED">
      <w:pPr>
        <w:pStyle w:val="Bullet1"/>
        <w:numPr>
          <w:ilvl w:val="0"/>
          <w:numId w:val="0"/>
        </w:numPr>
        <w:ind w:left="357"/>
      </w:pPr>
    </w:p>
    <w:p w:rsidR="00A65D22" w:rsidRDefault="00A65D22" w:rsidP="00BF58ED">
      <w:pPr>
        <w:pStyle w:val="Numbers1"/>
      </w:pPr>
      <w:r>
        <w:t xml:space="preserve">You may also consider any additional factors you think necessary for your assessment which are not included in the above list. </w:t>
      </w:r>
    </w:p>
    <w:p w:rsidR="00A65D22" w:rsidRDefault="00A65D22" w:rsidP="00BF58ED">
      <w:pPr>
        <w:pStyle w:val="Numbers1"/>
        <w:numPr>
          <w:ilvl w:val="0"/>
          <w:numId w:val="0"/>
        </w:numPr>
      </w:pPr>
    </w:p>
    <w:p w:rsidR="00A65D22" w:rsidRPr="00E64F2F" w:rsidRDefault="00A65D22" w:rsidP="00BF58ED">
      <w:pPr>
        <w:pStyle w:val="Heading3"/>
      </w:pPr>
      <w:r w:rsidRPr="00E64F2F">
        <w:t xml:space="preserve">Supervised </w:t>
      </w:r>
      <w:r>
        <w:t xml:space="preserve">or regulated </w:t>
      </w:r>
      <w:r w:rsidRPr="00BF58ED">
        <w:t>for</w:t>
      </w:r>
      <w:r w:rsidRPr="00E64F2F">
        <w:t xml:space="preserve"> AML/CFT purposes</w:t>
      </w:r>
    </w:p>
    <w:p w:rsidR="00A65D22" w:rsidRDefault="00A65D22" w:rsidP="00BF58ED">
      <w:pPr>
        <w:pStyle w:val="Numbers1"/>
      </w:pPr>
      <w:r>
        <w:t xml:space="preserve">You will have to assess whether a financial institution you wish to establish, or continue, a correspondent banking relationship with is supervised or regulated for </w:t>
      </w:r>
      <w:smartTag w:uri="urn:schemas-microsoft-com:office:smarttags" w:element="country-region">
        <w:r>
          <w:t>AML</w:t>
        </w:r>
      </w:smartTag>
      <w:r>
        <w:t>/CFT purposes.</w:t>
      </w:r>
      <w:r w:rsidRPr="00C639B7">
        <w:t xml:space="preserve"> </w:t>
      </w:r>
      <w:r>
        <w:t>This is required under section 29 of the AML/CFT Act.</w:t>
      </w:r>
    </w:p>
    <w:p w:rsidR="00A65D22" w:rsidRDefault="00A65D22" w:rsidP="00E10AF0">
      <w:pPr>
        <w:pStyle w:val="Numbers1"/>
        <w:numPr>
          <w:ilvl w:val="0"/>
          <w:numId w:val="0"/>
        </w:numPr>
      </w:pPr>
    </w:p>
    <w:p w:rsidR="00A65D22" w:rsidRDefault="00A65D22" w:rsidP="00BF58ED">
      <w:pPr>
        <w:pStyle w:val="Numbers1"/>
      </w:pPr>
      <w:r w:rsidRPr="00655611">
        <w:t xml:space="preserve">An </w:t>
      </w:r>
      <w:smartTag w:uri="urn:schemas-microsoft-com:office:smarttags" w:element="country-region">
        <w:r w:rsidRPr="00655611">
          <w:t>AML</w:t>
        </w:r>
      </w:smartTag>
      <w:r w:rsidRPr="00655611">
        <w:t xml:space="preserve">/CFT supervisor may be a government agency with additional functions not related to </w:t>
      </w:r>
      <w:smartTag w:uri="urn:schemas-microsoft-com:office:smarttags" w:element="country-region">
        <w:r w:rsidRPr="00655611">
          <w:t>AML</w:t>
        </w:r>
      </w:smartTag>
      <w:r w:rsidRPr="00655611">
        <w:t xml:space="preserve">/CFT. The best sources of information on supervision and regulation </w:t>
      </w:r>
      <w:r>
        <w:t xml:space="preserve">for particular countries </w:t>
      </w:r>
      <w:r w:rsidRPr="00655611">
        <w:t>are</w:t>
      </w:r>
      <w:r>
        <w:t xml:space="preserve"> the mutual evaluations undertaken by </w:t>
      </w:r>
      <w:r w:rsidRPr="00655611">
        <w:t>FATF and FATF-style regional bodies such as the APG.</w:t>
      </w:r>
      <w:r>
        <w:t xml:space="preserve"> </w:t>
      </w:r>
    </w:p>
    <w:p w:rsidR="00A65D22" w:rsidRDefault="00A65D22" w:rsidP="00BF58ED">
      <w:pPr>
        <w:pStyle w:val="Heading41"/>
      </w:pPr>
    </w:p>
    <w:p w:rsidR="00A65D22" w:rsidRDefault="00A65D22" w:rsidP="00BF58ED">
      <w:pPr>
        <w:pStyle w:val="Heading41"/>
      </w:pPr>
      <w:r>
        <w:t>Assessment</w:t>
      </w:r>
    </w:p>
    <w:p w:rsidR="00A65D22" w:rsidRPr="00E10AF0" w:rsidRDefault="00A65D22" w:rsidP="00E10AF0"/>
    <w:p w:rsidR="00A65D22" w:rsidRDefault="00A65D22" w:rsidP="00BF58ED">
      <w:pPr>
        <w:pStyle w:val="Numbers1"/>
      </w:pPr>
      <w:r>
        <w:t>When you conduct this assessment factors to consider include:</w:t>
      </w:r>
    </w:p>
    <w:p w:rsidR="00A65D22" w:rsidRDefault="00A65D22" w:rsidP="00BF58ED">
      <w:pPr>
        <w:pStyle w:val="Numbers1"/>
        <w:numPr>
          <w:ilvl w:val="0"/>
          <w:numId w:val="0"/>
        </w:numPr>
      </w:pPr>
    </w:p>
    <w:p w:rsidR="00A65D22" w:rsidRPr="004F433B" w:rsidRDefault="00A65D22" w:rsidP="00BF58ED">
      <w:pPr>
        <w:pStyle w:val="Bullet1"/>
      </w:pPr>
      <w:r w:rsidRPr="004F433B">
        <w:t>whether one or more independent supervisory bodies is in place for AML/CFT (where the entity is located or anywhere with jurisdiction to supervise that entity or its parent); and</w:t>
      </w:r>
    </w:p>
    <w:p w:rsidR="00A65D22" w:rsidRDefault="00A65D22" w:rsidP="00E10AF0">
      <w:pPr>
        <w:pStyle w:val="Bullet1"/>
        <w:numPr>
          <w:ilvl w:val="0"/>
          <w:numId w:val="0"/>
        </w:numPr>
        <w:ind w:left="357"/>
      </w:pPr>
    </w:p>
    <w:p w:rsidR="00A65D22" w:rsidRDefault="00A65D22" w:rsidP="00BF58ED">
      <w:pPr>
        <w:pStyle w:val="Bullet1"/>
      </w:pPr>
      <w:r>
        <w:t>whether, and to what extent, the person under consideration is supervised by that AML/CFT supervisor.</w:t>
      </w:r>
    </w:p>
    <w:p w:rsidR="00A65D22" w:rsidRDefault="00A65D22" w:rsidP="00BF58ED">
      <w:pPr>
        <w:pStyle w:val="Bullet1"/>
        <w:numPr>
          <w:ilvl w:val="0"/>
          <w:numId w:val="0"/>
        </w:numPr>
        <w:ind w:left="357"/>
      </w:pPr>
    </w:p>
    <w:p w:rsidR="00A65D22" w:rsidRDefault="00A65D22" w:rsidP="00BF58ED">
      <w:pPr>
        <w:pStyle w:val="Heading3"/>
      </w:pPr>
      <w:r>
        <w:t>Supervised and monitored</w:t>
      </w:r>
      <w:r w:rsidRPr="00C65691">
        <w:t xml:space="preserve"> </w:t>
      </w:r>
      <w:r>
        <w:t>by a banking supervisor</w:t>
      </w:r>
    </w:p>
    <w:p w:rsidR="00A65D22" w:rsidRDefault="00A65D22" w:rsidP="00BF58ED">
      <w:pPr>
        <w:pStyle w:val="Numbers1"/>
      </w:pPr>
      <w:r>
        <w:t xml:space="preserve">The AML/CFT Act prohibits business relationships with shell banks. </w:t>
      </w:r>
      <w:r w:rsidRPr="008C681E">
        <w:t>You must not establish or continue a business relationship with a shell bank</w:t>
      </w:r>
      <w:r>
        <w:t>,</w:t>
      </w:r>
      <w:r w:rsidRPr="008C681E">
        <w:t xml:space="preserve"> or </w:t>
      </w:r>
      <w:r>
        <w:t xml:space="preserve">a financial institution that has a correspondent banking relationship with a shell bank. You must not </w:t>
      </w:r>
      <w:r w:rsidRPr="008C681E">
        <w:t>allow an occasional transaction to be conducted thro</w:t>
      </w:r>
      <w:r>
        <w:t xml:space="preserve">ugh your business by them. </w:t>
      </w:r>
    </w:p>
    <w:p w:rsidR="00A65D22" w:rsidRDefault="00A65D22" w:rsidP="00BF58ED">
      <w:pPr>
        <w:pStyle w:val="Numbers1"/>
        <w:numPr>
          <w:ilvl w:val="0"/>
          <w:numId w:val="0"/>
        </w:numPr>
      </w:pPr>
    </w:p>
    <w:p w:rsidR="00A65D22" w:rsidRDefault="00A65D22" w:rsidP="00723D69">
      <w:pPr>
        <w:pStyle w:val="Numbers1"/>
      </w:pPr>
      <w:r w:rsidRPr="00723D69">
        <w:t xml:space="preserve">A shell bank is an entity that is formed and authorised to carry on banking </w:t>
      </w:r>
      <w:r>
        <w:t>b</w:t>
      </w:r>
      <w:r w:rsidRPr="00723D69">
        <w:t>usiness in a country but does not have a phys</w:t>
      </w:r>
      <w:r>
        <w:t xml:space="preserve">ical presence in that country. </w:t>
      </w:r>
      <w:r w:rsidRPr="00723D69">
        <w:t>An affiliate of a corporation that is sufficiently supervised and monitored in carrying on its banking business is not a shell bank.</w:t>
      </w:r>
      <w:r>
        <w:t xml:space="preserve"> </w:t>
      </w:r>
    </w:p>
    <w:p w:rsidR="00A65D22" w:rsidRDefault="00A65D22" w:rsidP="00BF58ED">
      <w:pPr>
        <w:pStyle w:val="Numbers1"/>
        <w:numPr>
          <w:ilvl w:val="0"/>
          <w:numId w:val="0"/>
        </w:numPr>
      </w:pPr>
    </w:p>
    <w:p w:rsidR="00A65D22" w:rsidRDefault="00A65D22" w:rsidP="00BF58ED">
      <w:pPr>
        <w:pStyle w:val="Numbers1"/>
        <w:rPr>
          <w:color w:val="333333"/>
        </w:rPr>
      </w:pPr>
      <w:r w:rsidRPr="002C7FF0">
        <w:rPr>
          <w:color w:val="333333"/>
        </w:rPr>
        <w:t>When you are required to determine whether a person is supervised and monitored in carrying on banking business, you will have to determine whether the person has to report to and be monitored by a banking supervisor</w:t>
      </w:r>
      <w:r w:rsidRPr="00B228CE">
        <w:rPr>
          <w:color w:val="333333"/>
        </w:rPr>
        <w:t>. A banking supervisor may be a government agency with additional functions not related to banking supervision.</w:t>
      </w:r>
    </w:p>
    <w:p w:rsidR="00A65D22" w:rsidRDefault="00A65D22" w:rsidP="00BF58ED">
      <w:pPr>
        <w:pStyle w:val="Numbers1"/>
        <w:numPr>
          <w:ilvl w:val="0"/>
          <w:numId w:val="0"/>
        </w:numPr>
        <w:rPr>
          <w:color w:val="333333"/>
        </w:rPr>
      </w:pPr>
    </w:p>
    <w:p w:rsidR="00A65D22" w:rsidRDefault="00A65D22" w:rsidP="00D83E53">
      <w:pPr>
        <w:pStyle w:val="Heading41"/>
      </w:pPr>
      <w:r>
        <w:t>Assessment</w:t>
      </w:r>
    </w:p>
    <w:p w:rsidR="00A65D22" w:rsidRPr="00BF58ED" w:rsidRDefault="00A65D22" w:rsidP="00D83E53">
      <w:pPr>
        <w:keepNext/>
      </w:pPr>
    </w:p>
    <w:p w:rsidR="00A65D22" w:rsidRDefault="00A65D22" w:rsidP="00D83E53">
      <w:pPr>
        <w:pStyle w:val="Numbers1"/>
        <w:keepNext/>
      </w:pPr>
      <w:r>
        <w:t>To assess whether a person in another country is sufficiently supervised for banking business factors to consider include the following:</w:t>
      </w:r>
    </w:p>
    <w:p w:rsidR="00A65D22" w:rsidRDefault="00A65D22" w:rsidP="00BF58ED">
      <w:pPr>
        <w:pStyle w:val="Numbers1"/>
        <w:numPr>
          <w:ilvl w:val="0"/>
          <w:numId w:val="0"/>
        </w:numPr>
      </w:pPr>
    </w:p>
    <w:p w:rsidR="00A65D22" w:rsidRDefault="00A65D22" w:rsidP="00BF58ED">
      <w:pPr>
        <w:pStyle w:val="Bullet1"/>
      </w:pPr>
      <w:r>
        <w:t>whether an independent body is in place for supervising banking business;</w:t>
      </w:r>
    </w:p>
    <w:p w:rsidR="00A65D22" w:rsidRDefault="00A65D22" w:rsidP="00E10AF0">
      <w:pPr>
        <w:pStyle w:val="Bullet1"/>
        <w:numPr>
          <w:ilvl w:val="0"/>
          <w:numId w:val="0"/>
        </w:numPr>
        <w:ind w:left="357"/>
      </w:pPr>
    </w:p>
    <w:p w:rsidR="00A65D22" w:rsidRDefault="00A65D22" w:rsidP="00BF58ED">
      <w:pPr>
        <w:pStyle w:val="Bullet1"/>
      </w:pPr>
      <w:r>
        <w:t>whether the person under consideration is supervised by that body in carrying on its banking business; and</w:t>
      </w:r>
    </w:p>
    <w:p w:rsidR="00A65D22" w:rsidRDefault="00A65D22" w:rsidP="00E10AF0">
      <w:pPr>
        <w:pStyle w:val="Bullet1"/>
        <w:numPr>
          <w:ilvl w:val="0"/>
          <w:numId w:val="0"/>
        </w:numPr>
        <w:ind w:left="357"/>
      </w:pPr>
    </w:p>
    <w:p w:rsidR="00A65D22" w:rsidRDefault="00A65D22" w:rsidP="00BF58ED">
      <w:pPr>
        <w:pStyle w:val="Bullet1"/>
      </w:pPr>
      <w:r>
        <w:t>whether the monitoring and supervision of banking business by that body is adequate when compared with relevant international standards.</w:t>
      </w:r>
    </w:p>
    <w:p w:rsidR="00A65D22" w:rsidRDefault="00A65D22" w:rsidP="00BF58ED">
      <w:pPr>
        <w:pStyle w:val="Bullet1"/>
        <w:numPr>
          <w:ilvl w:val="0"/>
          <w:numId w:val="0"/>
        </w:numPr>
        <w:ind w:left="357"/>
      </w:pPr>
    </w:p>
    <w:p w:rsidR="00A65D22" w:rsidRDefault="00A65D22" w:rsidP="00BF58ED">
      <w:pPr>
        <w:pStyle w:val="Numbers1"/>
      </w:pPr>
      <w:r w:rsidRPr="009D0DA6">
        <w:t xml:space="preserve">The </w:t>
      </w:r>
      <w:r>
        <w:t>person</w:t>
      </w:r>
      <w:r w:rsidRPr="009D0DA6">
        <w:t xml:space="preserve"> being considered may be supervised for </w:t>
      </w:r>
      <w:r>
        <w:t>banking business</w:t>
      </w:r>
      <w:r w:rsidRPr="009D0DA6">
        <w:t xml:space="preserve"> by a body that</w:t>
      </w:r>
      <w:r>
        <w:t xml:space="preserve"> is not located in the same country as the person.</w:t>
      </w:r>
    </w:p>
    <w:p w:rsidR="00A65D22" w:rsidRDefault="00A65D22" w:rsidP="005D2FAE">
      <w:pPr>
        <w:pStyle w:val="Heading3"/>
        <w:spacing w:after="240"/>
        <w:jc w:val="both"/>
        <w:rPr>
          <w:rFonts w:ascii="Calibri" w:hAnsi="Calibri"/>
        </w:rPr>
      </w:pPr>
    </w:p>
    <w:p w:rsidR="00A65D22" w:rsidRPr="00E64F2F" w:rsidRDefault="00A65D22" w:rsidP="00BF58ED">
      <w:pPr>
        <w:pStyle w:val="Heading3"/>
      </w:pPr>
      <w:r w:rsidRPr="00E64F2F">
        <w:t>Sufficient AML/CFT systems/</w:t>
      </w:r>
      <w:r w:rsidRPr="00BF58ED">
        <w:t>measures</w:t>
      </w:r>
      <w:r w:rsidRPr="00E64F2F">
        <w:t xml:space="preserve"> and supervised or regulated for AML/CFT purposes</w:t>
      </w:r>
    </w:p>
    <w:p w:rsidR="00A65D22" w:rsidRDefault="00A65D22" w:rsidP="005030A9">
      <w:pPr>
        <w:pStyle w:val="Numbers1"/>
      </w:pPr>
      <w:r>
        <w:t>You are required to establish both whether a country has sufficient AML/CFT systems/measures and whether the person is supervised or regulated for AML/CFT purposes in the following circumstances:</w:t>
      </w:r>
    </w:p>
    <w:p w:rsidR="00A65D22" w:rsidRDefault="00A65D22" w:rsidP="005030A9">
      <w:pPr>
        <w:pStyle w:val="Numbers1"/>
        <w:numPr>
          <w:ilvl w:val="0"/>
          <w:numId w:val="0"/>
        </w:numPr>
      </w:pPr>
    </w:p>
    <w:p w:rsidR="00A65D22" w:rsidRDefault="00A65D22" w:rsidP="005030A9">
      <w:pPr>
        <w:pStyle w:val="Bullet1"/>
      </w:pPr>
      <w:r>
        <w:t>if you intend to form a designated business group, and one of the proposed members is resident in another country;</w:t>
      </w:r>
    </w:p>
    <w:p w:rsidR="00A65D22" w:rsidRDefault="00A65D22" w:rsidP="00E10AF0">
      <w:pPr>
        <w:pStyle w:val="Bullet1"/>
        <w:numPr>
          <w:ilvl w:val="0"/>
          <w:numId w:val="0"/>
        </w:numPr>
        <w:ind w:left="357"/>
      </w:pPr>
    </w:p>
    <w:p w:rsidR="00A65D22" w:rsidRDefault="00A65D22" w:rsidP="005030A9">
      <w:pPr>
        <w:pStyle w:val="Bullet1"/>
      </w:pPr>
      <w:r>
        <w:t>when establishing whether an overseas body corporate is eligible for membership of a designated business group; and</w:t>
      </w:r>
    </w:p>
    <w:p w:rsidR="00A65D22" w:rsidRDefault="00A65D22" w:rsidP="00E10AF0">
      <w:pPr>
        <w:pStyle w:val="Bullet1"/>
        <w:numPr>
          <w:ilvl w:val="0"/>
          <w:numId w:val="0"/>
        </w:numPr>
      </w:pPr>
    </w:p>
    <w:p w:rsidR="00A65D22" w:rsidRDefault="00A65D22" w:rsidP="005030A9">
      <w:pPr>
        <w:pStyle w:val="Bullet1"/>
      </w:pPr>
      <w:r>
        <w:t xml:space="preserve">if you decide to rely on a person resident in another country to conduct customer due diligence on your behalf. </w:t>
      </w:r>
    </w:p>
    <w:p w:rsidR="00A65D22" w:rsidRDefault="00A65D22" w:rsidP="005030A9">
      <w:pPr>
        <w:pStyle w:val="Bullet1"/>
        <w:numPr>
          <w:ilvl w:val="0"/>
          <w:numId w:val="0"/>
        </w:numPr>
        <w:ind w:left="357"/>
      </w:pPr>
    </w:p>
    <w:p w:rsidR="00A65D22" w:rsidRDefault="00A65D22" w:rsidP="005030A9">
      <w:pPr>
        <w:pStyle w:val="Numbers1"/>
      </w:pPr>
      <w:r>
        <w:t>This is required under sections 5, 29 and 33 of the AML/CFT Act and regulation 8 of the AML/CFT (Definitions) Regulations 2011.</w:t>
      </w:r>
    </w:p>
    <w:p w:rsidR="00A65D22" w:rsidRDefault="00A65D22" w:rsidP="00E10AF0">
      <w:pPr>
        <w:pStyle w:val="Numbers1"/>
        <w:numPr>
          <w:ilvl w:val="0"/>
          <w:numId w:val="0"/>
        </w:numPr>
      </w:pPr>
    </w:p>
    <w:p w:rsidR="00A65D22" w:rsidRDefault="00A65D22" w:rsidP="005030A9">
      <w:pPr>
        <w:pStyle w:val="Heading41"/>
      </w:pPr>
      <w:r>
        <w:t>Assessment</w:t>
      </w:r>
    </w:p>
    <w:p w:rsidR="00A65D22" w:rsidRPr="00E10AF0" w:rsidRDefault="00A65D22" w:rsidP="00E10AF0"/>
    <w:p w:rsidR="00A65D22" w:rsidRPr="005030A9" w:rsidRDefault="00A65D22" w:rsidP="005030A9">
      <w:pPr>
        <w:pStyle w:val="Numbers1"/>
      </w:pPr>
      <w:r>
        <w:t>When conducting this assessment, the minimum considerations are set out above under the headings ‘</w:t>
      </w:r>
      <w:r w:rsidRPr="00452903">
        <w:rPr>
          <w:i/>
        </w:rPr>
        <w:t>Sufficient AML/CFT systems/measure</w:t>
      </w:r>
      <w:r>
        <w:rPr>
          <w:i/>
        </w:rPr>
        <w:t xml:space="preserve">s’ </w:t>
      </w:r>
      <w:r w:rsidRPr="009C0720">
        <w:t>and</w:t>
      </w:r>
      <w:r>
        <w:rPr>
          <w:i/>
        </w:rPr>
        <w:t xml:space="preserve"> ‘</w:t>
      </w:r>
      <w:r w:rsidRPr="00452903">
        <w:rPr>
          <w:i/>
        </w:rPr>
        <w:t>Supervised or regulated for AML</w:t>
      </w:r>
      <w:r>
        <w:rPr>
          <w:i/>
        </w:rPr>
        <w:t>/CFT purposes’.</w:t>
      </w:r>
    </w:p>
    <w:p w:rsidR="00A65D22" w:rsidRPr="005030A9" w:rsidRDefault="00A65D22" w:rsidP="005030A9">
      <w:pPr>
        <w:pStyle w:val="Numbers1"/>
        <w:numPr>
          <w:ilvl w:val="0"/>
          <w:numId w:val="0"/>
        </w:numPr>
      </w:pPr>
    </w:p>
    <w:p w:rsidR="00A65D22" w:rsidRDefault="00A65D22" w:rsidP="005030A9">
      <w:pPr>
        <w:pStyle w:val="Heading3"/>
      </w:pPr>
      <w:r>
        <w:t>I</w:t>
      </w:r>
      <w:r w:rsidRPr="00C65691">
        <w:t xml:space="preserve">nsufficient or </w:t>
      </w:r>
      <w:r>
        <w:t xml:space="preserve">no </w:t>
      </w:r>
      <w:r w:rsidRPr="00C65691">
        <w:t xml:space="preserve">AML/CFT systems/measures </w:t>
      </w:r>
    </w:p>
    <w:p w:rsidR="00A65D22" w:rsidRDefault="00A65D22" w:rsidP="005030A9">
      <w:pPr>
        <w:pStyle w:val="Numbers1"/>
      </w:pPr>
      <w:r>
        <w:t>Where you establish a business relationship with a non-resident customer, or where a non-resident customer seeks to conduct an occasional transaction through your business, you must conduct enhanced due diligence if that customer is from a country that has insufficient AML/CFT systems/measures in place.</w:t>
      </w:r>
    </w:p>
    <w:p w:rsidR="00A65D22" w:rsidRDefault="00A65D22" w:rsidP="00E10AF0">
      <w:pPr>
        <w:pStyle w:val="Numbers1"/>
        <w:numPr>
          <w:ilvl w:val="0"/>
          <w:numId w:val="0"/>
        </w:numPr>
      </w:pPr>
    </w:p>
    <w:p w:rsidR="00A65D22" w:rsidRDefault="00A65D22" w:rsidP="005030A9">
      <w:pPr>
        <w:pStyle w:val="Numbers1"/>
      </w:pPr>
      <w:r>
        <w:t>Under section 57(h) of the AML/CFT Act, your AML/CFT programme must incorporate monitoring, examining and keeping written findings relating to business relationships and transactions from countries, or in countries, that do not have or have insufficient AML/CFT systems/measures in place. Your AML/CFT programme must also have policies, procedures and controls for dealing with or restricting dealings with such countries.</w:t>
      </w:r>
    </w:p>
    <w:p w:rsidR="00A65D22" w:rsidRDefault="00A65D22" w:rsidP="004D6B9E">
      <w:pPr>
        <w:pStyle w:val="Numbers1"/>
        <w:numPr>
          <w:ilvl w:val="0"/>
          <w:numId w:val="0"/>
        </w:numPr>
      </w:pPr>
    </w:p>
    <w:p w:rsidR="00A65D22" w:rsidRDefault="00A65D22" w:rsidP="005030A9">
      <w:pPr>
        <w:pStyle w:val="Heading41"/>
      </w:pPr>
      <w:r>
        <w:t>Assessment</w:t>
      </w:r>
    </w:p>
    <w:p w:rsidR="00A65D22" w:rsidRPr="005030A9" w:rsidRDefault="00A65D22" w:rsidP="005030A9"/>
    <w:p w:rsidR="00A65D22" w:rsidRDefault="00A65D22" w:rsidP="005030A9">
      <w:pPr>
        <w:pStyle w:val="Numbers1"/>
      </w:pPr>
      <w:r>
        <w:t>Paragraphs 20 to 22 of this guideline outline factors to consider when you assess whether a country has sufficient AML/CFT systems/measures. These same factors could be used to assess whether a country has insufficient AML/CFT systems/measures in place.</w:t>
      </w:r>
      <w:bookmarkStart w:id="0" w:name="OLE_LINK1"/>
    </w:p>
    <w:p w:rsidR="00A65D22" w:rsidRDefault="00A65D22" w:rsidP="005030A9">
      <w:pPr>
        <w:pStyle w:val="Numbers1"/>
        <w:numPr>
          <w:ilvl w:val="0"/>
          <w:numId w:val="0"/>
        </w:numPr>
      </w:pPr>
    </w:p>
    <w:p w:rsidR="00A65D22" w:rsidRDefault="00A65D22" w:rsidP="005030A9">
      <w:pPr>
        <w:pStyle w:val="Heading3"/>
      </w:pPr>
      <w:r>
        <w:t>High risk countries</w:t>
      </w:r>
    </w:p>
    <w:bookmarkEnd w:id="0"/>
    <w:p w:rsidR="00A65D22" w:rsidRDefault="00A65D22" w:rsidP="005030A9">
      <w:pPr>
        <w:pStyle w:val="Numbers1"/>
      </w:pPr>
      <w:r>
        <w:t>When you undertake your risk assessment you must consider the money laundering and financing of terrorism risk with regard</w:t>
      </w:r>
      <w:r w:rsidRPr="00DB09C8">
        <w:t xml:space="preserve"> to the countries</w:t>
      </w:r>
      <w:r>
        <w:t xml:space="preserve"> your customers are based in, and countries they conduct their business</w:t>
      </w:r>
      <w:r w:rsidRPr="000935B5">
        <w:t xml:space="preserve"> </w:t>
      </w:r>
      <w:r>
        <w:t>in or through, as well as any overseas institutions that you may deal with.</w:t>
      </w:r>
    </w:p>
    <w:p w:rsidR="00A65D22" w:rsidRDefault="00A65D22" w:rsidP="005030A9">
      <w:pPr>
        <w:pStyle w:val="Numbers1"/>
        <w:numPr>
          <w:ilvl w:val="0"/>
          <w:numId w:val="0"/>
        </w:numPr>
      </w:pPr>
    </w:p>
    <w:p w:rsidR="00A65D22" w:rsidRDefault="00A65D22" w:rsidP="005030A9">
      <w:pPr>
        <w:pStyle w:val="Heading41"/>
      </w:pPr>
      <w:r>
        <w:t>Assessment</w:t>
      </w:r>
    </w:p>
    <w:p w:rsidR="00A65D22" w:rsidRPr="005030A9" w:rsidRDefault="00A65D22" w:rsidP="005030A9"/>
    <w:p w:rsidR="00A65D22" w:rsidRPr="00E10AF0" w:rsidRDefault="00A65D22" w:rsidP="005030A9">
      <w:pPr>
        <w:pStyle w:val="Numbers1"/>
        <w:rPr>
          <w:rFonts w:cs="Arial"/>
        </w:rPr>
      </w:pPr>
      <w:r>
        <w:t>T</w:t>
      </w:r>
      <w:r w:rsidRPr="00604B7F">
        <w:t xml:space="preserve">here is no universally agreed definition </w:t>
      </w:r>
      <w:r>
        <w:t>of</w:t>
      </w:r>
      <w:r w:rsidRPr="00604B7F">
        <w:t xml:space="preserve"> a high risk country, but</w:t>
      </w:r>
      <w:r>
        <w:t xml:space="preserve"> when undertaking this assessment you should </w:t>
      </w:r>
      <w:r w:rsidRPr="00604B7F">
        <w:t>consider:</w:t>
      </w:r>
    </w:p>
    <w:p w:rsidR="00A65D22" w:rsidRPr="005030A9" w:rsidRDefault="00A65D22" w:rsidP="00E10AF0">
      <w:pPr>
        <w:pStyle w:val="Numbers1"/>
        <w:numPr>
          <w:ilvl w:val="0"/>
          <w:numId w:val="0"/>
        </w:numPr>
        <w:rPr>
          <w:rFonts w:cs="Arial"/>
        </w:rPr>
      </w:pPr>
    </w:p>
    <w:p w:rsidR="00A65D22" w:rsidRDefault="00A65D22" w:rsidP="005030A9">
      <w:pPr>
        <w:pStyle w:val="Bullet1"/>
        <w:rPr>
          <w:rFonts w:cs="Arial"/>
        </w:rPr>
      </w:pPr>
      <w:r w:rsidRPr="005030A9">
        <w:rPr>
          <w:rFonts w:cs="Arial"/>
        </w:rPr>
        <w:t xml:space="preserve">countries subject to </w:t>
      </w:r>
      <w:hyperlink r:id="rId18" w:history="1">
        <w:r w:rsidRPr="005030A9">
          <w:rPr>
            <w:rStyle w:val="Hyperlink"/>
            <w:rFonts w:cs="Arial"/>
          </w:rPr>
          <w:t>sanctions</w:t>
        </w:r>
      </w:hyperlink>
      <w:r w:rsidRPr="005030A9">
        <w:rPr>
          <w:rStyle w:val="FootnoteReference"/>
          <w:rFonts w:cs="Arial"/>
        </w:rPr>
        <w:footnoteReference w:id="5"/>
      </w:r>
      <w:r w:rsidRPr="005030A9">
        <w:rPr>
          <w:rFonts w:cs="Arial"/>
        </w:rPr>
        <w:t>, embargoes or similar measures;</w:t>
      </w:r>
    </w:p>
    <w:p w:rsidR="00A65D22" w:rsidRPr="005030A9" w:rsidRDefault="00A65D22" w:rsidP="00E10AF0">
      <w:pPr>
        <w:pStyle w:val="Bullet1"/>
        <w:numPr>
          <w:ilvl w:val="0"/>
          <w:numId w:val="0"/>
        </w:numPr>
        <w:ind w:left="357"/>
        <w:rPr>
          <w:rFonts w:cs="Arial"/>
        </w:rPr>
      </w:pPr>
    </w:p>
    <w:p w:rsidR="00A65D22" w:rsidRPr="00E10AF0" w:rsidRDefault="00A65D22" w:rsidP="005030A9">
      <w:pPr>
        <w:pStyle w:val="Bullet1"/>
        <w:rPr>
          <w:rFonts w:cs="Arial"/>
        </w:rPr>
      </w:pPr>
      <w:r w:rsidRPr="005030A9">
        <w:rPr>
          <w:rFonts w:cs="Arial"/>
        </w:rPr>
        <w:t>countries identified by credible sources</w:t>
      </w:r>
      <w:r>
        <w:rPr>
          <w:rFonts w:cs="Arial"/>
        </w:rPr>
        <w:t>, such as</w:t>
      </w:r>
      <w:r w:rsidRPr="005030A9">
        <w:rPr>
          <w:rFonts w:cs="Arial"/>
        </w:rPr>
        <w:t xml:space="preserve"> </w:t>
      </w:r>
      <w:hyperlink r:id="rId19" w:history="1">
        <w:r w:rsidRPr="00517FF7">
          <w:rPr>
            <w:rStyle w:val="Hyperlink"/>
            <w:rFonts w:cs="Arial"/>
          </w:rPr>
          <w:t>FATF</w:t>
        </w:r>
      </w:hyperlink>
      <w:r w:rsidRPr="005030A9">
        <w:rPr>
          <w:rStyle w:val="FootnoteReference"/>
          <w:rFonts w:cs="Arial"/>
        </w:rPr>
        <w:footnoteReference w:id="6"/>
      </w:r>
      <w:r>
        <w:rPr>
          <w:rFonts w:cs="Arial"/>
        </w:rPr>
        <w:t>,</w:t>
      </w:r>
      <w:r w:rsidRPr="005030A9">
        <w:rPr>
          <w:rFonts w:cs="Arial"/>
        </w:rPr>
        <w:t xml:space="preserve"> as lacking adequate AML/CFT systems/measures or controls</w:t>
      </w:r>
      <w:r w:rsidRPr="005030A9">
        <w:rPr>
          <w:rFonts w:cs="Arial"/>
          <w:sz w:val="20"/>
          <w:szCs w:val="20"/>
        </w:rPr>
        <w:t>;</w:t>
      </w:r>
    </w:p>
    <w:p w:rsidR="00A65D22" w:rsidRDefault="00A65D22" w:rsidP="00E10AF0">
      <w:pPr>
        <w:pStyle w:val="Bullet1"/>
        <w:numPr>
          <w:ilvl w:val="0"/>
          <w:numId w:val="0"/>
        </w:numPr>
        <w:rPr>
          <w:rFonts w:cs="Arial"/>
        </w:rPr>
      </w:pPr>
    </w:p>
    <w:p w:rsidR="00A65D22" w:rsidRDefault="00A65D22" w:rsidP="005030A9">
      <w:pPr>
        <w:pStyle w:val="Bullet1"/>
        <w:rPr>
          <w:rFonts w:cs="Arial"/>
        </w:rPr>
      </w:pPr>
      <w:r w:rsidRPr="005030A9">
        <w:rPr>
          <w:rFonts w:cs="Arial"/>
        </w:rPr>
        <w:t>countries identified by credible sources as having supporters of terrorism or the financing of terrorism;</w:t>
      </w:r>
    </w:p>
    <w:p w:rsidR="00A65D22" w:rsidRDefault="00A65D22" w:rsidP="00E10AF0">
      <w:pPr>
        <w:pStyle w:val="Bullet1"/>
        <w:numPr>
          <w:ilvl w:val="0"/>
          <w:numId w:val="0"/>
        </w:numPr>
        <w:rPr>
          <w:rFonts w:cs="Arial"/>
        </w:rPr>
      </w:pPr>
    </w:p>
    <w:p w:rsidR="00A65D22" w:rsidRDefault="00A65D22" w:rsidP="005030A9">
      <w:pPr>
        <w:pStyle w:val="Bullet1"/>
      </w:pPr>
      <w:r w:rsidRPr="005030A9">
        <w:t xml:space="preserve">countries identified by credible sources as having significant levels of corruption, for example, Transparency International’s </w:t>
      </w:r>
      <w:hyperlink r:id="rId20" w:history="1">
        <w:r w:rsidRPr="005030A9">
          <w:rPr>
            <w:rStyle w:val="Hyperlink"/>
            <w:rFonts w:cs="Arial"/>
          </w:rPr>
          <w:t>corruption perception index</w:t>
        </w:r>
      </w:hyperlink>
      <w:r w:rsidRPr="005030A9">
        <w:rPr>
          <w:rStyle w:val="FootnoteReference"/>
          <w:rFonts w:cs="Arial"/>
        </w:rPr>
        <w:footnoteReference w:id="7"/>
      </w:r>
      <w:r w:rsidRPr="005030A9">
        <w:t>;</w:t>
      </w:r>
    </w:p>
    <w:p w:rsidR="00A65D22" w:rsidRDefault="00A65D22" w:rsidP="00E10AF0">
      <w:pPr>
        <w:pStyle w:val="Bullet1"/>
        <w:numPr>
          <w:ilvl w:val="0"/>
          <w:numId w:val="0"/>
        </w:numPr>
      </w:pPr>
    </w:p>
    <w:p w:rsidR="00A65D22" w:rsidRDefault="00A65D22" w:rsidP="005030A9">
      <w:pPr>
        <w:pStyle w:val="Bullet1"/>
      </w:pPr>
      <w:r w:rsidRPr="005030A9">
        <w:t xml:space="preserve">countries identified by credible sources as being </w:t>
      </w:r>
      <w:hyperlink r:id="rId21" w:history="1">
        <w:r w:rsidRPr="005030A9">
          <w:rPr>
            <w:rStyle w:val="Hyperlink"/>
            <w:rFonts w:cs="Arial"/>
          </w:rPr>
          <w:t>tax havens</w:t>
        </w:r>
      </w:hyperlink>
      <w:r w:rsidRPr="005030A9">
        <w:rPr>
          <w:rStyle w:val="FootnoteReference"/>
          <w:rFonts w:cs="Arial"/>
        </w:rPr>
        <w:footnoteReference w:id="8"/>
      </w:r>
      <w:r w:rsidRPr="005030A9">
        <w:t>; and</w:t>
      </w:r>
    </w:p>
    <w:p w:rsidR="00A65D22" w:rsidRDefault="00A65D22" w:rsidP="00E10AF0">
      <w:pPr>
        <w:pStyle w:val="Bullet1"/>
        <w:numPr>
          <w:ilvl w:val="0"/>
          <w:numId w:val="0"/>
        </w:numPr>
      </w:pPr>
    </w:p>
    <w:p w:rsidR="00A65D22" w:rsidRPr="005030A9" w:rsidRDefault="00A65D22" w:rsidP="005030A9">
      <w:pPr>
        <w:pStyle w:val="Bullet1"/>
      </w:pPr>
      <w:r w:rsidRPr="005030A9">
        <w:t>countries that are materially associated with production and/or transnational-shipment of illicit drugs.</w:t>
      </w:r>
    </w:p>
    <w:p w:rsidR="00A65D22" w:rsidRDefault="00A65D22" w:rsidP="005D2FAE">
      <w:pPr>
        <w:spacing w:after="240"/>
        <w:jc w:val="both"/>
        <w:rPr>
          <w:rFonts w:ascii="Calibri" w:hAnsi="Calibri" w:cs="Arial"/>
        </w:rPr>
      </w:pPr>
    </w:p>
    <w:p w:rsidR="00A65D22" w:rsidRDefault="00A65D22" w:rsidP="005D2FAE">
      <w:pPr>
        <w:spacing w:after="240"/>
        <w:jc w:val="both"/>
        <w:rPr>
          <w:rFonts w:ascii="Calibri" w:hAnsi="Calibri" w:cs="Arial"/>
        </w:rPr>
      </w:pPr>
    </w:p>
    <w:p w:rsidR="00A65D22" w:rsidRDefault="00A65D22" w:rsidP="005D2FAE">
      <w:pPr>
        <w:spacing w:after="240"/>
        <w:jc w:val="both"/>
        <w:rPr>
          <w:rFonts w:ascii="Calibri" w:hAnsi="Calibri" w:cs="Arial"/>
        </w:rPr>
      </w:pPr>
    </w:p>
    <w:p w:rsidR="00A65D22" w:rsidRDefault="00A65D22" w:rsidP="005D2FAE">
      <w:pPr>
        <w:spacing w:after="240"/>
        <w:jc w:val="both"/>
        <w:rPr>
          <w:rFonts w:ascii="Calibri" w:hAnsi="Calibri" w:cs="Arial"/>
        </w:rPr>
      </w:pPr>
    </w:p>
    <w:p w:rsidR="00A65D22" w:rsidRDefault="00A65D22" w:rsidP="005D2FAE">
      <w:pPr>
        <w:spacing w:after="240"/>
        <w:jc w:val="both"/>
        <w:rPr>
          <w:rFonts w:ascii="Calibri" w:hAnsi="Calibri" w:cs="Arial"/>
        </w:rPr>
        <w:sectPr w:rsidR="00A65D22" w:rsidSect="00F96BD1">
          <w:headerReference w:type="even" r:id="rId22"/>
          <w:footerReference w:type="default" r:id="rId23"/>
          <w:headerReference w:type="first" r:id="rId24"/>
          <w:pgSz w:w="11906" w:h="16838"/>
          <w:pgMar w:top="719" w:right="907" w:bottom="1440" w:left="1797" w:header="705" w:footer="709" w:gutter="0"/>
          <w:cols w:space="708"/>
          <w:docGrid w:linePitch="360"/>
        </w:sectPr>
      </w:pPr>
    </w:p>
    <w:p w:rsidR="00A65D22" w:rsidRDefault="00A65D22" w:rsidP="005743E0">
      <w:pPr>
        <w:jc w:val="center"/>
      </w:pPr>
      <w:r w:rsidRPr="007F26AA">
        <w:rPr>
          <w:b/>
        </w:rPr>
        <w:t>Appendix 1</w:t>
      </w:r>
      <w:r>
        <w:t xml:space="preserve"> </w:t>
      </w:r>
    </w:p>
    <w:p w:rsidR="00A65D22" w:rsidRDefault="00A65D22" w:rsidP="00C84307">
      <w:pPr>
        <w:jc w:val="center"/>
        <w:rPr>
          <w:b/>
        </w:rPr>
      </w:pPr>
      <w:r w:rsidRPr="00343D17">
        <w:rPr>
          <w:b/>
        </w:rPr>
        <w:t>When country assessments are required</w:t>
      </w:r>
    </w:p>
    <w:p w:rsidR="00A65D22" w:rsidRPr="00343D17" w:rsidRDefault="00A65D22" w:rsidP="00C8430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4"/>
        <w:gridCol w:w="2121"/>
        <w:gridCol w:w="2186"/>
        <w:gridCol w:w="2119"/>
        <w:gridCol w:w="2119"/>
        <w:gridCol w:w="2119"/>
        <w:gridCol w:w="2116"/>
      </w:tblGrid>
      <w:tr w:rsidR="00A65D22" w:rsidRPr="00D06684" w:rsidTr="00D06684">
        <w:tc>
          <w:tcPr>
            <w:tcW w:w="2114" w:type="dxa"/>
            <w:shd w:val="clear" w:color="auto" w:fill="B3B3B3"/>
          </w:tcPr>
          <w:p w:rsidR="00A65D22" w:rsidRPr="00D06684" w:rsidRDefault="00A65D22" w:rsidP="00EC1570">
            <w:pPr>
              <w:rPr>
                <w:b/>
                <w:sz w:val="20"/>
                <w:szCs w:val="20"/>
              </w:rPr>
            </w:pPr>
            <w:r w:rsidRPr="00D06684">
              <w:rPr>
                <w:b/>
                <w:sz w:val="20"/>
                <w:szCs w:val="20"/>
              </w:rPr>
              <w:t xml:space="preserve">AML/CFT Act </w:t>
            </w:r>
            <w:r w:rsidRPr="00D06684">
              <w:rPr>
                <w:b/>
                <w:sz w:val="20"/>
                <w:szCs w:val="20"/>
              </w:rPr>
              <w:tab/>
            </w:r>
          </w:p>
        </w:tc>
        <w:tc>
          <w:tcPr>
            <w:tcW w:w="2121" w:type="dxa"/>
            <w:shd w:val="clear" w:color="auto" w:fill="B3B3B3"/>
          </w:tcPr>
          <w:p w:rsidR="00A65D22" w:rsidRPr="00D06684" w:rsidRDefault="00A65D22" w:rsidP="00EC1570">
            <w:pPr>
              <w:rPr>
                <w:b/>
                <w:sz w:val="20"/>
                <w:szCs w:val="20"/>
              </w:rPr>
            </w:pPr>
            <w:r w:rsidRPr="00D06684">
              <w:rPr>
                <w:b/>
                <w:sz w:val="20"/>
                <w:szCs w:val="20"/>
              </w:rPr>
              <w:t>Subject</w:t>
            </w:r>
          </w:p>
        </w:tc>
        <w:tc>
          <w:tcPr>
            <w:tcW w:w="2186" w:type="dxa"/>
            <w:shd w:val="clear" w:color="auto" w:fill="B3B3B3"/>
          </w:tcPr>
          <w:p w:rsidR="00A65D22" w:rsidRPr="00D06684" w:rsidRDefault="00A65D22" w:rsidP="00EC1570">
            <w:pPr>
              <w:rPr>
                <w:b/>
                <w:sz w:val="20"/>
                <w:szCs w:val="20"/>
              </w:rPr>
            </w:pPr>
            <w:r w:rsidRPr="00D06684">
              <w:rPr>
                <w:b/>
                <w:sz w:val="20"/>
                <w:szCs w:val="20"/>
              </w:rPr>
              <w:t>Sufficient AML/CFT systems/measures</w:t>
            </w:r>
          </w:p>
        </w:tc>
        <w:tc>
          <w:tcPr>
            <w:tcW w:w="2119" w:type="dxa"/>
            <w:shd w:val="clear" w:color="auto" w:fill="B3B3B3"/>
          </w:tcPr>
          <w:p w:rsidR="00A65D22" w:rsidRPr="00D06684" w:rsidRDefault="00A65D22" w:rsidP="00EC1570">
            <w:pPr>
              <w:rPr>
                <w:b/>
                <w:sz w:val="20"/>
                <w:szCs w:val="20"/>
              </w:rPr>
            </w:pPr>
            <w:r w:rsidRPr="00D06684">
              <w:rPr>
                <w:b/>
                <w:sz w:val="20"/>
                <w:szCs w:val="20"/>
              </w:rPr>
              <w:t>Insufficient AML/CFT systems</w:t>
            </w:r>
          </w:p>
        </w:tc>
        <w:tc>
          <w:tcPr>
            <w:tcW w:w="2119" w:type="dxa"/>
            <w:shd w:val="clear" w:color="auto" w:fill="B3B3B3"/>
          </w:tcPr>
          <w:p w:rsidR="00A65D22" w:rsidRPr="00D06684" w:rsidRDefault="00A65D22" w:rsidP="00EC1570">
            <w:pPr>
              <w:rPr>
                <w:b/>
                <w:sz w:val="20"/>
                <w:szCs w:val="20"/>
              </w:rPr>
            </w:pPr>
            <w:r w:rsidRPr="00D06684">
              <w:rPr>
                <w:b/>
                <w:sz w:val="20"/>
                <w:szCs w:val="20"/>
              </w:rPr>
              <w:t>Supervised or regulated for AML/CFT purposes</w:t>
            </w:r>
          </w:p>
        </w:tc>
        <w:tc>
          <w:tcPr>
            <w:tcW w:w="2119" w:type="dxa"/>
            <w:shd w:val="clear" w:color="auto" w:fill="B3B3B3"/>
          </w:tcPr>
          <w:p w:rsidR="00A65D22" w:rsidRPr="00D06684" w:rsidRDefault="00A65D22" w:rsidP="00EC1570">
            <w:pPr>
              <w:rPr>
                <w:b/>
                <w:sz w:val="20"/>
                <w:szCs w:val="20"/>
              </w:rPr>
            </w:pPr>
            <w:r w:rsidRPr="00D06684">
              <w:rPr>
                <w:b/>
                <w:sz w:val="20"/>
                <w:szCs w:val="20"/>
              </w:rPr>
              <w:t>Supervised and monitored for banking business</w:t>
            </w:r>
          </w:p>
        </w:tc>
        <w:tc>
          <w:tcPr>
            <w:tcW w:w="2116" w:type="dxa"/>
            <w:shd w:val="clear" w:color="auto" w:fill="B3B3B3"/>
          </w:tcPr>
          <w:p w:rsidR="00A65D22" w:rsidRPr="00D06684" w:rsidRDefault="00A65D22" w:rsidP="00EC1570">
            <w:pPr>
              <w:rPr>
                <w:b/>
                <w:sz w:val="20"/>
                <w:szCs w:val="20"/>
              </w:rPr>
            </w:pPr>
            <w:r w:rsidRPr="00D06684">
              <w:rPr>
                <w:b/>
                <w:sz w:val="20"/>
                <w:szCs w:val="20"/>
              </w:rPr>
              <w:t>High risk countries</w:t>
            </w: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 xml:space="preserve">s 5 </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designated business group</w:t>
            </w:r>
          </w:p>
        </w:tc>
        <w:tc>
          <w:tcPr>
            <w:tcW w:w="2186"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6"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 xml:space="preserve">s 22 (1)(a) (ii) </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 xml:space="preserve">enhanced customer due diligence </w:t>
            </w:r>
          </w:p>
        </w:tc>
        <w:tc>
          <w:tcPr>
            <w:tcW w:w="2186"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6"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s 22 (1)(b) (ii)</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enhanced customer due diligence</w:t>
            </w:r>
          </w:p>
        </w:tc>
        <w:tc>
          <w:tcPr>
            <w:tcW w:w="2186"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6"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s 29 (2) (b)</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correspondent banking relationships</w:t>
            </w:r>
          </w:p>
        </w:tc>
        <w:tc>
          <w:tcPr>
            <w:tcW w:w="2186"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6"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s 33 (2) (a) (ii)</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reliance on third parties</w:t>
            </w:r>
          </w:p>
        </w:tc>
        <w:tc>
          <w:tcPr>
            <w:tcW w:w="2186"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6"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 xml:space="preserve">s 39 (2) (d) (iii) </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shell bank</w:t>
            </w:r>
          </w:p>
        </w:tc>
        <w:tc>
          <w:tcPr>
            <w:tcW w:w="2186"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6"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s57 (h)</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 xml:space="preserve">AML/CFT programme </w:t>
            </w:r>
          </w:p>
        </w:tc>
        <w:tc>
          <w:tcPr>
            <w:tcW w:w="2186"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6"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14" w:type="dxa"/>
          </w:tcPr>
          <w:p w:rsidR="00A65D22" w:rsidRPr="00D06684" w:rsidRDefault="00A65D22" w:rsidP="00EC1570">
            <w:pPr>
              <w:spacing w:before="60" w:after="60"/>
              <w:rPr>
                <w:rFonts w:cs="Arial"/>
                <w:sz w:val="20"/>
                <w:szCs w:val="20"/>
              </w:rPr>
            </w:pPr>
            <w:r w:rsidRPr="00D06684">
              <w:rPr>
                <w:rFonts w:cs="Arial"/>
                <w:sz w:val="20"/>
                <w:szCs w:val="20"/>
              </w:rPr>
              <w:t>s58 (2) (e)</w:t>
            </w:r>
          </w:p>
        </w:tc>
        <w:tc>
          <w:tcPr>
            <w:tcW w:w="2121" w:type="dxa"/>
          </w:tcPr>
          <w:p w:rsidR="00A65D22" w:rsidRPr="00D06684" w:rsidRDefault="00A65D22" w:rsidP="00EC1570">
            <w:pPr>
              <w:spacing w:before="60" w:after="60"/>
              <w:rPr>
                <w:rFonts w:cs="Arial"/>
                <w:sz w:val="20"/>
                <w:szCs w:val="20"/>
              </w:rPr>
            </w:pPr>
            <w:r w:rsidRPr="00D06684">
              <w:rPr>
                <w:rFonts w:cs="Arial"/>
                <w:sz w:val="20"/>
                <w:szCs w:val="20"/>
              </w:rPr>
              <w:t xml:space="preserve">risk assessment  </w:t>
            </w:r>
          </w:p>
        </w:tc>
        <w:tc>
          <w:tcPr>
            <w:tcW w:w="2186"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9" w:type="dxa"/>
            <w:vAlign w:val="center"/>
          </w:tcPr>
          <w:p w:rsidR="00A65D22" w:rsidRPr="00D06684" w:rsidRDefault="00A65D22" w:rsidP="00D06684">
            <w:pPr>
              <w:spacing w:after="240"/>
              <w:jc w:val="center"/>
              <w:rPr>
                <w:rFonts w:ascii="Calibri" w:hAnsi="Calibri" w:cs="Arial"/>
                <w:sz w:val="20"/>
                <w:szCs w:val="20"/>
              </w:rPr>
            </w:pPr>
          </w:p>
        </w:tc>
        <w:tc>
          <w:tcPr>
            <w:tcW w:w="2116"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r>
    </w:tbl>
    <w:p w:rsidR="00A65D22" w:rsidRDefault="00A65D22" w:rsidP="00C84307">
      <w:pPr>
        <w:jc w:val="center"/>
        <w:rPr>
          <w:sz w:val="20"/>
          <w:szCs w:val="20"/>
        </w:rPr>
      </w:pPr>
    </w:p>
    <w:p w:rsidR="00A65D22" w:rsidRPr="00D06684" w:rsidRDefault="00A65D22" w:rsidP="00C8430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2127"/>
        <w:gridCol w:w="2128"/>
        <w:gridCol w:w="2128"/>
        <w:gridCol w:w="2128"/>
        <w:gridCol w:w="2128"/>
        <w:gridCol w:w="2128"/>
      </w:tblGrid>
      <w:tr w:rsidR="00A65D22" w:rsidRPr="00D06684" w:rsidTr="00EC1570">
        <w:tc>
          <w:tcPr>
            <w:tcW w:w="2127" w:type="dxa"/>
            <w:shd w:val="clear" w:color="auto" w:fill="B3B3B3"/>
          </w:tcPr>
          <w:p w:rsidR="00A65D22" w:rsidRPr="00D06684" w:rsidRDefault="00A65D22" w:rsidP="001B4442">
            <w:pPr>
              <w:rPr>
                <w:b/>
                <w:sz w:val="20"/>
                <w:szCs w:val="20"/>
              </w:rPr>
            </w:pPr>
            <w:r w:rsidRPr="00D06684">
              <w:rPr>
                <w:b/>
                <w:sz w:val="20"/>
                <w:szCs w:val="20"/>
              </w:rPr>
              <w:t xml:space="preserve">AML/CFT Regulations </w:t>
            </w:r>
            <w:r w:rsidRPr="00D06684">
              <w:rPr>
                <w:b/>
                <w:sz w:val="20"/>
                <w:szCs w:val="20"/>
              </w:rPr>
              <w:tab/>
            </w:r>
          </w:p>
        </w:tc>
        <w:tc>
          <w:tcPr>
            <w:tcW w:w="2127" w:type="dxa"/>
            <w:shd w:val="clear" w:color="auto" w:fill="B3B3B3"/>
          </w:tcPr>
          <w:p w:rsidR="00A65D22" w:rsidRPr="00D06684" w:rsidRDefault="00A65D22" w:rsidP="001B4442">
            <w:pPr>
              <w:rPr>
                <w:b/>
                <w:sz w:val="20"/>
                <w:szCs w:val="20"/>
              </w:rPr>
            </w:pPr>
            <w:r w:rsidRPr="00D06684">
              <w:rPr>
                <w:b/>
                <w:sz w:val="20"/>
                <w:szCs w:val="20"/>
              </w:rPr>
              <w:t>Subject</w:t>
            </w:r>
          </w:p>
        </w:tc>
        <w:tc>
          <w:tcPr>
            <w:tcW w:w="2128" w:type="dxa"/>
            <w:shd w:val="clear" w:color="auto" w:fill="B3B3B3"/>
          </w:tcPr>
          <w:p w:rsidR="00A65D22" w:rsidRPr="00D06684" w:rsidRDefault="00A65D22" w:rsidP="001B4442">
            <w:pPr>
              <w:rPr>
                <w:b/>
                <w:sz w:val="20"/>
                <w:szCs w:val="20"/>
              </w:rPr>
            </w:pPr>
            <w:r w:rsidRPr="00D06684">
              <w:rPr>
                <w:b/>
                <w:sz w:val="20"/>
                <w:szCs w:val="20"/>
              </w:rPr>
              <w:t>Sufficient AML/CFT systems/measures</w:t>
            </w:r>
          </w:p>
        </w:tc>
        <w:tc>
          <w:tcPr>
            <w:tcW w:w="2128" w:type="dxa"/>
            <w:shd w:val="clear" w:color="auto" w:fill="B3B3B3"/>
          </w:tcPr>
          <w:p w:rsidR="00A65D22" w:rsidRPr="00D06684" w:rsidRDefault="00A65D22" w:rsidP="001B4442">
            <w:pPr>
              <w:rPr>
                <w:b/>
                <w:sz w:val="20"/>
                <w:szCs w:val="20"/>
              </w:rPr>
            </w:pPr>
            <w:r w:rsidRPr="00D06684">
              <w:rPr>
                <w:b/>
                <w:sz w:val="20"/>
                <w:szCs w:val="20"/>
              </w:rPr>
              <w:t>Insufficient AML/CFT systems</w:t>
            </w:r>
          </w:p>
        </w:tc>
        <w:tc>
          <w:tcPr>
            <w:tcW w:w="2128" w:type="dxa"/>
            <w:shd w:val="clear" w:color="auto" w:fill="B3B3B3"/>
          </w:tcPr>
          <w:p w:rsidR="00A65D22" w:rsidRPr="00D06684" w:rsidRDefault="00A65D22" w:rsidP="001B4442">
            <w:pPr>
              <w:rPr>
                <w:b/>
                <w:sz w:val="20"/>
                <w:szCs w:val="20"/>
              </w:rPr>
            </w:pPr>
            <w:r w:rsidRPr="00D06684">
              <w:rPr>
                <w:b/>
                <w:sz w:val="20"/>
                <w:szCs w:val="20"/>
              </w:rPr>
              <w:t>Supervised or regulated for AML/CFT purposes</w:t>
            </w:r>
          </w:p>
        </w:tc>
        <w:tc>
          <w:tcPr>
            <w:tcW w:w="2128" w:type="dxa"/>
            <w:shd w:val="clear" w:color="auto" w:fill="B3B3B3"/>
          </w:tcPr>
          <w:p w:rsidR="00A65D22" w:rsidRPr="00D06684" w:rsidRDefault="00A65D22" w:rsidP="001B4442">
            <w:pPr>
              <w:rPr>
                <w:b/>
                <w:sz w:val="20"/>
                <w:szCs w:val="20"/>
              </w:rPr>
            </w:pPr>
            <w:r w:rsidRPr="00D06684">
              <w:rPr>
                <w:b/>
                <w:sz w:val="20"/>
                <w:szCs w:val="20"/>
              </w:rPr>
              <w:t>Supervised and monitored for banking business</w:t>
            </w:r>
          </w:p>
        </w:tc>
        <w:tc>
          <w:tcPr>
            <w:tcW w:w="2128" w:type="dxa"/>
            <w:shd w:val="clear" w:color="auto" w:fill="B3B3B3"/>
          </w:tcPr>
          <w:p w:rsidR="00A65D22" w:rsidRPr="00D06684" w:rsidRDefault="00A65D22" w:rsidP="001B4442">
            <w:pPr>
              <w:rPr>
                <w:b/>
                <w:sz w:val="20"/>
                <w:szCs w:val="20"/>
              </w:rPr>
            </w:pPr>
            <w:r w:rsidRPr="00D06684">
              <w:rPr>
                <w:b/>
                <w:sz w:val="20"/>
                <w:szCs w:val="20"/>
              </w:rPr>
              <w:t>High risk countries</w:t>
            </w:r>
          </w:p>
        </w:tc>
      </w:tr>
      <w:tr w:rsidR="00A65D22" w:rsidRPr="00D06684" w:rsidTr="00D06684">
        <w:tc>
          <w:tcPr>
            <w:tcW w:w="2127" w:type="dxa"/>
          </w:tcPr>
          <w:p w:rsidR="00A65D22" w:rsidRPr="00D06684" w:rsidRDefault="00A65D22" w:rsidP="00EC1570">
            <w:pPr>
              <w:spacing w:before="60" w:after="60"/>
              <w:rPr>
                <w:rFonts w:cs="Arial"/>
                <w:sz w:val="20"/>
                <w:szCs w:val="20"/>
              </w:rPr>
            </w:pPr>
            <w:r w:rsidRPr="00D06684">
              <w:rPr>
                <w:rFonts w:cs="Arial"/>
                <w:sz w:val="20"/>
                <w:szCs w:val="20"/>
              </w:rPr>
              <w:t>Requirements and Compliance Reg 5 (1) (e) (ii)</w:t>
            </w:r>
          </w:p>
        </w:tc>
        <w:tc>
          <w:tcPr>
            <w:tcW w:w="2127" w:type="dxa"/>
          </w:tcPr>
          <w:p w:rsidR="00A65D22" w:rsidRPr="00D06684" w:rsidRDefault="00A65D22" w:rsidP="00EC1570">
            <w:pPr>
              <w:spacing w:before="60" w:after="60"/>
              <w:rPr>
                <w:rFonts w:cs="Arial"/>
                <w:sz w:val="20"/>
                <w:szCs w:val="20"/>
              </w:rPr>
            </w:pPr>
            <w:r w:rsidRPr="00D06684">
              <w:rPr>
                <w:rFonts w:cs="Arial"/>
                <w:sz w:val="20"/>
                <w:szCs w:val="20"/>
              </w:rPr>
              <w:t>simplified customer due diligence</w:t>
            </w:r>
          </w:p>
        </w:tc>
        <w:tc>
          <w:tcPr>
            <w:tcW w:w="2128"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28" w:type="dxa"/>
            <w:vAlign w:val="center"/>
          </w:tcPr>
          <w:p w:rsidR="00A65D22" w:rsidRPr="00D06684" w:rsidRDefault="00A65D22" w:rsidP="00D06684">
            <w:pPr>
              <w:spacing w:after="240"/>
              <w:jc w:val="center"/>
              <w:rPr>
                <w:rFonts w:ascii="Calibri" w:hAnsi="Calibri" w:cs="Arial"/>
                <w:sz w:val="20"/>
                <w:szCs w:val="20"/>
              </w:rPr>
            </w:pPr>
          </w:p>
        </w:tc>
        <w:tc>
          <w:tcPr>
            <w:tcW w:w="2128" w:type="dxa"/>
            <w:vAlign w:val="center"/>
          </w:tcPr>
          <w:p w:rsidR="00A65D22" w:rsidRPr="00D06684" w:rsidRDefault="00A65D22" w:rsidP="00D06684">
            <w:pPr>
              <w:spacing w:after="240"/>
              <w:jc w:val="center"/>
              <w:rPr>
                <w:rFonts w:ascii="Calibri" w:hAnsi="Calibri" w:cs="Arial"/>
                <w:sz w:val="20"/>
                <w:szCs w:val="20"/>
              </w:rPr>
            </w:pPr>
          </w:p>
        </w:tc>
        <w:tc>
          <w:tcPr>
            <w:tcW w:w="2128" w:type="dxa"/>
            <w:vAlign w:val="center"/>
          </w:tcPr>
          <w:p w:rsidR="00A65D22" w:rsidRPr="00D06684" w:rsidRDefault="00A65D22" w:rsidP="00D06684">
            <w:pPr>
              <w:spacing w:after="240"/>
              <w:jc w:val="center"/>
              <w:rPr>
                <w:rFonts w:ascii="Calibri" w:hAnsi="Calibri" w:cs="Arial"/>
                <w:sz w:val="20"/>
                <w:szCs w:val="20"/>
              </w:rPr>
            </w:pPr>
          </w:p>
        </w:tc>
        <w:tc>
          <w:tcPr>
            <w:tcW w:w="2128" w:type="dxa"/>
            <w:vAlign w:val="center"/>
          </w:tcPr>
          <w:p w:rsidR="00A65D22" w:rsidRPr="00D06684" w:rsidRDefault="00A65D22" w:rsidP="00D06684">
            <w:pPr>
              <w:spacing w:after="240"/>
              <w:jc w:val="center"/>
              <w:rPr>
                <w:rFonts w:ascii="Calibri" w:hAnsi="Calibri" w:cs="Arial"/>
                <w:sz w:val="20"/>
                <w:szCs w:val="20"/>
              </w:rPr>
            </w:pPr>
          </w:p>
        </w:tc>
      </w:tr>
      <w:tr w:rsidR="00A65D22" w:rsidRPr="00D06684" w:rsidTr="00D06684">
        <w:tc>
          <w:tcPr>
            <w:tcW w:w="2127" w:type="dxa"/>
          </w:tcPr>
          <w:p w:rsidR="00A65D22" w:rsidRPr="00D06684" w:rsidRDefault="00A65D22" w:rsidP="00EC1570">
            <w:pPr>
              <w:spacing w:before="60" w:after="60"/>
              <w:rPr>
                <w:rFonts w:cs="Arial"/>
                <w:sz w:val="20"/>
                <w:szCs w:val="20"/>
              </w:rPr>
            </w:pPr>
            <w:r w:rsidRPr="00D06684">
              <w:rPr>
                <w:rFonts w:cs="Arial"/>
                <w:sz w:val="20"/>
                <w:szCs w:val="20"/>
              </w:rPr>
              <w:t>Definitions Reg 8 (c) (ii)</w:t>
            </w:r>
          </w:p>
          <w:p w:rsidR="00A65D22" w:rsidRPr="00D06684" w:rsidRDefault="00A65D22" w:rsidP="00EC1570">
            <w:pPr>
              <w:rPr>
                <w:rFonts w:cs="Arial"/>
                <w:sz w:val="20"/>
                <w:szCs w:val="20"/>
              </w:rPr>
            </w:pPr>
          </w:p>
          <w:p w:rsidR="00A65D22" w:rsidRPr="00D06684" w:rsidRDefault="00A65D22" w:rsidP="00EC1570">
            <w:pPr>
              <w:jc w:val="right"/>
              <w:rPr>
                <w:rFonts w:cs="Arial"/>
                <w:sz w:val="20"/>
                <w:szCs w:val="20"/>
              </w:rPr>
            </w:pPr>
          </w:p>
        </w:tc>
        <w:tc>
          <w:tcPr>
            <w:tcW w:w="2127" w:type="dxa"/>
          </w:tcPr>
          <w:p w:rsidR="00A65D22" w:rsidRPr="00D06684" w:rsidRDefault="00A65D22" w:rsidP="00EC1570">
            <w:pPr>
              <w:spacing w:before="60" w:after="60"/>
              <w:rPr>
                <w:rFonts w:cs="Arial"/>
                <w:sz w:val="20"/>
                <w:szCs w:val="20"/>
              </w:rPr>
            </w:pPr>
            <w:r w:rsidRPr="00D06684">
              <w:rPr>
                <w:rFonts w:cs="Arial"/>
                <w:sz w:val="20"/>
                <w:szCs w:val="20"/>
              </w:rPr>
              <w:t>overseas body corporate in a designated business group</w:t>
            </w:r>
          </w:p>
        </w:tc>
        <w:tc>
          <w:tcPr>
            <w:tcW w:w="2128"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28" w:type="dxa"/>
            <w:vAlign w:val="center"/>
          </w:tcPr>
          <w:p w:rsidR="00A65D22" w:rsidRPr="00D06684" w:rsidRDefault="00A65D22" w:rsidP="00D06684">
            <w:pPr>
              <w:spacing w:after="240"/>
              <w:jc w:val="center"/>
              <w:rPr>
                <w:rFonts w:ascii="Calibri" w:hAnsi="Calibri" w:cs="Arial"/>
                <w:sz w:val="20"/>
                <w:szCs w:val="20"/>
              </w:rPr>
            </w:pPr>
          </w:p>
        </w:tc>
        <w:tc>
          <w:tcPr>
            <w:tcW w:w="2128" w:type="dxa"/>
            <w:vAlign w:val="center"/>
          </w:tcPr>
          <w:p w:rsidR="00A65D22" w:rsidRPr="00D06684" w:rsidRDefault="00A65D22" w:rsidP="00D06684">
            <w:pPr>
              <w:spacing w:after="240"/>
              <w:jc w:val="center"/>
              <w:rPr>
                <w:rFonts w:ascii="Calibri" w:hAnsi="Calibri" w:cs="Arial"/>
                <w:sz w:val="20"/>
                <w:szCs w:val="20"/>
              </w:rPr>
            </w:pPr>
            <w:r w:rsidRPr="00D06684">
              <w:rPr>
                <w:rFonts w:ascii="Calibri" w:hAnsi="Calibri" w:cs="Arial"/>
                <w:sz w:val="20"/>
                <w:szCs w:val="20"/>
              </w:rPr>
              <w:sym w:font="Wingdings" w:char="F0FC"/>
            </w:r>
          </w:p>
        </w:tc>
        <w:tc>
          <w:tcPr>
            <w:tcW w:w="2128" w:type="dxa"/>
            <w:vAlign w:val="center"/>
          </w:tcPr>
          <w:p w:rsidR="00A65D22" w:rsidRPr="00D06684" w:rsidRDefault="00A65D22" w:rsidP="00D06684">
            <w:pPr>
              <w:spacing w:after="240"/>
              <w:jc w:val="center"/>
              <w:rPr>
                <w:rFonts w:ascii="Calibri" w:hAnsi="Calibri" w:cs="Arial"/>
                <w:sz w:val="20"/>
                <w:szCs w:val="20"/>
              </w:rPr>
            </w:pPr>
          </w:p>
        </w:tc>
        <w:tc>
          <w:tcPr>
            <w:tcW w:w="2128" w:type="dxa"/>
            <w:vAlign w:val="center"/>
          </w:tcPr>
          <w:p w:rsidR="00A65D22" w:rsidRPr="00D06684" w:rsidRDefault="00A65D22" w:rsidP="00D06684">
            <w:pPr>
              <w:spacing w:after="240"/>
              <w:jc w:val="center"/>
              <w:rPr>
                <w:rFonts w:ascii="Calibri" w:hAnsi="Calibri" w:cs="Arial"/>
                <w:sz w:val="20"/>
                <w:szCs w:val="20"/>
              </w:rPr>
            </w:pPr>
          </w:p>
        </w:tc>
      </w:tr>
    </w:tbl>
    <w:p w:rsidR="00A65D22" w:rsidRPr="00D06684" w:rsidRDefault="00A65D22" w:rsidP="00C84307">
      <w:pPr>
        <w:jc w:val="center"/>
        <w:rPr>
          <w:sz w:val="20"/>
          <w:szCs w:val="20"/>
        </w:rPr>
      </w:pPr>
    </w:p>
    <w:p w:rsidR="00A65D22" w:rsidRDefault="00A65D22" w:rsidP="007F26AA"/>
    <w:p w:rsidR="00A65D22" w:rsidRDefault="00A65D22" w:rsidP="007F26AA">
      <w:pPr>
        <w:sectPr w:rsidR="00A65D22" w:rsidSect="00D06684">
          <w:headerReference w:type="default" r:id="rId25"/>
          <w:footerReference w:type="default" r:id="rId26"/>
          <w:pgSz w:w="16838" w:h="11906" w:orient="landscape"/>
          <w:pgMar w:top="732" w:right="720" w:bottom="907" w:left="1440" w:header="703" w:footer="709" w:gutter="0"/>
          <w:cols w:space="708"/>
          <w:docGrid w:linePitch="360"/>
        </w:sectPr>
      </w:pPr>
    </w:p>
    <w:p w:rsidR="00A65D22" w:rsidRDefault="00A65D22" w:rsidP="00555A5B">
      <w:pPr>
        <w:pStyle w:val="Heading3"/>
        <w:jc w:val="center"/>
      </w:pPr>
      <w:r>
        <w:t>Appendix 2</w:t>
      </w:r>
    </w:p>
    <w:p w:rsidR="00A65D22" w:rsidRPr="004C0692" w:rsidRDefault="00A65D22" w:rsidP="00555A5B">
      <w:pPr>
        <w:pStyle w:val="Heading3"/>
        <w:jc w:val="center"/>
      </w:pPr>
      <w:r w:rsidRPr="004C0692">
        <w:t>Additional resources</w:t>
      </w:r>
    </w:p>
    <w:p w:rsidR="00A65D22" w:rsidRPr="00FD7E5C" w:rsidRDefault="00A65D22" w:rsidP="00FD7E5C">
      <w:pPr>
        <w:spacing w:after="240"/>
        <w:jc w:val="both"/>
        <w:rPr>
          <w:rFonts w:cs="Arial"/>
        </w:rPr>
      </w:pPr>
      <w:r w:rsidRPr="006D19E3">
        <w:t>Information available at the sites listed below may assist your business in conducting a country assessment:</w:t>
      </w:r>
    </w:p>
    <w:p w:rsidR="00A65D22" w:rsidRPr="006D19E3" w:rsidRDefault="00A65D22" w:rsidP="00555A5B">
      <w:pPr>
        <w:pStyle w:val="Bullet1"/>
      </w:pPr>
      <w:r w:rsidRPr="006D19E3">
        <w:t xml:space="preserve">Financial Action Task Force - </w:t>
      </w:r>
      <w:hyperlink r:id="rId27" w:history="1">
        <w:r w:rsidRPr="006D19E3">
          <w:rPr>
            <w:rStyle w:val="Hyperlink"/>
            <w:rFonts w:cs="Arial"/>
          </w:rPr>
          <w:t>www.fatf-gafi.org</w:t>
        </w:r>
      </w:hyperlink>
      <w:r w:rsidRPr="006D19E3">
        <w:t xml:space="preserve"> </w:t>
      </w:r>
    </w:p>
    <w:p w:rsidR="00A65D22" w:rsidRPr="006D19E3" w:rsidRDefault="00A65D22" w:rsidP="00555A5B">
      <w:pPr>
        <w:pStyle w:val="Bullet2"/>
      </w:pPr>
      <w:hyperlink r:id="rId28" w:history="1">
        <w:r w:rsidRPr="006D19E3">
          <w:rPr>
            <w:rStyle w:val="Hyperlink"/>
            <w:rFonts w:cs="Arial"/>
          </w:rPr>
          <w:t>Methodology for Assessing Compliance with the FATF 40 Recommendations and the FATF 9 Special Recommendations</w:t>
        </w:r>
      </w:hyperlink>
    </w:p>
    <w:p w:rsidR="00A65D22" w:rsidRPr="006D19E3" w:rsidRDefault="00A65D22" w:rsidP="00555A5B">
      <w:pPr>
        <w:pStyle w:val="Bullet1"/>
      </w:pPr>
      <w:r w:rsidRPr="006D19E3">
        <w:t xml:space="preserve">Asia/Pacific Group on Money Laundering - </w:t>
      </w:r>
      <w:hyperlink r:id="rId29" w:history="1">
        <w:r w:rsidRPr="006D19E3">
          <w:rPr>
            <w:rStyle w:val="Hyperlink"/>
            <w:rFonts w:cs="Arial"/>
          </w:rPr>
          <w:t>www.apgml.org</w:t>
        </w:r>
      </w:hyperlink>
      <w:r w:rsidRPr="006D19E3">
        <w:t xml:space="preserve"> </w:t>
      </w:r>
    </w:p>
    <w:p w:rsidR="00A65D22" w:rsidRPr="006D19E3" w:rsidRDefault="00A65D22" w:rsidP="00555A5B">
      <w:pPr>
        <w:pStyle w:val="Bullet1"/>
      </w:pPr>
      <w:r w:rsidRPr="006D19E3">
        <w:t xml:space="preserve">The World Bank - </w:t>
      </w:r>
      <w:hyperlink r:id="rId30" w:history="1">
        <w:r w:rsidRPr="006D19E3">
          <w:rPr>
            <w:rStyle w:val="Hyperlink"/>
            <w:rFonts w:cs="Arial"/>
          </w:rPr>
          <w:t>www.worldbank.org</w:t>
        </w:r>
      </w:hyperlink>
      <w:r w:rsidRPr="006D19E3">
        <w:t xml:space="preserve"> </w:t>
      </w:r>
    </w:p>
    <w:p w:rsidR="00A65D22" w:rsidRPr="006D19E3" w:rsidRDefault="00A65D22" w:rsidP="00555A5B">
      <w:pPr>
        <w:pStyle w:val="Bullet1"/>
      </w:pPr>
      <w:r w:rsidRPr="006D19E3">
        <w:t xml:space="preserve">International Monetary Fund - </w:t>
      </w:r>
      <w:hyperlink r:id="rId31" w:history="1">
        <w:r w:rsidRPr="006D19E3">
          <w:rPr>
            <w:rStyle w:val="Hyperlink"/>
            <w:rFonts w:cs="Arial"/>
          </w:rPr>
          <w:t>www.imf.org</w:t>
        </w:r>
      </w:hyperlink>
      <w:r>
        <w:t>, IMF Financial Sector Assessment Programme</w:t>
      </w:r>
      <w:r w:rsidRPr="006D19E3">
        <w:t xml:space="preserve"> </w:t>
      </w:r>
      <w:hyperlink r:id="rId32" w:history="1">
        <w:r w:rsidRPr="006A4F53">
          <w:rPr>
            <w:rStyle w:val="Hyperlink"/>
          </w:rPr>
          <w:t>www.imf.org/external/np/fsap/fssa.aspx</w:t>
        </w:r>
      </w:hyperlink>
      <w:r>
        <w:t xml:space="preserve"> </w:t>
      </w:r>
    </w:p>
    <w:p w:rsidR="00A65D22" w:rsidRPr="006D19E3" w:rsidRDefault="00A65D22" w:rsidP="00555A5B">
      <w:pPr>
        <w:pStyle w:val="Bullet1"/>
      </w:pPr>
      <w:r w:rsidRPr="006D19E3">
        <w:t xml:space="preserve">Organisation for Economic Co-operation and Development - </w:t>
      </w:r>
      <w:hyperlink r:id="rId33" w:history="1">
        <w:r w:rsidRPr="006D19E3">
          <w:rPr>
            <w:rStyle w:val="Hyperlink"/>
            <w:rFonts w:cs="Arial"/>
          </w:rPr>
          <w:t>www.oecd.org</w:t>
        </w:r>
      </w:hyperlink>
      <w:r w:rsidRPr="006D19E3">
        <w:t xml:space="preserve"> </w:t>
      </w:r>
    </w:p>
    <w:p w:rsidR="00A65D22" w:rsidRPr="006D19E3" w:rsidRDefault="00A65D22" w:rsidP="00555A5B">
      <w:pPr>
        <w:pStyle w:val="Bullet1"/>
      </w:pPr>
      <w:r w:rsidRPr="006D19E3">
        <w:t xml:space="preserve">The Egmont Group - </w:t>
      </w:r>
      <w:hyperlink r:id="rId34" w:history="1">
        <w:r w:rsidRPr="006D19E3">
          <w:rPr>
            <w:rStyle w:val="Hyperlink"/>
            <w:rFonts w:cs="Arial"/>
          </w:rPr>
          <w:t>www.egmontgroup.org</w:t>
        </w:r>
      </w:hyperlink>
    </w:p>
    <w:p w:rsidR="00A65D22" w:rsidRPr="006D19E3" w:rsidRDefault="00A65D22" w:rsidP="00555A5B">
      <w:pPr>
        <w:pStyle w:val="Bullet1"/>
      </w:pPr>
      <w:r w:rsidRPr="006D19E3">
        <w:t xml:space="preserve">The Wolfsberg Group - </w:t>
      </w:r>
      <w:hyperlink r:id="rId35" w:history="1">
        <w:r w:rsidRPr="006D19E3">
          <w:rPr>
            <w:rStyle w:val="Hyperlink"/>
            <w:rFonts w:cs="Arial"/>
          </w:rPr>
          <w:t>www.wolfsberg-principles.com</w:t>
        </w:r>
      </w:hyperlink>
      <w:r w:rsidRPr="006D19E3">
        <w:t xml:space="preserve"> </w:t>
      </w:r>
    </w:p>
    <w:p w:rsidR="00A65D22" w:rsidRPr="006D19E3" w:rsidRDefault="00A65D22" w:rsidP="00555A5B">
      <w:pPr>
        <w:pStyle w:val="Bullet1"/>
      </w:pPr>
      <w:r w:rsidRPr="006D19E3">
        <w:t xml:space="preserve">Transparency International - </w:t>
      </w:r>
      <w:hyperlink r:id="rId36" w:history="1">
        <w:r w:rsidRPr="006D19E3">
          <w:rPr>
            <w:rStyle w:val="Hyperlink"/>
            <w:rFonts w:cs="Arial"/>
          </w:rPr>
          <w:t>www.transparency.org</w:t>
        </w:r>
      </w:hyperlink>
      <w:r w:rsidRPr="006D19E3">
        <w:t xml:space="preserve"> </w:t>
      </w:r>
    </w:p>
    <w:p w:rsidR="00A65D22" w:rsidRDefault="00A65D22" w:rsidP="00555A5B">
      <w:pPr>
        <w:pStyle w:val="Bullet1"/>
      </w:pPr>
      <w:r w:rsidRPr="00FD7E5C">
        <w:t>NZ Police</w:t>
      </w:r>
      <w:r>
        <w:t xml:space="preserve"> - </w:t>
      </w:r>
      <w:r w:rsidRPr="00FD7E5C">
        <w:t>New Zealand's designated terrorist individuals and organisations</w:t>
      </w:r>
      <w:r>
        <w:t xml:space="preserve"> </w:t>
      </w:r>
      <w:hyperlink r:id="rId37" w:history="1">
        <w:r w:rsidRPr="006A4F53">
          <w:rPr>
            <w:rStyle w:val="Hyperlink"/>
          </w:rPr>
          <w:t>http://www.police.govt.nz/service/counterterrorism/designated-terrorists.html</w:t>
        </w:r>
      </w:hyperlink>
      <w:r>
        <w:t xml:space="preserve"> </w:t>
      </w:r>
    </w:p>
    <w:p w:rsidR="00A65D22" w:rsidRPr="006D19E3" w:rsidRDefault="00A65D22" w:rsidP="00555A5B">
      <w:pPr>
        <w:pStyle w:val="Bullet1"/>
      </w:pPr>
      <w:r w:rsidRPr="006D19E3">
        <w:t xml:space="preserve">The Ministry of Foreign Affairs and Trade - </w:t>
      </w:r>
      <w:hyperlink r:id="rId38" w:history="1">
        <w:r w:rsidRPr="006D19E3">
          <w:rPr>
            <w:rStyle w:val="Hyperlink"/>
            <w:rFonts w:cs="Arial"/>
          </w:rPr>
          <w:t>www.mfat.govt.nz</w:t>
        </w:r>
      </w:hyperlink>
      <w:r w:rsidRPr="006D19E3">
        <w:t xml:space="preserve"> </w:t>
      </w:r>
    </w:p>
    <w:p w:rsidR="00A65D22" w:rsidRPr="006D19E3" w:rsidRDefault="00A65D22" w:rsidP="00555A5B">
      <w:pPr>
        <w:pStyle w:val="Bullet1"/>
      </w:pPr>
      <w:r w:rsidRPr="006D19E3">
        <w:t xml:space="preserve">AUSTRAC Australian Transaction Reports and Analysis Centre - </w:t>
      </w:r>
      <w:hyperlink r:id="rId39" w:history="1">
        <w:r w:rsidRPr="006D19E3">
          <w:rPr>
            <w:rStyle w:val="Hyperlink"/>
            <w:rFonts w:cs="Arial"/>
          </w:rPr>
          <w:t>www.austrac.gov.au</w:t>
        </w:r>
      </w:hyperlink>
      <w:r w:rsidRPr="006D19E3">
        <w:t xml:space="preserve"> </w:t>
      </w:r>
    </w:p>
    <w:p w:rsidR="00A65D22" w:rsidRPr="006D19E3" w:rsidRDefault="00A65D22" w:rsidP="00555A5B">
      <w:pPr>
        <w:pStyle w:val="Bullet1"/>
      </w:pPr>
      <w:r w:rsidRPr="006D19E3">
        <w:t xml:space="preserve">Australian Department of Foreign Affairs and Trade - </w:t>
      </w:r>
      <w:hyperlink r:id="rId40" w:history="1">
        <w:r w:rsidRPr="006D19E3">
          <w:rPr>
            <w:rStyle w:val="Hyperlink"/>
            <w:rFonts w:cs="Arial"/>
          </w:rPr>
          <w:t>www.dfat.gov.au</w:t>
        </w:r>
      </w:hyperlink>
      <w:r w:rsidRPr="006D19E3">
        <w:t xml:space="preserve"> </w:t>
      </w:r>
    </w:p>
    <w:p w:rsidR="00A65D22" w:rsidRPr="006D19E3" w:rsidRDefault="00A65D22" w:rsidP="00555A5B">
      <w:pPr>
        <w:pStyle w:val="Bullet1"/>
      </w:pPr>
      <w:r w:rsidRPr="006D19E3">
        <w:t xml:space="preserve">Joint Money Laundering Steering Group (JMLSG) - </w:t>
      </w:r>
      <w:hyperlink r:id="rId41" w:history="1">
        <w:r w:rsidRPr="006D19E3">
          <w:rPr>
            <w:rStyle w:val="Hyperlink"/>
            <w:rFonts w:cs="Arial"/>
          </w:rPr>
          <w:t>www.jmlsg.org.uk</w:t>
        </w:r>
      </w:hyperlink>
      <w:r w:rsidRPr="006D19E3">
        <w:t xml:space="preserve"> </w:t>
      </w:r>
    </w:p>
    <w:p w:rsidR="00A65D22" w:rsidRPr="006D19E3" w:rsidRDefault="00A65D22" w:rsidP="00555A5B">
      <w:pPr>
        <w:pStyle w:val="Bullet1"/>
      </w:pPr>
      <w:r w:rsidRPr="006D19E3">
        <w:t xml:space="preserve">British Bankers Association - </w:t>
      </w:r>
      <w:hyperlink r:id="rId42" w:history="1">
        <w:r w:rsidRPr="006D19E3">
          <w:rPr>
            <w:rStyle w:val="Hyperlink"/>
            <w:rFonts w:cs="Arial"/>
          </w:rPr>
          <w:t>www.bba.org.uk</w:t>
        </w:r>
      </w:hyperlink>
      <w:r w:rsidRPr="006D19E3">
        <w:t xml:space="preserve"> </w:t>
      </w:r>
    </w:p>
    <w:p w:rsidR="00A65D22" w:rsidRPr="006D19E3" w:rsidRDefault="00A65D22" w:rsidP="00555A5B">
      <w:pPr>
        <w:pStyle w:val="Bullet1"/>
      </w:pPr>
      <w:r w:rsidRPr="006D19E3">
        <w:t xml:space="preserve">Financial Services Authority - </w:t>
      </w:r>
      <w:hyperlink r:id="rId43" w:history="1">
        <w:r w:rsidRPr="006D19E3">
          <w:rPr>
            <w:rStyle w:val="Hyperlink"/>
            <w:rFonts w:cs="Arial"/>
          </w:rPr>
          <w:t>www.fsa.gov.uk</w:t>
        </w:r>
      </w:hyperlink>
      <w:r w:rsidRPr="006D19E3">
        <w:t xml:space="preserve"> </w:t>
      </w:r>
    </w:p>
    <w:p w:rsidR="00A65D22" w:rsidRPr="006D19E3" w:rsidRDefault="00A65D22" w:rsidP="00555A5B">
      <w:pPr>
        <w:pStyle w:val="Bullet1"/>
      </w:pPr>
      <w:r w:rsidRPr="006D19E3">
        <w:t xml:space="preserve">Office of the Comptroller of the Currency - </w:t>
      </w:r>
      <w:hyperlink r:id="rId44" w:history="1">
        <w:r w:rsidRPr="006D19E3">
          <w:rPr>
            <w:rStyle w:val="Hyperlink"/>
            <w:rFonts w:cs="Arial"/>
          </w:rPr>
          <w:t>www.occ.treas.gov</w:t>
        </w:r>
      </w:hyperlink>
      <w:r w:rsidRPr="006D19E3">
        <w:t xml:space="preserve"> </w:t>
      </w:r>
    </w:p>
    <w:p w:rsidR="00A65D22" w:rsidRPr="006D19E3" w:rsidRDefault="00A65D22" w:rsidP="00555A5B">
      <w:pPr>
        <w:pStyle w:val="Bullet1"/>
      </w:pPr>
      <w:r w:rsidRPr="006D19E3">
        <w:t xml:space="preserve">Financial Crimes Enforcement Network (FinCen) - </w:t>
      </w:r>
      <w:hyperlink r:id="rId45" w:history="1">
        <w:r w:rsidRPr="006D19E3">
          <w:rPr>
            <w:rStyle w:val="Hyperlink"/>
            <w:rFonts w:cs="Arial"/>
          </w:rPr>
          <w:t>www.fincen.gov</w:t>
        </w:r>
      </w:hyperlink>
      <w:r w:rsidRPr="006D19E3">
        <w:t xml:space="preserve"> </w:t>
      </w:r>
    </w:p>
    <w:p w:rsidR="00A65D22" w:rsidRPr="006D19E3" w:rsidRDefault="00A65D22" w:rsidP="00555A5B">
      <w:pPr>
        <w:pStyle w:val="Bullet1"/>
      </w:pPr>
      <w:r w:rsidRPr="006D19E3">
        <w:t xml:space="preserve">Financial Transactions and Reports Analysis Centre - </w:t>
      </w:r>
      <w:hyperlink r:id="rId46" w:history="1">
        <w:r w:rsidRPr="006D19E3">
          <w:rPr>
            <w:rStyle w:val="Hyperlink"/>
            <w:rFonts w:cs="Arial"/>
          </w:rPr>
          <w:t>www.fintrac-canafe.gc.ca</w:t>
        </w:r>
      </w:hyperlink>
    </w:p>
    <w:p w:rsidR="00A65D22" w:rsidRDefault="00A65D22" w:rsidP="00555A5B">
      <w:pPr>
        <w:spacing w:after="120"/>
        <w:jc w:val="both"/>
        <w:rPr>
          <w:rFonts w:cs="Arial"/>
        </w:rPr>
      </w:pPr>
    </w:p>
    <w:p w:rsidR="00A65D22" w:rsidRDefault="00A65D22" w:rsidP="00555A5B">
      <w:pPr>
        <w:spacing w:after="120"/>
        <w:jc w:val="both"/>
        <w:rPr>
          <w:rFonts w:cs="Arial"/>
        </w:rPr>
      </w:pPr>
      <w:r>
        <w:rPr>
          <w:rFonts w:cs="Arial"/>
        </w:rPr>
        <w:t>Media searches and the use of search engines may provide current information on the countries of interest to you.</w:t>
      </w:r>
    </w:p>
    <w:p w:rsidR="00A65D22" w:rsidRDefault="00A65D22" w:rsidP="00555A5B"/>
    <w:p w:rsidR="00A65D22" w:rsidRPr="006D19E3" w:rsidRDefault="00A65D22" w:rsidP="00555A5B">
      <w:r w:rsidRPr="006D19E3">
        <w:t>Some other website resources include:</w:t>
      </w:r>
    </w:p>
    <w:p w:rsidR="00A65D22" w:rsidRDefault="00A65D22" w:rsidP="00FD7E5C">
      <w:pPr>
        <w:pStyle w:val="Bullet1"/>
      </w:pPr>
      <w:hyperlink r:id="rId47" w:history="1">
        <w:r w:rsidRPr="006D19E3">
          <w:rPr>
            <w:rStyle w:val="Hyperlink"/>
            <w:rFonts w:cs="Arial"/>
          </w:rPr>
          <w:t>www.baselgovernance.org</w:t>
        </w:r>
      </w:hyperlink>
      <w:r w:rsidRPr="006D19E3">
        <w:t xml:space="preserve"> </w:t>
      </w:r>
    </w:p>
    <w:p w:rsidR="00A65D22" w:rsidRDefault="00A65D22" w:rsidP="00555A5B">
      <w:pPr>
        <w:pStyle w:val="Bullet1"/>
      </w:pPr>
      <w:hyperlink r:id="rId48" w:history="1">
        <w:r w:rsidRPr="006A4F53">
          <w:rPr>
            <w:rStyle w:val="Hyperlink"/>
          </w:rPr>
          <w:t>www.world-check.com</w:t>
        </w:r>
      </w:hyperlink>
    </w:p>
    <w:p w:rsidR="00A65D22" w:rsidRPr="006D19E3" w:rsidRDefault="00A65D22" w:rsidP="00555A5B">
      <w:pPr>
        <w:pStyle w:val="Bullet1"/>
      </w:pPr>
      <w:hyperlink r:id="rId49" w:history="1">
        <w:r w:rsidRPr="006D19E3">
          <w:rPr>
            <w:rStyle w:val="Hyperlink"/>
            <w:rFonts w:cs="Arial"/>
          </w:rPr>
          <w:t>www.janes.com</w:t>
        </w:r>
      </w:hyperlink>
    </w:p>
    <w:p w:rsidR="00A65D22" w:rsidRPr="006D19E3" w:rsidRDefault="00A65D22" w:rsidP="00555A5B">
      <w:pPr>
        <w:pStyle w:val="Bullet1"/>
      </w:pPr>
      <w:hyperlink r:id="rId50" w:history="1">
        <w:r w:rsidRPr="006D19E3">
          <w:rPr>
            <w:rStyle w:val="Hyperlink"/>
            <w:rFonts w:cs="Arial"/>
          </w:rPr>
          <w:t>www.country-check.com</w:t>
        </w:r>
      </w:hyperlink>
    </w:p>
    <w:p w:rsidR="00A65D22" w:rsidRPr="006D19E3" w:rsidRDefault="00A65D22" w:rsidP="00555A5B">
      <w:pPr>
        <w:pStyle w:val="Bullet1"/>
      </w:pPr>
      <w:hyperlink r:id="rId51" w:history="1">
        <w:r w:rsidRPr="00C1234F">
          <w:rPr>
            <w:rStyle w:val="Hyperlink"/>
          </w:rPr>
          <w:t>www.ACAMSmoneylaundering.com</w:t>
        </w:r>
      </w:hyperlink>
      <w:r>
        <w:t xml:space="preserve">  </w:t>
      </w:r>
    </w:p>
    <w:p w:rsidR="00A65D22" w:rsidRDefault="00A65D22" w:rsidP="00555A5B">
      <w:pPr>
        <w:pStyle w:val="Bullet1"/>
      </w:pPr>
      <w:hyperlink r:id="rId52" w:history="1">
        <w:r w:rsidRPr="006D19E3">
          <w:rPr>
            <w:rStyle w:val="Hyperlink"/>
            <w:rFonts w:cs="Arial"/>
          </w:rPr>
          <w:t>www.knowyourcountry.com</w:t>
        </w:r>
      </w:hyperlink>
    </w:p>
    <w:p w:rsidR="00A65D22" w:rsidRDefault="00A65D22" w:rsidP="00FD7E5C">
      <w:pPr>
        <w:pStyle w:val="Bullet1"/>
      </w:pPr>
      <w:hyperlink r:id="rId53" w:history="1">
        <w:r w:rsidRPr="006A4F53">
          <w:rPr>
            <w:rStyle w:val="Hyperlink"/>
          </w:rPr>
          <w:t>www.factiva.com</w:t>
        </w:r>
      </w:hyperlink>
      <w:r>
        <w:t xml:space="preserve"> </w:t>
      </w:r>
    </w:p>
    <w:p w:rsidR="00A65D22" w:rsidRPr="006D19E3" w:rsidRDefault="00A65D22" w:rsidP="00555A5B">
      <w:pPr>
        <w:pStyle w:val="Bullet1"/>
        <w:numPr>
          <w:ilvl w:val="0"/>
          <w:numId w:val="0"/>
        </w:numPr>
        <w:ind w:left="357"/>
      </w:pPr>
    </w:p>
    <w:p w:rsidR="00A65D22" w:rsidRPr="006D19E3" w:rsidRDefault="00A65D22" w:rsidP="00555A5B">
      <w:pPr>
        <w:rPr>
          <w:rFonts w:cs="Arial"/>
        </w:rPr>
      </w:pPr>
      <w:r w:rsidRPr="006D19E3">
        <w:rPr>
          <w:rFonts w:cs="Arial"/>
        </w:rPr>
        <w:t xml:space="preserve">These and other websites may include charges to access the information. Their listing does not constitute AML/CFT </w:t>
      </w:r>
      <w:r w:rsidRPr="00DE6DDF">
        <w:rPr>
          <w:rFonts w:cs="Arial"/>
        </w:rPr>
        <w:t>supervisor endorsement</w:t>
      </w:r>
      <w:r>
        <w:rPr>
          <w:rFonts w:ascii="Calibri" w:hAnsi="Calibri"/>
        </w:rPr>
        <w:t xml:space="preserve">. </w:t>
      </w:r>
    </w:p>
    <w:p w:rsidR="00A65D22" w:rsidRPr="006D19E3" w:rsidRDefault="00A65D22" w:rsidP="006F6433">
      <w:pPr>
        <w:pStyle w:val="Heading3"/>
      </w:pPr>
    </w:p>
    <w:sectPr w:rsidR="00A65D22" w:rsidRPr="006D19E3" w:rsidSect="00C84307">
      <w:headerReference w:type="even" r:id="rId54"/>
      <w:headerReference w:type="default" r:id="rId55"/>
      <w:footerReference w:type="default" r:id="rId56"/>
      <w:headerReference w:type="first" r:id="rId57"/>
      <w:pgSz w:w="11906" w:h="16838"/>
      <w:pgMar w:top="720" w:right="907" w:bottom="1440" w:left="1797" w:header="70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D22" w:rsidRDefault="00A65D22">
      <w:r>
        <w:separator/>
      </w:r>
    </w:p>
  </w:endnote>
  <w:endnote w:type="continuationSeparator" w:id="0">
    <w:p w:rsidR="00A65D22" w:rsidRDefault="00A65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Default="00A65D22" w:rsidP="0052181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D22" w:rsidRDefault="00A65D22" w:rsidP="005C1F8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Default="00A65D22" w:rsidP="00166E25">
    <w:pPr>
      <w:tabs>
        <w:tab w:val="right" w:pos="8842"/>
      </w:tabs>
      <w:ind w:right="360"/>
    </w:pPr>
    <w:r>
      <w:rPr>
        <w:noProof/>
        <w:lang w:val="en-NZ" w:eastAsia="en-NZ"/>
      </w:rPr>
      <w:pict>
        <v:line id="_x0000_s2051" style="position:absolute;z-index:251653632" from="-3.45pt,-2.05pt" to="478.45pt,-2.05pt" strokecolor="#00004b"/>
      </w:pict>
    </w:r>
    <w:r>
      <w:rPr>
        <w:noProof/>
        <w:lang w:val="en-NZ" w:eastAsia="en-NZ"/>
      </w:rPr>
      <w:pict>
        <v:line id="_x0000_s2052" style="position:absolute;z-index:251652608;visibility:visible;mso-wrap-edited:f;mso-wrap-distance-left:2.88pt;mso-wrap-distance-top:2.88pt;mso-wrap-distance-right:2.88pt;mso-wrap-distance-bottom:2.88pt" from="82.2pt,793.8pt" to="559.25pt,793.8pt" strokecolor="navy" strokeweight=".25pt" o:cliptowrap="t">
          <v:shadow color="#ccc"/>
        </v:line>
      </w:pict>
    </w:r>
    <w:r>
      <w:rPr>
        <w:noProof/>
        <w:lang w:val="en-NZ" w:eastAsia="en-NZ"/>
      </w:rPr>
      <w:pict>
        <v:line id="_x0000_s2053" style="position:absolute;z-index:251651584;visibility:visible;mso-wrap-edited:f;mso-wrap-distance-left:2.88pt;mso-wrap-distance-top:2.88pt;mso-wrap-distance-right:2.88pt;mso-wrap-distance-bottom:2.88pt" from="82.2pt,793.8pt" to="559.25pt,793.8pt" strokecolor="navy" strokeweight=".25pt" o:cliptowrap="t">
          <v:shadow color="#ccc"/>
        </v:line>
      </w:pic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Pr="00F41B59" w:rsidRDefault="00A65D22"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Pr>
        <w:rStyle w:val="PageNumber"/>
        <w:noProof/>
        <w:sz w:val="20"/>
        <w:szCs w:val="20"/>
      </w:rPr>
      <w:t>2</w:t>
    </w:r>
    <w:r w:rsidRPr="00F41B59">
      <w:rPr>
        <w:rStyle w:val="PageNumber"/>
        <w:sz w:val="20"/>
        <w:szCs w:val="20"/>
      </w:rPr>
      <w:fldChar w:fldCharType="end"/>
    </w:r>
  </w:p>
  <w:p w:rsidR="00A65D22" w:rsidRDefault="00A65D22" w:rsidP="005B6B29">
    <w:pPr>
      <w:tabs>
        <w:tab w:val="left" w:pos="1560"/>
      </w:tabs>
      <w:ind w:right="360"/>
    </w:pPr>
    <w:r>
      <w:rPr>
        <w:noProof/>
        <w:lang w:val="en-NZ" w:eastAsia="en-NZ"/>
      </w:rPr>
      <w:pict>
        <v:line id="_x0000_s2054" style="position:absolute;z-index:251656704" from="-3.45pt,-2.05pt" to="478.45pt,-2.05pt" strokecolor="#00004b"/>
      </w:pict>
    </w:r>
    <w:r>
      <w:rPr>
        <w:noProof/>
        <w:lang w:val="en-NZ" w:eastAsia="en-NZ"/>
      </w:rPr>
      <w:pict>
        <v:line id="_x0000_s2055" style="position:absolute;z-index:251655680;visibility:visible;mso-wrap-edited:f;mso-wrap-distance-left:2.88pt;mso-wrap-distance-top:2.88pt;mso-wrap-distance-right:2.88pt;mso-wrap-distance-bottom:2.88pt" from="82.2pt,793.8pt" to="559.25pt,793.8pt" strokecolor="navy" strokeweight=".25pt" o:cliptowrap="t">
          <v:shadow color="#ccc"/>
        </v:line>
      </w:pict>
    </w:r>
    <w:r>
      <w:rPr>
        <w:noProof/>
        <w:lang w:val="en-NZ" w:eastAsia="en-NZ"/>
      </w:rPr>
      <w:pict>
        <v:line id="_x0000_s2056" style="position:absolute;z-index:251654656;visibility:visible;mso-wrap-edited:f;mso-wrap-distance-left:2.88pt;mso-wrap-distance-top:2.88pt;mso-wrap-distance-right:2.88pt;mso-wrap-distance-bottom:2.88pt" from="82.2pt,793.8pt" to="559.25pt,793.8pt" strokecolor="navy" strokeweight=".25pt" o:cliptowrap="t">
          <v:shadow color="#ccc"/>
        </v:line>
      </w:pict>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Pr="00F41B59" w:rsidRDefault="00A65D22" w:rsidP="00EC1570">
    <w:pPr>
      <w:framePr w:wrap="around" w:vAnchor="text" w:hAnchor="page" w:x="16246" w:y="180"/>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Pr>
        <w:rStyle w:val="PageNumber"/>
        <w:noProof/>
        <w:sz w:val="20"/>
        <w:szCs w:val="20"/>
      </w:rPr>
      <w:t>8</w:t>
    </w:r>
    <w:r w:rsidRPr="00F41B59">
      <w:rPr>
        <w:rStyle w:val="PageNumber"/>
        <w:sz w:val="20"/>
        <w:szCs w:val="20"/>
      </w:rPr>
      <w:fldChar w:fldCharType="end"/>
    </w:r>
  </w:p>
  <w:p w:rsidR="00A65D22" w:rsidRDefault="00A65D22" w:rsidP="005B6B29">
    <w:pPr>
      <w:tabs>
        <w:tab w:val="left" w:pos="1560"/>
      </w:tabs>
      <w:ind w:right="360"/>
    </w:pPr>
    <w:r>
      <w:rPr>
        <w:noProof/>
        <w:lang w:val="en-NZ" w:eastAsia="en-NZ"/>
      </w:rPr>
      <w:pict>
        <v:line id="_x0000_s2059" style="position:absolute;z-index:251664896" from="-8.7pt,5.3pt" to="756.65pt,5.3pt" strokecolor="#00004b"/>
      </w:pict>
    </w:r>
    <w:r>
      <w:rPr>
        <w:noProof/>
        <w:lang w:val="en-NZ" w:eastAsia="en-NZ"/>
      </w:rPr>
      <w:pict>
        <v:line id="_x0000_s2060" style="position:absolute;z-index:251662848;visibility:visible;mso-wrap-edited:f;mso-wrap-distance-left:2.88pt;mso-wrap-distance-top:2.88pt;mso-wrap-distance-right:2.88pt;mso-wrap-distance-bottom:2.88pt" from="82.2pt,793.8pt" to="559.25pt,793.8pt" strokecolor="navy" strokeweight=".25pt" o:cliptowrap="t">
          <v:shadow color="#ccc"/>
        </v:line>
      </w:pict>
    </w:r>
    <w:r>
      <w:rPr>
        <w:noProof/>
        <w:lang w:val="en-NZ" w:eastAsia="en-NZ"/>
      </w:rPr>
      <w:pict>
        <v:line id="_x0000_s2061" style="position:absolute;z-index:251661824;visibility:visible;mso-wrap-edited:f;mso-wrap-distance-left:2.88pt;mso-wrap-distance-top:2.88pt;mso-wrap-distance-right:2.88pt;mso-wrap-distance-bottom:2.88pt" from="82.2pt,793.8pt" to="559.25pt,793.8pt" strokecolor="navy" strokeweight=".25pt" o:cliptowrap="t">
          <v:shadow color="#ccc"/>
        </v:line>
      </w:pict>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Pr="00F41B59" w:rsidRDefault="00A65D22"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Pr>
        <w:rStyle w:val="PageNumber"/>
        <w:noProof/>
        <w:sz w:val="20"/>
        <w:szCs w:val="20"/>
      </w:rPr>
      <w:t>9</w:t>
    </w:r>
    <w:r w:rsidRPr="00F41B59">
      <w:rPr>
        <w:rStyle w:val="PageNumber"/>
        <w:sz w:val="20"/>
        <w:szCs w:val="20"/>
      </w:rPr>
      <w:fldChar w:fldCharType="end"/>
    </w:r>
  </w:p>
  <w:p w:rsidR="00A65D22" w:rsidRDefault="00A65D22" w:rsidP="00166E25">
    <w:pPr>
      <w:tabs>
        <w:tab w:val="right" w:pos="8842"/>
      </w:tabs>
      <w:ind w:right="360"/>
    </w:pPr>
    <w:r>
      <w:rPr>
        <w:noProof/>
        <w:lang w:val="en-NZ" w:eastAsia="en-NZ"/>
      </w:rPr>
      <w:pict>
        <v:line id="_x0000_s2063" style="position:absolute;z-index:251660800" from="-3.45pt,-2.05pt" to="478.45pt,-2.05pt" strokecolor="#00004b"/>
      </w:pict>
    </w:r>
    <w:r>
      <w:rPr>
        <w:noProof/>
        <w:lang w:val="en-NZ" w:eastAsia="en-NZ"/>
      </w:rPr>
      <w:pict>
        <v:line id="_x0000_s2064" style="position:absolute;z-index:251659776;visibility:visible;mso-wrap-edited:f;mso-wrap-distance-left:2.88pt;mso-wrap-distance-top:2.88pt;mso-wrap-distance-right:2.88pt;mso-wrap-distance-bottom:2.88pt" from="82.2pt,793.8pt" to="559.25pt,793.8pt" strokecolor="navy" strokeweight=".25pt" o:cliptowrap="t">
          <v:shadow color="#ccc"/>
        </v:line>
      </w:pict>
    </w:r>
    <w:r>
      <w:rPr>
        <w:noProof/>
        <w:lang w:val="en-NZ" w:eastAsia="en-NZ"/>
      </w:rPr>
      <w:pict>
        <v:line id="_x0000_s2065" style="position:absolute;z-index:251658752;visibility:visible;mso-wrap-edited:f;mso-wrap-distance-left:2.88pt;mso-wrap-distance-top:2.88pt;mso-wrap-distance-right:2.88pt;mso-wrap-distance-bottom:2.88pt" from="82.2pt,793.8pt" to="559.25pt,793.8pt" strokecolor="navy" strokeweight=".25pt" o:cliptowrap="t">
          <v:shadow color="#ccc"/>
        </v:lin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D22" w:rsidRDefault="00A65D22">
      <w:r>
        <w:separator/>
      </w:r>
    </w:p>
  </w:footnote>
  <w:footnote w:type="continuationSeparator" w:id="0">
    <w:p w:rsidR="00A65D22" w:rsidRDefault="00A65D22">
      <w:r>
        <w:continuationSeparator/>
      </w:r>
    </w:p>
  </w:footnote>
  <w:footnote w:id="1">
    <w:p w:rsidR="00A65D22" w:rsidRDefault="00A65D22" w:rsidP="005D2FAE">
      <w:pPr>
        <w:pStyle w:val="FootnoteText"/>
      </w:pPr>
      <w:r>
        <w:rPr>
          <w:rStyle w:val="FootnoteReference"/>
        </w:rPr>
        <w:footnoteRef/>
      </w:r>
      <w:r>
        <w:t xml:space="preserve"> </w:t>
      </w:r>
      <w:hyperlink r:id="rId1" w:history="1">
        <w:r w:rsidRPr="003A13AF">
          <w:rPr>
            <w:rStyle w:val="Hyperlink"/>
          </w:rPr>
          <w:t>http://www.fatf-gafi.org/document/18/0,3746,en_32250379_32236992_49694738_1_1_1_1,00.html</w:t>
        </w:r>
      </w:hyperlink>
      <w:r>
        <w:t xml:space="preserve"> </w:t>
      </w:r>
    </w:p>
  </w:footnote>
  <w:footnote w:id="2">
    <w:p w:rsidR="00A65D22" w:rsidRDefault="00A65D22" w:rsidP="005D2FAE">
      <w:pPr>
        <w:pStyle w:val="FootnoteText"/>
      </w:pPr>
      <w:r>
        <w:rPr>
          <w:rStyle w:val="FootnoteReference"/>
        </w:rPr>
        <w:footnoteRef/>
      </w:r>
      <w:r>
        <w:t xml:space="preserve"> </w:t>
      </w:r>
      <w:hyperlink r:id="rId2" w:history="1">
        <w:r>
          <w:rPr>
            <w:rStyle w:val="Hyperlink"/>
          </w:rPr>
          <w:t>http://www.fatf-gafi.org/pages/0,2987,en_32250379_32235720_1_1_1_1_1,00.html</w:t>
        </w:r>
      </w:hyperlink>
    </w:p>
  </w:footnote>
  <w:footnote w:id="3">
    <w:p w:rsidR="00A65D22" w:rsidRDefault="00A65D22" w:rsidP="005D2FAE">
      <w:pPr>
        <w:pStyle w:val="FootnoteText"/>
      </w:pPr>
      <w:r>
        <w:rPr>
          <w:rStyle w:val="FootnoteReference"/>
        </w:rPr>
        <w:footnoteRef/>
      </w:r>
      <w:r>
        <w:t xml:space="preserve"> </w:t>
      </w:r>
      <w:hyperlink r:id="rId3" w:history="1">
        <w:r>
          <w:rPr>
            <w:rStyle w:val="Hyperlink"/>
          </w:rPr>
          <w:t>http://www.apgml.org/</w:t>
        </w:r>
      </w:hyperlink>
    </w:p>
  </w:footnote>
  <w:footnote w:id="4">
    <w:p w:rsidR="00A65D22" w:rsidRDefault="00A65D22">
      <w:pPr>
        <w:pStyle w:val="FootnoteText"/>
      </w:pPr>
      <w:r>
        <w:rPr>
          <w:rStyle w:val="FootnoteReference"/>
        </w:rPr>
        <w:footnoteRef/>
      </w:r>
      <w:r>
        <w:t xml:space="preserve"> </w:t>
      </w:r>
      <w:hyperlink r:id="rId4" w:history="1">
        <w:r w:rsidRPr="00C751E8">
          <w:rPr>
            <w:rStyle w:val="Hyperlink"/>
          </w:rPr>
          <w:t>http://www.fatf-gafi.org/pages/0,3417,en_32250379_32236963_1_1_1_1_1,00.html</w:t>
        </w:r>
      </w:hyperlink>
    </w:p>
  </w:footnote>
  <w:footnote w:id="5">
    <w:p w:rsidR="00A65D22" w:rsidRDefault="00A65D22" w:rsidP="005D2FAE">
      <w:pPr>
        <w:pStyle w:val="FootnoteText"/>
      </w:pPr>
      <w:r>
        <w:rPr>
          <w:rStyle w:val="FootnoteReference"/>
        </w:rPr>
        <w:footnoteRef/>
      </w:r>
      <w:r>
        <w:t xml:space="preserve"> </w:t>
      </w:r>
      <w:hyperlink r:id="rId5" w:history="1">
        <w:r>
          <w:rPr>
            <w:rStyle w:val="Hyperlink"/>
          </w:rPr>
          <w:t>http://www.mfat.govt.nz/Treaties-and-International-Law/09-United-Nations-Security-Council-Sanctions/index.php</w:t>
        </w:r>
      </w:hyperlink>
    </w:p>
  </w:footnote>
  <w:footnote w:id="6">
    <w:p w:rsidR="00A65D22" w:rsidRDefault="00A65D22" w:rsidP="005D2FAE">
      <w:pPr>
        <w:pStyle w:val="FootnoteText"/>
      </w:pPr>
      <w:r>
        <w:rPr>
          <w:rStyle w:val="FootnoteReference"/>
        </w:rPr>
        <w:footnoteRef/>
      </w:r>
      <w:r>
        <w:t xml:space="preserve"> </w:t>
      </w:r>
      <w:hyperlink r:id="rId6" w:history="1">
        <w:r w:rsidRPr="006A4F53">
          <w:rPr>
            <w:rStyle w:val="Hyperlink"/>
          </w:rPr>
          <w:t>http://www.fatf-gafi.org/topics/high-riskandnon-cooperativejurisdictions/</w:t>
        </w:r>
      </w:hyperlink>
      <w:r>
        <w:t xml:space="preserve"> </w:t>
      </w:r>
    </w:p>
  </w:footnote>
  <w:footnote w:id="7">
    <w:p w:rsidR="00A65D22" w:rsidRDefault="00A65D22" w:rsidP="005D2FAE">
      <w:pPr>
        <w:pStyle w:val="FootnoteText"/>
      </w:pPr>
      <w:r>
        <w:rPr>
          <w:rStyle w:val="FootnoteReference"/>
        </w:rPr>
        <w:footnoteRef/>
      </w:r>
      <w:r>
        <w:t xml:space="preserve"> </w:t>
      </w:r>
      <w:hyperlink r:id="rId7" w:history="1">
        <w:r w:rsidRPr="006A4F53">
          <w:rPr>
            <w:rStyle w:val="Hyperlink"/>
          </w:rPr>
          <w:t>http://cpi.transparency.org/cpi2011/results/</w:t>
        </w:r>
      </w:hyperlink>
      <w:r>
        <w:t xml:space="preserve"> </w:t>
      </w:r>
    </w:p>
  </w:footnote>
  <w:footnote w:id="8">
    <w:p w:rsidR="00A65D22" w:rsidRDefault="00A65D22" w:rsidP="005D2FAE">
      <w:pPr>
        <w:pStyle w:val="FootnoteText"/>
      </w:pPr>
      <w:r>
        <w:rPr>
          <w:rStyle w:val="FootnoteReference"/>
        </w:rPr>
        <w:footnoteRef/>
      </w:r>
      <w:r>
        <w:t xml:space="preserve"> </w:t>
      </w:r>
      <w:hyperlink r:id="rId8" w:history="1">
        <w:r>
          <w:rPr>
            <w:rStyle w:val="Hyperlink"/>
          </w:rPr>
          <w:t>http://www.oecd.org/document/57/0,3746,en_2649_201185_30578809_1_1_1_1,00.html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Pr="00F96BD1" w:rsidRDefault="00A65D22" w:rsidP="00F96BD1">
    <w:pPr>
      <w:pStyle w:val="Header"/>
      <w:rPr>
        <w:lang w:val="en-NZ"/>
      </w:rPr>
    </w:pPr>
    <w:r>
      <w:rPr>
        <w:noProof/>
        <w:lang w:val="en-NZ" w:eastAsia="en-NZ"/>
      </w:rPr>
      <w:pict>
        <v:line id="_x0000_s2049" style="position:absolute;z-index:251650560" from="-35.1pt,1.3pt" to="459.9pt,1.3pt" strokecolor="#00004b"/>
      </w:pict>
    </w:r>
    <w:r>
      <w:rPr>
        <w:noProof/>
        <w:lang w:val="en-NZ" w:eastAsia="en-NZ"/>
      </w:rPr>
      <w:pict>
        <v:rect id="_x0000_s2050" style="position:absolute;margin-left:-54pt;margin-top:.6pt;width:37.7pt;height:756pt;z-index:251649536;visibility:visible;mso-wrap-edited:f;mso-wrap-distance-left:2.88pt;mso-wrap-distance-top:2.88pt;mso-wrap-distance-right:2.88pt;mso-wrap-distance-bottom:2.88pt" fillcolor="#000048" stroked="f" strokeweight="0" insetpen="t" o:cliptowrap="t">
          <v:shadow color="#ccc"/>
          <o:lock v:ext="edit" shapetype="t"/>
          <v:textbox inset="2.88pt,2.88pt,2.88pt,2.88pt"/>
        </v:rect>
      </w:pict>
    </w:r>
    <w:r>
      <w:rPr>
        <w:lang w:val="en-NZ"/>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Default="00A65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Default="00A65D2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Pr="00F96BD1" w:rsidRDefault="00A65D22" w:rsidP="00F96BD1">
    <w:pPr>
      <w:pStyle w:val="Header"/>
      <w:rPr>
        <w:lang w:val="en-NZ"/>
      </w:rPr>
    </w:pPr>
    <w:r>
      <w:rPr>
        <w:noProof/>
        <w:lang w:val="en-NZ" w:eastAsia="en-NZ"/>
      </w:rPr>
      <w:pict>
        <v:line id="_x0000_s2057" style="position:absolute;z-index:251665920" from="-10.65pt,.95pt" to="754.7pt,.95pt" strokecolor="#00004b"/>
      </w:pict>
    </w:r>
    <w:r>
      <w:rPr>
        <w:noProof/>
        <w:lang w:val="en-NZ" w:eastAsia="en-NZ"/>
      </w:rPr>
      <w:pict>
        <v:rect id="_x0000_s2058" style="position:absolute;margin-left:-53.85pt;margin-top:.6pt;width:37.7pt;height:515.9pt;z-index:251663872;visibility:visible;mso-wrap-edited:f;mso-wrap-distance-left:2.88pt;mso-wrap-distance-top:2.88pt;mso-wrap-distance-right:2.88pt;mso-wrap-distance-bottom:2.88pt" fillcolor="#000048" stroked="f" strokeweight="0" insetpen="t" o:cliptowrap="t">
          <v:shadow color="#ccc"/>
          <o:lock v:ext="edit" shapetype="t"/>
          <v:textbox inset="2.88pt,2.88pt,2.88pt,2.88pt"/>
        </v:rect>
      </w:pict>
    </w:r>
    <w:r>
      <w:rPr>
        <w:lang w:val="en-NZ"/>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Default="00A65D2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Pr="00CA631E" w:rsidRDefault="00A65D22" w:rsidP="006F6433">
    <w:pPr>
      <w:pStyle w:val="Header"/>
      <w:jc w:val="center"/>
      <w:rPr>
        <w:sz w:val="2"/>
        <w:szCs w:val="2"/>
        <w:lang w:val="en-NZ"/>
      </w:rPr>
    </w:pPr>
    <w:r>
      <w:rPr>
        <w:noProof/>
        <w:lang w:val="en-NZ" w:eastAsia="en-NZ"/>
      </w:rPr>
      <w:pict>
        <v:rect id="_x0000_s2062" style="position:absolute;left:0;text-align:left;margin-left:-54pt;margin-top:.7pt;width:37.7pt;height:756pt;z-index:251657728;visibility:visible;mso-wrap-edited:f;mso-wrap-distance-left:2.88pt;mso-wrap-distance-top:2.88pt;mso-wrap-distance-right:2.88pt;mso-wrap-distance-bottom:2.88pt" fillcolor="#000048" stroked="f" strokeweight="0" insetpen="t" o:cliptowrap="t">
          <v:shadow color="#ccc"/>
          <o:lock v:ext="edit" shapetype="t"/>
          <v:textbox inset="2.88pt,2.88pt,2.88pt,2.88pt"/>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22" w:rsidRDefault="00A65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197"/>
    <w:multiLevelType w:val="hybridMultilevel"/>
    <w:tmpl w:val="B6348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9F0265"/>
    <w:multiLevelType w:val="hybridMultilevel"/>
    <w:tmpl w:val="382660FA"/>
    <w:lvl w:ilvl="0" w:tplc="BFC456E4">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4C74A0"/>
    <w:multiLevelType w:val="hybridMultilevel"/>
    <w:tmpl w:val="136C808E"/>
    <w:lvl w:ilvl="0" w:tplc="EEA036C2">
      <w:start w:val="1"/>
      <w:numFmt w:val="decimal"/>
      <w:pStyle w:val="Numbers1"/>
      <w:lvlText w:val="%1."/>
      <w:lvlJc w:val="left"/>
      <w:pPr>
        <w:tabs>
          <w:tab w:val="num" w:pos="471"/>
        </w:tabs>
        <w:ind w:left="471" w:hanging="471"/>
      </w:pPr>
      <w:rPr>
        <w:rFonts w:ascii="Arial" w:hAnsi="Arial" w:cs="Aria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DF33C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02804AB"/>
    <w:multiLevelType w:val="hybridMultilevel"/>
    <w:tmpl w:val="09FAF6D0"/>
    <w:lvl w:ilvl="0" w:tplc="D52EF8A8">
      <w:start w:val="1"/>
      <w:numFmt w:val="decimal"/>
      <w:lvlText w:val="%1."/>
      <w:lvlJc w:val="left"/>
      <w:pPr>
        <w:tabs>
          <w:tab w:val="num" w:pos="720"/>
        </w:tabs>
        <w:ind w:left="720" w:hanging="360"/>
      </w:pPr>
      <w:rPr>
        <w:rFonts w:ascii="Calibri" w:hAnsi="Calibri" w:cs="Times New Roman" w:hint="default"/>
        <w:b w:val="0"/>
        <w:color w:val="auto"/>
        <w:sz w:val="22"/>
        <w:szCs w:val="22"/>
      </w:rPr>
    </w:lvl>
    <w:lvl w:ilvl="1" w:tplc="14090001">
      <w:start w:val="1"/>
      <w:numFmt w:val="bullet"/>
      <w:lvlText w:val=""/>
      <w:lvlJc w:val="left"/>
      <w:pPr>
        <w:tabs>
          <w:tab w:val="num" w:pos="1440"/>
        </w:tabs>
        <w:ind w:left="1440" w:hanging="360"/>
      </w:pPr>
      <w:rPr>
        <w:rFonts w:ascii="Symbol" w:hAnsi="Symbol" w:hint="default"/>
      </w:rPr>
    </w:lvl>
    <w:lvl w:ilvl="2" w:tplc="14090005">
      <w:start w:val="1"/>
      <w:numFmt w:val="bullet"/>
      <w:lvlText w:val=""/>
      <w:lvlJc w:val="left"/>
      <w:pPr>
        <w:tabs>
          <w:tab w:val="num" w:pos="2340"/>
        </w:tabs>
        <w:ind w:left="2340" w:hanging="360"/>
      </w:pPr>
      <w:rPr>
        <w:rFonts w:ascii="Wingdings" w:hAnsi="Wingdings" w:hint="default"/>
        <w:b w:val="0"/>
        <w:color w:val="auto"/>
      </w:rPr>
    </w:lvl>
    <w:lvl w:ilvl="3" w:tplc="1409000F" w:tentative="1">
      <w:start w:val="1"/>
      <w:numFmt w:val="decimal"/>
      <w:lvlText w:val="%4."/>
      <w:lvlJc w:val="left"/>
      <w:pPr>
        <w:tabs>
          <w:tab w:val="num" w:pos="2880"/>
        </w:tabs>
        <w:ind w:left="2880" w:hanging="360"/>
      </w:pPr>
      <w:rPr>
        <w:rFonts w:cs="Times New Roman"/>
      </w:rPr>
    </w:lvl>
    <w:lvl w:ilvl="4" w:tplc="14090019" w:tentative="1">
      <w:start w:val="1"/>
      <w:numFmt w:val="lowerLetter"/>
      <w:lvlText w:val="%5."/>
      <w:lvlJc w:val="left"/>
      <w:pPr>
        <w:tabs>
          <w:tab w:val="num" w:pos="3600"/>
        </w:tabs>
        <w:ind w:left="3600" w:hanging="360"/>
      </w:pPr>
      <w:rPr>
        <w:rFonts w:cs="Times New Roman"/>
      </w:rPr>
    </w:lvl>
    <w:lvl w:ilvl="5" w:tplc="1409001B" w:tentative="1">
      <w:start w:val="1"/>
      <w:numFmt w:val="lowerRoman"/>
      <w:lvlText w:val="%6."/>
      <w:lvlJc w:val="right"/>
      <w:pPr>
        <w:tabs>
          <w:tab w:val="num" w:pos="4320"/>
        </w:tabs>
        <w:ind w:left="4320" w:hanging="180"/>
      </w:pPr>
      <w:rPr>
        <w:rFonts w:cs="Times New Roman"/>
      </w:rPr>
    </w:lvl>
    <w:lvl w:ilvl="6" w:tplc="1409000F" w:tentative="1">
      <w:start w:val="1"/>
      <w:numFmt w:val="decimal"/>
      <w:lvlText w:val="%7."/>
      <w:lvlJc w:val="left"/>
      <w:pPr>
        <w:tabs>
          <w:tab w:val="num" w:pos="5040"/>
        </w:tabs>
        <w:ind w:left="5040" w:hanging="360"/>
      </w:pPr>
      <w:rPr>
        <w:rFonts w:cs="Times New Roman"/>
      </w:rPr>
    </w:lvl>
    <w:lvl w:ilvl="7" w:tplc="14090019" w:tentative="1">
      <w:start w:val="1"/>
      <w:numFmt w:val="lowerLetter"/>
      <w:lvlText w:val="%8."/>
      <w:lvlJc w:val="left"/>
      <w:pPr>
        <w:tabs>
          <w:tab w:val="num" w:pos="5760"/>
        </w:tabs>
        <w:ind w:left="5760" w:hanging="360"/>
      </w:pPr>
      <w:rPr>
        <w:rFonts w:cs="Times New Roman"/>
      </w:rPr>
    </w:lvl>
    <w:lvl w:ilvl="8" w:tplc="1409001B" w:tentative="1">
      <w:start w:val="1"/>
      <w:numFmt w:val="lowerRoman"/>
      <w:lvlText w:val="%9."/>
      <w:lvlJc w:val="right"/>
      <w:pPr>
        <w:tabs>
          <w:tab w:val="num" w:pos="6480"/>
        </w:tabs>
        <w:ind w:left="6480" w:hanging="180"/>
      </w:pPr>
      <w:rPr>
        <w:rFonts w:cs="Times New Roman"/>
      </w:rPr>
    </w:lvl>
  </w:abstractNum>
  <w:abstractNum w:abstractNumId="5">
    <w:nsid w:val="111D3F5F"/>
    <w:multiLevelType w:val="multilevel"/>
    <w:tmpl w:val="6B7630E4"/>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6">
    <w:nsid w:val="113B3B22"/>
    <w:multiLevelType w:val="hybridMultilevel"/>
    <w:tmpl w:val="53EE4CA8"/>
    <w:lvl w:ilvl="0" w:tplc="D52EF8A8">
      <w:start w:val="1"/>
      <w:numFmt w:val="decimal"/>
      <w:lvlText w:val="%1."/>
      <w:lvlJc w:val="left"/>
      <w:pPr>
        <w:tabs>
          <w:tab w:val="num" w:pos="720"/>
        </w:tabs>
        <w:ind w:left="720" w:hanging="360"/>
      </w:pPr>
      <w:rPr>
        <w:rFonts w:ascii="Calibri" w:hAnsi="Calibri" w:cs="Times New Roman" w:hint="default"/>
        <w:b w:val="0"/>
        <w:color w:val="auto"/>
        <w:sz w:val="22"/>
        <w:szCs w:val="22"/>
      </w:rPr>
    </w:lvl>
    <w:lvl w:ilvl="1" w:tplc="14090001">
      <w:start w:val="1"/>
      <w:numFmt w:val="bullet"/>
      <w:lvlText w:val=""/>
      <w:lvlJc w:val="left"/>
      <w:pPr>
        <w:tabs>
          <w:tab w:val="num" w:pos="1440"/>
        </w:tabs>
        <w:ind w:left="1440" w:hanging="360"/>
      </w:pPr>
      <w:rPr>
        <w:rFonts w:ascii="Symbol" w:hAnsi="Symbol" w:hint="default"/>
      </w:rPr>
    </w:lvl>
    <w:lvl w:ilvl="2" w:tplc="14090005">
      <w:start w:val="1"/>
      <w:numFmt w:val="bullet"/>
      <w:lvlText w:val=""/>
      <w:lvlJc w:val="left"/>
      <w:pPr>
        <w:tabs>
          <w:tab w:val="num" w:pos="2340"/>
        </w:tabs>
        <w:ind w:left="2340" w:hanging="360"/>
      </w:pPr>
      <w:rPr>
        <w:rFonts w:ascii="Wingdings" w:hAnsi="Wingdings" w:hint="default"/>
        <w:b w:val="0"/>
        <w:color w:val="auto"/>
      </w:rPr>
    </w:lvl>
    <w:lvl w:ilvl="3" w:tplc="1409000F" w:tentative="1">
      <w:start w:val="1"/>
      <w:numFmt w:val="decimal"/>
      <w:lvlText w:val="%4."/>
      <w:lvlJc w:val="left"/>
      <w:pPr>
        <w:tabs>
          <w:tab w:val="num" w:pos="2880"/>
        </w:tabs>
        <w:ind w:left="2880" w:hanging="360"/>
      </w:pPr>
      <w:rPr>
        <w:rFonts w:cs="Times New Roman"/>
      </w:rPr>
    </w:lvl>
    <w:lvl w:ilvl="4" w:tplc="14090019" w:tentative="1">
      <w:start w:val="1"/>
      <w:numFmt w:val="lowerLetter"/>
      <w:lvlText w:val="%5."/>
      <w:lvlJc w:val="left"/>
      <w:pPr>
        <w:tabs>
          <w:tab w:val="num" w:pos="3600"/>
        </w:tabs>
        <w:ind w:left="3600" w:hanging="360"/>
      </w:pPr>
      <w:rPr>
        <w:rFonts w:cs="Times New Roman"/>
      </w:rPr>
    </w:lvl>
    <w:lvl w:ilvl="5" w:tplc="1409001B" w:tentative="1">
      <w:start w:val="1"/>
      <w:numFmt w:val="lowerRoman"/>
      <w:lvlText w:val="%6."/>
      <w:lvlJc w:val="right"/>
      <w:pPr>
        <w:tabs>
          <w:tab w:val="num" w:pos="4320"/>
        </w:tabs>
        <w:ind w:left="4320" w:hanging="180"/>
      </w:pPr>
      <w:rPr>
        <w:rFonts w:cs="Times New Roman"/>
      </w:rPr>
    </w:lvl>
    <w:lvl w:ilvl="6" w:tplc="1409000F" w:tentative="1">
      <w:start w:val="1"/>
      <w:numFmt w:val="decimal"/>
      <w:lvlText w:val="%7."/>
      <w:lvlJc w:val="left"/>
      <w:pPr>
        <w:tabs>
          <w:tab w:val="num" w:pos="5040"/>
        </w:tabs>
        <w:ind w:left="5040" w:hanging="360"/>
      </w:pPr>
      <w:rPr>
        <w:rFonts w:cs="Times New Roman"/>
      </w:rPr>
    </w:lvl>
    <w:lvl w:ilvl="7" w:tplc="14090019" w:tentative="1">
      <w:start w:val="1"/>
      <w:numFmt w:val="lowerLetter"/>
      <w:lvlText w:val="%8."/>
      <w:lvlJc w:val="left"/>
      <w:pPr>
        <w:tabs>
          <w:tab w:val="num" w:pos="5760"/>
        </w:tabs>
        <w:ind w:left="5760" w:hanging="360"/>
      </w:pPr>
      <w:rPr>
        <w:rFonts w:cs="Times New Roman"/>
      </w:rPr>
    </w:lvl>
    <w:lvl w:ilvl="8" w:tplc="1409001B" w:tentative="1">
      <w:start w:val="1"/>
      <w:numFmt w:val="lowerRoman"/>
      <w:lvlText w:val="%9."/>
      <w:lvlJc w:val="right"/>
      <w:pPr>
        <w:tabs>
          <w:tab w:val="num" w:pos="6480"/>
        </w:tabs>
        <w:ind w:left="6480" w:hanging="180"/>
      </w:pPr>
      <w:rPr>
        <w:rFonts w:cs="Times New Roman"/>
      </w:rPr>
    </w:lvl>
  </w:abstractNum>
  <w:abstractNum w:abstractNumId="7">
    <w:nsid w:val="11FE7253"/>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8">
    <w:nsid w:val="13B54D64"/>
    <w:multiLevelType w:val="hybridMultilevel"/>
    <w:tmpl w:val="7F00B614"/>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nsid w:val="13CD6567"/>
    <w:multiLevelType w:val="multilevel"/>
    <w:tmpl w:val="382660FA"/>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66F4D93"/>
    <w:multiLevelType w:val="hybridMultilevel"/>
    <w:tmpl w:val="8D6ABB70"/>
    <w:lvl w:ilvl="0" w:tplc="14090001">
      <w:start w:val="1"/>
      <w:numFmt w:val="bullet"/>
      <w:lvlText w:val=""/>
      <w:lvlJc w:val="left"/>
      <w:pPr>
        <w:tabs>
          <w:tab w:val="num" w:pos="720"/>
        </w:tabs>
        <w:ind w:left="720" w:hanging="360"/>
      </w:pPr>
      <w:rPr>
        <w:rFonts w:ascii="Symbol" w:hAnsi="Symbol" w:hint="default"/>
        <w:b w:val="0"/>
        <w:color w:val="auto"/>
        <w:sz w:val="22"/>
      </w:rPr>
    </w:lvl>
    <w:lvl w:ilvl="1" w:tplc="14090001">
      <w:start w:val="1"/>
      <w:numFmt w:val="bullet"/>
      <w:lvlText w:val=""/>
      <w:lvlJc w:val="left"/>
      <w:pPr>
        <w:tabs>
          <w:tab w:val="num" w:pos="1440"/>
        </w:tabs>
        <w:ind w:left="1440" w:hanging="360"/>
      </w:pPr>
      <w:rPr>
        <w:rFonts w:ascii="Symbol" w:hAnsi="Symbol" w:hint="default"/>
      </w:rPr>
    </w:lvl>
    <w:lvl w:ilvl="2" w:tplc="14090005">
      <w:start w:val="1"/>
      <w:numFmt w:val="bullet"/>
      <w:lvlText w:val=""/>
      <w:lvlJc w:val="left"/>
      <w:pPr>
        <w:tabs>
          <w:tab w:val="num" w:pos="2340"/>
        </w:tabs>
        <w:ind w:left="2340" w:hanging="360"/>
      </w:pPr>
      <w:rPr>
        <w:rFonts w:ascii="Wingdings" w:hAnsi="Wingdings" w:hint="default"/>
        <w:b w:val="0"/>
        <w:color w:val="auto"/>
      </w:rPr>
    </w:lvl>
    <w:lvl w:ilvl="3" w:tplc="1409000F" w:tentative="1">
      <w:start w:val="1"/>
      <w:numFmt w:val="decimal"/>
      <w:lvlText w:val="%4."/>
      <w:lvlJc w:val="left"/>
      <w:pPr>
        <w:tabs>
          <w:tab w:val="num" w:pos="2880"/>
        </w:tabs>
        <w:ind w:left="2880" w:hanging="360"/>
      </w:pPr>
      <w:rPr>
        <w:rFonts w:cs="Times New Roman"/>
      </w:rPr>
    </w:lvl>
    <w:lvl w:ilvl="4" w:tplc="14090019" w:tentative="1">
      <w:start w:val="1"/>
      <w:numFmt w:val="lowerLetter"/>
      <w:lvlText w:val="%5."/>
      <w:lvlJc w:val="left"/>
      <w:pPr>
        <w:tabs>
          <w:tab w:val="num" w:pos="3600"/>
        </w:tabs>
        <w:ind w:left="3600" w:hanging="360"/>
      </w:pPr>
      <w:rPr>
        <w:rFonts w:cs="Times New Roman"/>
      </w:rPr>
    </w:lvl>
    <w:lvl w:ilvl="5" w:tplc="1409001B" w:tentative="1">
      <w:start w:val="1"/>
      <w:numFmt w:val="lowerRoman"/>
      <w:lvlText w:val="%6."/>
      <w:lvlJc w:val="right"/>
      <w:pPr>
        <w:tabs>
          <w:tab w:val="num" w:pos="4320"/>
        </w:tabs>
        <w:ind w:left="4320" w:hanging="180"/>
      </w:pPr>
      <w:rPr>
        <w:rFonts w:cs="Times New Roman"/>
      </w:rPr>
    </w:lvl>
    <w:lvl w:ilvl="6" w:tplc="1409000F" w:tentative="1">
      <w:start w:val="1"/>
      <w:numFmt w:val="decimal"/>
      <w:lvlText w:val="%7."/>
      <w:lvlJc w:val="left"/>
      <w:pPr>
        <w:tabs>
          <w:tab w:val="num" w:pos="5040"/>
        </w:tabs>
        <w:ind w:left="5040" w:hanging="360"/>
      </w:pPr>
      <w:rPr>
        <w:rFonts w:cs="Times New Roman"/>
      </w:rPr>
    </w:lvl>
    <w:lvl w:ilvl="7" w:tplc="14090019" w:tentative="1">
      <w:start w:val="1"/>
      <w:numFmt w:val="lowerLetter"/>
      <w:lvlText w:val="%8."/>
      <w:lvlJc w:val="left"/>
      <w:pPr>
        <w:tabs>
          <w:tab w:val="num" w:pos="5760"/>
        </w:tabs>
        <w:ind w:left="5760" w:hanging="360"/>
      </w:pPr>
      <w:rPr>
        <w:rFonts w:cs="Times New Roman"/>
      </w:rPr>
    </w:lvl>
    <w:lvl w:ilvl="8" w:tplc="1409001B" w:tentative="1">
      <w:start w:val="1"/>
      <w:numFmt w:val="lowerRoman"/>
      <w:lvlText w:val="%9."/>
      <w:lvlJc w:val="right"/>
      <w:pPr>
        <w:tabs>
          <w:tab w:val="num" w:pos="6480"/>
        </w:tabs>
        <w:ind w:left="6480" w:hanging="180"/>
      </w:pPr>
      <w:rPr>
        <w:rFonts w:cs="Times New Roman"/>
      </w:rPr>
    </w:lvl>
  </w:abstractNum>
  <w:abstractNum w:abstractNumId="11">
    <w:nsid w:val="22000849"/>
    <w:multiLevelType w:val="hybridMultilevel"/>
    <w:tmpl w:val="21A06678"/>
    <w:lvl w:ilvl="0" w:tplc="00844A2E">
      <w:start w:val="1"/>
      <w:numFmt w:val="lowerRoman"/>
      <w:lvlText w:val="%1."/>
      <w:lvlJc w:val="right"/>
      <w:pPr>
        <w:tabs>
          <w:tab w:val="num" w:pos="180"/>
        </w:tabs>
        <w:ind w:left="180" w:hanging="18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25C65E31"/>
    <w:multiLevelType w:val="multilevel"/>
    <w:tmpl w:val="014C3BDC"/>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604191A"/>
    <w:multiLevelType w:val="multilevel"/>
    <w:tmpl w:val="90E89FDE"/>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4">
    <w:nsid w:val="29740CC2"/>
    <w:multiLevelType w:val="multilevel"/>
    <w:tmpl w:val="EDAEED5C"/>
    <w:lvl w:ilvl="0">
      <w:start w:val="1"/>
      <w:numFmt w:val="bullet"/>
      <w:pStyle w:val="Bullet2"/>
      <w:lvlText w:val=""/>
      <w:lvlJc w:val="left"/>
      <w:pPr>
        <w:tabs>
          <w:tab w:val="num" w:pos="1083"/>
        </w:tabs>
        <w:ind w:left="1083" w:hanging="363"/>
      </w:pPr>
      <w:rPr>
        <w:rFonts w:ascii="Symbol" w:hAnsi="Symbol" w:hint="default"/>
        <w:sz w:val="10"/>
      </w:rPr>
    </w:lvl>
    <w:lvl w:ilvl="1">
      <w:start w:val="1"/>
      <w:numFmt w:val="bullet"/>
      <w:lvlText w:val=""/>
      <w:lvlJc w:val="left"/>
      <w:pPr>
        <w:tabs>
          <w:tab w:val="num" w:pos="1990"/>
        </w:tabs>
        <w:ind w:left="1990" w:hanging="360"/>
      </w:pPr>
      <w:rPr>
        <w:rFonts w:ascii="Wingdings" w:hAnsi="Wingdings" w:hint="default"/>
      </w:rPr>
    </w:lvl>
    <w:lvl w:ilvl="2">
      <w:start w:val="1"/>
      <w:numFmt w:val="bullet"/>
      <w:lvlText w:val=""/>
      <w:lvlJc w:val="left"/>
      <w:pPr>
        <w:tabs>
          <w:tab w:val="num" w:pos="2350"/>
        </w:tabs>
        <w:ind w:left="235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
      <w:lvlJc w:val="left"/>
      <w:pPr>
        <w:tabs>
          <w:tab w:val="num" w:pos="3070"/>
        </w:tabs>
        <w:ind w:left="3070" w:hanging="360"/>
      </w:pPr>
      <w:rPr>
        <w:rFonts w:ascii="Symbol" w:hAnsi="Symbol" w:hint="default"/>
      </w:rPr>
    </w:lvl>
    <w:lvl w:ilvl="5">
      <w:start w:val="1"/>
      <w:numFmt w:val="bullet"/>
      <w:lvlText w:val=""/>
      <w:lvlJc w:val="left"/>
      <w:pPr>
        <w:tabs>
          <w:tab w:val="num" w:pos="3430"/>
        </w:tabs>
        <w:ind w:left="3430" w:hanging="360"/>
      </w:pPr>
      <w:rPr>
        <w:rFonts w:ascii="Wingdings" w:hAnsi="Wingdings" w:hint="default"/>
      </w:rPr>
    </w:lvl>
    <w:lvl w:ilvl="6">
      <w:start w:val="1"/>
      <w:numFmt w:val="bullet"/>
      <w:lvlText w:val=""/>
      <w:lvlJc w:val="left"/>
      <w:pPr>
        <w:tabs>
          <w:tab w:val="num" w:pos="3790"/>
        </w:tabs>
        <w:ind w:left="3790" w:hanging="360"/>
      </w:pPr>
      <w:rPr>
        <w:rFonts w:ascii="Wingdings" w:hAnsi="Wingdings" w:hint="default"/>
      </w:rPr>
    </w:lvl>
    <w:lvl w:ilvl="7">
      <w:start w:val="1"/>
      <w:numFmt w:val="bullet"/>
      <w:lvlText w:val=""/>
      <w:lvlJc w:val="left"/>
      <w:pPr>
        <w:tabs>
          <w:tab w:val="num" w:pos="4150"/>
        </w:tabs>
        <w:ind w:left="4150" w:hanging="360"/>
      </w:pPr>
      <w:rPr>
        <w:rFonts w:ascii="Symbol" w:hAnsi="Symbol" w:hint="default"/>
      </w:rPr>
    </w:lvl>
    <w:lvl w:ilvl="8">
      <w:start w:val="1"/>
      <w:numFmt w:val="bullet"/>
      <w:lvlText w:val=""/>
      <w:lvlJc w:val="left"/>
      <w:pPr>
        <w:tabs>
          <w:tab w:val="num" w:pos="4510"/>
        </w:tabs>
        <w:ind w:left="4510" w:hanging="360"/>
      </w:pPr>
      <w:rPr>
        <w:rFonts w:ascii="Symbol" w:hAnsi="Symbol" w:hint="default"/>
      </w:rPr>
    </w:lvl>
  </w:abstractNum>
  <w:abstractNum w:abstractNumId="15">
    <w:nsid w:val="38B374F8"/>
    <w:multiLevelType w:val="multilevel"/>
    <w:tmpl w:val="21A06678"/>
    <w:lvl w:ilvl="0">
      <w:start w:val="1"/>
      <w:numFmt w:val="lowerRoman"/>
      <w:lvlText w:val="%1."/>
      <w:lvlJc w:val="right"/>
      <w:pPr>
        <w:tabs>
          <w:tab w:val="num" w:pos="180"/>
        </w:tabs>
        <w:ind w:left="180" w:hanging="18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393976DB"/>
    <w:multiLevelType w:val="hybridMultilevel"/>
    <w:tmpl w:val="DED2E346"/>
    <w:lvl w:ilvl="0" w:tplc="961C15CE">
      <w:start w:val="1"/>
      <w:numFmt w:val="lowerLetter"/>
      <w:lvlText w:val="%1)"/>
      <w:lvlJc w:val="left"/>
      <w:pPr>
        <w:tabs>
          <w:tab w:val="num" w:pos="1378"/>
        </w:tabs>
        <w:ind w:left="1378" w:hanging="47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3AF465DA"/>
    <w:multiLevelType w:val="hybridMultilevel"/>
    <w:tmpl w:val="EA3EE698"/>
    <w:lvl w:ilvl="0" w:tplc="12A81228">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C095B90"/>
    <w:multiLevelType w:val="multilevel"/>
    <w:tmpl w:val="492441C8"/>
    <w:lvl w:ilvl="0">
      <w:start w:val="1"/>
      <w:numFmt w:val="lowerLetter"/>
      <w:lvlText w:val="%1)"/>
      <w:lvlJc w:val="left"/>
      <w:pPr>
        <w:tabs>
          <w:tab w:val="num" w:pos="510"/>
        </w:tabs>
        <w:ind w:left="510" w:hanging="453"/>
      </w:pPr>
      <w:rPr>
        <w:rFonts w:ascii="Arial" w:hAnsi="Arial"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DA817B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E1C6D00"/>
    <w:multiLevelType w:val="hybridMultilevel"/>
    <w:tmpl w:val="96782712"/>
    <w:lvl w:ilvl="0" w:tplc="BEB84A30">
      <w:start w:val="1"/>
      <w:numFmt w:val="lowerRoman"/>
      <w:pStyle w:val="Numbers3"/>
      <w:lvlText w:val="%1."/>
      <w:lvlJc w:val="right"/>
      <w:pPr>
        <w:tabs>
          <w:tab w:val="num" w:pos="1021"/>
        </w:tabs>
        <w:ind w:left="420" w:firstLine="48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F667E08"/>
    <w:multiLevelType w:val="multilevel"/>
    <w:tmpl w:val="84E49928"/>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2">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8F2393C"/>
    <w:multiLevelType w:val="multilevel"/>
    <w:tmpl w:val="B6FEA616"/>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8C4C94"/>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5">
    <w:nsid w:val="555A23DC"/>
    <w:multiLevelType w:val="multilevel"/>
    <w:tmpl w:val="7F8200BA"/>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6">
    <w:nsid w:val="58945DE4"/>
    <w:multiLevelType w:val="multilevel"/>
    <w:tmpl w:val="42D67B70"/>
    <w:lvl w:ilvl="0">
      <w:start w:val="1"/>
      <w:numFmt w:val="lowerRoman"/>
      <w:lvlText w:val="%1."/>
      <w:lvlJc w:val="right"/>
      <w:pPr>
        <w:tabs>
          <w:tab w:val="num" w:pos="540"/>
        </w:tabs>
        <w:ind w:left="540" w:hanging="3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F811DB8"/>
    <w:multiLevelType w:val="hybridMultilevel"/>
    <w:tmpl w:val="B150BAA2"/>
    <w:lvl w:ilvl="0" w:tplc="2D46292E">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63DC48F7"/>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CC81570"/>
    <w:multiLevelType w:val="multilevel"/>
    <w:tmpl w:val="D5A221F6"/>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30">
    <w:nsid w:val="6CD15EA7"/>
    <w:multiLevelType w:val="hybridMultilevel"/>
    <w:tmpl w:val="E7F075EC"/>
    <w:lvl w:ilvl="0" w:tplc="14090001">
      <w:start w:val="1"/>
      <w:numFmt w:val="bullet"/>
      <w:lvlText w:val=""/>
      <w:lvlJc w:val="left"/>
      <w:pPr>
        <w:tabs>
          <w:tab w:val="num" w:pos="720"/>
        </w:tabs>
        <w:ind w:left="720" w:hanging="360"/>
      </w:pPr>
      <w:rPr>
        <w:rFonts w:ascii="Symbol" w:hAnsi="Symbol" w:hint="default"/>
        <w:b w:val="0"/>
        <w:color w:val="auto"/>
        <w:sz w:val="22"/>
      </w:rPr>
    </w:lvl>
    <w:lvl w:ilvl="1" w:tplc="14090001">
      <w:start w:val="1"/>
      <w:numFmt w:val="bullet"/>
      <w:lvlText w:val=""/>
      <w:lvlJc w:val="left"/>
      <w:pPr>
        <w:tabs>
          <w:tab w:val="num" w:pos="1440"/>
        </w:tabs>
        <w:ind w:left="1440" w:hanging="360"/>
      </w:pPr>
      <w:rPr>
        <w:rFonts w:ascii="Symbol" w:hAnsi="Symbol" w:hint="default"/>
      </w:rPr>
    </w:lvl>
    <w:lvl w:ilvl="2" w:tplc="14090005">
      <w:start w:val="1"/>
      <w:numFmt w:val="bullet"/>
      <w:lvlText w:val=""/>
      <w:lvlJc w:val="left"/>
      <w:pPr>
        <w:tabs>
          <w:tab w:val="num" w:pos="2340"/>
        </w:tabs>
        <w:ind w:left="2340" w:hanging="360"/>
      </w:pPr>
      <w:rPr>
        <w:rFonts w:ascii="Wingdings" w:hAnsi="Wingdings" w:hint="default"/>
        <w:b w:val="0"/>
        <w:color w:val="auto"/>
      </w:rPr>
    </w:lvl>
    <w:lvl w:ilvl="3" w:tplc="1409000F" w:tentative="1">
      <w:start w:val="1"/>
      <w:numFmt w:val="decimal"/>
      <w:lvlText w:val="%4."/>
      <w:lvlJc w:val="left"/>
      <w:pPr>
        <w:tabs>
          <w:tab w:val="num" w:pos="2880"/>
        </w:tabs>
        <w:ind w:left="2880" w:hanging="360"/>
      </w:pPr>
      <w:rPr>
        <w:rFonts w:cs="Times New Roman"/>
      </w:rPr>
    </w:lvl>
    <w:lvl w:ilvl="4" w:tplc="14090019" w:tentative="1">
      <w:start w:val="1"/>
      <w:numFmt w:val="lowerLetter"/>
      <w:lvlText w:val="%5."/>
      <w:lvlJc w:val="left"/>
      <w:pPr>
        <w:tabs>
          <w:tab w:val="num" w:pos="3600"/>
        </w:tabs>
        <w:ind w:left="3600" w:hanging="360"/>
      </w:pPr>
      <w:rPr>
        <w:rFonts w:cs="Times New Roman"/>
      </w:rPr>
    </w:lvl>
    <w:lvl w:ilvl="5" w:tplc="1409001B" w:tentative="1">
      <w:start w:val="1"/>
      <w:numFmt w:val="lowerRoman"/>
      <w:lvlText w:val="%6."/>
      <w:lvlJc w:val="right"/>
      <w:pPr>
        <w:tabs>
          <w:tab w:val="num" w:pos="4320"/>
        </w:tabs>
        <w:ind w:left="4320" w:hanging="180"/>
      </w:pPr>
      <w:rPr>
        <w:rFonts w:cs="Times New Roman"/>
      </w:rPr>
    </w:lvl>
    <w:lvl w:ilvl="6" w:tplc="1409000F" w:tentative="1">
      <w:start w:val="1"/>
      <w:numFmt w:val="decimal"/>
      <w:lvlText w:val="%7."/>
      <w:lvlJc w:val="left"/>
      <w:pPr>
        <w:tabs>
          <w:tab w:val="num" w:pos="5040"/>
        </w:tabs>
        <w:ind w:left="5040" w:hanging="360"/>
      </w:pPr>
      <w:rPr>
        <w:rFonts w:cs="Times New Roman"/>
      </w:rPr>
    </w:lvl>
    <w:lvl w:ilvl="7" w:tplc="14090019" w:tentative="1">
      <w:start w:val="1"/>
      <w:numFmt w:val="lowerLetter"/>
      <w:lvlText w:val="%8."/>
      <w:lvlJc w:val="left"/>
      <w:pPr>
        <w:tabs>
          <w:tab w:val="num" w:pos="5760"/>
        </w:tabs>
        <w:ind w:left="5760" w:hanging="360"/>
      </w:pPr>
      <w:rPr>
        <w:rFonts w:cs="Times New Roman"/>
      </w:rPr>
    </w:lvl>
    <w:lvl w:ilvl="8" w:tplc="1409001B" w:tentative="1">
      <w:start w:val="1"/>
      <w:numFmt w:val="lowerRoman"/>
      <w:lvlText w:val="%9."/>
      <w:lvlJc w:val="right"/>
      <w:pPr>
        <w:tabs>
          <w:tab w:val="num" w:pos="6480"/>
        </w:tabs>
        <w:ind w:left="6480" w:hanging="180"/>
      </w:pPr>
      <w:rPr>
        <w:rFonts w:cs="Times New Roman"/>
      </w:rPr>
    </w:lvl>
  </w:abstractNum>
  <w:abstractNum w:abstractNumId="31">
    <w:nsid w:val="7660023B"/>
    <w:multiLevelType w:val="multilevel"/>
    <w:tmpl w:val="01DE1DE6"/>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A57381B"/>
    <w:multiLevelType w:val="hybridMultilevel"/>
    <w:tmpl w:val="56A2F6C2"/>
    <w:lvl w:ilvl="0" w:tplc="DCEA9F8A">
      <w:start w:val="1"/>
      <w:numFmt w:val="lowerLetter"/>
      <w:lvlText w:val="%1)"/>
      <w:lvlJc w:val="left"/>
      <w:pPr>
        <w:tabs>
          <w:tab w:val="num" w:pos="244"/>
        </w:tabs>
        <w:ind w:left="360" w:hanging="360"/>
      </w:pPr>
      <w:rPr>
        <w:rFonts w:cs="Times New Roman" w:hint="default"/>
      </w:rPr>
    </w:lvl>
    <w:lvl w:ilvl="1" w:tplc="0809000F">
      <w:start w:val="1"/>
      <w:numFmt w:val="decimal"/>
      <w:lvlText w:val="%2."/>
      <w:lvlJc w:val="left"/>
      <w:pPr>
        <w:tabs>
          <w:tab w:val="num" w:pos="533"/>
        </w:tabs>
        <w:ind w:left="533" w:hanging="360"/>
      </w:pPr>
      <w:rPr>
        <w:rFonts w:cs="Times New Roman" w:hint="default"/>
      </w:rPr>
    </w:lvl>
    <w:lvl w:ilvl="2" w:tplc="08090005" w:tentative="1">
      <w:start w:val="1"/>
      <w:numFmt w:val="bullet"/>
      <w:lvlText w:val=""/>
      <w:lvlJc w:val="left"/>
      <w:pPr>
        <w:tabs>
          <w:tab w:val="num" w:pos="1253"/>
        </w:tabs>
        <w:ind w:left="1253" w:hanging="360"/>
      </w:pPr>
      <w:rPr>
        <w:rFonts w:ascii="Wingdings" w:hAnsi="Wingdings" w:hint="default"/>
      </w:rPr>
    </w:lvl>
    <w:lvl w:ilvl="3" w:tplc="08090001" w:tentative="1">
      <w:start w:val="1"/>
      <w:numFmt w:val="bullet"/>
      <w:lvlText w:val=""/>
      <w:lvlJc w:val="left"/>
      <w:pPr>
        <w:tabs>
          <w:tab w:val="num" w:pos="1973"/>
        </w:tabs>
        <w:ind w:left="1973" w:hanging="360"/>
      </w:pPr>
      <w:rPr>
        <w:rFonts w:ascii="Symbol" w:hAnsi="Symbol" w:hint="default"/>
      </w:rPr>
    </w:lvl>
    <w:lvl w:ilvl="4" w:tplc="08090003" w:tentative="1">
      <w:start w:val="1"/>
      <w:numFmt w:val="bullet"/>
      <w:lvlText w:val="o"/>
      <w:lvlJc w:val="left"/>
      <w:pPr>
        <w:tabs>
          <w:tab w:val="num" w:pos="2693"/>
        </w:tabs>
        <w:ind w:left="2693" w:hanging="360"/>
      </w:pPr>
      <w:rPr>
        <w:rFonts w:ascii="Courier New" w:hAnsi="Courier New" w:hint="default"/>
      </w:rPr>
    </w:lvl>
    <w:lvl w:ilvl="5" w:tplc="08090005" w:tentative="1">
      <w:start w:val="1"/>
      <w:numFmt w:val="bullet"/>
      <w:lvlText w:val=""/>
      <w:lvlJc w:val="left"/>
      <w:pPr>
        <w:tabs>
          <w:tab w:val="num" w:pos="3413"/>
        </w:tabs>
        <w:ind w:left="3413" w:hanging="360"/>
      </w:pPr>
      <w:rPr>
        <w:rFonts w:ascii="Wingdings" w:hAnsi="Wingdings" w:hint="default"/>
      </w:rPr>
    </w:lvl>
    <w:lvl w:ilvl="6" w:tplc="08090001" w:tentative="1">
      <w:start w:val="1"/>
      <w:numFmt w:val="bullet"/>
      <w:lvlText w:val=""/>
      <w:lvlJc w:val="left"/>
      <w:pPr>
        <w:tabs>
          <w:tab w:val="num" w:pos="4133"/>
        </w:tabs>
        <w:ind w:left="4133" w:hanging="360"/>
      </w:pPr>
      <w:rPr>
        <w:rFonts w:ascii="Symbol" w:hAnsi="Symbol" w:hint="default"/>
      </w:rPr>
    </w:lvl>
    <w:lvl w:ilvl="7" w:tplc="08090003" w:tentative="1">
      <w:start w:val="1"/>
      <w:numFmt w:val="bullet"/>
      <w:lvlText w:val="o"/>
      <w:lvlJc w:val="left"/>
      <w:pPr>
        <w:tabs>
          <w:tab w:val="num" w:pos="4853"/>
        </w:tabs>
        <w:ind w:left="4853" w:hanging="360"/>
      </w:pPr>
      <w:rPr>
        <w:rFonts w:ascii="Courier New" w:hAnsi="Courier New" w:hint="default"/>
      </w:rPr>
    </w:lvl>
    <w:lvl w:ilvl="8" w:tplc="08090005" w:tentative="1">
      <w:start w:val="1"/>
      <w:numFmt w:val="bullet"/>
      <w:lvlText w:val=""/>
      <w:lvlJc w:val="left"/>
      <w:pPr>
        <w:tabs>
          <w:tab w:val="num" w:pos="5573"/>
        </w:tabs>
        <w:ind w:left="5573" w:hanging="360"/>
      </w:pPr>
      <w:rPr>
        <w:rFonts w:ascii="Wingdings" w:hAnsi="Wingdings" w:hint="default"/>
      </w:rPr>
    </w:lvl>
  </w:abstractNum>
  <w:num w:numId="1">
    <w:abstractNumId w:val="17"/>
  </w:num>
  <w:num w:numId="2">
    <w:abstractNumId w:val="14"/>
  </w:num>
  <w:num w:numId="3">
    <w:abstractNumId w:val="32"/>
  </w:num>
  <w:num w:numId="4">
    <w:abstractNumId w:val="2"/>
  </w:num>
  <w:num w:numId="5">
    <w:abstractNumId w:val="20"/>
  </w:num>
  <w:num w:numId="6">
    <w:abstractNumId w:val="1"/>
  </w:num>
  <w:num w:numId="7">
    <w:abstractNumId w:val="16"/>
  </w:num>
  <w:num w:numId="8">
    <w:abstractNumId w:val="11"/>
  </w:num>
  <w:num w:numId="9">
    <w:abstractNumId w:val="9"/>
  </w:num>
  <w:num w:numId="10">
    <w:abstractNumId w:val="27"/>
  </w:num>
  <w:num w:numId="11">
    <w:abstractNumId w:val="19"/>
  </w:num>
  <w:num w:numId="12">
    <w:abstractNumId w:val="15"/>
  </w:num>
  <w:num w:numId="13">
    <w:abstractNumId w:val="31"/>
  </w:num>
  <w:num w:numId="14">
    <w:abstractNumId w:val="22"/>
  </w:num>
  <w:num w:numId="15">
    <w:abstractNumId w:val="3"/>
  </w:num>
  <w:num w:numId="16">
    <w:abstractNumId w:val="5"/>
  </w:num>
  <w:num w:numId="17">
    <w:abstractNumId w:val="21"/>
  </w:num>
  <w:num w:numId="18">
    <w:abstractNumId w:val="29"/>
  </w:num>
  <w:num w:numId="19">
    <w:abstractNumId w:val="7"/>
  </w:num>
  <w:num w:numId="20">
    <w:abstractNumId w:val="23"/>
  </w:num>
  <w:num w:numId="21">
    <w:abstractNumId w:val="18"/>
  </w:num>
  <w:num w:numId="22">
    <w:abstractNumId w:val="26"/>
  </w:num>
  <w:num w:numId="23">
    <w:abstractNumId w:val="12"/>
  </w:num>
  <w:num w:numId="24">
    <w:abstractNumId w:val="24"/>
  </w:num>
  <w:num w:numId="25">
    <w:abstractNumId w:val="13"/>
  </w:num>
  <w:num w:numId="26">
    <w:abstractNumId w:val="25"/>
  </w:num>
  <w:num w:numId="27">
    <w:abstractNumId w:val="28"/>
  </w:num>
  <w:num w:numId="28">
    <w:abstractNumId w:val="6"/>
  </w:num>
  <w:num w:numId="29">
    <w:abstractNumId w:val="30"/>
  </w:num>
  <w:num w:numId="30">
    <w:abstractNumId w:val="10"/>
  </w:num>
  <w:num w:numId="31">
    <w:abstractNumId w:val="8"/>
  </w:num>
  <w:num w:numId="32">
    <w:abstractNumId w:val="0"/>
  </w:num>
  <w:num w:numId="33">
    <w:abstractNumId w:val="4"/>
  </w:num>
  <w:num w:numId="34">
    <w:abstractNumId w:val="17"/>
  </w:num>
  <w:num w:numId="35">
    <w:abstractNumId w:val="2"/>
  </w:num>
  <w:num w:numId="36">
    <w:abstractNumId w:val="17"/>
  </w:num>
  <w:num w:numId="37">
    <w:abstractNumId w:val="2"/>
  </w:num>
  <w:num w:numId="38">
    <w:abstractNumId w:val="2"/>
  </w:num>
  <w:num w:numId="39">
    <w:abstractNumId w:val="17"/>
  </w:num>
  <w:num w:numId="40">
    <w:abstractNumId w:val="2"/>
  </w:num>
  <w:num w:numId="41">
    <w:abstractNumId w:val="17"/>
  </w:num>
  <w:num w:numId="42">
    <w:abstractNumId w:val="17"/>
  </w:num>
  <w:num w:numId="43">
    <w:abstractNumId w:val="2"/>
    <w:lvlOverride w:ilvl="0">
      <w:startOverride w:val="1"/>
    </w:lvlOverride>
  </w:num>
  <w:num w:numId="44">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679"/>
    <w:rsid w:val="0003611F"/>
    <w:rsid w:val="000366FA"/>
    <w:rsid w:val="00057AA5"/>
    <w:rsid w:val="00073CE3"/>
    <w:rsid w:val="0008291C"/>
    <w:rsid w:val="000935B5"/>
    <w:rsid w:val="000A3679"/>
    <w:rsid w:val="000A4A43"/>
    <w:rsid w:val="000B1DF3"/>
    <w:rsid w:val="000B5409"/>
    <w:rsid w:val="000F1E2A"/>
    <w:rsid w:val="000F5E62"/>
    <w:rsid w:val="001005F8"/>
    <w:rsid w:val="00104BA4"/>
    <w:rsid w:val="001402E4"/>
    <w:rsid w:val="00166E25"/>
    <w:rsid w:val="00183FFB"/>
    <w:rsid w:val="001B09FF"/>
    <w:rsid w:val="001B4442"/>
    <w:rsid w:val="001B75EC"/>
    <w:rsid w:val="001C3173"/>
    <w:rsid w:val="0022258F"/>
    <w:rsid w:val="00235082"/>
    <w:rsid w:val="00235D3E"/>
    <w:rsid w:val="00254F30"/>
    <w:rsid w:val="0027631B"/>
    <w:rsid w:val="00276973"/>
    <w:rsid w:val="00277779"/>
    <w:rsid w:val="00285FAD"/>
    <w:rsid w:val="002903A6"/>
    <w:rsid w:val="0029759D"/>
    <w:rsid w:val="002B064C"/>
    <w:rsid w:val="002C30E3"/>
    <w:rsid w:val="002C6029"/>
    <w:rsid w:val="002C7FF0"/>
    <w:rsid w:val="002D6A85"/>
    <w:rsid w:val="002E00E1"/>
    <w:rsid w:val="002F61F9"/>
    <w:rsid w:val="00301BBC"/>
    <w:rsid w:val="00304599"/>
    <w:rsid w:val="0030692F"/>
    <w:rsid w:val="00323648"/>
    <w:rsid w:val="00343D17"/>
    <w:rsid w:val="00344F96"/>
    <w:rsid w:val="00346A22"/>
    <w:rsid w:val="00376CDD"/>
    <w:rsid w:val="003949B6"/>
    <w:rsid w:val="00396359"/>
    <w:rsid w:val="003A13AF"/>
    <w:rsid w:val="003A6A52"/>
    <w:rsid w:val="003C309C"/>
    <w:rsid w:val="003D21F0"/>
    <w:rsid w:val="003D223D"/>
    <w:rsid w:val="004248DD"/>
    <w:rsid w:val="00442FFD"/>
    <w:rsid w:val="00452903"/>
    <w:rsid w:val="004726FC"/>
    <w:rsid w:val="004C0692"/>
    <w:rsid w:val="004C55F7"/>
    <w:rsid w:val="004C5EBE"/>
    <w:rsid w:val="004D6B9E"/>
    <w:rsid w:val="004E24B0"/>
    <w:rsid w:val="004F433B"/>
    <w:rsid w:val="005030A9"/>
    <w:rsid w:val="00510F14"/>
    <w:rsid w:val="00516D70"/>
    <w:rsid w:val="00517FF7"/>
    <w:rsid w:val="00521814"/>
    <w:rsid w:val="00521DB2"/>
    <w:rsid w:val="00532A04"/>
    <w:rsid w:val="005424FF"/>
    <w:rsid w:val="00553DF5"/>
    <w:rsid w:val="00555A5B"/>
    <w:rsid w:val="005743E0"/>
    <w:rsid w:val="00575403"/>
    <w:rsid w:val="005A50A0"/>
    <w:rsid w:val="005B6B29"/>
    <w:rsid w:val="005C1F8C"/>
    <w:rsid w:val="005C3C53"/>
    <w:rsid w:val="005D2FAE"/>
    <w:rsid w:val="005F7BFD"/>
    <w:rsid w:val="006004DB"/>
    <w:rsid w:val="00604B7F"/>
    <w:rsid w:val="00616874"/>
    <w:rsid w:val="00616C56"/>
    <w:rsid w:val="00625D9C"/>
    <w:rsid w:val="00627F62"/>
    <w:rsid w:val="006444A0"/>
    <w:rsid w:val="00655611"/>
    <w:rsid w:val="00673515"/>
    <w:rsid w:val="006919DD"/>
    <w:rsid w:val="006A11B2"/>
    <w:rsid w:val="006A1F59"/>
    <w:rsid w:val="006A4F53"/>
    <w:rsid w:val="006B7F46"/>
    <w:rsid w:val="006C1D12"/>
    <w:rsid w:val="006D19E3"/>
    <w:rsid w:val="006D58BC"/>
    <w:rsid w:val="006F229E"/>
    <w:rsid w:val="006F280E"/>
    <w:rsid w:val="006F6433"/>
    <w:rsid w:val="00704DA8"/>
    <w:rsid w:val="00704F2C"/>
    <w:rsid w:val="00707F27"/>
    <w:rsid w:val="00721EF4"/>
    <w:rsid w:val="00723D69"/>
    <w:rsid w:val="0074504E"/>
    <w:rsid w:val="0074586E"/>
    <w:rsid w:val="00764116"/>
    <w:rsid w:val="00775B0D"/>
    <w:rsid w:val="007A4F5F"/>
    <w:rsid w:val="007B0DEF"/>
    <w:rsid w:val="007B40DA"/>
    <w:rsid w:val="007D7734"/>
    <w:rsid w:val="007D7C80"/>
    <w:rsid w:val="007E502B"/>
    <w:rsid w:val="007E664B"/>
    <w:rsid w:val="007F26AA"/>
    <w:rsid w:val="007F7989"/>
    <w:rsid w:val="007F7B58"/>
    <w:rsid w:val="00823CD2"/>
    <w:rsid w:val="008272EC"/>
    <w:rsid w:val="00827C49"/>
    <w:rsid w:val="00844953"/>
    <w:rsid w:val="0085352F"/>
    <w:rsid w:val="00860512"/>
    <w:rsid w:val="0088119B"/>
    <w:rsid w:val="008B6093"/>
    <w:rsid w:val="008C0CF1"/>
    <w:rsid w:val="008C1BC0"/>
    <w:rsid w:val="008C681E"/>
    <w:rsid w:val="008E28A0"/>
    <w:rsid w:val="008E7268"/>
    <w:rsid w:val="009148D7"/>
    <w:rsid w:val="00946163"/>
    <w:rsid w:val="00964626"/>
    <w:rsid w:val="009659CE"/>
    <w:rsid w:val="0097179B"/>
    <w:rsid w:val="009724E1"/>
    <w:rsid w:val="00984531"/>
    <w:rsid w:val="009A0BBD"/>
    <w:rsid w:val="009B0726"/>
    <w:rsid w:val="009B094B"/>
    <w:rsid w:val="009C0720"/>
    <w:rsid w:val="009C7D9E"/>
    <w:rsid w:val="009D0DA6"/>
    <w:rsid w:val="009E5EA3"/>
    <w:rsid w:val="00A001CB"/>
    <w:rsid w:val="00A16A2F"/>
    <w:rsid w:val="00A21945"/>
    <w:rsid w:val="00A354C3"/>
    <w:rsid w:val="00A401EE"/>
    <w:rsid w:val="00A4322C"/>
    <w:rsid w:val="00A44E72"/>
    <w:rsid w:val="00A473B4"/>
    <w:rsid w:val="00A65D22"/>
    <w:rsid w:val="00AA050F"/>
    <w:rsid w:val="00AA7956"/>
    <w:rsid w:val="00AB389B"/>
    <w:rsid w:val="00AC06A9"/>
    <w:rsid w:val="00AD6A56"/>
    <w:rsid w:val="00AE7AB2"/>
    <w:rsid w:val="00B02C1A"/>
    <w:rsid w:val="00B05ADC"/>
    <w:rsid w:val="00B228CE"/>
    <w:rsid w:val="00B35A7E"/>
    <w:rsid w:val="00B3788F"/>
    <w:rsid w:val="00B53DAE"/>
    <w:rsid w:val="00B54D26"/>
    <w:rsid w:val="00B61156"/>
    <w:rsid w:val="00BB5656"/>
    <w:rsid w:val="00BB610E"/>
    <w:rsid w:val="00BC5A2C"/>
    <w:rsid w:val="00BC72ED"/>
    <w:rsid w:val="00BE251A"/>
    <w:rsid w:val="00BE6A24"/>
    <w:rsid w:val="00BF58ED"/>
    <w:rsid w:val="00C1234F"/>
    <w:rsid w:val="00C44841"/>
    <w:rsid w:val="00C63614"/>
    <w:rsid w:val="00C639B7"/>
    <w:rsid w:val="00C65691"/>
    <w:rsid w:val="00C751E8"/>
    <w:rsid w:val="00C84307"/>
    <w:rsid w:val="00C85F34"/>
    <w:rsid w:val="00C86E1F"/>
    <w:rsid w:val="00C910EE"/>
    <w:rsid w:val="00CA631E"/>
    <w:rsid w:val="00CA647E"/>
    <w:rsid w:val="00CD5123"/>
    <w:rsid w:val="00D06684"/>
    <w:rsid w:val="00D1163F"/>
    <w:rsid w:val="00D40B23"/>
    <w:rsid w:val="00D41C55"/>
    <w:rsid w:val="00D43842"/>
    <w:rsid w:val="00D52F1D"/>
    <w:rsid w:val="00D834F5"/>
    <w:rsid w:val="00D83E53"/>
    <w:rsid w:val="00D9726F"/>
    <w:rsid w:val="00D97D71"/>
    <w:rsid w:val="00DA47AF"/>
    <w:rsid w:val="00DB09C8"/>
    <w:rsid w:val="00DE6DDF"/>
    <w:rsid w:val="00DF25F3"/>
    <w:rsid w:val="00DF2E8C"/>
    <w:rsid w:val="00E10AF0"/>
    <w:rsid w:val="00E3095E"/>
    <w:rsid w:val="00E526FA"/>
    <w:rsid w:val="00E56D31"/>
    <w:rsid w:val="00E64F2F"/>
    <w:rsid w:val="00E76475"/>
    <w:rsid w:val="00E80588"/>
    <w:rsid w:val="00EA776A"/>
    <w:rsid w:val="00EB6EBA"/>
    <w:rsid w:val="00EC1570"/>
    <w:rsid w:val="00EC61F4"/>
    <w:rsid w:val="00ED4F8D"/>
    <w:rsid w:val="00ED64D8"/>
    <w:rsid w:val="00ED7484"/>
    <w:rsid w:val="00EE2974"/>
    <w:rsid w:val="00F00416"/>
    <w:rsid w:val="00F079C8"/>
    <w:rsid w:val="00F20996"/>
    <w:rsid w:val="00F30D15"/>
    <w:rsid w:val="00F3571C"/>
    <w:rsid w:val="00F41B59"/>
    <w:rsid w:val="00F46C80"/>
    <w:rsid w:val="00F553B5"/>
    <w:rsid w:val="00F717A6"/>
    <w:rsid w:val="00F875E4"/>
    <w:rsid w:val="00F907B3"/>
    <w:rsid w:val="00F96BD1"/>
    <w:rsid w:val="00FD6ABB"/>
    <w:rsid w:val="00FD7E5C"/>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link w:val="Heading1Char"/>
    <w:uiPriority w:val="99"/>
    <w:qFormat/>
    <w:rsid w:val="00EB6EBA"/>
    <w:pPr>
      <w:keepNext/>
      <w:outlineLvl w:val="0"/>
    </w:pPr>
    <w:rPr>
      <w:rFonts w:cs="Arial"/>
      <w:b/>
      <w:bCs/>
      <w:kern w:val="32"/>
      <w:sz w:val="96"/>
      <w:szCs w:val="32"/>
    </w:rPr>
  </w:style>
  <w:style w:type="paragraph" w:styleId="Heading2">
    <w:name w:val="heading 2"/>
    <w:basedOn w:val="Normal"/>
    <w:next w:val="Normal"/>
    <w:link w:val="Heading2Char"/>
    <w:uiPriority w:val="99"/>
    <w:qFormat/>
    <w:rsid w:val="00EB6EBA"/>
    <w:pPr>
      <w:keepNext/>
      <w:outlineLvl w:val="1"/>
    </w:pPr>
    <w:rPr>
      <w:rFonts w:cs="Arial"/>
      <w:b/>
      <w:bCs/>
      <w:iCs/>
      <w:sz w:val="32"/>
      <w:szCs w:val="28"/>
    </w:rPr>
  </w:style>
  <w:style w:type="paragraph" w:styleId="Heading3">
    <w:name w:val="heading 3"/>
    <w:basedOn w:val="Normal"/>
    <w:next w:val="Normal"/>
    <w:link w:val="Heading3Char"/>
    <w:uiPriority w:val="99"/>
    <w:qFormat/>
    <w:rsid w:val="00EB6EBA"/>
    <w:pPr>
      <w:keepNext/>
      <w:outlineLvl w:val="2"/>
    </w:pPr>
    <w:rPr>
      <w:rFonts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956"/>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sid w:val="004E24B0"/>
    <w:rPr>
      <w:rFonts w:ascii="Arial" w:hAnsi="Arial" w:cs="Arial"/>
      <w:b/>
      <w:bCs/>
      <w:iCs/>
      <w:sz w:val="28"/>
      <w:szCs w:val="28"/>
      <w:lang w:val="en-GB" w:eastAsia="en-GB" w:bidi="ar-SA"/>
    </w:rPr>
  </w:style>
  <w:style w:type="character" w:customStyle="1" w:styleId="Heading3Char">
    <w:name w:val="Heading 3 Char"/>
    <w:basedOn w:val="DefaultParagraphFont"/>
    <w:link w:val="Heading3"/>
    <w:uiPriority w:val="99"/>
    <w:semiHidden/>
    <w:locked/>
    <w:rsid w:val="00AA7956"/>
    <w:rPr>
      <w:rFonts w:ascii="Cambria" w:hAnsi="Cambria" w:cs="Times New Roman"/>
      <w:b/>
      <w:bCs/>
      <w:sz w:val="26"/>
      <w:szCs w:val="26"/>
      <w:lang w:val="en-GB" w:eastAsia="en-GB"/>
    </w:rPr>
  </w:style>
  <w:style w:type="paragraph" w:customStyle="1" w:styleId="Heading41">
    <w:name w:val="Heading 41"/>
    <w:basedOn w:val="Normal"/>
    <w:next w:val="Normal"/>
    <w:uiPriority w:val="99"/>
    <w:rsid w:val="00704F2C"/>
    <w:pPr>
      <w:keepNext/>
    </w:pPr>
    <w:rPr>
      <w:i/>
      <w:u w:val="single"/>
    </w:rPr>
  </w:style>
  <w:style w:type="paragraph" w:customStyle="1" w:styleId="Heading51">
    <w:name w:val="Heading 51"/>
    <w:basedOn w:val="Normal"/>
    <w:next w:val="Normal"/>
    <w:uiPriority w:val="99"/>
    <w:rsid w:val="00EB6EBA"/>
    <w:pPr>
      <w:keepNext/>
    </w:pPr>
    <w:rPr>
      <w:i/>
    </w:rPr>
  </w:style>
  <w:style w:type="paragraph" w:styleId="NormalWeb">
    <w:name w:val="Normal (Web)"/>
    <w:basedOn w:val="Normal"/>
    <w:uiPriority w:val="99"/>
    <w:rsid w:val="003949B6"/>
    <w:pPr>
      <w:spacing w:before="100" w:beforeAutospacing="1" w:after="100" w:afterAutospacing="1"/>
    </w:pPr>
  </w:style>
  <w:style w:type="paragraph" w:styleId="Header">
    <w:name w:val="header"/>
    <w:basedOn w:val="Normal"/>
    <w:link w:val="HeaderChar"/>
    <w:uiPriority w:val="99"/>
    <w:rsid w:val="00704DA8"/>
    <w:pPr>
      <w:tabs>
        <w:tab w:val="center" w:pos="4153"/>
        <w:tab w:val="right" w:pos="8306"/>
      </w:tabs>
    </w:pPr>
  </w:style>
  <w:style w:type="character" w:customStyle="1" w:styleId="HeaderChar">
    <w:name w:val="Header Char"/>
    <w:basedOn w:val="DefaultParagraphFont"/>
    <w:link w:val="Header"/>
    <w:uiPriority w:val="99"/>
    <w:semiHidden/>
    <w:locked/>
    <w:rsid w:val="005D2FAE"/>
    <w:rPr>
      <w:rFonts w:ascii="Arial" w:hAnsi="Arial" w:cs="Times New Roman"/>
      <w:sz w:val="24"/>
      <w:szCs w:val="24"/>
      <w:lang w:val="en-GB" w:eastAsia="en-GB" w:bidi="ar-SA"/>
    </w:rPr>
  </w:style>
  <w:style w:type="paragraph" w:styleId="Footer">
    <w:name w:val="footer"/>
    <w:basedOn w:val="Normal"/>
    <w:link w:val="FooterChar"/>
    <w:uiPriority w:val="99"/>
    <w:rsid w:val="00704DA8"/>
    <w:pPr>
      <w:tabs>
        <w:tab w:val="center" w:pos="4153"/>
        <w:tab w:val="right" w:pos="8306"/>
      </w:tabs>
    </w:pPr>
  </w:style>
  <w:style w:type="character" w:customStyle="1" w:styleId="FooterChar">
    <w:name w:val="Footer Char"/>
    <w:basedOn w:val="DefaultParagraphFont"/>
    <w:link w:val="Footer"/>
    <w:uiPriority w:val="99"/>
    <w:semiHidden/>
    <w:locked/>
    <w:rsid w:val="00AA7956"/>
    <w:rPr>
      <w:rFonts w:ascii="Arial" w:hAnsi="Arial" w:cs="Times New Roman"/>
      <w:sz w:val="24"/>
      <w:szCs w:val="24"/>
      <w:lang w:val="en-GB" w:eastAsia="en-GB"/>
    </w:rPr>
  </w:style>
  <w:style w:type="character" w:styleId="PageNumber">
    <w:name w:val="page number"/>
    <w:basedOn w:val="DefaultParagraphFont"/>
    <w:uiPriority w:val="99"/>
    <w:rsid w:val="00CD5123"/>
    <w:rPr>
      <w:rFonts w:ascii="Arial" w:hAnsi="Arial" w:cs="Times New Roman"/>
    </w:rPr>
  </w:style>
  <w:style w:type="paragraph" w:customStyle="1" w:styleId="Numbers1">
    <w:name w:val="Numbers 1"/>
    <w:basedOn w:val="Normal"/>
    <w:uiPriority w:val="99"/>
    <w:rsid w:val="00516D70"/>
    <w:pPr>
      <w:numPr>
        <w:numId w:val="4"/>
      </w:numPr>
    </w:pPr>
    <w:rPr>
      <w:lang w:val="en-NZ"/>
    </w:rPr>
  </w:style>
  <w:style w:type="paragraph" w:customStyle="1" w:styleId="Bullet1">
    <w:name w:val="Bullet 1"/>
    <w:basedOn w:val="Numbers1"/>
    <w:uiPriority w:val="99"/>
    <w:rsid w:val="00304599"/>
    <w:pPr>
      <w:numPr>
        <w:numId w:val="1"/>
      </w:numPr>
    </w:pPr>
  </w:style>
  <w:style w:type="character" w:styleId="Hyperlink">
    <w:name w:val="Hyperlink"/>
    <w:basedOn w:val="DefaultParagraphFont"/>
    <w:uiPriority w:val="99"/>
    <w:rsid w:val="00EA776A"/>
    <w:rPr>
      <w:rFonts w:cs="Times New Roman"/>
      <w:color w:val="0000FF"/>
      <w:u w:val="single"/>
    </w:rPr>
  </w:style>
  <w:style w:type="paragraph" w:customStyle="1" w:styleId="Bullet2">
    <w:name w:val="Bullet 2"/>
    <w:basedOn w:val="Normal"/>
    <w:uiPriority w:val="99"/>
    <w:rsid w:val="00A4322C"/>
    <w:pPr>
      <w:numPr>
        <w:numId w:val="2"/>
      </w:numPr>
    </w:pPr>
  </w:style>
  <w:style w:type="paragraph" w:customStyle="1" w:styleId="Numbers2">
    <w:name w:val="Numbers 2"/>
    <w:basedOn w:val="Numbers1"/>
    <w:next w:val="Normal"/>
    <w:uiPriority w:val="99"/>
    <w:rsid w:val="00CD5123"/>
    <w:pPr>
      <w:numPr>
        <w:numId w:val="14"/>
      </w:numPr>
    </w:pPr>
  </w:style>
  <w:style w:type="paragraph" w:styleId="FootnoteText">
    <w:name w:val="footnote text"/>
    <w:basedOn w:val="Normal"/>
    <w:link w:val="FootnoteTextChar"/>
    <w:uiPriority w:val="99"/>
    <w:semiHidden/>
    <w:rsid w:val="004E24B0"/>
    <w:rPr>
      <w:sz w:val="20"/>
      <w:szCs w:val="20"/>
    </w:rPr>
  </w:style>
  <w:style w:type="character" w:customStyle="1" w:styleId="FootnoteTextChar">
    <w:name w:val="Footnote Text Char"/>
    <w:basedOn w:val="DefaultParagraphFont"/>
    <w:link w:val="FootnoteText"/>
    <w:uiPriority w:val="99"/>
    <w:semiHidden/>
    <w:locked/>
    <w:rsid w:val="005D2FAE"/>
    <w:rPr>
      <w:rFonts w:ascii="Arial" w:hAnsi="Arial" w:cs="Times New Roman"/>
      <w:lang w:val="en-GB" w:eastAsia="en-GB" w:bidi="ar-SA"/>
    </w:rPr>
  </w:style>
  <w:style w:type="character" w:styleId="FootnoteReference">
    <w:name w:val="footnote reference"/>
    <w:basedOn w:val="DefaultParagraphFont"/>
    <w:uiPriority w:val="99"/>
    <w:semiHidden/>
    <w:rsid w:val="004E24B0"/>
    <w:rPr>
      <w:rFonts w:cs="Times New Roman"/>
      <w:vertAlign w:val="superscript"/>
    </w:rPr>
  </w:style>
  <w:style w:type="paragraph" w:styleId="BalloonText">
    <w:name w:val="Balloon Text"/>
    <w:basedOn w:val="Normal"/>
    <w:link w:val="BalloonTextChar"/>
    <w:uiPriority w:val="99"/>
    <w:semiHidden/>
    <w:rsid w:val="00F30D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956"/>
    <w:rPr>
      <w:rFonts w:cs="Times New Roman"/>
      <w:sz w:val="2"/>
      <w:lang w:val="en-GB" w:eastAsia="en-GB"/>
    </w:rPr>
  </w:style>
  <w:style w:type="character" w:styleId="CommentReference">
    <w:name w:val="annotation reference"/>
    <w:basedOn w:val="DefaultParagraphFont"/>
    <w:uiPriority w:val="99"/>
    <w:semiHidden/>
    <w:rsid w:val="00F30D15"/>
    <w:rPr>
      <w:rFonts w:cs="Times New Roman"/>
      <w:sz w:val="16"/>
      <w:szCs w:val="16"/>
    </w:rPr>
  </w:style>
  <w:style w:type="paragraph" w:styleId="CommentText">
    <w:name w:val="annotation text"/>
    <w:aliases w:val="Char1"/>
    <w:basedOn w:val="Normal"/>
    <w:link w:val="CommentTextChar"/>
    <w:uiPriority w:val="99"/>
    <w:semiHidden/>
    <w:rsid w:val="00F30D15"/>
    <w:rPr>
      <w:sz w:val="20"/>
      <w:szCs w:val="20"/>
    </w:rPr>
  </w:style>
  <w:style w:type="character" w:customStyle="1" w:styleId="CommentTextChar">
    <w:name w:val="Comment Text Char"/>
    <w:aliases w:val="Char1 Char"/>
    <w:basedOn w:val="DefaultParagraphFont"/>
    <w:link w:val="CommentText"/>
    <w:uiPriority w:val="99"/>
    <w:semiHidden/>
    <w:locked/>
    <w:rsid w:val="005D2FAE"/>
    <w:rPr>
      <w:rFonts w:ascii="Arial" w:hAnsi="Arial" w:cs="Times New Roman"/>
      <w:lang w:val="en-GB" w:eastAsia="en-GB" w:bidi="ar-SA"/>
    </w:rPr>
  </w:style>
  <w:style w:type="paragraph" w:styleId="CommentSubject">
    <w:name w:val="annotation subject"/>
    <w:basedOn w:val="CommentText"/>
    <w:next w:val="CommentText"/>
    <w:link w:val="CommentSubjectChar"/>
    <w:uiPriority w:val="99"/>
    <w:semiHidden/>
    <w:rsid w:val="00F30D15"/>
    <w:rPr>
      <w:b/>
      <w:bCs/>
    </w:rPr>
  </w:style>
  <w:style w:type="character" w:customStyle="1" w:styleId="CommentSubjectChar">
    <w:name w:val="Comment Subject Char"/>
    <w:basedOn w:val="CommentTextChar"/>
    <w:link w:val="CommentSubject"/>
    <w:uiPriority w:val="99"/>
    <w:semiHidden/>
    <w:locked/>
    <w:rsid w:val="00AA7956"/>
    <w:rPr>
      <w:b/>
      <w:bCs/>
      <w:sz w:val="20"/>
      <w:szCs w:val="20"/>
    </w:rPr>
  </w:style>
  <w:style w:type="paragraph" w:customStyle="1" w:styleId="Numbers3">
    <w:name w:val="Numbers 3"/>
    <w:basedOn w:val="Numbers1"/>
    <w:uiPriority w:val="99"/>
    <w:rsid w:val="0003611F"/>
    <w:pPr>
      <w:numPr>
        <w:numId w:val="5"/>
      </w:numPr>
    </w:pPr>
  </w:style>
  <w:style w:type="paragraph" w:customStyle="1" w:styleId="Heading411">
    <w:name w:val="Heading 411"/>
    <w:basedOn w:val="Normal"/>
    <w:next w:val="Normal"/>
    <w:uiPriority w:val="99"/>
    <w:rsid w:val="005D2FAE"/>
    <w:pPr>
      <w:keepNext/>
    </w:pPr>
    <w:rPr>
      <w:i/>
      <w:u w:val="single"/>
    </w:rPr>
  </w:style>
  <w:style w:type="paragraph" w:styleId="ListParagraph">
    <w:name w:val="List Paragraph"/>
    <w:basedOn w:val="Normal"/>
    <w:uiPriority w:val="99"/>
    <w:qFormat/>
    <w:rsid w:val="00723D69"/>
    <w:pPr>
      <w:ind w:left="720"/>
    </w:pPr>
  </w:style>
  <w:style w:type="character" w:customStyle="1" w:styleId="CommentTextChar1">
    <w:name w:val="Comment Text Char1"/>
    <w:aliases w:val="Char1 Char1"/>
    <w:basedOn w:val="DefaultParagraphFont"/>
    <w:uiPriority w:val="99"/>
    <w:semiHidden/>
    <w:locked/>
    <w:rsid w:val="00723D69"/>
    <w:rPr>
      <w:rFonts w:ascii="Calibri" w:hAnsi="Calibri" w:cs="Times New Roman"/>
    </w:rPr>
  </w:style>
  <w:style w:type="character" w:styleId="FollowedHyperlink">
    <w:name w:val="FollowedHyperlink"/>
    <w:basedOn w:val="DefaultParagraphFont"/>
    <w:uiPriority w:val="99"/>
    <w:rsid w:val="00723D6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97525443">
      <w:marLeft w:val="0"/>
      <w:marRight w:val="0"/>
      <w:marTop w:val="0"/>
      <w:marBottom w:val="0"/>
      <w:divBdr>
        <w:top w:val="none" w:sz="0" w:space="0" w:color="auto"/>
        <w:left w:val="none" w:sz="0" w:space="0" w:color="auto"/>
        <w:bottom w:val="none" w:sz="0" w:space="0" w:color="auto"/>
        <w:right w:val="none" w:sz="0" w:space="0" w:color="auto"/>
      </w:divBdr>
    </w:div>
    <w:div w:id="797525444">
      <w:marLeft w:val="0"/>
      <w:marRight w:val="0"/>
      <w:marTop w:val="0"/>
      <w:marBottom w:val="0"/>
      <w:divBdr>
        <w:top w:val="none" w:sz="0" w:space="0" w:color="auto"/>
        <w:left w:val="none" w:sz="0" w:space="0" w:color="auto"/>
        <w:bottom w:val="none" w:sz="0" w:space="0" w:color="auto"/>
        <w:right w:val="none" w:sz="0" w:space="0" w:color="auto"/>
      </w:divBdr>
    </w:div>
    <w:div w:id="797525449">
      <w:marLeft w:val="0"/>
      <w:marRight w:val="0"/>
      <w:marTop w:val="0"/>
      <w:marBottom w:val="0"/>
      <w:divBdr>
        <w:top w:val="none" w:sz="0" w:space="0" w:color="auto"/>
        <w:left w:val="none" w:sz="0" w:space="0" w:color="auto"/>
        <w:bottom w:val="none" w:sz="0" w:space="0" w:color="auto"/>
        <w:right w:val="none" w:sz="0" w:space="0" w:color="auto"/>
      </w:divBdr>
    </w:div>
    <w:div w:id="797525452">
      <w:marLeft w:val="143"/>
      <w:marRight w:val="143"/>
      <w:marTop w:val="143"/>
      <w:marBottom w:val="143"/>
      <w:divBdr>
        <w:top w:val="none" w:sz="0" w:space="0" w:color="auto"/>
        <w:left w:val="none" w:sz="0" w:space="0" w:color="auto"/>
        <w:bottom w:val="none" w:sz="0" w:space="0" w:color="auto"/>
        <w:right w:val="none" w:sz="0" w:space="0" w:color="auto"/>
      </w:divBdr>
      <w:divsChild>
        <w:div w:id="797525456">
          <w:marLeft w:val="0"/>
          <w:marRight w:val="0"/>
          <w:marTop w:val="0"/>
          <w:marBottom w:val="0"/>
          <w:divBdr>
            <w:top w:val="none" w:sz="0" w:space="0" w:color="auto"/>
            <w:left w:val="none" w:sz="0" w:space="0" w:color="auto"/>
            <w:bottom w:val="single" w:sz="18" w:space="0" w:color="7A797D"/>
            <w:right w:val="single" w:sz="18" w:space="0" w:color="7A797D"/>
          </w:divBdr>
          <w:divsChild>
            <w:div w:id="797525446">
              <w:marLeft w:val="0"/>
              <w:marRight w:val="0"/>
              <w:marTop w:val="0"/>
              <w:marBottom w:val="0"/>
              <w:divBdr>
                <w:top w:val="single" w:sz="6" w:space="0" w:color="8C8A91"/>
                <w:left w:val="single" w:sz="6" w:space="0" w:color="8C8A91"/>
                <w:bottom w:val="single" w:sz="6" w:space="0" w:color="8C8A91"/>
                <w:right w:val="single" w:sz="6" w:space="0" w:color="8C8A91"/>
              </w:divBdr>
              <w:divsChild>
                <w:div w:id="797525448">
                  <w:marLeft w:val="0"/>
                  <w:marRight w:val="0"/>
                  <w:marTop w:val="0"/>
                  <w:marBottom w:val="0"/>
                  <w:divBdr>
                    <w:top w:val="single" w:sz="36" w:space="0" w:color="CCCCCC"/>
                    <w:left w:val="single" w:sz="36" w:space="0" w:color="CCCCCC"/>
                    <w:bottom w:val="single" w:sz="36" w:space="0" w:color="CCCCCC"/>
                    <w:right w:val="single" w:sz="36" w:space="0" w:color="CCCCCC"/>
                  </w:divBdr>
                  <w:divsChild>
                    <w:div w:id="797525459">
                      <w:marLeft w:val="0"/>
                      <w:marRight w:val="0"/>
                      <w:marTop w:val="0"/>
                      <w:marBottom w:val="0"/>
                      <w:divBdr>
                        <w:top w:val="single" w:sz="6" w:space="0" w:color="8C8A91"/>
                        <w:left w:val="single" w:sz="6" w:space="0" w:color="8C8A91"/>
                        <w:bottom w:val="single" w:sz="6" w:space="0" w:color="8C8A91"/>
                        <w:right w:val="single" w:sz="6" w:space="0" w:color="8C8A91"/>
                      </w:divBdr>
                      <w:divsChild>
                        <w:div w:id="797525461">
                          <w:marLeft w:val="0"/>
                          <w:marRight w:val="0"/>
                          <w:marTop w:val="0"/>
                          <w:marBottom w:val="0"/>
                          <w:divBdr>
                            <w:top w:val="single" w:sz="36" w:space="0" w:color="CCCCCC"/>
                            <w:left w:val="single" w:sz="36" w:space="0" w:color="CCCCCC"/>
                            <w:bottom w:val="single" w:sz="36" w:space="0" w:color="CCCCCC"/>
                            <w:right w:val="single" w:sz="36" w:space="0" w:color="CCCCCC"/>
                          </w:divBdr>
                          <w:divsChild>
                            <w:div w:id="797525462">
                              <w:marLeft w:val="0"/>
                              <w:marRight w:val="0"/>
                              <w:marTop w:val="0"/>
                              <w:marBottom w:val="0"/>
                              <w:divBdr>
                                <w:top w:val="single" w:sz="6" w:space="0" w:color="8C8A91"/>
                                <w:left w:val="single" w:sz="6" w:space="0" w:color="8C8A91"/>
                                <w:bottom w:val="single" w:sz="6" w:space="0" w:color="8C8A91"/>
                                <w:right w:val="single" w:sz="6" w:space="0" w:color="8C8A91"/>
                              </w:divBdr>
                              <w:divsChild>
                                <w:div w:id="797525447">
                                  <w:marLeft w:val="0"/>
                                  <w:marRight w:val="0"/>
                                  <w:marTop w:val="0"/>
                                  <w:marBottom w:val="0"/>
                                  <w:divBdr>
                                    <w:top w:val="single" w:sz="18" w:space="6" w:color="666666"/>
                                    <w:left w:val="single" w:sz="18" w:space="6" w:color="666666"/>
                                    <w:bottom w:val="none" w:sz="0" w:space="0" w:color="auto"/>
                                    <w:right w:val="none" w:sz="0" w:space="0" w:color="auto"/>
                                  </w:divBdr>
                                  <w:divsChild>
                                    <w:div w:id="797525450">
                                      <w:marLeft w:val="0"/>
                                      <w:marRight w:val="0"/>
                                      <w:marTop w:val="0"/>
                                      <w:marBottom w:val="0"/>
                                      <w:divBdr>
                                        <w:top w:val="none" w:sz="0" w:space="0" w:color="auto"/>
                                        <w:left w:val="none" w:sz="0" w:space="0" w:color="auto"/>
                                        <w:bottom w:val="none" w:sz="0" w:space="0" w:color="auto"/>
                                        <w:right w:val="none" w:sz="0" w:space="0" w:color="auto"/>
                                      </w:divBdr>
                                      <w:divsChild>
                                        <w:div w:id="797525451">
                                          <w:marLeft w:val="0"/>
                                          <w:marRight w:val="0"/>
                                          <w:marTop w:val="0"/>
                                          <w:marBottom w:val="0"/>
                                          <w:divBdr>
                                            <w:top w:val="none" w:sz="0" w:space="0" w:color="auto"/>
                                            <w:left w:val="none" w:sz="0" w:space="0" w:color="auto"/>
                                            <w:bottom w:val="none" w:sz="0" w:space="0" w:color="auto"/>
                                            <w:right w:val="none" w:sz="0" w:space="0" w:color="auto"/>
                                          </w:divBdr>
                                          <w:divsChild>
                                            <w:div w:id="797525445">
                                              <w:marLeft w:val="0"/>
                                              <w:marRight w:val="0"/>
                                              <w:marTop w:val="0"/>
                                              <w:marBottom w:val="0"/>
                                              <w:divBdr>
                                                <w:top w:val="none" w:sz="0" w:space="0" w:color="auto"/>
                                                <w:left w:val="dotted" w:sz="6" w:space="7" w:color="666666"/>
                                                <w:bottom w:val="dotted" w:sz="6" w:space="7" w:color="666666"/>
                                                <w:right w:val="dotted" w:sz="6" w:space="7" w:color="666666"/>
                                              </w:divBdr>
                                              <w:divsChild>
                                                <w:div w:id="7975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525454">
      <w:marLeft w:val="0"/>
      <w:marRight w:val="0"/>
      <w:marTop w:val="0"/>
      <w:marBottom w:val="0"/>
      <w:divBdr>
        <w:top w:val="none" w:sz="0" w:space="0" w:color="auto"/>
        <w:left w:val="none" w:sz="0" w:space="0" w:color="auto"/>
        <w:bottom w:val="none" w:sz="0" w:space="0" w:color="auto"/>
        <w:right w:val="none" w:sz="0" w:space="0" w:color="auto"/>
      </w:divBdr>
    </w:div>
    <w:div w:id="797525455">
      <w:marLeft w:val="0"/>
      <w:marRight w:val="0"/>
      <w:marTop w:val="0"/>
      <w:marBottom w:val="0"/>
      <w:divBdr>
        <w:top w:val="none" w:sz="0" w:space="0" w:color="auto"/>
        <w:left w:val="none" w:sz="0" w:space="0" w:color="auto"/>
        <w:bottom w:val="none" w:sz="0" w:space="0" w:color="auto"/>
        <w:right w:val="none" w:sz="0" w:space="0" w:color="auto"/>
      </w:divBdr>
    </w:div>
    <w:div w:id="797525457">
      <w:marLeft w:val="0"/>
      <w:marRight w:val="0"/>
      <w:marTop w:val="0"/>
      <w:marBottom w:val="0"/>
      <w:divBdr>
        <w:top w:val="none" w:sz="0" w:space="0" w:color="auto"/>
        <w:left w:val="none" w:sz="0" w:space="0" w:color="auto"/>
        <w:bottom w:val="none" w:sz="0" w:space="0" w:color="auto"/>
        <w:right w:val="none" w:sz="0" w:space="0" w:color="auto"/>
      </w:divBdr>
    </w:div>
    <w:div w:id="797525458">
      <w:marLeft w:val="0"/>
      <w:marRight w:val="0"/>
      <w:marTop w:val="0"/>
      <w:marBottom w:val="0"/>
      <w:divBdr>
        <w:top w:val="none" w:sz="0" w:space="0" w:color="auto"/>
        <w:left w:val="none" w:sz="0" w:space="0" w:color="auto"/>
        <w:bottom w:val="none" w:sz="0" w:space="0" w:color="auto"/>
        <w:right w:val="none" w:sz="0" w:space="0" w:color="auto"/>
      </w:divBdr>
    </w:div>
    <w:div w:id="797525460">
      <w:marLeft w:val="0"/>
      <w:marRight w:val="0"/>
      <w:marTop w:val="0"/>
      <w:marBottom w:val="0"/>
      <w:divBdr>
        <w:top w:val="none" w:sz="0" w:space="0" w:color="auto"/>
        <w:left w:val="none" w:sz="0" w:space="0" w:color="auto"/>
        <w:bottom w:val="none" w:sz="0" w:space="0" w:color="auto"/>
        <w:right w:val="none" w:sz="0" w:space="0" w:color="auto"/>
      </w:divBdr>
    </w:div>
    <w:div w:id="797525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tf-gafi.org/document/18/0,3746,en_32250379_32236992_49694738_1_1_1_1,00.html" TargetMode="External"/><Relationship Id="rId18" Type="http://schemas.openxmlformats.org/officeDocument/2006/relationships/hyperlink" Target="http://www.mfat.govt.nz/Treaties-and-International-Law/09-United-Nations-Security-Council-Sanctions/index.php" TargetMode="External"/><Relationship Id="rId26" Type="http://schemas.openxmlformats.org/officeDocument/2006/relationships/footer" Target="footer4.xml"/><Relationship Id="rId39" Type="http://schemas.openxmlformats.org/officeDocument/2006/relationships/hyperlink" Target="http://www.austrac.gov.au" TargetMode="External"/><Relationship Id="rId21" Type="http://schemas.openxmlformats.org/officeDocument/2006/relationships/hyperlink" Target="http://www.oecd.org/document/57/0,3746,en_2649_201185_30578809_1_1_1_1,00.html" TargetMode="External"/><Relationship Id="rId34" Type="http://schemas.openxmlformats.org/officeDocument/2006/relationships/hyperlink" Target="http://www.egmontgroup.org" TargetMode="External"/><Relationship Id="rId42" Type="http://schemas.openxmlformats.org/officeDocument/2006/relationships/hyperlink" Target="http://www.bba.org.uk" TargetMode="External"/><Relationship Id="rId47" Type="http://schemas.openxmlformats.org/officeDocument/2006/relationships/hyperlink" Target="http://www.baselgovernance.org" TargetMode="External"/><Relationship Id="rId50" Type="http://schemas.openxmlformats.org/officeDocument/2006/relationships/hyperlink" Target="http://www.country-check.com" TargetMode="External"/><Relationship Id="rId55"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fatf-gafi.org/pages/0,3417,en_32250379_32236963_1_1_1_1_1,00.html" TargetMode="External"/><Relationship Id="rId25" Type="http://schemas.openxmlformats.org/officeDocument/2006/relationships/header" Target="header4.xml"/><Relationship Id="rId33" Type="http://schemas.openxmlformats.org/officeDocument/2006/relationships/hyperlink" Target="http://www.oecd.org" TargetMode="External"/><Relationship Id="rId38" Type="http://schemas.openxmlformats.org/officeDocument/2006/relationships/hyperlink" Target="http://www.mfat.govt.nz" TargetMode="External"/><Relationship Id="rId46" Type="http://schemas.openxmlformats.org/officeDocument/2006/relationships/hyperlink" Target="http://www.fintrac-canafe.gc.c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pgml.org/" TargetMode="External"/><Relationship Id="rId20" Type="http://schemas.openxmlformats.org/officeDocument/2006/relationships/hyperlink" Target="http://cpi.transparency.org/cpi2011/results/" TargetMode="External"/><Relationship Id="rId29" Type="http://schemas.openxmlformats.org/officeDocument/2006/relationships/hyperlink" Target="http://www.apgml.org" TargetMode="External"/><Relationship Id="rId41" Type="http://schemas.openxmlformats.org/officeDocument/2006/relationships/hyperlink" Target="http://www.jmlsg.org.uk" TargetMode="External"/><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yperlink" Target="http://www.imf.org/external/np/fsap/fssa.aspx" TargetMode="External"/><Relationship Id="rId37" Type="http://schemas.openxmlformats.org/officeDocument/2006/relationships/hyperlink" Target="http://www.police.govt.nz/service/counterterrorism/designated-terrorists.html" TargetMode="External"/><Relationship Id="rId40" Type="http://schemas.openxmlformats.org/officeDocument/2006/relationships/hyperlink" Target="http://www.dfat.gov.au" TargetMode="External"/><Relationship Id="rId45" Type="http://schemas.openxmlformats.org/officeDocument/2006/relationships/hyperlink" Target="http://www.fincen.gov" TargetMode="External"/><Relationship Id="rId53" Type="http://schemas.openxmlformats.org/officeDocument/2006/relationships/hyperlink" Target="http://www.factiva.co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tf-gafi.org/pages/0,2987,en_32250379_32235720_1_1_1_1_1,00.html" TargetMode="External"/><Relationship Id="rId23" Type="http://schemas.openxmlformats.org/officeDocument/2006/relationships/footer" Target="footer3.xml"/><Relationship Id="rId28" Type="http://schemas.openxmlformats.org/officeDocument/2006/relationships/hyperlink" Target="http://www.fatf-gafi.org/searchResult/0,3400,en_32250379_32236920_1_1_1_1_1,00.html" TargetMode="External"/><Relationship Id="rId36" Type="http://schemas.openxmlformats.org/officeDocument/2006/relationships/hyperlink" Target="http://www.transparency.org" TargetMode="External"/><Relationship Id="rId49" Type="http://schemas.openxmlformats.org/officeDocument/2006/relationships/hyperlink" Target="http://www.janes.com" TargetMode="External"/><Relationship Id="rId57"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www.fatf-gafi.org/topics/high-riskandnon-cooperativejurisdictions/" TargetMode="External"/><Relationship Id="rId31" Type="http://schemas.openxmlformats.org/officeDocument/2006/relationships/hyperlink" Target="http://www.imf.org" TargetMode="External"/><Relationship Id="rId44" Type="http://schemas.openxmlformats.org/officeDocument/2006/relationships/hyperlink" Target="http://www.occ.treas.gov" TargetMode="External"/><Relationship Id="rId52" Type="http://schemas.openxmlformats.org/officeDocument/2006/relationships/hyperlink" Target="http://www.knowyourcountr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atf-gafi.org/pages/0,2987,en_32250379_32235720_1_1_1_1_1,00.html" TargetMode="External"/><Relationship Id="rId22" Type="http://schemas.openxmlformats.org/officeDocument/2006/relationships/header" Target="header2.xml"/><Relationship Id="rId27" Type="http://schemas.openxmlformats.org/officeDocument/2006/relationships/hyperlink" Target="http://www.fatf-gafi.org" TargetMode="External"/><Relationship Id="rId30" Type="http://schemas.openxmlformats.org/officeDocument/2006/relationships/hyperlink" Target="http://www.worldbank.org" TargetMode="External"/><Relationship Id="rId35" Type="http://schemas.openxmlformats.org/officeDocument/2006/relationships/hyperlink" Target="http://www.wolfsberg-principles.com" TargetMode="External"/><Relationship Id="rId43" Type="http://schemas.openxmlformats.org/officeDocument/2006/relationships/hyperlink" Target="http://www.fsa.gov.uk" TargetMode="External"/><Relationship Id="rId48" Type="http://schemas.openxmlformats.org/officeDocument/2006/relationships/hyperlink" Target="http://www.world-check.com" TargetMode="External"/><Relationship Id="rId56" Type="http://schemas.openxmlformats.org/officeDocument/2006/relationships/footer" Target="footer5.xml"/><Relationship Id="rId8" Type="http://schemas.openxmlformats.org/officeDocument/2006/relationships/image" Target="media/image2.jpeg"/><Relationship Id="rId51" Type="http://schemas.openxmlformats.org/officeDocument/2006/relationships/hyperlink" Target="http://www.ACAMSmoneylaundering.co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document/57/0,3746,en_2649_201185_30578809_1_1_1_1,00.html" TargetMode="External"/><Relationship Id="rId3" Type="http://schemas.openxmlformats.org/officeDocument/2006/relationships/hyperlink" Target="http://www.apgml.org/" TargetMode="External"/><Relationship Id="rId7" Type="http://schemas.openxmlformats.org/officeDocument/2006/relationships/hyperlink" Target="http://cpi.transparency.org/cpi2011/results/" TargetMode="External"/><Relationship Id="rId2" Type="http://schemas.openxmlformats.org/officeDocument/2006/relationships/hyperlink" Target="http://www.fatf-gafi.org/pages/0,2987,en_32250379_32235720_1_1_1_1_1,00.html" TargetMode="External"/><Relationship Id="rId1" Type="http://schemas.openxmlformats.org/officeDocument/2006/relationships/hyperlink" Target="http://www.fatf-gafi.org/document/18/0,3746,en_32250379_32236992_49694738_1_1_1_1,00.html" TargetMode="External"/><Relationship Id="rId6" Type="http://schemas.openxmlformats.org/officeDocument/2006/relationships/hyperlink" Target="http://www.fatf-gafi.org/topics/high-riskandnon-cooperativejurisdictions/" TargetMode="External"/><Relationship Id="rId5" Type="http://schemas.openxmlformats.org/officeDocument/2006/relationships/hyperlink" Target="http://www.mfat.govt.nz/Treaties-and-International-Law/09-United-Nations-Security-Council-Sanctions/index.php" TargetMode="External"/><Relationship Id="rId4" Type="http://schemas.openxmlformats.org/officeDocument/2006/relationships/hyperlink" Target="http://www.fatf-gafi.org/pages/0,3417,en_32250379_32236963_1_1_1_1_1,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template.dot</Template>
  <TotalTime>10</TotalTime>
  <Pages>9</Pages>
  <Words>2450</Words>
  <Characters>13969</Characters>
  <Application>Microsoft Office Outlook</Application>
  <DocSecurity>0</DocSecurity>
  <Lines>0</Lines>
  <Paragraphs>0</Paragraphs>
  <ScaleCrop>false</ScaleCrop>
  <Company>Department of Internal Affairs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andersron</dc:creator>
  <cp:keywords/>
  <dc:description/>
  <cp:lastModifiedBy>senioram</cp:lastModifiedBy>
  <cp:revision>4</cp:revision>
  <cp:lastPrinted>2012-06-19T03:46:00Z</cp:lastPrinted>
  <dcterms:created xsi:type="dcterms:W3CDTF">2012-07-05T03:26:00Z</dcterms:created>
  <dcterms:modified xsi:type="dcterms:W3CDTF">2012-07-05T03:36:00Z</dcterms:modified>
</cp:coreProperties>
</file>