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2662C4" w14:textId="77777777" w:rsidR="00FE754D" w:rsidRPr="00553DF5" w:rsidRDefault="00FE754D" w:rsidP="002E00E1">
      <w:r>
        <w:rPr>
          <w:noProof/>
        </w:rPr>
        <w:pict w14:anchorId="58B35F4B">
          <v:shapetype id="_x0000_t202" coordsize="21600,21600" o:spt="202" path="m,l,21600r21600,l21600,xe">
            <v:stroke joinstyle="miter"/>
            <v:path gradientshapeok="t" o:connecttype="rect"/>
          </v:shapetype>
          <v:shape id="_x0000_s2055" type="#_x0000_t202" style="position:absolute;margin-left:52.05pt;margin-top:.85pt;width:419.1pt;height:63.75pt;z-index:1;mso-wrap-distance-left:2.88pt;mso-wrap-distance-top:2.88pt;mso-wrap-distance-right:2.88pt;mso-wrap-distance-bottom:2.88pt" fillcolor="#000048" stroked="f" insetpen="t" o:cliptowrap="t">
            <v:stroke>
              <o:left v:ext="view" joinstyle="miter" insetpen="t"/>
              <o:top v:ext="view" joinstyle="miter" insetpen="t"/>
              <o:right v:ext="view" joinstyle="miter" insetpen="t"/>
              <o:bottom v:ext="view" joinstyle="miter" insetpen="t"/>
            </v:stroke>
            <v:shadow color="#ccc"/>
            <v:textbox style="mso-next-textbox:#_x0000_s2055;mso-column-margin:2mm" inset="2.88pt,2.88pt,2.88pt,2.88pt">
              <w:txbxContent>
                <w:p w14:paraId="3E256B69" w14:textId="77777777" w:rsidR="00FE754D" w:rsidRDefault="00FE754D" w:rsidP="002C6029">
                  <w:pPr>
                    <w:widowControl w:val="0"/>
                    <w:rPr>
                      <w:rFonts w:cs="Arial"/>
                      <w:b/>
                      <w:bCs/>
                      <w:color w:val="FFFFFF"/>
                      <w:sz w:val="22"/>
                      <w:szCs w:val="22"/>
                      <w:lang w:val="en-NZ"/>
                    </w:rPr>
                  </w:pPr>
                  <w:bookmarkStart w:id="0" w:name="_GoBack"/>
                  <w:bookmarkEnd w:id="0"/>
                  <w:r>
                    <w:rPr>
                      <w:rFonts w:cs="Arial"/>
                      <w:b/>
                      <w:bCs/>
                      <w:color w:val="FFFFFF"/>
                      <w:sz w:val="72"/>
                      <w:szCs w:val="72"/>
                      <w:lang w:val="en-NZ"/>
                    </w:rPr>
                    <w:t>AML / CFT</w:t>
                  </w:r>
                </w:p>
                <w:p w14:paraId="3C968372" w14:textId="77777777" w:rsidR="00FE754D" w:rsidRDefault="00FE754D" w:rsidP="002C6029">
                  <w:pPr>
                    <w:widowControl w:val="0"/>
                    <w:rPr>
                      <w:rFonts w:cs="Arial"/>
                      <w:b/>
                      <w:bCs/>
                      <w:color w:val="FFFFFF"/>
                      <w:sz w:val="28"/>
                      <w:szCs w:val="28"/>
                      <w:lang w:val="en-NZ"/>
                    </w:rPr>
                  </w:pPr>
                  <w:r>
                    <w:rPr>
                      <w:rFonts w:cs="Arial"/>
                      <w:b/>
                      <w:bCs/>
                      <w:color w:val="FFFFFF"/>
                      <w:sz w:val="28"/>
                      <w:szCs w:val="28"/>
                      <w:lang w:val="en-NZ"/>
                    </w:rPr>
                    <w:t>Anti-money laundering and countering financing of terrorism</w:t>
                  </w:r>
                </w:p>
                <w:p w14:paraId="753D8042" w14:textId="77777777" w:rsidR="00FE754D" w:rsidRDefault="00FE754D" w:rsidP="002C6029">
                  <w:pPr>
                    <w:widowControl w:val="0"/>
                    <w:rPr>
                      <w:rFonts w:cs="Arial"/>
                      <w:b/>
                      <w:bCs/>
                      <w:color w:val="FFFFFF"/>
                      <w:sz w:val="72"/>
                      <w:szCs w:val="72"/>
                      <w:lang w:val="en-NZ"/>
                    </w:rPr>
                  </w:pPr>
                  <w:r>
                    <w:rPr>
                      <w:rFonts w:cs="Arial"/>
                      <w:b/>
                      <w:bCs/>
                      <w:color w:val="FFFFFF"/>
                      <w:sz w:val="72"/>
                      <w:szCs w:val="72"/>
                      <w:lang w:val="en-NZ"/>
                    </w:rPr>
                    <w:t xml:space="preserve"> </w:t>
                  </w:r>
                </w:p>
              </w:txbxContent>
            </v:textbox>
          </v:shape>
        </w:pict>
      </w:r>
    </w:p>
    <w:p w14:paraId="11A7C170" w14:textId="77777777" w:rsidR="00FE754D" w:rsidRPr="002C6029" w:rsidRDefault="00FE754D" w:rsidP="002E00E1">
      <w:pPr>
        <w:rPr>
          <w:lang w:val="en-NZ"/>
        </w:rPr>
      </w:pPr>
    </w:p>
    <w:p w14:paraId="6BB49D0F" w14:textId="77777777" w:rsidR="00FE754D" w:rsidRDefault="00FE754D" w:rsidP="002E00E1">
      <w:pPr>
        <w:rPr>
          <w:lang w:val="en-NZ"/>
        </w:rPr>
      </w:pPr>
    </w:p>
    <w:p w14:paraId="0AFA2B35" w14:textId="77777777" w:rsidR="00FE754D" w:rsidRDefault="00FE754D" w:rsidP="002E00E1">
      <w:pPr>
        <w:rPr>
          <w:lang w:val="en-NZ"/>
        </w:rPr>
      </w:pPr>
    </w:p>
    <w:p w14:paraId="3A585351" w14:textId="77777777" w:rsidR="00FE754D" w:rsidRDefault="00FE754D" w:rsidP="002E00E1">
      <w:pPr>
        <w:rPr>
          <w:lang w:val="en-NZ"/>
        </w:rPr>
      </w:pPr>
    </w:p>
    <w:p w14:paraId="698113B4" w14:textId="77777777" w:rsidR="00FE754D" w:rsidRDefault="00FE754D" w:rsidP="002A074C">
      <w:pPr>
        <w:pStyle w:val="Heading2"/>
        <w:jc w:val="both"/>
        <w:rPr>
          <w:sz w:val="40"/>
          <w:szCs w:val="40"/>
        </w:rPr>
      </w:pPr>
    </w:p>
    <w:p w14:paraId="17DDD2F5" w14:textId="77777777" w:rsidR="00FE754D" w:rsidRPr="00125958" w:rsidRDefault="00FE754D" w:rsidP="002A074C">
      <w:pPr>
        <w:pStyle w:val="Heading2"/>
        <w:jc w:val="both"/>
        <w:rPr>
          <w:sz w:val="40"/>
          <w:szCs w:val="40"/>
          <w:lang w:val="en-NZ"/>
        </w:rPr>
      </w:pPr>
      <w:r w:rsidRPr="00125958">
        <w:rPr>
          <w:sz w:val="40"/>
          <w:szCs w:val="40"/>
        </w:rPr>
        <w:t>Wire transfers</w:t>
      </w:r>
    </w:p>
    <w:p w14:paraId="33F2D06E" w14:textId="77777777" w:rsidR="00FE754D" w:rsidRDefault="00FE754D" w:rsidP="002A074C">
      <w:pPr>
        <w:jc w:val="both"/>
        <w:rPr>
          <w:b/>
          <w:bCs/>
          <w:lang w:val="en-US"/>
        </w:rPr>
      </w:pPr>
    </w:p>
    <w:p w14:paraId="0532D41F" w14:textId="77777777" w:rsidR="002A074C" w:rsidRPr="00125958" w:rsidRDefault="002A074C" w:rsidP="002A074C">
      <w:pPr>
        <w:jc w:val="both"/>
        <w:rPr>
          <w:b/>
          <w:bCs/>
          <w:lang w:val="en-US"/>
        </w:rPr>
      </w:pPr>
    </w:p>
    <w:p w14:paraId="0A0059AB" w14:textId="77777777" w:rsidR="00FE754D" w:rsidRPr="00125958" w:rsidRDefault="00FE754D" w:rsidP="002A074C">
      <w:pPr>
        <w:pStyle w:val="Heading2"/>
        <w:jc w:val="both"/>
        <w:rPr>
          <w:lang w:val="en-US"/>
        </w:rPr>
      </w:pPr>
      <w:r w:rsidRPr="00125958">
        <w:rPr>
          <w:lang w:val="en-US"/>
        </w:rPr>
        <w:t xml:space="preserve">What is a wire transfer? </w:t>
      </w:r>
    </w:p>
    <w:p w14:paraId="4A7CB5A2" w14:textId="77777777" w:rsidR="00FE754D" w:rsidRPr="00125958" w:rsidRDefault="00FE754D" w:rsidP="002A074C">
      <w:pPr>
        <w:jc w:val="both"/>
        <w:rPr>
          <w:lang w:val="en-US"/>
        </w:rPr>
      </w:pPr>
    </w:p>
    <w:p w14:paraId="2D50F0C1" w14:textId="77777777" w:rsidR="00FE754D" w:rsidRPr="00125958" w:rsidRDefault="00FE754D" w:rsidP="002A074C">
      <w:pPr>
        <w:pStyle w:val="Numbers1"/>
        <w:jc w:val="both"/>
      </w:pPr>
      <w:r w:rsidRPr="00125958">
        <w:t>The Anti-Money Laundering and Countering Financing of Terrorism Act 2009 (the Act) contains a set of obligations for reporting entities to enhance the transparency of wire transfers.</w:t>
      </w:r>
      <w:r w:rsidR="00F75F4A">
        <w:t xml:space="preserve"> </w:t>
      </w:r>
      <w:r w:rsidRPr="00125958">
        <w:t>Wire transfers have been assessed in the National Risk Assessment</w:t>
      </w:r>
      <w:r w:rsidRPr="00F75F4A">
        <w:rPr>
          <w:vertAlign w:val="superscript"/>
          <w:lang w:val="en-US"/>
        </w:rPr>
        <w:footnoteReference w:id="2"/>
      </w:r>
      <w:r w:rsidRPr="00125958">
        <w:t xml:space="preserve"> as presenting a high risk of money laundering in New Zealand, which is consistent with experience overseas.</w:t>
      </w:r>
    </w:p>
    <w:p w14:paraId="1530DAFB" w14:textId="77777777" w:rsidR="00FE754D" w:rsidRPr="00125958" w:rsidRDefault="00FE754D" w:rsidP="002A074C">
      <w:pPr>
        <w:jc w:val="both"/>
        <w:rPr>
          <w:lang w:val="en-NZ"/>
        </w:rPr>
      </w:pPr>
    </w:p>
    <w:p w14:paraId="0E4D91E0" w14:textId="77777777" w:rsidR="00FE754D" w:rsidRPr="00125958" w:rsidRDefault="00FE754D" w:rsidP="002A074C">
      <w:pPr>
        <w:pStyle w:val="Numbers1"/>
        <w:jc w:val="both"/>
      </w:pPr>
      <w:r w:rsidRPr="00125958">
        <w:t xml:space="preserve">The definition of wire transfer in </w:t>
      </w:r>
      <w:r>
        <w:t>s</w:t>
      </w:r>
      <w:r w:rsidRPr="00125958">
        <w:t>ection 5 of the Act covers transactions to transfer funds by electronic means (including instructions sent via the SWIFT network or by internet-based systems). Electronic transactions made on behalf of customers that are accompanied by payment instructions are wire transfers where the payment is to be made to an account, facility or other arrangement at another institution.</w:t>
      </w:r>
    </w:p>
    <w:p w14:paraId="50E1E4D0" w14:textId="77777777" w:rsidR="00FE754D" w:rsidRPr="00125958" w:rsidRDefault="00FE754D" w:rsidP="002A074C">
      <w:pPr>
        <w:jc w:val="both"/>
        <w:rPr>
          <w:lang w:val="en-NZ"/>
        </w:rPr>
      </w:pPr>
    </w:p>
    <w:p w14:paraId="0513E060" w14:textId="77777777" w:rsidR="00FE754D" w:rsidRPr="00125958" w:rsidRDefault="00FE754D" w:rsidP="002A074C">
      <w:pPr>
        <w:pStyle w:val="Numbers1"/>
        <w:jc w:val="both"/>
      </w:pPr>
      <w:r w:rsidRPr="00125958">
        <w:t>Funds transfers to settle the purchase of securities or to redeem investments are wire transfers</w:t>
      </w:r>
      <w:r w:rsidRPr="00125958" w:rsidDel="000674E2">
        <w:t xml:space="preserve"> </w:t>
      </w:r>
      <w:r w:rsidRPr="00125958">
        <w:t>where the payment is being made to another institution.</w:t>
      </w:r>
    </w:p>
    <w:p w14:paraId="66936A0F" w14:textId="77777777" w:rsidR="00FE754D" w:rsidRPr="00125958" w:rsidRDefault="00FE754D" w:rsidP="002A074C">
      <w:pPr>
        <w:jc w:val="both"/>
        <w:rPr>
          <w:lang w:val="en-NZ"/>
        </w:rPr>
      </w:pPr>
    </w:p>
    <w:p w14:paraId="4058C194" w14:textId="77777777" w:rsidR="00FE754D" w:rsidRPr="00125958" w:rsidRDefault="00FE754D" w:rsidP="002A074C">
      <w:pPr>
        <w:pStyle w:val="Numbers1"/>
        <w:jc w:val="both"/>
      </w:pPr>
      <w:r w:rsidRPr="00125958">
        <w:t>For the purposes of the Act, transactions involving the use of debit or credit cards at ATMs or to pay for goods and services are not wire transfers if the credit or debit card number accompanies the transaction (so that the transfer can be readily reconstructed and traced to the card holder). Transfers and settlements between financial institutions</w:t>
      </w:r>
      <w:r>
        <w:t>,</w:t>
      </w:r>
      <w:r w:rsidRPr="00125958">
        <w:t xml:space="preserve"> if both the Originator and the Beneficiary/Payee are financial institutions acting on their own behalf</w:t>
      </w:r>
      <w:r>
        <w:t>,</w:t>
      </w:r>
      <w:r w:rsidRPr="00125958">
        <w:t xml:space="preserve"> are not wire transfers for the purposes of the Act. </w:t>
      </w:r>
    </w:p>
    <w:p w14:paraId="28071579" w14:textId="77777777" w:rsidR="00FE754D" w:rsidRPr="00125958" w:rsidRDefault="00FE754D" w:rsidP="002A074C">
      <w:pPr>
        <w:jc w:val="both"/>
      </w:pPr>
    </w:p>
    <w:p w14:paraId="32CF7A1B" w14:textId="77777777" w:rsidR="00FE754D" w:rsidRPr="00125958" w:rsidRDefault="00FE754D" w:rsidP="002A074C">
      <w:pPr>
        <w:pStyle w:val="Numbers1"/>
        <w:jc w:val="both"/>
      </w:pPr>
      <w:r w:rsidRPr="00125958">
        <w:t>The obligations relating to wire transfers are intended to reflect the Financial Action Taskforce (FATF) approach to wire transfers. The AML/CFT supervisors have interpreted the Act where possible</w:t>
      </w:r>
      <w:r>
        <w:t>,</w:t>
      </w:r>
      <w:r w:rsidRPr="00125958">
        <w:t xml:space="preserve"> to reflect the FATF definitions. Adopting FATF recommendations, where appropriate, is one of the purposes of the Act.</w:t>
      </w:r>
    </w:p>
    <w:p w14:paraId="5C8C2BA8" w14:textId="77777777" w:rsidR="00FE754D" w:rsidRDefault="00FE754D" w:rsidP="002A074C">
      <w:pPr>
        <w:jc w:val="both"/>
        <w:rPr>
          <w:lang w:val="en-US"/>
        </w:rPr>
      </w:pPr>
    </w:p>
    <w:p w14:paraId="0873C1AC" w14:textId="77777777" w:rsidR="00FE754D" w:rsidRPr="00125958" w:rsidRDefault="00FE754D" w:rsidP="002A074C">
      <w:pPr>
        <w:jc w:val="both"/>
        <w:rPr>
          <w:lang w:val="en-US"/>
        </w:rPr>
      </w:pPr>
    </w:p>
    <w:p w14:paraId="5BD99DB4" w14:textId="77777777" w:rsidR="00FE754D" w:rsidRPr="00125958" w:rsidRDefault="00FE754D" w:rsidP="002A074C">
      <w:pPr>
        <w:pStyle w:val="Heading2"/>
        <w:jc w:val="both"/>
        <w:rPr>
          <w:lang w:val="en-US"/>
        </w:rPr>
      </w:pPr>
      <w:r w:rsidRPr="00125958">
        <w:rPr>
          <w:lang w:val="en-US"/>
        </w:rPr>
        <w:t xml:space="preserve">Who are the parties to a wire transfer? </w:t>
      </w:r>
    </w:p>
    <w:p w14:paraId="4683E166" w14:textId="77777777" w:rsidR="00FE754D" w:rsidRPr="00125958" w:rsidRDefault="00FE754D" w:rsidP="002A074C">
      <w:pPr>
        <w:jc w:val="both"/>
        <w:rPr>
          <w:lang w:val="en-US"/>
        </w:rPr>
      </w:pPr>
    </w:p>
    <w:p w14:paraId="4C6AEC2E" w14:textId="77777777" w:rsidR="00FE754D" w:rsidRPr="00125958" w:rsidRDefault="00FE754D" w:rsidP="002A074C">
      <w:pPr>
        <w:pStyle w:val="Numbers1"/>
        <w:jc w:val="both"/>
      </w:pPr>
      <w:r w:rsidRPr="00125958">
        <w:t>The parties to a wire transfer are as follows:</w:t>
      </w:r>
    </w:p>
    <w:p w14:paraId="3CF390A8" w14:textId="77777777" w:rsidR="00FE754D" w:rsidRPr="00125958" w:rsidRDefault="00FE754D" w:rsidP="002A074C">
      <w:pPr>
        <w:pStyle w:val="Numbers1"/>
        <w:numPr>
          <w:ilvl w:val="0"/>
          <w:numId w:val="0"/>
        </w:numPr>
        <w:jc w:val="both"/>
      </w:pPr>
    </w:p>
    <w:p w14:paraId="67013EBE" w14:textId="77777777" w:rsidR="00E41970" w:rsidRDefault="00FE754D" w:rsidP="002A074C">
      <w:pPr>
        <w:pStyle w:val="Numbers1"/>
        <w:jc w:val="both"/>
      </w:pPr>
      <w:r w:rsidRPr="00125958">
        <w:rPr>
          <w:b/>
        </w:rPr>
        <w:t>Originator:</w:t>
      </w:r>
      <w:r w:rsidRPr="00125958">
        <w:t xml:space="preserve"> The person for whom the Ordering Institution is carrying out the funds transfer. This is referred to as the Payer in the definition of Ordering Institution in the Act. This is the person who authorises the wire transfer by giving the</w:t>
      </w:r>
    </w:p>
    <w:p w14:paraId="35D0E454" w14:textId="77777777" w:rsidR="00E41970" w:rsidRDefault="00E41970" w:rsidP="00E41970">
      <w:pPr>
        <w:pStyle w:val="Numbers1"/>
        <w:numPr>
          <w:ilvl w:val="0"/>
          <w:numId w:val="0"/>
        </w:numPr>
        <w:jc w:val="both"/>
      </w:pPr>
    </w:p>
    <w:p w14:paraId="29D4342C" w14:textId="77777777" w:rsidR="00FE754D" w:rsidRPr="00125958" w:rsidRDefault="00FE754D" w:rsidP="00E41970">
      <w:pPr>
        <w:pStyle w:val="Numbers1"/>
        <w:numPr>
          <w:ilvl w:val="0"/>
          <w:numId w:val="0"/>
        </w:numPr>
        <w:ind w:left="471"/>
        <w:jc w:val="both"/>
      </w:pPr>
      <w:r w:rsidRPr="00125958">
        <w:t>instruction as the account or facility holder</w:t>
      </w:r>
      <w:r>
        <w:t>,</w:t>
      </w:r>
      <w:r w:rsidRPr="00125958">
        <w:t xml:space="preserve"> or the person who seeks to place the order.  </w:t>
      </w:r>
    </w:p>
    <w:p w14:paraId="4CE244AA" w14:textId="77777777" w:rsidR="00FE754D" w:rsidRPr="00125958" w:rsidRDefault="00FE754D" w:rsidP="002A074C">
      <w:pPr>
        <w:jc w:val="both"/>
        <w:rPr>
          <w:lang w:val="en-NZ"/>
        </w:rPr>
      </w:pPr>
    </w:p>
    <w:p w14:paraId="1F710EF1" w14:textId="77777777" w:rsidR="00FE754D" w:rsidRPr="00125958" w:rsidRDefault="00FE754D" w:rsidP="002A074C">
      <w:pPr>
        <w:pStyle w:val="Numbers1"/>
        <w:jc w:val="both"/>
      </w:pPr>
      <w:r w:rsidRPr="00125958">
        <w:rPr>
          <w:b/>
        </w:rPr>
        <w:t>Ordering Institution</w:t>
      </w:r>
      <w:r w:rsidRPr="00125958">
        <w:t xml:space="preserve">: The person (usually a financial institution) who is instructed by the Originator to transfer funds controlled by the Originator to the Beneficiary/Payee by electronic means. Depending on the circumstances the Originator may be the same person as the Beneficiary/Payee. </w:t>
      </w:r>
    </w:p>
    <w:p w14:paraId="4F56FD94" w14:textId="77777777" w:rsidR="00FE754D" w:rsidRPr="00125958" w:rsidRDefault="00FE754D" w:rsidP="002A074C">
      <w:pPr>
        <w:pStyle w:val="Numbers1"/>
        <w:numPr>
          <w:ilvl w:val="0"/>
          <w:numId w:val="0"/>
        </w:numPr>
        <w:jc w:val="both"/>
      </w:pPr>
    </w:p>
    <w:p w14:paraId="574B0249" w14:textId="77777777" w:rsidR="00FE754D" w:rsidRPr="00125958" w:rsidRDefault="00FE754D" w:rsidP="002A074C">
      <w:pPr>
        <w:pStyle w:val="Numbers1"/>
        <w:jc w:val="both"/>
      </w:pPr>
      <w:r w:rsidRPr="00125958">
        <w:t>Often the Ordering Institution is the first institution that enters the transaction into a payment system. However, where a person uses another financial institution’s system</w:t>
      </w:r>
      <w:r>
        <w:t xml:space="preserve">, who </w:t>
      </w:r>
      <w:r w:rsidRPr="00125958">
        <w:t xml:space="preserve">the Ordering Institution </w:t>
      </w:r>
      <w:r>
        <w:t xml:space="preserve">is </w:t>
      </w:r>
      <w:r w:rsidRPr="00125958">
        <w:t>may depend on the nature of the arrangement between the financial institutions, for example agency arrangements.</w:t>
      </w:r>
    </w:p>
    <w:p w14:paraId="73A39D75" w14:textId="77777777" w:rsidR="00FE754D" w:rsidRPr="00125958" w:rsidRDefault="00FE754D" w:rsidP="002A074C">
      <w:pPr>
        <w:pStyle w:val="Numbers1"/>
        <w:numPr>
          <w:ilvl w:val="0"/>
          <w:numId w:val="0"/>
        </w:numPr>
        <w:jc w:val="both"/>
      </w:pPr>
    </w:p>
    <w:p w14:paraId="66DC83C4" w14:textId="77777777" w:rsidR="00FE754D" w:rsidRPr="00125958" w:rsidRDefault="00FE754D" w:rsidP="002A074C">
      <w:pPr>
        <w:pStyle w:val="Numbers1"/>
        <w:jc w:val="both"/>
      </w:pPr>
      <w:r w:rsidRPr="00125958">
        <w:rPr>
          <w:b/>
        </w:rPr>
        <w:t>Intermediary Institution</w:t>
      </w:r>
      <w:r w:rsidRPr="00125958">
        <w:t xml:space="preserve">: A person (usually a financial institution) who participates in a transfer of </w:t>
      </w:r>
      <w:proofErr w:type="gramStart"/>
      <w:r w:rsidRPr="00125958">
        <w:t>funds</w:t>
      </w:r>
      <w:r>
        <w:t>,</w:t>
      </w:r>
      <w:r w:rsidRPr="00125958">
        <w:t xml:space="preserve"> but</w:t>
      </w:r>
      <w:proofErr w:type="gramEnd"/>
      <w:r w:rsidRPr="00125958">
        <w:t xml:space="preserve"> is not an Ordering Institution or a Beneficiary Institution. The Intermediary Institution receives and transmits the wire transfer to the Beneficiary Institution or to another Intermediary Institution in the funds transfer chain.  </w:t>
      </w:r>
    </w:p>
    <w:p w14:paraId="34B7F68E" w14:textId="77777777" w:rsidR="00FE754D" w:rsidRPr="00125958" w:rsidRDefault="00FE754D" w:rsidP="002A074C">
      <w:pPr>
        <w:pStyle w:val="Numbers1"/>
        <w:numPr>
          <w:ilvl w:val="0"/>
          <w:numId w:val="0"/>
        </w:numPr>
        <w:jc w:val="both"/>
      </w:pPr>
    </w:p>
    <w:p w14:paraId="107A8533" w14:textId="77777777" w:rsidR="00FE754D" w:rsidRPr="00125958" w:rsidRDefault="00FE754D" w:rsidP="002A074C">
      <w:pPr>
        <w:pStyle w:val="Numbers1"/>
        <w:jc w:val="both"/>
      </w:pPr>
      <w:r w:rsidRPr="00125958">
        <w:rPr>
          <w:b/>
        </w:rPr>
        <w:t>Beneficiary Institution:</w:t>
      </w:r>
      <w:r w:rsidRPr="00125958">
        <w:t xml:space="preserve"> The person (usually a financial institution) who receives the wire transfer from the Ordering Institution</w:t>
      </w:r>
      <w:r>
        <w:t>,</w:t>
      </w:r>
      <w:r w:rsidRPr="00125958">
        <w:t xml:space="preserve"> directly or</w:t>
      </w:r>
      <w:r>
        <w:t xml:space="preserve"> indirectly</w:t>
      </w:r>
      <w:r w:rsidRPr="00125958">
        <w:t xml:space="preserve"> through an Intermediary Institution and then makes the funds available to the Beneficiary/Payee by crediting an account held by the Beneficiary/Payee with the Beneficiary Institution or paying the funds to the Beneficiary/Payee (e.g. by paying the funds out in cash).  </w:t>
      </w:r>
    </w:p>
    <w:p w14:paraId="4754A050" w14:textId="77777777" w:rsidR="00FE754D" w:rsidRPr="00125958" w:rsidRDefault="00FE754D" w:rsidP="002A074C">
      <w:pPr>
        <w:pStyle w:val="Numbers1"/>
        <w:numPr>
          <w:ilvl w:val="0"/>
          <w:numId w:val="0"/>
        </w:numPr>
        <w:jc w:val="both"/>
      </w:pPr>
    </w:p>
    <w:p w14:paraId="1496EC0A" w14:textId="77777777" w:rsidR="00FE754D" w:rsidRPr="00125958" w:rsidRDefault="00FE754D" w:rsidP="002A074C">
      <w:pPr>
        <w:pStyle w:val="Numbers1"/>
        <w:jc w:val="both"/>
      </w:pPr>
      <w:r w:rsidRPr="00125958">
        <w:rPr>
          <w:b/>
        </w:rPr>
        <w:t>Beneficiary/Payee:</w:t>
      </w:r>
      <w:r w:rsidRPr="00125958">
        <w:t xml:space="preserve"> This person is referred to as either the Payee or Beneficiary in the Act and the Anti-Money Laundering and Countering Financing of Terrorism (Requirements and Compliance) Regulations 2011, as amended. This is the person who is identified by the Originator as the receiver of the funds that the Originator instructs the Ordering Institution to transfer. The Beneficiary/Payee may be the same person as the Originator.  </w:t>
      </w:r>
    </w:p>
    <w:p w14:paraId="7CEA0057" w14:textId="77777777" w:rsidR="00FE754D" w:rsidRDefault="00FE754D" w:rsidP="002A074C">
      <w:pPr>
        <w:pStyle w:val="Numbers1"/>
        <w:numPr>
          <w:ilvl w:val="0"/>
          <w:numId w:val="0"/>
        </w:numPr>
        <w:jc w:val="both"/>
      </w:pPr>
    </w:p>
    <w:p w14:paraId="381BF919" w14:textId="77777777" w:rsidR="00FE754D" w:rsidRPr="00125958" w:rsidRDefault="00FE754D" w:rsidP="002A074C">
      <w:pPr>
        <w:pStyle w:val="Numbers1"/>
        <w:numPr>
          <w:ilvl w:val="0"/>
          <w:numId w:val="0"/>
        </w:numPr>
        <w:jc w:val="both"/>
      </w:pPr>
    </w:p>
    <w:p w14:paraId="243018B6" w14:textId="77777777" w:rsidR="00FE754D" w:rsidRPr="00125958" w:rsidRDefault="00FE754D" w:rsidP="002A074C">
      <w:pPr>
        <w:pStyle w:val="Heading2"/>
        <w:jc w:val="both"/>
        <w:rPr>
          <w:lang w:val="en-US"/>
        </w:rPr>
      </w:pPr>
      <w:r w:rsidRPr="00125958">
        <w:rPr>
          <w:lang w:val="en-US"/>
        </w:rPr>
        <w:t>What are the responsibilities placed on reporting entities that are Ordering, Intermediary, or Beneficiary Institutions?</w:t>
      </w:r>
    </w:p>
    <w:p w14:paraId="6430D5C8" w14:textId="77777777" w:rsidR="00FE754D" w:rsidRPr="00125958" w:rsidRDefault="00FE754D" w:rsidP="002A074C">
      <w:pPr>
        <w:pStyle w:val="Numbers1"/>
        <w:numPr>
          <w:ilvl w:val="0"/>
          <w:numId w:val="0"/>
        </w:numPr>
        <w:jc w:val="both"/>
        <w:rPr>
          <w:lang w:val="en-US"/>
        </w:rPr>
      </w:pPr>
    </w:p>
    <w:p w14:paraId="4086476D" w14:textId="77777777" w:rsidR="00FE754D" w:rsidRPr="00125958" w:rsidRDefault="00FE754D" w:rsidP="002A074C">
      <w:pPr>
        <w:pStyle w:val="Numbers1"/>
        <w:jc w:val="both"/>
      </w:pPr>
      <w:r w:rsidRPr="00125958">
        <w:t>Reporting entities are required to develop and implement appropriate policies, procedures and processes in their respective capacities as Ordering, Intermediary, and Beneficiary Institution</w:t>
      </w:r>
      <w:r>
        <w:t>s</w:t>
      </w:r>
      <w:r w:rsidRPr="00125958">
        <w:t xml:space="preserve"> in a wire transfer. These policies, procedures and processes should ensure that reporting entities include required Originator and Beneficiary/Payee information in payment messages and that they do not omit, delete or alter information in payment messages. </w:t>
      </w:r>
    </w:p>
    <w:p w14:paraId="7A6EFE68" w14:textId="77777777" w:rsidR="00FE754D" w:rsidRPr="00125958" w:rsidRDefault="00FE754D" w:rsidP="002A074C">
      <w:pPr>
        <w:pStyle w:val="Numbers1"/>
        <w:numPr>
          <w:ilvl w:val="0"/>
          <w:numId w:val="0"/>
        </w:numPr>
        <w:jc w:val="both"/>
      </w:pPr>
    </w:p>
    <w:p w14:paraId="0F22C582" w14:textId="77777777" w:rsidR="00FE754D" w:rsidRPr="00125958" w:rsidRDefault="00FE754D" w:rsidP="002A074C">
      <w:pPr>
        <w:pStyle w:val="Numbers1"/>
        <w:jc w:val="both"/>
      </w:pPr>
      <w:r w:rsidRPr="00125958">
        <w:t xml:space="preserve">The enhanced customer due diligence requirements relating to wire transfers in </w:t>
      </w:r>
      <w:r>
        <w:t>s</w:t>
      </w:r>
      <w:r w:rsidRPr="00125958">
        <w:t xml:space="preserve">ections 27 and 28 of the Act relate to the information required to accompany the wire transfer. These requirements are in addition to any customer due diligence requirements that would apply to customers and other persons under </w:t>
      </w:r>
      <w:r>
        <w:t>s</w:t>
      </w:r>
      <w:r w:rsidRPr="00125958">
        <w:t xml:space="preserve">ection 11 of the Act. The obligation to conduct customer due diligence to the standard required by </w:t>
      </w:r>
      <w:r>
        <w:t>s</w:t>
      </w:r>
      <w:r w:rsidRPr="00125958">
        <w:t xml:space="preserve">ections 15 and 16 of the </w:t>
      </w:r>
      <w:r>
        <w:t>Act, if appropriate, still applies</w:t>
      </w:r>
      <w:r w:rsidRPr="00125958">
        <w:t>.</w:t>
      </w:r>
    </w:p>
    <w:p w14:paraId="43FFCB17" w14:textId="77777777" w:rsidR="00FE754D" w:rsidRDefault="00FE754D" w:rsidP="002A074C">
      <w:pPr>
        <w:pStyle w:val="Numbers1"/>
        <w:numPr>
          <w:ilvl w:val="0"/>
          <w:numId w:val="0"/>
        </w:numPr>
        <w:jc w:val="both"/>
      </w:pPr>
    </w:p>
    <w:p w14:paraId="471F1A68" w14:textId="77777777" w:rsidR="00E41970" w:rsidRPr="00125958" w:rsidRDefault="00E41970" w:rsidP="002A074C">
      <w:pPr>
        <w:pStyle w:val="Numbers1"/>
        <w:numPr>
          <w:ilvl w:val="0"/>
          <w:numId w:val="0"/>
        </w:numPr>
        <w:jc w:val="both"/>
      </w:pPr>
    </w:p>
    <w:p w14:paraId="0F44D496" w14:textId="77777777" w:rsidR="00FE754D" w:rsidRPr="00125958" w:rsidRDefault="00FE754D" w:rsidP="002A074C">
      <w:pPr>
        <w:pStyle w:val="Numbers1"/>
        <w:jc w:val="both"/>
      </w:pPr>
      <w:r w:rsidRPr="00125958">
        <w:t xml:space="preserve">Customer due diligence requirements for wire transfers are designed to enable information on the parties </w:t>
      </w:r>
      <w:r>
        <w:t>to</w:t>
      </w:r>
      <w:r w:rsidRPr="00125958">
        <w:t xml:space="preserve"> a wire transfer to be immediately available </w:t>
      </w:r>
      <w:proofErr w:type="gramStart"/>
      <w:r w:rsidRPr="00125958">
        <w:t>so as to</w:t>
      </w:r>
      <w:proofErr w:type="gramEnd"/>
      <w:r w:rsidRPr="00125958">
        <w:t xml:space="preserve"> hinder</w:t>
      </w:r>
      <w:r w:rsidRPr="00125958" w:rsidDel="00B024C5">
        <w:t xml:space="preserve"> </w:t>
      </w:r>
      <w:r>
        <w:t xml:space="preserve">the </w:t>
      </w:r>
      <w:r w:rsidRPr="00125958">
        <w:t>anonymous use and misuse of wire transfers by money launderers and financ</w:t>
      </w:r>
      <w:r>
        <w:t>i</w:t>
      </w:r>
      <w:r w:rsidRPr="00125958">
        <w:t>ers of terrorism.</w:t>
      </w:r>
    </w:p>
    <w:p w14:paraId="5E9C38EF" w14:textId="77777777" w:rsidR="00FE754D" w:rsidRPr="00125958" w:rsidRDefault="00FE754D" w:rsidP="002A074C">
      <w:pPr>
        <w:pStyle w:val="Numbers1"/>
        <w:numPr>
          <w:ilvl w:val="0"/>
          <w:numId w:val="0"/>
        </w:numPr>
        <w:jc w:val="both"/>
        <w:rPr>
          <w:bCs/>
        </w:rPr>
      </w:pPr>
    </w:p>
    <w:p w14:paraId="2A411CBD" w14:textId="77777777" w:rsidR="00FE754D" w:rsidRPr="00125958" w:rsidRDefault="00FE754D" w:rsidP="002A074C">
      <w:pPr>
        <w:pStyle w:val="Numbers1"/>
        <w:jc w:val="both"/>
      </w:pPr>
      <w:r w:rsidRPr="00125958">
        <w:t xml:space="preserve">Sections 27-28 of the Act and </w:t>
      </w:r>
      <w:r>
        <w:t>r</w:t>
      </w:r>
      <w:r w:rsidRPr="00125958">
        <w:t>egulation 7 of the Anti-Money Laundering and Countering Financing of Terrorism (Requirements and Compliance) Regulations 2011, as amended, set out the information that must be collected about the Originator and Beneficiary/Payee to be included in payment instructions that accompany the wire transfer.</w:t>
      </w:r>
      <w:r w:rsidR="00F75F4A">
        <w:t xml:space="preserve"> </w:t>
      </w:r>
      <w:r w:rsidRPr="00125958">
        <w:t xml:space="preserve">These provisions also set out the various mechanisms that must be used to ensure that complete and accurate information has been included in such instructions. </w:t>
      </w:r>
    </w:p>
    <w:p w14:paraId="1EF8586D" w14:textId="77777777" w:rsidR="00FE754D" w:rsidRPr="00125958" w:rsidRDefault="00FE754D" w:rsidP="002A074C">
      <w:pPr>
        <w:pStyle w:val="Numbers1"/>
        <w:numPr>
          <w:ilvl w:val="0"/>
          <w:numId w:val="0"/>
        </w:numPr>
        <w:jc w:val="both"/>
        <w:rPr>
          <w:bCs/>
        </w:rPr>
      </w:pPr>
    </w:p>
    <w:p w14:paraId="3865184D" w14:textId="77777777" w:rsidR="00FE754D" w:rsidRPr="00125958" w:rsidRDefault="00FE754D" w:rsidP="002A074C">
      <w:pPr>
        <w:pStyle w:val="Numbers1"/>
        <w:jc w:val="both"/>
      </w:pPr>
      <w:r w:rsidRPr="00125958">
        <w:t xml:space="preserve">A reporting entity must conduct enhanced customer due diligence in accordance with </w:t>
      </w:r>
      <w:r>
        <w:t>s</w:t>
      </w:r>
      <w:r w:rsidRPr="00125958">
        <w:t>ections 27 and 28 of the Act if it is an Ordering Institution, an Intermediary Institution, or a Beneficiary Institution in relation to a wire transfer, except where the wire transfer is $1,000 or less (</w:t>
      </w:r>
      <w:r>
        <w:t>s</w:t>
      </w:r>
      <w:r w:rsidRPr="00125958">
        <w:t xml:space="preserve">ection 22(3) of the Act and </w:t>
      </w:r>
      <w:r>
        <w:t>r</w:t>
      </w:r>
      <w:r w:rsidRPr="00125958">
        <w:t>egulation 5A of the Anti-Money Laundering and Countering Financing of Terrorism (Definitions) Regulations 2011, as amended).</w:t>
      </w:r>
      <w:r w:rsidRPr="00125958">
        <w:rPr>
          <w:vertAlign w:val="superscript"/>
          <w:lang w:val="en-US"/>
        </w:rPr>
        <w:footnoteReference w:id="3"/>
      </w:r>
      <w:r w:rsidRPr="00125958">
        <w:t xml:space="preserve">   </w:t>
      </w:r>
    </w:p>
    <w:p w14:paraId="19621F7C" w14:textId="77777777" w:rsidR="00FE754D" w:rsidRPr="00125958" w:rsidRDefault="00FE754D" w:rsidP="002A074C">
      <w:pPr>
        <w:pStyle w:val="Numbers1"/>
        <w:numPr>
          <w:ilvl w:val="0"/>
          <w:numId w:val="0"/>
        </w:numPr>
        <w:jc w:val="both"/>
      </w:pPr>
    </w:p>
    <w:p w14:paraId="645EA5E5" w14:textId="77777777" w:rsidR="00FE754D" w:rsidRPr="00125958" w:rsidRDefault="00FE754D" w:rsidP="002A074C">
      <w:pPr>
        <w:pStyle w:val="Numbers1"/>
        <w:jc w:val="both"/>
      </w:pPr>
      <w:r w:rsidRPr="00125958">
        <w:t xml:space="preserve">Where the Originator is an existing customer of the Ordering Institution that has not been subject to customer due diligence to the standard required of the Act, reporting entities may need to review the information held on the customer to ensure it complies with the identity and verification of identity requirements in </w:t>
      </w:r>
      <w:r>
        <w:t>s</w:t>
      </w:r>
      <w:r w:rsidRPr="00125958">
        <w:t>ections 27 and 28 of the Act.</w:t>
      </w:r>
    </w:p>
    <w:p w14:paraId="1E0F37D5" w14:textId="77777777" w:rsidR="00FE754D" w:rsidRPr="00125958" w:rsidRDefault="00FE754D" w:rsidP="002A074C">
      <w:pPr>
        <w:pStyle w:val="Numbers1"/>
        <w:numPr>
          <w:ilvl w:val="0"/>
          <w:numId w:val="0"/>
        </w:numPr>
        <w:jc w:val="both"/>
      </w:pPr>
    </w:p>
    <w:p w14:paraId="48DDA099" w14:textId="77777777" w:rsidR="00FE754D" w:rsidRPr="00125958" w:rsidRDefault="00FE754D" w:rsidP="002A074C">
      <w:pPr>
        <w:pStyle w:val="Heading3"/>
        <w:jc w:val="both"/>
      </w:pPr>
      <w:r w:rsidRPr="00125958">
        <w:t>For Ordering Institutions</w:t>
      </w:r>
    </w:p>
    <w:p w14:paraId="7966EC97" w14:textId="77777777" w:rsidR="00FE754D" w:rsidRPr="00125958" w:rsidRDefault="00FE754D" w:rsidP="002A074C">
      <w:pPr>
        <w:pStyle w:val="Numbers1"/>
        <w:jc w:val="both"/>
      </w:pPr>
      <w:r w:rsidRPr="00125958">
        <w:t xml:space="preserve">An Ordering Institution that is a reporting entity must ensure that wire transfers over the $1,000 threshold are accompanied by the required Originator and Beneficiary/Payee information.  </w:t>
      </w:r>
    </w:p>
    <w:p w14:paraId="7C8F42FB" w14:textId="77777777" w:rsidR="00FE754D" w:rsidRPr="00125958" w:rsidRDefault="00FE754D" w:rsidP="002A074C">
      <w:pPr>
        <w:pStyle w:val="Numbers1"/>
        <w:numPr>
          <w:ilvl w:val="0"/>
          <w:numId w:val="0"/>
        </w:numPr>
        <w:jc w:val="both"/>
      </w:pPr>
    </w:p>
    <w:p w14:paraId="1F098734" w14:textId="77777777" w:rsidR="00FE754D" w:rsidRPr="00125958" w:rsidRDefault="00FE754D" w:rsidP="002A074C">
      <w:pPr>
        <w:pStyle w:val="Numbers1"/>
        <w:jc w:val="both"/>
      </w:pPr>
      <w:r w:rsidRPr="00125958">
        <w:t xml:space="preserve">For cross-border wire transfers the information obtained under </w:t>
      </w:r>
      <w:r>
        <w:t>s</w:t>
      </w:r>
      <w:r w:rsidRPr="00125958">
        <w:t>ection 27(1) of the Act by a reporting entity that is an Ordering Institution must accompany the wire transfer.</w:t>
      </w:r>
      <w:r w:rsidRPr="00125958">
        <w:rPr>
          <w:vertAlign w:val="superscript"/>
          <w:lang w:val="en-US"/>
        </w:rPr>
        <w:footnoteReference w:id="4"/>
      </w:r>
      <w:r w:rsidRPr="00125958">
        <w:t xml:space="preserve"> This information consists of Originator and Beneficiary/Payee information. The required Originator information is the Originator’s full name, account number if available, and at least one of the following: address, national identity number, customer identification number or place and date of birth. The required Beneficiary/Payee information is the Beneficiary/Payee name and account number or unique transaction reference.</w:t>
      </w:r>
    </w:p>
    <w:p w14:paraId="4B949EA5" w14:textId="77777777" w:rsidR="00FE754D" w:rsidRPr="00125958" w:rsidRDefault="00FE754D" w:rsidP="002A074C">
      <w:pPr>
        <w:pStyle w:val="Numbers1"/>
        <w:numPr>
          <w:ilvl w:val="0"/>
          <w:numId w:val="0"/>
        </w:numPr>
        <w:jc w:val="both"/>
      </w:pPr>
    </w:p>
    <w:p w14:paraId="1F970818" w14:textId="77777777" w:rsidR="00E41970" w:rsidRDefault="00FE754D" w:rsidP="002A074C">
      <w:pPr>
        <w:pStyle w:val="Numbers1"/>
        <w:jc w:val="both"/>
      </w:pPr>
      <w:r w:rsidRPr="00125958">
        <w:t xml:space="preserve">For domestic wire transfers the Act provides two ways </w:t>
      </w:r>
      <w:r>
        <w:t xml:space="preserve">of </w:t>
      </w:r>
      <w:r w:rsidRPr="00125958">
        <w:t>fulfilling due diligence obligations. First</w:t>
      </w:r>
      <w:r>
        <w:t>ly</w:t>
      </w:r>
      <w:r w:rsidRPr="00125958">
        <w:t xml:space="preserve">, a reporting entity that is an Ordering Institution may include the Originator information required under </w:t>
      </w:r>
      <w:r>
        <w:t>s</w:t>
      </w:r>
      <w:r w:rsidRPr="00125958">
        <w:t>ection 27(1) of the Act in the information that accompanies the wire transfer. Second</w:t>
      </w:r>
      <w:r>
        <w:t>ly</w:t>
      </w:r>
      <w:r w:rsidRPr="00125958">
        <w:t xml:space="preserve">, Ordering Institutions may only include the Originator’s account number or any other information that enables the wire transfer to be identified and traced to the Originator (e.g. a </w:t>
      </w:r>
    </w:p>
    <w:p w14:paraId="001E46A2" w14:textId="77777777" w:rsidR="00E41970" w:rsidRDefault="00E41970" w:rsidP="00E41970">
      <w:pPr>
        <w:pStyle w:val="Numbers1"/>
        <w:numPr>
          <w:ilvl w:val="0"/>
          <w:numId w:val="0"/>
        </w:numPr>
        <w:jc w:val="both"/>
      </w:pPr>
    </w:p>
    <w:p w14:paraId="24885406" w14:textId="77777777" w:rsidR="00FE754D" w:rsidRPr="00125958" w:rsidRDefault="00FE754D" w:rsidP="00E41970">
      <w:pPr>
        <w:pStyle w:val="Numbers1"/>
        <w:numPr>
          <w:ilvl w:val="0"/>
          <w:numId w:val="0"/>
        </w:numPr>
        <w:ind w:left="471"/>
        <w:jc w:val="both"/>
      </w:pPr>
      <w:r w:rsidRPr="00125958">
        <w:t>transaction reference number) (</w:t>
      </w:r>
      <w:r>
        <w:t>s</w:t>
      </w:r>
      <w:r w:rsidRPr="00125958">
        <w:t xml:space="preserve">ection 27(2) of the Act and </w:t>
      </w:r>
      <w:r>
        <w:t>r</w:t>
      </w:r>
      <w:r w:rsidRPr="00125958">
        <w:t>egulation 7 of the Anti-Money Laundering and Countering Financing of Terrorism (Requirements and Compliance) Regulations 2011).</w:t>
      </w:r>
      <w:r w:rsidRPr="00125958">
        <w:rPr>
          <w:vertAlign w:val="superscript"/>
          <w:lang w:val="en-US"/>
        </w:rPr>
        <w:footnoteReference w:id="5"/>
      </w:r>
      <w:r w:rsidRPr="00125958">
        <w:t xml:space="preserve"> The Ordering Institution may only take advantage of the second option involving reduced information requirements for domestic wire transfers</w:t>
      </w:r>
      <w:r>
        <w:t>,</w:t>
      </w:r>
      <w:r w:rsidRPr="00125958">
        <w:t xml:space="preserve"> where the Ordering Institution is able to provide the other information specified in </w:t>
      </w:r>
      <w:r>
        <w:t>s</w:t>
      </w:r>
      <w:r w:rsidRPr="00125958">
        <w:t xml:space="preserve">ection 27(1) of the Act within </w:t>
      </w:r>
      <w:r>
        <w:t>three</w:t>
      </w:r>
      <w:r w:rsidRPr="00125958">
        <w:t xml:space="preserve"> working days of a request being made by the Beneficiary Institution.</w:t>
      </w:r>
    </w:p>
    <w:p w14:paraId="1D0C333D" w14:textId="77777777" w:rsidR="00FE754D" w:rsidRPr="00125958" w:rsidRDefault="00FE754D" w:rsidP="002A074C">
      <w:pPr>
        <w:pStyle w:val="Numbers1"/>
        <w:numPr>
          <w:ilvl w:val="0"/>
          <w:numId w:val="0"/>
        </w:numPr>
        <w:jc w:val="both"/>
      </w:pPr>
    </w:p>
    <w:p w14:paraId="781670D7" w14:textId="77777777" w:rsidR="00FE754D" w:rsidRPr="00125958" w:rsidRDefault="00FE754D" w:rsidP="002A074C">
      <w:pPr>
        <w:pStyle w:val="Numbers1"/>
        <w:jc w:val="both"/>
      </w:pPr>
      <w:r w:rsidRPr="00125958">
        <w:t xml:space="preserve">The Ordering Institution must, according to the level of risk involved, verify the Originator’s identity so that the reporting entity is satisfied that the required Originator information provided under </w:t>
      </w:r>
      <w:r>
        <w:t>s</w:t>
      </w:r>
      <w:r w:rsidRPr="00125958">
        <w:t>ection 27 is current and correct (</w:t>
      </w:r>
      <w:r>
        <w:t>s</w:t>
      </w:r>
      <w:r w:rsidRPr="00125958">
        <w:t xml:space="preserve">ection 28 of the Act). Verification of the Originator’s identity must be carried out before the wire transfer is ordered. The Originator’s identity should be verified </w:t>
      </w:r>
      <w:proofErr w:type="gramStart"/>
      <w:r>
        <w:t>on the basis of</w:t>
      </w:r>
      <w:proofErr w:type="gramEnd"/>
      <w:r w:rsidRPr="00125958">
        <w:t xml:space="preserve"> documents</w:t>
      </w:r>
      <w:r>
        <w:t xml:space="preserve"> and</w:t>
      </w:r>
      <w:r w:rsidRPr="00125958">
        <w:t xml:space="preserve"> data or information issued by a reliable and independent source. The information gathered may assist </w:t>
      </w:r>
      <w:r>
        <w:t>the Ordering Institution</w:t>
      </w:r>
      <w:r w:rsidRPr="00125958">
        <w:t xml:space="preserve"> with ongoing account monitoring.</w:t>
      </w:r>
    </w:p>
    <w:p w14:paraId="0FF3E577" w14:textId="77777777" w:rsidR="00FE754D" w:rsidRPr="00125958" w:rsidRDefault="00FE754D" w:rsidP="002A074C">
      <w:pPr>
        <w:pStyle w:val="Numbers1"/>
        <w:numPr>
          <w:ilvl w:val="0"/>
          <w:numId w:val="0"/>
        </w:numPr>
        <w:jc w:val="both"/>
      </w:pPr>
    </w:p>
    <w:p w14:paraId="1AB6B55D" w14:textId="77777777" w:rsidR="00FE754D" w:rsidRPr="00125958" w:rsidRDefault="00FE754D" w:rsidP="002A074C">
      <w:pPr>
        <w:pStyle w:val="Numbers1"/>
        <w:jc w:val="both"/>
      </w:pPr>
      <w:r w:rsidRPr="00125958">
        <w:t>Ordering Institutions are required to obtain (but not verify) identity information on the Beneficiary/Payee of a wire transfer over the threshold of $1,000.</w:t>
      </w:r>
      <w:r w:rsidRPr="00125958">
        <w:rPr>
          <w:vertAlign w:val="superscript"/>
        </w:rPr>
        <w:footnoteReference w:id="6"/>
      </w:r>
      <w:r w:rsidRPr="00125958">
        <w:t xml:space="preserve"> The information required is the name of the Beneficiary/Payee of a wire transfer and the account number of that Beneficiary/Payee or any unique transaction reference that allows the transaction to be traced</w:t>
      </w:r>
      <w:r>
        <w:t>.</w:t>
      </w:r>
    </w:p>
    <w:p w14:paraId="6E586DED" w14:textId="77777777" w:rsidR="00FE754D" w:rsidRPr="00125958" w:rsidRDefault="00FE754D" w:rsidP="002A074C">
      <w:pPr>
        <w:pStyle w:val="Numbers1"/>
        <w:numPr>
          <w:ilvl w:val="0"/>
          <w:numId w:val="0"/>
        </w:numPr>
        <w:jc w:val="both"/>
      </w:pPr>
    </w:p>
    <w:p w14:paraId="517DFF54" w14:textId="77777777" w:rsidR="00FE754D" w:rsidRPr="00125958" w:rsidRDefault="00FE754D" w:rsidP="002A074C">
      <w:pPr>
        <w:pStyle w:val="Heading3"/>
        <w:jc w:val="both"/>
      </w:pPr>
      <w:r w:rsidRPr="00125958">
        <w:t>For Intermediary Institutions</w:t>
      </w:r>
    </w:p>
    <w:p w14:paraId="69B91873" w14:textId="77777777" w:rsidR="00FE754D" w:rsidRPr="00125958" w:rsidRDefault="00FE754D" w:rsidP="002A074C">
      <w:pPr>
        <w:pStyle w:val="Numbers1"/>
        <w:jc w:val="both"/>
      </w:pPr>
      <w:r w:rsidRPr="00125958">
        <w:t>An Intermediary Institution that is a reporting entity must ensure that all information that accompanies a wire transfer is retained with it when transmitted to another Intermediary Institution or Beneficiary Institution (</w:t>
      </w:r>
      <w:r>
        <w:t>s</w:t>
      </w:r>
      <w:r w:rsidRPr="00125958">
        <w:t xml:space="preserve">ection 27(6) of the Act). </w:t>
      </w:r>
    </w:p>
    <w:p w14:paraId="7CEBD2EF" w14:textId="77777777" w:rsidR="00FE754D" w:rsidRPr="00125958" w:rsidRDefault="00FE754D" w:rsidP="002A074C">
      <w:pPr>
        <w:pStyle w:val="Numbers1"/>
        <w:numPr>
          <w:ilvl w:val="0"/>
          <w:numId w:val="0"/>
        </w:numPr>
        <w:jc w:val="both"/>
      </w:pPr>
    </w:p>
    <w:p w14:paraId="7E080EE2" w14:textId="77777777" w:rsidR="00FE754D" w:rsidRPr="00125958" w:rsidRDefault="00FE754D" w:rsidP="002A074C">
      <w:pPr>
        <w:pStyle w:val="Heading3"/>
        <w:jc w:val="both"/>
      </w:pPr>
      <w:r w:rsidRPr="00125958">
        <w:t>For Beneficiary Institution</w:t>
      </w:r>
    </w:p>
    <w:p w14:paraId="1630023E" w14:textId="77777777" w:rsidR="00FE754D" w:rsidRPr="00125958" w:rsidRDefault="00FE754D" w:rsidP="002A074C">
      <w:pPr>
        <w:pStyle w:val="Numbers1"/>
        <w:jc w:val="both"/>
      </w:pPr>
      <w:r w:rsidRPr="00125958">
        <w:t xml:space="preserve">A Beneficiary Institution must use effective risk-based procedures for handling wire transfers that are not accompanied by all the information specified in </w:t>
      </w:r>
      <w:r>
        <w:t>s</w:t>
      </w:r>
      <w:r w:rsidRPr="00125958">
        <w:t>ection 27(1) of the Act and consider whether wire transfers lacking full information constitute suspicious transactions (</w:t>
      </w:r>
      <w:r>
        <w:t>s</w:t>
      </w:r>
      <w:r w:rsidRPr="00125958">
        <w:t xml:space="preserve">ection 27(5) of the Act). The procedures should assist Beneficiary Institutions to determine when to execute, reject or suspend wire transfers lacking required Originator or Beneficiary/Payee information and the appropriate follow-up action to take (e.g. requesting further information from the Ordering Institution </w:t>
      </w:r>
      <w:r>
        <w:t>about</w:t>
      </w:r>
      <w:r w:rsidRPr="00125958">
        <w:t xml:space="preserve"> the instruction or filing a suspicious transaction report).  </w:t>
      </w:r>
    </w:p>
    <w:p w14:paraId="4AD2CE07" w14:textId="77777777" w:rsidR="00FE754D" w:rsidRDefault="00FE754D" w:rsidP="002A074C">
      <w:pPr>
        <w:pStyle w:val="Numbers1"/>
        <w:numPr>
          <w:ilvl w:val="0"/>
          <w:numId w:val="0"/>
        </w:numPr>
        <w:jc w:val="both"/>
      </w:pPr>
    </w:p>
    <w:p w14:paraId="1436C3A7" w14:textId="77777777" w:rsidR="00E41970" w:rsidRDefault="00E41970" w:rsidP="002A074C">
      <w:pPr>
        <w:pStyle w:val="Numbers1"/>
        <w:numPr>
          <w:ilvl w:val="0"/>
          <w:numId w:val="0"/>
        </w:numPr>
        <w:jc w:val="both"/>
      </w:pPr>
    </w:p>
    <w:p w14:paraId="13FCA0BB" w14:textId="77777777" w:rsidR="00E41970" w:rsidRDefault="00E41970" w:rsidP="002A074C">
      <w:pPr>
        <w:pStyle w:val="Numbers1"/>
        <w:numPr>
          <w:ilvl w:val="0"/>
          <w:numId w:val="0"/>
        </w:numPr>
        <w:jc w:val="both"/>
      </w:pPr>
    </w:p>
    <w:p w14:paraId="5DAEEF36" w14:textId="77777777" w:rsidR="00E41970" w:rsidRDefault="00E41970" w:rsidP="002A074C">
      <w:pPr>
        <w:pStyle w:val="Numbers1"/>
        <w:numPr>
          <w:ilvl w:val="0"/>
          <w:numId w:val="0"/>
        </w:numPr>
        <w:jc w:val="both"/>
      </w:pPr>
    </w:p>
    <w:p w14:paraId="1B1BDD2F" w14:textId="77777777" w:rsidR="00E41970" w:rsidRDefault="00E41970" w:rsidP="002A074C">
      <w:pPr>
        <w:pStyle w:val="Numbers1"/>
        <w:numPr>
          <w:ilvl w:val="0"/>
          <w:numId w:val="0"/>
        </w:numPr>
        <w:jc w:val="both"/>
      </w:pPr>
    </w:p>
    <w:p w14:paraId="17012380" w14:textId="77777777" w:rsidR="00E41970" w:rsidRDefault="00E41970" w:rsidP="002A074C">
      <w:pPr>
        <w:pStyle w:val="Numbers1"/>
        <w:numPr>
          <w:ilvl w:val="0"/>
          <w:numId w:val="0"/>
        </w:numPr>
        <w:jc w:val="both"/>
      </w:pPr>
    </w:p>
    <w:p w14:paraId="21BBADA8" w14:textId="77777777" w:rsidR="00E41970" w:rsidRDefault="00E41970" w:rsidP="002A074C">
      <w:pPr>
        <w:pStyle w:val="Numbers1"/>
        <w:numPr>
          <w:ilvl w:val="0"/>
          <w:numId w:val="0"/>
        </w:numPr>
        <w:jc w:val="both"/>
      </w:pPr>
    </w:p>
    <w:p w14:paraId="3801DCCD" w14:textId="77777777" w:rsidR="00E41970" w:rsidRPr="00125958" w:rsidRDefault="00E41970" w:rsidP="002A074C">
      <w:pPr>
        <w:pStyle w:val="Numbers1"/>
        <w:numPr>
          <w:ilvl w:val="0"/>
          <w:numId w:val="0"/>
        </w:numPr>
        <w:jc w:val="both"/>
      </w:pPr>
    </w:p>
    <w:p w14:paraId="3A8064FD" w14:textId="77777777" w:rsidR="00FE754D" w:rsidRPr="00125958" w:rsidRDefault="00FE754D" w:rsidP="00E41970">
      <w:pPr>
        <w:pStyle w:val="Numbers1"/>
        <w:jc w:val="both"/>
      </w:pPr>
      <w:r w:rsidRPr="00125958">
        <w:t>A Beneficiary Institution receiving</w:t>
      </w:r>
      <w:r>
        <w:t xml:space="preserve"> any wire transfer over $1000 (</w:t>
      </w:r>
      <w:r w:rsidRPr="00125958">
        <w:t xml:space="preserve">whether the transaction is carried out in a single operation or several operations that appear to be linked) outside a business relationship is </w:t>
      </w:r>
      <w:r>
        <w:t xml:space="preserve">declared </w:t>
      </w:r>
      <w:r w:rsidRPr="00125958">
        <w:t>an occasional transaction for the purposes of the Act. Therefore, a Beneficiary Institution of a wire transfer over $1000 must ensure that customer due diligence is carried out on the Beneficiary/Payee of a wire transfer before funds are released.</w:t>
      </w:r>
      <w:r w:rsidRPr="00125958">
        <w:rPr>
          <w:vertAlign w:val="superscript"/>
        </w:rPr>
        <w:footnoteReference w:id="7"/>
      </w:r>
      <w:r w:rsidRPr="00125958">
        <w:t xml:space="preserve"> </w:t>
      </w:r>
    </w:p>
    <w:p w14:paraId="6AAF0072" w14:textId="77777777" w:rsidR="00FE754D" w:rsidRPr="00125958" w:rsidRDefault="00FE754D" w:rsidP="00125958"/>
    <w:p w14:paraId="56B0FAA4" w14:textId="77777777" w:rsidR="00FE754D" w:rsidRDefault="00FE754D" w:rsidP="00125958"/>
    <w:p w14:paraId="5E8C4EA0" w14:textId="77777777" w:rsidR="00FE754D" w:rsidRDefault="00FE754D" w:rsidP="00125958"/>
    <w:p w14:paraId="47B1434A" w14:textId="77777777" w:rsidR="00FE754D" w:rsidRDefault="00FE754D" w:rsidP="00125958"/>
    <w:p w14:paraId="766F4EB0" w14:textId="77777777" w:rsidR="00FE754D" w:rsidRPr="00125958" w:rsidRDefault="00FE754D" w:rsidP="00125958">
      <w:r>
        <w:t>August</w:t>
      </w:r>
      <w:r w:rsidRPr="00125958">
        <w:t xml:space="preserve"> 2013</w:t>
      </w:r>
    </w:p>
    <w:p w14:paraId="272AA9DA" w14:textId="77777777" w:rsidR="00FE754D" w:rsidRPr="00125958" w:rsidRDefault="00FE754D" w:rsidP="00125958">
      <w:pPr>
        <w:rPr>
          <w:lang w:val="en-NZ"/>
        </w:rPr>
      </w:pPr>
    </w:p>
    <w:p w14:paraId="2AC2EA09" w14:textId="77777777" w:rsidR="00FE754D" w:rsidRDefault="00FE754D" w:rsidP="00125958">
      <w:pPr>
        <w:tabs>
          <w:tab w:val="left" w:pos="1440"/>
        </w:tabs>
      </w:pPr>
    </w:p>
    <w:p w14:paraId="12992CF2" w14:textId="77777777" w:rsidR="00FE754D" w:rsidRDefault="00FE754D" w:rsidP="008C101C">
      <w:pPr>
        <w:tabs>
          <w:tab w:val="left" w:pos="1440"/>
        </w:tabs>
        <w:rPr>
          <w:spacing w:val="-2"/>
        </w:rPr>
      </w:pPr>
      <w:r w:rsidRPr="00C624DA">
        <w:rPr>
          <w:noProof/>
          <w:lang w:val="en-NZ" w:eastAsia="en-NZ"/>
        </w:rPr>
        <w:pict w14:anchorId="3DBAB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i1025" type="#_x0000_t75" alt="http://intranet/SiteAssets/FMA%20Master%20Logo%2040mm.jpg" style="width:192.75pt;height:54pt;visibility:visible">
            <v:imagedata r:id="rId7" o:title=""/>
          </v:shape>
        </w:pict>
      </w:r>
    </w:p>
    <w:p w14:paraId="195DF2F1" w14:textId="77777777" w:rsidR="00FE754D" w:rsidRDefault="00FE754D" w:rsidP="008C101C">
      <w:pPr>
        <w:tabs>
          <w:tab w:val="left" w:pos="1440"/>
        </w:tabs>
        <w:rPr>
          <w:spacing w:val="-2"/>
        </w:rPr>
      </w:pPr>
    </w:p>
    <w:p w14:paraId="443DD5C7" w14:textId="77777777" w:rsidR="00FE754D" w:rsidRDefault="00FE754D" w:rsidP="008C101C">
      <w:pPr>
        <w:tabs>
          <w:tab w:val="left" w:pos="1440"/>
        </w:tabs>
        <w:rPr>
          <w:spacing w:val="-2"/>
        </w:rPr>
      </w:pPr>
    </w:p>
    <w:p w14:paraId="133EFF0C" w14:textId="77777777" w:rsidR="00FE754D" w:rsidRDefault="00FE754D" w:rsidP="008C101C">
      <w:pPr>
        <w:tabs>
          <w:tab w:val="left" w:pos="1440"/>
        </w:tabs>
        <w:rPr>
          <w:spacing w:val="-2"/>
        </w:rPr>
      </w:pPr>
    </w:p>
    <w:p w14:paraId="72CB3B55" w14:textId="77777777" w:rsidR="00FE754D" w:rsidRDefault="00E01833" w:rsidP="008C101C">
      <w:pPr>
        <w:tabs>
          <w:tab w:val="left" w:pos="1440"/>
        </w:tabs>
        <w:rPr>
          <w:spacing w:val="-2"/>
        </w:rPr>
      </w:pPr>
      <w:r>
        <w:rPr>
          <w:noProof/>
        </w:rPr>
        <w:pict w14:anchorId="745B9F54">
          <v:shape id="_x0000_s2057" type="#_x0000_t75" style="position:absolute;margin-left:-9.75pt;margin-top:35.15pt;width:249.9pt;height:167.55pt;z-index:-1">
            <v:imagedata r:id="rId8" o:title="DIA LOGO"/>
          </v:shape>
        </w:pict>
      </w:r>
      <w:r w:rsidR="00FE754D">
        <w:rPr>
          <w:spacing w:val="-2"/>
        </w:rPr>
        <w:t xml:space="preserve">    </w:t>
      </w:r>
      <w:r w:rsidR="00FE754D" w:rsidRPr="00C624DA">
        <w:rPr>
          <w:noProof/>
          <w:spacing w:val="-2"/>
          <w:lang w:val="en-NZ" w:eastAsia="en-NZ"/>
        </w:rPr>
        <w:pict w14:anchorId="3E7496FA">
          <v:shape id="Picture 2" o:spid="_x0000_i1026" type="#_x0000_t75" alt="Description: C:\Users\armstrongh\AppData\Local\Microsoft\Windows\Temporary Internet Files\Content.Outlook\O16OAFZU\RBNZ Logo 2012.jpg" style="width:166.5pt;height:60pt;visibility:visible">
            <v:imagedata r:id="rId9" o:title=""/>
          </v:shape>
        </w:pict>
      </w:r>
      <w:r w:rsidR="00FE754D">
        <w:rPr>
          <w:noProof/>
          <w:spacing w:val="-2"/>
          <w:lang w:val="en-NZ" w:eastAsia="en-NZ"/>
        </w:rPr>
        <w:t xml:space="preserve"> </w:t>
      </w:r>
      <w:r w:rsidR="00FE754D" w:rsidRPr="007B364D">
        <w:rPr>
          <w:noProof/>
          <w:spacing w:val="-2"/>
          <w:lang w:val="en-NZ" w:eastAsia="en-NZ"/>
        </w:rPr>
        <w:tab/>
      </w:r>
      <w:r w:rsidR="00FE754D">
        <w:rPr>
          <w:noProof/>
        </w:rPr>
        <w:pict w14:anchorId="79FC469C">
          <v:line id="Straight Connector 4" o:spid="_x0000_s2056" style="position:absolute;z-index:2;visibility:visible;mso-wrap-distance-left:2.88pt;mso-wrap-distance-top:2.88pt;mso-wrap-distance-right:2.88pt;mso-wrap-distance-bottom:2.88pt;mso-position-horizontal-relative:text;mso-position-vertical-relative:text" from="82.2pt,793.8pt" to="559.2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" strokecolor="navy" strokeweight=".25pt">
            <v:shadow color="#ccc"/>
          </v:line>
        </w:pict>
      </w:r>
      <w:r w:rsidR="00FE754D">
        <w:rPr>
          <w:spacing w:val="-2"/>
        </w:rPr>
        <w:t xml:space="preserve"> </w:t>
      </w:r>
    </w:p>
    <w:p w14:paraId="79B0331F" w14:textId="77777777" w:rsidR="00FE754D" w:rsidRDefault="00FE754D" w:rsidP="008C101C">
      <w:pPr>
        <w:tabs>
          <w:tab w:val="left" w:pos="1440"/>
        </w:tabs>
        <w:rPr>
          <w:spacing w:val="-2"/>
        </w:rPr>
      </w:pPr>
    </w:p>
    <w:p w14:paraId="77A62737" w14:textId="77777777" w:rsidR="00FE754D" w:rsidRDefault="00FE754D" w:rsidP="008C101C">
      <w:pPr>
        <w:tabs>
          <w:tab w:val="left" w:pos="1440"/>
        </w:tabs>
        <w:rPr>
          <w:spacing w:val="-2"/>
        </w:rPr>
      </w:pPr>
    </w:p>
    <w:p w14:paraId="3C3B6C08" w14:textId="77777777" w:rsidR="00FE754D" w:rsidRDefault="00FE754D" w:rsidP="008C101C">
      <w:pPr>
        <w:tabs>
          <w:tab w:val="left" w:pos="1440"/>
        </w:tabs>
        <w:rPr>
          <w:spacing w:val="-2"/>
        </w:rPr>
      </w:pPr>
    </w:p>
    <w:p w14:paraId="4EAC3CE8" w14:textId="77777777" w:rsidR="00FE754D" w:rsidRPr="007B364D" w:rsidRDefault="00FE754D" w:rsidP="008C101C">
      <w:pPr>
        <w:tabs>
          <w:tab w:val="left" w:pos="1440"/>
        </w:tabs>
        <w:rPr>
          <w:spacing w:val="-2"/>
        </w:rPr>
      </w:pPr>
      <w:r>
        <w:rPr>
          <w:spacing w:val="-2"/>
        </w:rPr>
        <w:t xml:space="preserve">    </w:t>
      </w:r>
    </w:p>
    <w:p w14:paraId="40A96D7E" w14:textId="77777777" w:rsidR="00FE754D" w:rsidRDefault="00FE754D" w:rsidP="008C101C"/>
    <w:p w14:paraId="3EDA531D" w14:textId="77777777" w:rsidR="00FE754D" w:rsidRDefault="00FE754D" w:rsidP="008C101C">
      <w:pPr>
        <w:tabs>
          <w:tab w:val="left" w:pos="1440"/>
        </w:tabs>
        <w:rPr>
          <w:spacing w:val="-2"/>
        </w:rPr>
      </w:pPr>
    </w:p>
    <w:sectPr w:rsidR="00FE754D" w:rsidSect="00F96BD1">
      <w:headerReference w:type="default" r:id="rId10"/>
      <w:footerReference w:type="default" r:id="rId11"/>
      <w:pgSz w:w="11906" w:h="16838"/>
      <w:pgMar w:top="719" w:right="907" w:bottom="1440" w:left="1797" w:header="70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5DDA0" w14:textId="77777777" w:rsidR="005C63FB" w:rsidRDefault="005C63FB">
      <w:r>
        <w:separator/>
      </w:r>
    </w:p>
  </w:endnote>
  <w:endnote w:type="continuationSeparator" w:id="0">
    <w:p w14:paraId="2557E673" w14:textId="77777777" w:rsidR="005C63FB" w:rsidRDefault="005C63FB">
      <w:r>
        <w:continuationSeparator/>
      </w:r>
    </w:p>
  </w:endnote>
  <w:endnote w:type="continuationNotice" w:id="1">
    <w:p w14:paraId="384A6C63" w14:textId="77777777" w:rsidR="005C63FB" w:rsidRDefault="005C63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B4546" w14:textId="77777777" w:rsidR="00FE754D" w:rsidRPr="00F41B59" w:rsidRDefault="00FE754D" w:rsidP="0027631B">
    <w:pPr>
      <w:framePr w:wrap="around" w:vAnchor="text" w:hAnchor="page" w:x="11161" w:y="78"/>
      <w:rPr>
        <w:rStyle w:val="PageNumber"/>
        <w:sz w:val="20"/>
        <w:szCs w:val="20"/>
      </w:rPr>
    </w:pPr>
    <w:r w:rsidRPr="00F41B59">
      <w:rPr>
        <w:rStyle w:val="PageNumber"/>
        <w:sz w:val="20"/>
        <w:szCs w:val="20"/>
      </w:rPr>
      <w:fldChar w:fldCharType="begin"/>
    </w:r>
    <w:r w:rsidRPr="00F41B59">
      <w:rPr>
        <w:rStyle w:val="PageNumber"/>
        <w:sz w:val="20"/>
        <w:szCs w:val="20"/>
      </w:rPr>
      <w:instrText xml:space="preserve">PAGE  </w:instrText>
    </w:r>
    <w:r w:rsidRPr="00F41B59">
      <w:rPr>
        <w:rStyle w:val="PageNumber"/>
        <w:sz w:val="20"/>
        <w:szCs w:val="20"/>
      </w:rPr>
      <w:fldChar w:fldCharType="separate"/>
    </w:r>
    <w:r w:rsidR="00E01833">
      <w:rPr>
        <w:rStyle w:val="PageNumber"/>
        <w:noProof/>
        <w:sz w:val="20"/>
        <w:szCs w:val="20"/>
      </w:rPr>
      <w:t>2</w:t>
    </w:r>
    <w:r w:rsidRPr="00F41B59">
      <w:rPr>
        <w:rStyle w:val="PageNumber"/>
        <w:sz w:val="20"/>
        <w:szCs w:val="20"/>
      </w:rPr>
      <w:fldChar w:fldCharType="end"/>
    </w:r>
  </w:p>
  <w:p w14:paraId="135D38C4" w14:textId="77777777" w:rsidR="00FE754D" w:rsidRDefault="00FE754D" w:rsidP="00166E25">
    <w:pPr>
      <w:tabs>
        <w:tab w:val="right" w:pos="8842"/>
      </w:tabs>
      <w:ind w:right="360"/>
    </w:pPr>
    <w:r>
      <w:rPr>
        <w:noProof/>
      </w:rPr>
      <w:pict w14:anchorId="6852E017">
        <v:line id="_x0000_s1027" style="position:absolute;z-index:4" from="-18.3pt,-1.25pt" to="463.6pt,-1.25pt" strokecolor="#00004b"/>
      </w:pict>
    </w:r>
    <w:r>
      <w:rPr>
        <w:noProof/>
      </w:rPr>
      <w:pict w14:anchorId="4E6BB543">
        <v:line id="_x0000_s1028" style="position:absolute;z-index:3;visibility:visible;mso-wrap-edited:f;mso-wrap-distance-left:2.88pt;mso-wrap-distance-top:2.88pt;mso-wrap-distance-right:2.88pt;mso-wrap-distance-bottom:2.88pt" from="82.2pt,793.8pt" to="559.25pt,793.8pt" strokecolor="navy" strokeweight=".25pt" o:cliptowrap="t">
          <v:shadow color="#ccc"/>
        </v:line>
      </w:pict>
    </w:r>
    <w:r>
      <w:rPr>
        <w:noProof/>
      </w:rPr>
      <w:pict w14:anchorId="15159C31">
        <v:line id="_x0000_s1029" style="position:absolute;z-index:2;visibility:visible;mso-wrap-edited:f;mso-wrap-distance-left:2.88pt;mso-wrap-distance-top:2.88pt;mso-wrap-distance-right:2.88pt;mso-wrap-distance-bottom:2.88pt" from="82.2pt,793.8pt" to="559.25pt,793.8pt" strokecolor="navy" strokeweight=".25pt" o:cliptowrap="t">
          <v:shadow color="#ccc"/>
        </v:line>
      </w:pict>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CF814B" w14:textId="77777777" w:rsidR="005C63FB" w:rsidRDefault="005C63FB">
      <w:r>
        <w:separator/>
      </w:r>
    </w:p>
  </w:footnote>
  <w:footnote w:type="continuationSeparator" w:id="0">
    <w:p w14:paraId="32664A84" w14:textId="77777777" w:rsidR="005C63FB" w:rsidRDefault="005C63FB">
      <w:r>
        <w:continuationSeparator/>
      </w:r>
    </w:p>
  </w:footnote>
  <w:footnote w:type="continuationNotice" w:id="1">
    <w:p w14:paraId="197C4454" w14:textId="77777777" w:rsidR="005C63FB" w:rsidRDefault="005C63FB"/>
  </w:footnote>
  <w:footnote w:id="2">
    <w:p w14:paraId="7915B6E6" w14:textId="77777777" w:rsidR="00FE754D" w:rsidRDefault="00FE754D" w:rsidP="00125958">
      <w:pPr>
        <w:pStyle w:val="FootnoteText"/>
      </w:pPr>
      <w:r>
        <w:rPr>
          <w:rStyle w:val="FootnoteReference"/>
        </w:rPr>
        <w:footnoteRef/>
      </w:r>
      <w:r>
        <w:t xml:space="preserve"> </w:t>
      </w:r>
      <w:smartTag w:uri="urn:schemas-microsoft-com:office:smarttags" w:element="country-region">
        <w:smartTag w:uri="urn:schemas-microsoft-com:office:smarttags" w:element="place">
          <w:r>
            <w:t>New Zealand</w:t>
          </w:r>
        </w:smartTag>
      </w:smartTag>
      <w:r>
        <w:t xml:space="preserve"> Police Financial Intelligence Unit </w:t>
      </w:r>
      <w:hyperlink r:id="rId1" w:tooltip="National risk assessment 2010" w:history="1">
        <w:r>
          <w:rPr>
            <w:color w:val="0000FF"/>
            <w:u w:val="single"/>
          </w:rPr>
          <w:t>National Risk Assessment 2010</w:t>
        </w:r>
      </w:hyperlink>
      <w:r>
        <w:t>.</w:t>
      </w:r>
    </w:p>
  </w:footnote>
  <w:footnote w:id="3">
    <w:p w14:paraId="5116911C" w14:textId="77777777" w:rsidR="00FE754D" w:rsidRDefault="00FE754D" w:rsidP="00125958">
      <w:pPr>
        <w:pStyle w:val="FootnoteText"/>
      </w:pPr>
      <w:r w:rsidRPr="00047DF4">
        <w:rPr>
          <w:rStyle w:val="FootnoteReference"/>
          <w:rFonts w:cs="Arial"/>
        </w:rPr>
        <w:footnoteRef/>
      </w:r>
      <w:r w:rsidRPr="00047DF4">
        <w:rPr>
          <w:rFonts w:cs="Arial"/>
        </w:rPr>
        <w:t xml:space="preserve"> </w:t>
      </w:r>
      <w:r>
        <w:rPr>
          <w:rFonts w:cs="Arial"/>
        </w:rPr>
        <w:t>Ongoing account monitoring (section 31 of the Act), r</w:t>
      </w:r>
      <w:r w:rsidRPr="00047DF4">
        <w:rPr>
          <w:rFonts w:cs="Arial"/>
        </w:rPr>
        <w:t>ecord keeping (</w:t>
      </w:r>
      <w:r>
        <w:rPr>
          <w:rFonts w:cs="Arial"/>
        </w:rPr>
        <w:t>s</w:t>
      </w:r>
      <w:r w:rsidRPr="00047DF4">
        <w:rPr>
          <w:rFonts w:cs="Arial"/>
        </w:rPr>
        <w:t>ections 49 and 50 of the Act) and suspicious activity reporting (</w:t>
      </w:r>
      <w:r>
        <w:rPr>
          <w:rFonts w:cs="Arial"/>
        </w:rPr>
        <w:t>s</w:t>
      </w:r>
      <w:r w:rsidRPr="00047DF4">
        <w:rPr>
          <w:rFonts w:cs="Arial"/>
        </w:rPr>
        <w:t>ection 40 of the Act) obligations continue to apply.</w:t>
      </w:r>
    </w:p>
  </w:footnote>
  <w:footnote w:id="4">
    <w:p w14:paraId="69C9CD3D" w14:textId="77777777" w:rsidR="00FE754D" w:rsidRDefault="00FE754D" w:rsidP="00125958">
      <w:pPr>
        <w:pStyle w:val="FootnoteText"/>
      </w:pPr>
      <w:r w:rsidRPr="00047DF4">
        <w:rPr>
          <w:rStyle w:val="FootnoteReference"/>
          <w:rFonts w:cs="Arial"/>
        </w:rPr>
        <w:footnoteRef/>
      </w:r>
      <w:r w:rsidRPr="00047DF4">
        <w:rPr>
          <w:rFonts w:cs="Arial"/>
        </w:rPr>
        <w:t xml:space="preserve"> Cross-border wire transfers are wire transfers where the </w:t>
      </w:r>
      <w:r>
        <w:rPr>
          <w:rFonts w:cs="Arial"/>
        </w:rPr>
        <w:t>O</w:t>
      </w:r>
      <w:r w:rsidRPr="00047DF4">
        <w:rPr>
          <w:rFonts w:cs="Arial"/>
        </w:rPr>
        <w:t xml:space="preserve">rdering </w:t>
      </w:r>
      <w:r>
        <w:rPr>
          <w:rFonts w:cs="Arial"/>
        </w:rPr>
        <w:t>I</w:t>
      </w:r>
      <w:r w:rsidRPr="00047DF4">
        <w:rPr>
          <w:rFonts w:cs="Arial"/>
        </w:rPr>
        <w:t xml:space="preserve">nstitution, the </w:t>
      </w:r>
      <w:r>
        <w:rPr>
          <w:rFonts w:cs="Arial"/>
        </w:rPr>
        <w:t>I</w:t>
      </w:r>
      <w:r w:rsidRPr="00047DF4">
        <w:rPr>
          <w:rFonts w:cs="Arial"/>
        </w:rPr>
        <w:t xml:space="preserve">ntermediary </w:t>
      </w:r>
      <w:r>
        <w:rPr>
          <w:rFonts w:cs="Arial"/>
        </w:rPr>
        <w:t>I</w:t>
      </w:r>
      <w:r w:rsidRPr="00047DF4">
        <w:rPr>
          <w:rFonts w:cs="Arial"/>
        </w:rPr>
        <w:t xml:space="preserve">nstitution, and the </w:t>
      </w:r>
      <w:r>
        <w:rPr>
          <w:rFonts w:cs="Arial"/>
        </w:rPr>
        <w:t>B</w:t>
      </w:r>
      <w:r w:rsidRPr="00047DF4">
        <w:rPr>
          <w:rFonts w:cs="Arial"/>
        </w:rPr>
        <w:t xml:space="preserve">eneficiary </w:t>
      </w:r>
      <w:r>
        <w:rPr>
          <w:rFonts w:cs="Arial"/>
        </w:rPr>
        <w:t>I</w:t>
      </w:r>
      <w:r w:rsidRPr="00047DF4">
        <w:rPr>
          <w:rFonts w:cs="Arial"/>
        </w:rPr>
        <w:t xml:space="preserve">nstitution are not all in </w:t>
      </w:r>
      <w:smartTag w:uri="urn:schemas-microsoft-com:office:smarttags" w:element="country-region">
        <w:smartTag w:uri="urn:schemas-microsoft-com:office:smarttags" w:element="place">
          <w:r w:rsidRPr="00047DF4">
            <w:rPr>
              <w:rFonts w:cs="Arial"/>
            </w:rPr>
            <w:t>New Zealand</w:t>
          </w:r>
        </w:smartTag>
      </w:smartTag>
      <w:r w:rsidRPr="00047DF4">
        <w:rPr>
          <w:rFonts w:cs="Arial"/>
        </w:rPr>
        <w:t>.</w:t>
      </w:r>
    </w:p>
  </w:footnote>
  <w:footnote w:id="5">
    <w:p w14:paraId="7DD396D7" w14:textId="77777777" w:rsidR="00FE754D" w:rsidRDefault="00FE754D" w:rsidP="00125958">
      <w:pPr>
        <w:pStyle w:val="FootnoteText"/>
      </w:pPr>
      <w:r w:rsidRPr="00047DF4">
        <w:rPr>
          <w:rStyle w:val="FootnoteReference"/>
          <w:rFonts w:cs="Arial"/>
        </w:rPr>
        <w:footnoteRef/>
      </w:r>
      <w:r w:rsidRPr="00047DF4">
        <w:rPr>
          <w:rFonts w:cs="Arial"/>
        </w:rPr>
        <w:t xml:space="preserve"> Domestic wire transfers are wire transfers where the </w:t>
      </w:r>
      <w:r>
        <w:rPr>
          <w:rFonts w:cs="Arial"/>
        </w:rPr>
        <w:t>O</w:t>
      </w:r>
      <w:r w:rsidRPr="00047DF4">
        <w:rPr>
          <w:rFonts w:cs="Arial"/>
        </w:rPr>
        <w:t xml:space="preserve">rdering </w:t>
      </w:r>
      <w:r>
        <w:rPr>
          <w:rFonts w:cs="Arial"/>
        </w:rPr>
        <w:t>I</w:t>
      </w:r>
      <w:r w:rsidRPr="00047DF4">
        <w:rPr>
          <w:rFonts w:cs="Arial"/>
        </w:rPr>
        <w:t xml:space="preserve">nstitution, the </w:t>
      </w:r>
      <w:r>
        <w:rPr>
          <w:rFonts w:cs="Arial"/>
        </w:rPr>
        <w:t>I</w:t>
      </w:r>
      <w:r w:rsidRPr="00047DF4">
        <w:rPr>
          <w:rFonts w:cs="Arial"/>
        </w:rPr>
        <w:t xml:space="preserve">ntermediary </w:t>
      </w:r>
      <w:r>
        <w:rPr>
          <w:rFonts w:cs="Arial"/>
        </w:rPr>
        <w:t>I</w:t>
      </w:r>
      <w:r w:rsidRPr="00047DF4">
        <w:rPr>
          <w:rFonts w:cs="Arial"/>
        </w:rPr>
        <w:t xml:space="preserve">nstitution, and the </w:t>
      </w:r>
      <w:r>
        <w:rPr>
          <w:rFonts w:cs="Arial"/>
        </w:rPr>
        <w:t>B</w:t>
      </w:r>
      <w:r w:rsidRPr="00047DF4">
        <w:rPr>
          <w:rFonts w:cs="Arial"/>
        </w:rPr>
        <w:t xml:space="preserve">eneficiary </w:t>
      </w:r>
      <w:r>
        <w:rPr>
          <w:rFonts w:cs="Arial"/>
        </w:rPr>
        <w:t>I</w:t>
      </w:r>
      <w:r w:rsidRPr="00047DF4">
        <w:rPr>
          <w:rFonts w:cs="Arial"/>
        </w:rPr>
        <w:t xml:space="preserve">nstitution are all in </w:t>
      </w:r>
      <w:smartTag w:uri="urn:schemas-microsoft-com:office:smarttags" w:element="country-region">
        <w:smartTag w:uri="urn:schemas-microsoft-com:office:smarttags" w:element="place">
          <w:r w:rsidRPr="00047DF4">
            <w:rPr>
              <w:rFonts w:cs="Arial"/>
            </w:rPr>
            <w:t>New Zealand</w:t>
          </w:r>
        </w:smartTag>
      </w:smartTag>
      <w:r w:rsidRPr="00047DF4">
        <w:rPr>
          <w:rFonts w:cs="Arial"/>
        </w:rPr>
        <w:t xml:space="preserve">.  </w:t>
      </w:r>
    </w:p>
  </w:footnote>
  <w:footnote w:id="6">
    <w:p w14:paraId="394EB5B6" w14:textId="77777777" w:rsidR="00FE754D" w:rsidRDefault="00FE754D" w:rsidP="00125958">
      <w:pPr>
        <w:pStyle w:val="FootnoteText"/>
      </w:pPr>
      <w:r>
        <w:rPr>
          <w:rStyle w:val="FootnoteReference"/>
        </w:rPr>
        <w:footnoteRef/>
      </w:r>
      <w:r>
        <w:t xml:space="preserve"> </w:t>
      </w:r>
      <w:r w:rsidRPr="00AB653A">
        <w:rPr>
          <w:lang w:val="en-NZ"/>
        </w:rPr>
        <w:t xml:space="preserve">Regulation </w:t>
      </w:r>
      <w:r>
        <w:rPr>
          <w:lang w:val="en-NZ"/>
        </w:rPr>
        <w:t>7</w:t>
      </w:r>
      <w:r w:rsidRPr="00AB653A">
        <w:rPr>
          <w:lang w:val="en-NZ"/>
        </w:rPr>
        <w:t xml:space="preserve"> of the Anti-Money Laundering and</w:t>
      </w:r>
      <w:r>
        <w:rPr>
          <w:lang w:val="en-NZ"/>
        </w:rPr>
        <w:t xml:space="preserve"> </w:t>
      </w:r>
      <w:r w:rsidRPr="00AB653A">
        <w:rPr>
          <w:lang w:val="en-NZ"/>
        </w:rPr>
        <w:t>Countering Financing of Terrorism</w:t>
      </w:r>
      <w:r>
        <w:rPr>
          <w:lang w:val="en-NZ"/>
        </w:rPr>
        <w:t xml:space="preserve"> </w:t>
      </w:r>
      <w:r w:rsidRPr="00465EFE">
        <w:rPr>
          <w:lang w:val="en-NZ"/>
        </w:rPr>
        <w:t>(</w:t>
      </w:r>
      <w:r>
        <w:rPr>
          <w:lang w:val="en-NZ"/>
        </w:rPr>
        <w:t>Requirements and Compliance</w:t>
      </w:r>
      <w:r w:rsidRPr="00AB653A">
        <w:rPr>
          <w:lang w:val="en-NZ"/>
        </w:rPr>
        <w:t>)</w:t>
      </w:r>
      <w:r>
        <w:rPr>
          <w:lang w:val="en-NZ"/>
        </w:rPr>
        <w:t xml:space="preserve"> </w:t>
      </w:r>
      <w:r w:rsidRPr="00AB653A">
        <w:rPr>
          <w:lang w:val="en-NZ"/>
        </w:rPr>
        <w:t>Regulations 201</w:t>
      </w:r>
      <w:r>
        <w:rPr>
          <w:lang w:val="en-NZ"/>
        </w:rPr>
        <w:t>1 as amended.</w:t>
      </w:r>
    </w:p>
  </w:footnote>
  <w:footnote w:id="7">
    <w:p w14:paraId="1B9DC77C" w14:textId="77777777" w:rsidR="00FE754D" w:rsidRDefault="00FE754D" w:rsidP="00125958">
      <w:pPr>
        <w:pStyle w:val="FootnoteText"/>
      </w:pPr>
      <w:r>
        <w:rPr>
          <w:rStyle w:val="FootnoteReference"/>
        </w:rPr>
        <w:footnoteRef/>
      </w:r>
      <w:r>
        <w:t xml:space="preserve"> </w:t>
      </w:r>
      <w:r w:rsidRPr="00AB653A">
        <w:rPr>
          <w:lang w:val="en-NZ"/>
        </w:rPr>
        <w:t xml:space="preserve">Regulation </w:t>
      </w:r>
      <w:r>
        <w:rPr>
          <w:lang w:val="en-NZ"/>
        </w:rPr>
        <w:t>13A</w:t>
      </w:r>
      <w:r w:rsidRPr="00AB653A">
        <w:rPr>
          <w:lang w:val="en-NZ"/>
        </w:rPr>
        <w:t xml:space="preserve"> of the Anti-Money Laundering and</w:t>
      </w:r>
      <w:r>
        <w:rPr>
          <w:lang w:val="en-NZ"/>
        </w:rPr>
        <w:t xml:space="preserve"> </w:t>
      </w:r>
      <w:r w:rsidRPr="00AB653A">
        <w:rPr>
          <w:lang w:val="en-NZ"/>
        </w:rPr>
        <w:t>Countering Financing of Terrorism</w:t>
      </w:r>
      <w:r>
        <w:rPr>
          <w:lang w:val="en-NZ"/>
        </w:rPr>
        <w:t xml:space="preserve"> </w:t>
      </w:r>
      <w:r w:rsidRPr="00465EFE">
        <w:rPr>
          <w:lang w:val="en-NZ"/>
        </w:rPr>
        <w:t>(</w:t>
      </w:r>
      <w:r>
        <w:rPr>
          <w:lang w:val="en-NZ"/>
        </w:rPr>
        <w:t>Definitions</w:t>
      </w:r>
      <w:r w:rsidRPr="00AB653A">
        <w:rPr>
          <w:lang w:val="en-NZ"/>
        </w:rPr>
        <w:t>)</w:t>
      </w:r>
      <w:r>
        <w:rPr>
          <w:lang w:val="en-NZ"/>
        </w:rPr>
        <w:t xml:space="preserve"> </w:t>
      </w:r>
      <w:r w:rsidRPr="00AB653A">
        <w:rPr>
          <w:lang w:val="en-NZ"/>
        </w:rPr>
        <w:t>Regulations 201</w:t>
      </w:r>
      <w:r>
        <w:rPr>
          <w:lang w:val="en-NZ"/>
        </w:rPr>
        <w:t>1 as amended.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17FFB" w14:textId="77777777" w:rsidR="00FE754D" w:rsidRPr="00CA631E" w:rsidRDefault="00FE754D" w:rsidP="00F96BD1">
    <w:pPr>
      <w:pStyle w:val="Header"/>
      <w:rPr>
        <w:sz w:val="2"/>
        <w:szCs w:val="2"/>
        <w:lang w:val="en-NZ"/>
      </w:rPr>
    </w:pPr>
    <w:r>
      <w:rPr>
        <w:noProof/>
      </w:rPr>
      <w:pict w14:anchorId="32568C78">
        <v:line id="Straight Connector 15" o:spid="_x0000_s1025" style="position:absolute;z-index:5;visibility:visible" from="-15.6pt,1.5pt" to="466.3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" strokecolor="#00004b"/>
      </w:pict>
    </w:r>
    <w:r>
      <w:rPr>
        <w:noProof/>
      </w:rPr>
      <w:pict w14:anchorId="3D57B1F5">
        <v:rect id="_x0000_s1026" style="position:absolute;margin-left:-54pt;margin-top:.7pt;width:37.7pt;height:756pt;z-index:1;visibility:visible;mso-wrap-edited:f;mso-wrap-distance-left:2.88pt;mso-wrap-distance-top:2.88pt;mso-wrap-distance-right:2.88pt;mso-wrap-distance-bottom:2.88pt" fillcolor="#000048" stroked="f" strokeweight="0" insetpen="t" o:cliptowrap="t">
          <v:shadow color="#ccc"/>
          <o:lock v:ext="edit" shapetype="t"/>
          <v:textbox inset="2.88pt,2.88pt,2.88pt,2.88pt"/>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F0265"/>
    <w:multiLevelType w:val="hybridMultilevel"/>
    <w:tmpl w:val="382660FA"/>
    <w:lvl w:ilvl="0" w:tplc="BFC456E4">
      <w:start w:val="1"/>
      <w:numFmt w:val="bullet"/>
      <w:lvlText w:val="-"/>
      <w:lvlJc w:val="left"/>
      <w:pPr>
        <w:tabs>
          <w:tab w:val="num" w:pos="1361"/>
        </w:tabs>
        <w:ind w:left="1361" w:hanging="454"/>
      </w:pPr>
      <w:rPr>
        <w:rFonts w:ascii="Courier New" w:hAnsi="Courier New" w:hint="default"/>
        <w:sz w:val="24"/>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 w15:restartNumberingAfterBreak="0">
    <w:nsid w:val="084C74A0"/>
    <w:multiLevelType w:val="hybridMultilevel"/>
    <w:tmpl w:val="8522F130"/>
    <w:lvl w:ilvl="0" w:tplc="327ADB08">
      <w:start w:val="1"/>
      <w:numFmt w:val="decimal"/>
      <w:pStyle w:val="Numbers1"/>
      <w:lvlText w:val="%1."/>
      <w:lvlJc w:val="left"/>
      <w:pPr>
        <w:tabs>
          <w:tab w:val="num" w:pos="471"/>
        </w:tabs>
        <w:ind w:left="471" w:hanging="471"/>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DF33C4"/>
    <w:multiLevelType w:val="multilevel"/>
    <w:tmpl w:val="B150BAA2"/>
    <w:lvl w:ilvl="0">
      <w:start w:val="1"/>
      <w:numFmt w:val="bullet"/>
      <w:lvlText w:val="-"/>
      <w:lvlJc w:val="left"/>
      <w:pPr>
        <w:tabs>
          <w:tab w:val="num" w:pos="1361"/>
        </w:tabs>
        <w:ind w:left="1361" w:hanging="454"/>
      </w:pPr>
      <w:rPr>
        <w:rFonts w:ascii="Courier New" w:hAnsi="Courier New" w:hint="default"/>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15:restartNumberingAfterBreak="0">
    <w:nsid w:val="111D3F5F"/>
    <w:multiLevelType w:val="multilevel"/>
    <w:tmpl w:val="6B7630E4"/>
    <w:lvl w:ilvl="0">
      <w:start w:val="1"/>
      <w:numFmt w:val="bullet"/>
      <w:lvlText w:val=""/>
      <w:lvlJc w:val="left"/>
      <w:pPr>
        <w:tabs>
          <w:tab w:val="num" w:pos="1267"/>
        </w:tabs>
        <w:ind w:left="1267" w:hanging="360"/>
      </w:pPr>
      <w:rPr>
        <w:rFonts w:ascii="Symbol" w:hAnsi="Symbol" w:hint="default"/>
        <w:sz w:val="10"/>
      </w:rPr>
    </w:lvl>
    <w:lvl w:ilvl="1">
      <w:start w:val="1"/>
      <w:numFmt w:val="bullet"/>
      <w:lvlText w:val=""/>
      <w:lvlJc w:val="left"/>
      <w:pPr>
        <w:tabs>
          <w:tab w:val="num" w:pos="1627"/>
        </w:tabs>
        <w:ind w:left="1627" w:hanging="360"/>
      </w:pPr>
      <w:rPr>
        <w:rFonts w:ascii="Wingdings" w:hAnsi="Wingdings" w:hint="default"/>
      </w:rPr>
    </w:lvl>
    <w:lvl w:ilvl="2">
      <w:start w:val="1"/>
      <w:numFmt w:val="bullet"/>
      <w:lvlText w:val=""/>
      <w:lvlJc w:val="left"/>
      <w:pPr>
        <w:tabs>
          <w:tab w:val="num" w:pos="1987"/>
        </w:tabs>
        <w:ind w:left="1987" w:hanging="360"/>
      </w:pPr>
      <w:rPr>
        <w:rFonts w:ascii="Wingdings" w:hAnsi="Wingdings" w:hint="default"/>
      </w:rPr>
    </w:lvl>
    <w:lvl w:ilvl="3">
      <w:start w:val="1"/>
      <w:numFmt w:val="bullet"/>
      <w:lvlText w:val=""/>
      <w:lvlJc w:val="left"/>
      <w:pPr>
        <w:tabs>
          <w:tab w:val="num" w:pos="2347"/>
        </w:tabs>
        <w:ind w:left="2347" w:hanging="360"/>
      </w:pPr>
      <w:rPr>
        <w:rFonts w:ascii="Symbol" w:hAnsi="Symbol" w:hint="default"/>
      </w:rPr>
    </w:lvl>
    <w:lvl w:ilvl="4">
      <w:start w:val="1"/>
      <w:numFmt w:val="bullet"/>
      <w:lvlText w:val=""/>
      <w:lvlJc w:val="left"/>
      <w:pPr>
        <w:tabs>
          <w:tab w:val="num" w:pos="2707"/>
        </w:tabs>
        <w:ind w:left="2707" w:hanging="360"/>
      </w:pPr>
      <w:rPr>
        <w:rFonts w:ascii="Symbol" w:hAnsi="Symbol" w:hint="default"/>
      </w:rPr>
    </w:lvl>
    <w:lvl w:ilvl="5">
      <w:start w:val="1"/>
      <w:numFmt w:val="bullet"/>
      <w:lvlText w:val=""/>
      <w:lvlJc w:val="left"/>
      <w:pPr>
        <w:tabs>
          <w:tab w:val="num" w:pos="3067"/>
        </w:tabs>
        <w:ind w:left="3067" w:hanging="360"/>
      </w:pPr>
      <w:rPr>
        <w:rFonts w:ascii="Wingdings" w:hAnsi="Wingdings" w:hint="default"/>
      </w:rPr>
    </w:lvl>
    <w:lvl w:ilvl="6">
      <w:start w:val="1"/>
      <w:numFmt w:val="bullet"/>
      <w:lvlText w:val=""/>
      <w:lvlJc w:val="left"/>
      <w:pPr>
        <w:tabs>
          <w:tab w:val="num" w:pos="3427"/>
        </w:tabs>
        <w:ind w:left="3427" w:hanging="360"/>
      </w:pPr>
      <w:rPr>
        <w:rFonts w:ascii="Wingdings" w:hAnsi="Wingdings" w:hint="default"/>
      </w:rPr>
    </w:lvl>
    <w:lvl w:ilvl="7">
      <w:start w:val="1"/>
      <w:numFmt w:val="bullet"/>
      <w:lvlText w:val=""/>
      <w:lvlJc w:val="left"/>
      <w:pPr>
        <w:tabs>
          <w:tab w:val="num" w:pos="3787"/>
        </w:tabs>
        <w:ind w:left="3787" w:hanging="360"/>
      </w:pPr>
      <w:rPr>
        <w:rFonts w:ascii="Symbol" w:hAnsi="Symbol" w:hint="default"/>
      </w:rPr>
    </w:lvl>
    <w:lvl w:ilvl="8">
      <w:start w:val="1"/>
      <w:numFmt w:val="bullet"/>
      <w:lvlText w:val=""/>
      <w:lvlJc w:val="left"/>
      <w:pPr>
        <w:tabs>
          <w:tab w:val="num" w:pos="4147"/>
        </w:tabs>
        <w:ind w:left="4147" w:hanging="360"/>
      </w:pPr>
      <w:rPr>
        <w:rFonts w:ascii="Symbol" w:hAnsi="Symbol" w:hint="default"/>
      </w:rPr>
    </w:lvl>
  </w:abstractNum>
  <w:abstractNum w:abstractNumId="4" w15:restartNumberingAfterBreak="0">
    <w:nsid w:val="11FE7253"/>
    <w:multiLevelType w:val="multilevel"/>
    <w:tmpl w:val="68B41DE0"/>
    <w:lvl w:ilvl="0">
      <w:start w:val="1"/>
      <w:numFmt w:val="bullet"/>
      <w:lvlText w:val=""/>
      <w:lvlJc w:val="left"/>
      <w:pPr>
        <w:tabs>
          <w:tab w:val="num" w:pos="1267"/>
        </w:tabs>
        <w:ind w:left="1267" w:hanging="360"/>
      </w:pPr>
      <w:rPr>
        <w:rFonts w:ascii="Symbol" w:hAnsi="Symbol" w:hint="default"/>
        <w:sz w:val="10"/>
      </w:rPr>
    </w:lvl>
    <w:lvl w:ilvl="1">
      <w:start w:val="1"/>
      <w:numFmt w:val="bullet"/>
      <w:lvlText w:val=""/>
      <w:lvlJc w:val="left"/>
      <w:pPr>
        <w:tabs>
          <w:tab w:val="num" w:pos="1627"/>
        </w:tabs>
        <w:ind w:left="1627" w:hanging="360"/>
      </w:pPr>
      <w:rPr>
        <w:rFonts w:ascii="Wingdings" w:hAnsi="Wingdings" w:hint="default"/>
      </w:rPr>
    </w:lvl>
    <w:lvl w:ilvl="2">
      <w:start w:val="1"/>
      <w:numFmt w:val="bullet"/>
      <w:lvlText w:val=""/>
      <w:lvlJc w:val="left"/>
      <w:pPr>
        <w:tabs>
          <w:tab w:val="num" w:pos="1987"/>
        </w:tabs>
        <w:ind w:left="1987" w:hanging="360"/>
      </w:pPr>
      <w:rPr>
        <w:rFonts w:ascii="Wingdings" w:hAnsi="Wingdings" w:hint="default"/>
      </w:rPr>
    </w:lvl>
    <w:lvl w:ilvl="3">
      <w:start w:val="1"/>
      <w:numFmt w:val="bullet"/>
      <w:lvlText w:val=""/>
      <w:lvlJc w:val="left"/>
      <w:pPr>
        <w:tabs>
          <w:tab w:val="num" w:pos="2347"/>
        </w:tabs>
        <w:ind w:left="2347" w:hanging="360"/>
      </w:pPr>
      <w:rPr>
        <w:rFonts w:ascii="Symbol" w:hAnsi="Symbol" w:hint="default"/>
      </w:rPr>
    </w:lvl>
    <w:lvl w:ilvl="4">
      <w:start w:val="1"/>
      <w:numFmt w:val="bullet"/>
      <w:lvlText w:val=""/>
      <w:lvlJc w:val="left"/>
      <w:pPr>
        <w:tabs>
          <w:tab w:val="num" w:pos="2707"/>
        </w:tabs>
        <w:ind w:left="2707" w:hanging="360"/>
      </w:pPr>
      <w:rPr>
        <w:rFonts w:ascii="Symbol" w:hAnsi="Symbol" w:hint="default"/>
      </w:rPr>
    </w:lvl>
    <w:lvl w:ilvl="5">
      <w:start w:val="1"/>
      <w:numFmt w:val="bullet"/>
      <w:lvlText w:val=""/>
      <w:lvlJc w:val="left"/>
      <w:pPr>
        <w:tabs>
          <w:tab w:val="num" w:pos="3067"/>
        </w:tabs>
        <w:ind w:left="3067" w:hanging="360"/>
      </w:pPr>
      <w:rPr>
        <w:rFonts w:ascii="Wingdings" w:hAnsi="Wingdings" w:hint="default"/>
      </w:rPr>
    </w:lvl>
    <w:lvl w:ilvl="6">
      <w:start w:val="1"/>
      <w:numFmt w:val="bullet"/>
      <w:lvlText w:val=""/>
      <w:lvlJc w:val="left"/>
      <w:pPr>
        <w:tabs>
          <w:tab w:val="num" w:pos="3427"/>
        </w:tabs>
        <w:ind w:left="3427" w:hanging="360"/>
      </w:pPr>
      <w:rPr>
        <w:rFonts w:ascii="Wingdings" w:hAnsi="Wingdings" w:hint="default"/>
      </w:rPr>
    </w:lvl>
    <w:lvl w:ilvl="7">
      <w:start w:val="1"/>
      <w:numFmt w:val="bullet"/>
      <w:lvlText w:val=""/>
      <w:lvlJc w:val="left"/>
      <w:pPr>
        <w:tabs>
          <w:tab w:val="num" w:pos="3787"/>
        </w:tabs>
        <w:ind w:left="3787" w:hanging="360"/>
      </w:pPr>
      <w:rPr>
        <w:rFonts w:ascii="Symbol" w:hAnsi="Symbol" w:hint="default"/>
      </w:rPr>
    </w:lvl>
    <w:lvl w:ilvl="8">
      <w:start w:val="1"/>
      <w:numFmt w:val="bullet"/>
      <w:lvlText w:val=""/>
      <w:lvlJc w:val="left"/>
      <w:pPr>
        <w:tabs>
          <w:tab w:val="num" w:pos="4147"/>
        </w:tabs>
        <w:ind w:left="4147" w:hanging="360"/>
      </w:pPr>
      <w:rPr>
        <w:rFonts w:ascii="Symbol" w:hAnsi="Symbol" w:hint="default"/>
      </w:rPr>
    </w:lvl>
  </w:abstractNum>
  <w:abstractNum w:abstractNumId="5" w15:restartNumberingAfterBreak="0">
    <w:nsid w:val="13CD6567"/>
    <w:multiLevelType w:val="multilevel"/>
    <w:tmpl w:val="382660FA"/>
    <w:lvl w:ilvl="0">
      <w:start w:val="1"/>
      <w:numFmt w:val="bullet"/>
      <w:lvlText w:val="-"/>
      <w:lvlJc w:val="left"/>
      <w:pPr>
        <w:tabs>
          <w:tab w:val="num" w:pos="1361"/>
        </w:tabs>
        <w:ind w:left="1361" w:hanging="454"/>
      </w:pPr>
      <w:rPr>
        <w:rFonts w:ascii="Courier New" w:hAnsi="Courier New" w:hint="default"/>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22000849"/>
    <w:multiLevelType w:val="hybridMultilevel"/>
    <w:tmpl w:val="21A06678"/>
    <w:lvl w:ilvl="0" w:tplc="00844A2E">
      <w:start w:val="1"/>
      <w:numFmt w:val="lowerRoman"/>
      <w:lvlText w:val="%1."/>
      <w:lvlJc w:val="right"/>
      <w:pPr>
        <w:tabs>
          <w:tab w:val="num" w:pos="180"/>
        </w:tabs>
        <w:ind w:left="180" w:hanging="180"/>
      </w:pPr>
      <w:rPr>
        <w:rFonts w:cs="Times New Roman" w:hint="default"/>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7" w15:restartNumberingAfterBreak="0">
    <w:nsid w:val="25C65E31"/>
    <w:multiLevelType w:val="multilevel"/>
    <w:tmpl w:val="014C3BDC"/>
    <w:lvl w:ilvl="0">
      <w:start w:val="1"/>
      <w:numFmt w:val="bullet"/>
      <w:lvlText w:val=""/>
      <w:lvlJc w:val="left"/>
      <w:pPr>
        <w:tabs>
          <w:tab w:val="num" w:pos="720"/>
        </w:tabs>
        <w:ind w:left="720" w:hanging="363"/>
      </w:pPr>
      <w:rPr>
        <w:rFonts w:ascii="Symbol" w:hAnsi="Symbol" w:hint="default"/>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04191A"/>
    <w:multiLevelType w:val="multilevel"/>
    <w:tmpl w:val="90E89FDE"/>
    <w:lvl w:ilvl="0">
      <w:start w:val="1"/>
      <w:numFmt w:val="bullet"/>
      <w:lvlText w:val=""/>
      <w:lvlJc w:val="left"/>
      <w:pPr>
        <w:tabs>
          <w:tab w:val="num" w:pos="1378"/>
        </w:tabs>
        <w:ind w:left="1378" w:hanging="471"/>
      </w:pPr>
      <w:rPr>
        <w:rFonts w:ascii="Symbol" w:hAnsi="Symbol" w:hint="default"/>
        <w:sz w:val="10"/>
      </w:rPr>
    </w:lvl>
    <w:lvl w:ilvl="1">
      <w:start w:val="1"/>
      <w:numFmt w:val="bullet"/>
      <w:lvlText w:val=""/>
      <w:lvlJc w:val="left"/>
      <w:pPr>
        <w:tabs>
          <w:tab w:val="num" w:pos="1627"/>
        </w:tabs>
        <w:ind w:left="1627" w:hanging="360"/>
      </w:pPr>
      <w:rPr>
        <w:rFonts w:ascii="Wingdings" w:hAnsi="Wingdings" w:hint="default"/>
      </w:rPr>
    </w:lvl>
    <w:lvl w:ilvl="2">
      <w:start w:val="1"/>
      <w:numFmt w:val="bullet"/>
      <w:lvlText w:val=""/>
      <w:lvlJc w:val="left"/>
      <w:pPr>
        <w:tabs>
          <w:tab w:val="num" w:pos="1987"/>
        </w:tabs>
        <w:ind w:left="1987" w:hanging="360"/>
      </w:pPr>
      <w:rPr>
        <w:rFonts w:ascii="Wingdings" w:hAnsi="Wingdings" w:hint="default"/>
      </w:rPr>
    </w:lvl>
    <w:lvl w:ilvl="3">
      <w:start w:val="1"/>
      <w:numFmt w:val="bullet"/>
      <w:lvlText w:val=""/>
      <w:lvlJc w:val="left"/>
      <w:pPr>
        <w:tabs>
          <w:tab w:val="num" w:pos="2347"/>
        </w:tabs>
        <w:ind w:left="2347" w:hanging="360"/>
      </w:pPr>
      <w:rPr>
        <w:rFonts w:ascii="Symbol" w:hAnsi="Symbol" w:hint="default"/>
      </w:rPr>
    </w:lvl>
    <w:lvl w:ilvl="4">
      <w:start w:val="1"/>
      <w:numFmt w:val="bullet"/>
      <w:lvlText w:val=""/>
      <w:lvlJc w:val="left"/>
      <w:pPr>
        <w:tabs>
          <w:tab w:val="num" w:pos="2707"/>
        </w:tabs>
        <w:ind w:left="2707" w:hanging="360"/>
      </w:pPr>
      <w:rPr>
        <w:rFonts w:ascii="Symbol" w:hAnsi="Symbol" w:hint="default"/>
      </w:rPr>
    </w:lvl>
    <w:lvl w:ilvl="5">
      <w:start w:val="1"/>
      <w:numFmt w:val="bullet"/>
      <w:lvlText w:val=""/>
      <w:lvlJc w:val="left"/>
      <w:pPr>
        <w:tabs>
          <w:tab w:val="num" w:pos="3067"/>
        </w:tabs>
        <w:ind w:left="3067" w:hanging="360"/>
      </w:pPr>
      <w:rPr>
        <w:rFonts w:ascii="Wingdings" w:hAnsi="Wingdings" w:hint="default"/>
      </w:rPr>
    </w:lvl>
    <w:lvl w:ilvl="6">
      <w:start w:val="1"/>
      <w:numFmt w:val="bullet"/>
      <w:lvlText w:val=""/>
      <w:lvlJc w:val="left"/>
      <w:pPr>
        <w:tabs>
          <w:tab w:val="num" w:pos="3427"/>
        </w:tabs>
        <w:ind w:left="3427" w:hanging="360"/>
      </w:pPr>
      <w:rPr>
        <w:rFonts w:ascii="Wingdings" w:hAnsi="Wingdings" w:hint="default"/>
      </w:rPr>
    </w:lvl>
    <w:lvl w:ilvl="7">
      <w:start w:val="1"/>
      <w:numFmt w:val="bullet"/>
      <w:lvlText w:val=""/>
      <w:lvlJc w:val="left"/>
      <w:pPr>
        <w:tabs>
          <w:tab w:val="num" w:pos="3787"/>
        </w:tabs>
        <w:ind w:left="3787" w:hanging="360"/>
      </w:pPr>
      <w:rPr>
        <w:rFonts w:ascii="Symbol" w:hAnsi="Symbol" w:hint="default"/>
      </w:rPr>
    </w:lvl>
    <w:lvl w:ilvl="8">
      <w:start w:val="1"/>
      <w:numFmt w:val="bullet"/>
      <w:lvlText w:val=""/>
      <w:lvlJc w:val="left"/>
      <w:pPr>
        <w:tabs>
          <w:tab w:val="num" w:pos="4147"/>
        </w:tabs>
        <w:ind w:left="4147" w:hanging="360"/>
      </w:pPr>
      <w:rPr>
        <w:rFonts w:ascii="Symbol" w:hAnsi="Symbol" w:hint="default"/>
      </w:rPr>
    </w:lvl>
  </w:abstractNum>
  <w:abstractNum w:abstractNumId="9" w15:restartNumberingAfterBreak="0">
    <w:nsid w:val="29740CC2"/>
    <w:multiLevelType w:val="multilevel"/>
    <w:tmpl w:val="E3F60752"/>
    <w:lvl w:ilvl="0">
      <w:start w:val="1"/>
      <w:numFmt w:val="bullet"/>
      <w:pStyle w:val="Bullet2"/>
      <w:lvlText w:val=""/>
      <w:lvlJc w:val="left"/>
      <w:pPr>
        <w:tabs>
          <w:tab w:val="num" w:pos="720"/>
        </w:tabs>
        <w:ind w:left="720" w:hanging="363"/>
      </w:pPr>
      <w:rPr>
        <w:rFonts w:ascii="Symbol" w:hAnsi="Symbol" w:hint="default"/>
        <w:sz w:val="10"/>
      </w:rPr>
    </w:lvl>
    <w:lvl w:ilvl="1">
      <w:start w:val="1"/>
      <w:numFmt w:val="bullet"/>
      <w:lvlText w:val=""/>
      <w:lvlJc w:val="left"/>
      <w:pPr>
        <w:tabs>
          <w:tab w:val="num" w:pos="1627"/>
        </w:tabs>
        <w:ind w:left="1627" w:hanging="360"/>
      </w:pPr>
      <w:rPr>
        <w:rFonts w:ascii="Wingdings" w:hAnsi="Wingdings" w:hint="default"/>
      </w:rPr>
    </w:lvl>
    <w:lvl w:ilvl="2">
      <w:start w:val="1"/>
      <w:numFmt w:val="bullet"/>
      <w:lvlText w:val=""/>
      <w:lvlJc w:val="left"/>
      <w:pPr>
        <w:tabs>
          <w:tab w:val="num" w:pos="1987"/>
        </w:tabs>
        <w:ind w:left="1987" w:hanging="360"/>
      </w:pPr>
      <w:rPr>
        <w:rFonts w:ascii="Wingdings" w:hAnsi="Wingdings" w:hint="default"/>
      </w:rPr>
    </w:lvl>
    <w:lvl w:ilvl="3">
      <w:start w:val="1"/>
      <w:numFmt w:val="bullet"/>
      <w:lvlText w:val=""/>
      <w:lvlJc w:val="left"/>
      <w:pPr>
        <w:tabs>
          <w:tab w:val="num" w:pos="2347"/>
        </w:tabs>
        <w:ind w:left="2347" w:hanging="360"/>
      </w:pPr>
      <w:rPr>
        <w:rFonts w:ascii="Symbol" w:hAnsi="Symbol" w:hint="default"/>
      </w:rPr>
    </w:lvl>
    <w:lvl w:ilvl="4">
      <w:start w:val="1"/>
      <w:numFmt w:val="bullet"/>
      <w:lvlText w:val=""/>
      <w:lvlJc w:val="left"/>
      <w:pPr>
        <w:tabs>
          <w:tab w:val="num" w:pos="2707"/>
        </w:tabs>
        <w:ind w:left="2707" w:hanging="360"/>
      </w:pPr>
      <w:rPr>
        <w:rFonts w:ascii="Symbol" w:hAnsi="Symbol" w:hint="default"/>
      </w:rPr>
    </w:lvl>
    <w:lvl w:ilvl="5">
      <w:start w:val="1"/>
      <w:numFmt w:val="bullet"/>
      <w:lvlText w:val=""/>
      <w:lvlJc w:val="left"/>
      <w:pPr>
        <w:tabs>
          <w:tab w:val="num" w:pos="3067"/>
        </w:tabs>
        <w:ind w:left="3067" w:hanging="360"/>
      </w:pPr>
      <w:rPr>
        <w:rFonts w:ascii="Wingdings" w:hAnsi="Wingdings" w:hint="default"/>
      </w:rPr>
    </w:lvl>
    <w:lvl w:ilvl="6">
      <w:start w:val="1"/>
      <w:numFmt w:val="bullet"/>
      <w:lvlText w:val=""/>
      <w:lvlJc w:val="left"/>
      <w:pPr>
        <w:tabs>
          <w:tab w:val="num" w:pos="3427"/>
        </w:tabs>
        <w:ind w:left="3427" w:hanging="360"/>
      </w:pPr>
      <w:rPr>
        <w:rFonts w:ascii="Wingdings" w:hAnsi="Wingdings" w:hint="default"/>
      </w:rPr>
    </w:lvl>
    <w:lvl w:ilvl="7">
      <w:start w:val="1"/>
      <w:numFmt w:val="bullet"/>
      <w:lvlText w:val=""/>
      <w:lvlJc w:val="left"/>
      <w:pPr>
        <w:tabs>
          <w:tab w:val="num" w:pos="3787"/>
        </w:tabs>
        <w:ind w:left="3787" w:hanging="360"/>
      </w:pPr>
      <w:rPr>
        <w:rFonts w:ascii="Symbol" w:hAnsi="Symbol" w:hint="default"/>
      </w:rPr>
    </w:lvl>
    <w:lvl w:ilvl="8">
      <w:start w:val="1"/>
      <w:numFmt w:val="bullet"/>
      <w:lvlText w:val=""/>
      <w:lvlJc w:val="left"/>
      <w:pPr>
        <w:tabs>
          <w:tab w:val="num" w:pos="4147"/>
        </w:tabs>
        <w:ind w:left="4147" w:hanging="360"/>
      </w:pPr>
      <w:rPr>
        <w:rFonts w:ascii="Symbol" w:hAnsi="Symbol" w:hint="default"/>
      </w:rPr>
    </w:lvl>
  </w:abstractNum>
  <w:abstractNum w:abstractNumId="10" w15:restartNumberingAfterBreak="0">
    <w:nsid w:val="38B374F8"/>
    <w:multiLevelType w:val="multilevel"/>
    <w:tmpl w:val="21A06678"/>
    <w:lvl w:ilvl="0">
      <w:start w:val="1"/>
      <w:numFmt w:val="lowerRoman"/>
      <w:lvlText w:val="%1."/>
      <w:lvlJc w:val="right"/>
      <w:pPr>
        <w:tabs>
          <w:tab w:val="num" w:pos="180"/>
        </w:tabs>
        <w:ind w:left="180" w:hanging="18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1" w15:restartNumberingAfterBreak="0">
    <w:nsid w:val="393976DB"/>
    <w:multiLevelType w:val="hybridMultilevel"/>
    <w:tmpl w:val="DED2E346"/>
    <w:lvl w:ilvl="0" w:tplc="961C15CE">
      <w:start w:val="1"/>
      <w:numFmt w:val="lowerLetter"/>
      <w:lvlText w:val="%1)"/>
      <w:lvlJc w:val="left"/>
      <w:pPr>
        <w:tabs>
          <w:tab w:val="num" w:pos="1378"/>
        </w:tabs>
        <w:ind w:left="1378" w:hanging="471"/>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AF465DA"/>
    <w:multiLevelType w:val="hybridMultilevel"/>
    <w:tmpl w:val="CFF0A800"/>
    <w:lvl w:ilvl="0" w:tplc="B48846F6">
      <w:start w:val="1"/>
      <w:numFmt w:val="bullet"/>
      <w:pStyle w:val="Bullet1"/>
      <w:lvlText w:val=""/>
      <w:lvlJc w:val="left"/>
      <w:pPr>
        <w:tabs>
          <w:tab w:val="num" w:pos="720"/>
        </w:tabs>
        <w:ind w:left="720" w:hanging="363"/>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095B90"/>
    <w:multiLevelType w:val="multilevel"/>
    <w:tmpl w:val="492441C8"/>
    <w:lvl w:ilvl="0">
      <w:start w:val="1"/>
      <w:numFmt w:val="lowerLetter"/>
      <w:lvlText w:val="%1)"/>
      <w:lvlJc w:val="left"/>
      <w:pPr>
        <w:tabs>
          <w:tab w:val="num" w:pos="510"/>
        </w:tabs>
        <w:ind w:left="510" w:hanging="453"/>
      </w:pPr>
      <w:rPr>
        <w:rFonts w:ascii="Arial" w:hAnsi="Arial" w:cs="Times New Roman" w:hint="default"/>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15:restartNumberingAfterBreak="0">
    <w:nsid w:val="3DA817B4"/>
    <w:multiLevelType w:val="multilevel"/>
    <w:tmpl w:val="B150BAA2"/>
    <w:lvl w:ilvl="0">
      <w:start w:val="1"/>
      <w:numFmt w:val="bullet"/>
      <w:lvlText w:val="-"/>
      <w:lvlJc w:val="left"/>
      <w:pPr>
        <w:tabs>
          <w:tab w:val="num" w:pos="1361"/>
        </w:tabs>
        <w:ind w:left="1361" w:hanging="454"/>
      </w:pPr>
      <w:rPr>
        <w:rFonts w:ascii="Courier New" w:hAnsi="Courier New" w:hint="default"/>
        <w:sz w:val="24"/>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3E1C6D00"/>
    <w:multiLevelType w:val="hybridMultilevel"/>
    <w:tmpl w:val="96782712"/>
    <w:lvl w:ilvl="0" w:tplc="BEB84A30">
      <w:start w:val="1"/>
      <w:numFmt w:val="lowerRoman"/>
      <w:pStyle w:val="Numbers3"/>
      <w:lvlText w:val="%1."/>
      <w:lvlJc w:val="right"/>
      <w:pPr>
        <w:tabs>
          <w:tab w:val="num" w:pos="1021"/>
        </w:tabs>
        <w:ind w:left="420" w:firstLine="487"/>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3F667E08"/>
    <w:multiLevelType w:val="multilevel"/>
    <w:tmpl w:val="84E49928"/>
    <w:lvl w:ilvl="0">
      <w:start w:val="1"/>
      <w:numFmt w:val="bullet"/>
      <w:lvlText w:val=""/>
      <w:lvlJc w:val="left"/>
      <w:pPr>
        <w:tabs>
          <w:tab w:val="num" w:pos="1267"/>
        </w:tabs>
        <w:ind w:left="1267" w:hanging="360"/>
      </w:pPr>
      <w:rPr>
        <w:rFonts w:ascii="Symbol" w:hAnsi="Symbol" w:hint="default"/>
        <w:sz w:val="10"/>
      </w:rPr>
    </w:lvl>
    <w:lvl w:ilvl="1">
      <w:start w:val="1"/>
      <w:numFmt w:val="bullet"/>
      <w:lvlText w:val=""/>
      <w:lvlJc w:val="left"/>
      <w:pPr>
        <w:tabs>
          <w:tab w:val="num" w:pos="1627"/>
        </w:tabs>
        <w:ind w:left="1627" w:hanging="360"/>
      </w:pPr>
      <w:rPr>
        <w:rFonts w:ascii="Wingdings" w:hAnsi="Wingdings" w:hint="default"/>
      </w:rPr>
    </w:lvl>
    <w:lvl w:ilvl="2">
      <w:start w:val="1"/>
      <w:numFmt w:val="bullet"/>
      <w:lvlText w:val=""/>
      <w:lvlJc w:val="left"/>
      <w:pPr>
        <w:tabs>
          <w:tab w:val="num" w:pos="1987"/>
        </w:tabs>
        <w:ind w:left="1987" w:hanging="360"/>
      </w:pPr>
      <w:rPr>
        <w:rFonts w:ascii="Wingdings" w:hAnsi="Wingdings" w:hint="default"/>
      </w:rPr>
    </w:lvl>
    <w:lvl w:ilvl="3">
      <w:start w:val="1"/>
      <w:numFmt w:val="bullet"/>
      <w:lvlText w:val=""/>
      <w:lvlJc w:val="left"/>
      <w:pPr>
        <w:tabs>
          <w:tab w:val="num" w:pos="2347"/>
        </w:tabs>
        <w:ind w:left="2347" w:hanging="360"/>
      </w:pPr>
      <w:rPr>
        <w:rFonts w:ascii="Symbol" w:hAnsi="Symbol" w:hint="default"/>
      </w:rPr>
    </w:lvl>
    <w:lvl w:ilvl="4">
      <w:start w:val="1"/>
      <w:numFmt w:val="bullet"/>
      <w:lvlText w:val=""/>
      <w:lvlJc w:val="left"/>
      <w:pPr>
        <w:tabs>
          <w:tab w:val="num" w:pos="2707"/>
        </w:tabs>
        <w:ind w:left="2707" w:hanging="360"/>
      </w:pPr>
      <w:rPr>
        <w:rFonts w:ascii="Symbol" w:hAnsi="Symbol" w:hint="default"/>
      </w:rPr>
    </w:lvl>
    <w:lvl w:ilvl="5">
      <w:start w:val="1"/>
      <w:numFmt w:val="bullet"/>
      <w:lvlText w:val=""/>
      <w:lvlJc w:val="left"/>
      <w:pPr>
        <w:tabs>
          <w:tab w:val="num" w:pos="3067"/>
        </w:tabs>
        <w:ind w:left="3067" w:hanging="360"/>
      </w:pPr>
      <w:rPr>
        <w:rFonts w:ascii="Wingdings" w:hAnsi="Wingdings" w:hint="default"/>
      </w:rPr>
    </w:lvl>
    <w:lvl w:ilvl="6">
      <w:start w:val="1"/>
      <w:numFmt w:val="bullet"/>
      <w:lvlText w:val=""/>
      <w:lvlJc w:val="left"/>
      <w:pPr>
        <w:tabs>
          <w:tab w:val="num" w:pos="3427"/>
        </w:tabs>
        <w:ind w:left="3427" w:hanging="360"/>
      </w:pPr>
      <w:rPr>
        <w:rFonts w:ascii="Wingdings" w:hAnsi="Wingdings" w:hint="default"/>
      </w:rPr>
    </w:lvl>
    <w:lvl w:ilvl="7">
      <w:start w:val="1"/>
      <w:numFmt w:val="bullet"/>
      <w:lvlText w:val=""/>
      <w:lvlJc w:val="left"/>
      <w:pPr>
        <w:tabs>
          <w:tab w:val="num" w:pos="3787"/>
        </w:tabs>
        <w:ind w:left="3787" w:hanging="360"/>
      </w:pPr>
      <w:rPr>
        <w:rFonts w:ascii="Symbol" w:hAnsi="Symbol" w:hint="default"/>
      </w:rPr>
    </w:lvl>
    <w:lvl w:ilvl="8">
      <w:start w:val="1"/>
      <w:numFmt w:val="bullet"/>
      <w:lvlText w:val=""/>
      <w:lvlJc w:val="left"/>
      <w:pPr>
        <w:tabs>
          <w:tab w:val="num" w:pos="4147"/>
        </w:tabs>
        <w:ind w:left="4147" w:hanging="360"/>
      </w:pPr>
      <w:rPr>
        <w:rFonts w:ascii="Symbol" w:hAnsi="Symbol" w:hint="default"/>
      </w:rPr>
    </w:lvl>
  </w:abstractNum>
  <w:abstractNum w:abstractNumId="17" w15:restartNumberingAfterBreak="0">
    <w:nsid w:val="43CD4B97"/>
    <w:multiLevelType w:val="hybridMultilevel"/>
    <w:tmpl w:val="492441C8"/>
    <w:lvl w:ilvl="0" w:tplc="BC4C38B2">
      <w:start w:val="1"/>
      <w:numFmt w:val="lowerLetter"/>
      <w:pStyle w:val="Numbers2"/>
      <w:lvlText w:val="%1)"/>
      <w:lvlJc w:val="left"/>
      <w:pPr>
        <w:tabs>
          <w:tab w:val="num" w:pos="510"/>
        </w:tabs>
        <w:ind w:left="510" w:hanging="453"/>
      </w:pPr>
      <w:rPr>
        <w:rFonts w:ascii="Arial" w:hAnsi="Arial" w:cs="Times New Roman" w:hint="default"/>
        <w:sz w:val="24"/>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48F2393C"/>
    <w:multiLevelType w:val="multilevel"/>
    <w:tmpl w:val="B6FEA616"/>
    <w:lvl w:ilvl="0">
      <w:start w:val="1"/>
      <w:numFmt w:val="bullet"/>
      <w:lvlText w:val=""/>
      <w:lvlJc w:val="left"/>
      <w:pPr>
        <w:tabs>
          <w:tab w:val="num" w:pos="720"/>
        </w:tabs>
        <w:ind w:left="720" w:hanging="363"/>
      </w:pPr>
      <w:rPr>
        <w:rFonts w:ascii="Symbol" w:hAnsi="Symbol" w:hint="default"/>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98C4C94"/>
    <w:multiLevelType w:val="multilevel"/>
    <w:tmpl w:val="68B41DE0"/>
    <w:lvl w:ilvl="0">
      <w:start w:val="1"/>
      <w:numFmt w:val="bullet"/>
      <w:lvlText w:val=""/>
      <w:lvlJc w:val="left"/>
      <w:pPr>
        <w:tabs>
          <w:tab w:val="num" w:pos="1267"/>
        </w:tabs>
        <w:ind w:left="1267" w:hanging="360"/>
      </w:pPr>
      <w:rPr>
        <w:rFonts w:ascii="Symbol" w:hAnsi="Symbol" w:hint="default"/>
        <w:sz w:val="10"/>
      </w:rPr>
    </w:lvl>
    <w:lvl w:ilvl="1">
      <w:start w:val="1"/>
      <w:numFmt w:val="bullet"/>
      <w:lvlText w:val=""/>
      <w:lvlJc w:val="left"/>
      <w:pPr>
        <w:tabs>
          <w:tab w:val="num" w:pos="1627"/>
        </w:tabs>
        <w:ind w:left="1627" w:hanging="360"/>
      </w:pPr>
      <w:rPr>
        <w:rFonts w:ascii="Wingdings" w:hAnsi="Wingdings" w:hint="default"/>
      </w:rPr>
    </w:lvl>
    <w:lvl w:ilvl="2">
      <w:start w:val="1"/>
      <w:numFmt w:val="bullet"/>
      <w:lvlText w:val=""/>
      <w:lvlJc w:val="left"/>
      <w:pPr>
        <w:tabs>
          <w:tab w:val="num" w:pos="1987"/>
        </w:tabs>
        <w:ind w:left="1987" w:hanging="360"/>
      </w:pPr>
      <w:rPr>
        <w:rFonts w:ascii="Wingdings" w:hAnsi="Wingdings" w:hint="default"/>
      </w:rPr>
    </w:lvl>
    <w:lvl w:ilvl="3">
      <w:start w:val="1"/>
      <w:numFmt w:val="bullet"/>
      <w:lvlText w:val=""/>
      <w:lvlJc w:val="left"/>
      <w:pPr>
        <w:tabs>
          <w:tab w:val="num" w:pos="2347"/>
        </w:tabs>
        <w:ind w:left="2347" w:hanging="360"/>
      </w:pPr>
      <w:rPr>
        <w:rFonts w:ascii="Symbol" w:hAnsi="Symbol" w:hint="default"/>
      </w:rPr>
    </w:lvl>
    <w:lvl w:ilvl="4">
      <w:start w:val="1"/>
      <w:numFmt w:val="bullet"/>
      <w:lvlText w:val=""/>
      <w:lvlJc w:val="left"/>
      <w:pPr>
        <w:tabs>
          <w:tab w:val="num" w:pos="2707"/>
        </w:tabs>
        <w:ind w:left="2707" w:hanging="360"/>
      </w:pPr>
      <w:rPr>
        <w:rFonts w:ascii="Symbol" w:hAnsi="Symbol" w:hint="default"/>
      </w:rPr>
    </w:lvl>
    <w:lvl w:ilvl="5">
      <w:start w:val="1"/>
      <w:numFmt w:val="bullet"/>
      <w:lvlText w:val=""/>
      <w:lvlJc w:val="left"/>
      <w:pPr>
        <w:tabs>
          <w:tab w:val="num" w:pos="3067"/>
        </w:tabs>
        <w:ind w:left="3067" w:hanging="360"/>
      </w:pPr>
      <w:rPr>
        <w:rFonts w:ascii="Wingdings" w:hAnsi="Wingdings" w:hint="default"/>
      </w:rPr>
    </w:lvl>
    <w:lvl w:ilvl="6">
      <w:start w:val="1"/>
      <w:numFmt w:val="bullet"/>
      <w:lvlText w:val=""/>
      <w:lvlJc w:val="left"/>
      <w:pPr>
        <w:tabs>
          <w:tab w:val="num" w:pos="3427"/>
        </w:tabs>
        <w:ind w:left="3427" w:hanging="360"/>
      </w:pPr>
      <w:rPr>
        <w:rFonts w:ascii="Wingdings" w:hAnsi="Wingdings" w:hint="default"/>
      </w:rPr>
    </w:lvl>
    <w:lvl w:ilvl="7">
      <w:start w:val="1"/>
      <w:numFmt w:val="bullet"/>
      <w:lvlText w:val=""/>
      <w:lvlJc w:val="left"/>
      <w:pPr>
        <w:tabs>
          <w:tab w:val="num" w:pos="3787"/>
        </w:tabs>
        <w:ind w:left="3787" w:hanging="360"/>
      </w:pPr>
      <w:rPr>
        <w:rFonts w:ascii="Symbol" w:hAnsi="Symbol" w:hint="default"/>
      </w:rPr>
    </w:lvl>
    <w:lvl w:ilvl="8">
      <w:start w:val="1"/>
      <w:numFmt w:val="bullet"/>
      <w:lvlText w:val=""/>
      <w:lvlJc w:val="left"/>
      <w:pPr>
        <w:tabs>
          <w:tab w:val="num" w:pos="4147"/>
        </w:tabs>
        <w:ind w:left="4147" w:hanging="360"/>
      </w:pPr>
      <w:rPr>
        <w:rFonts w:ascii="Symbol" w:hAnsi="Symbol" w:hint="default"/>
      </w:rPr>
    </w:lvl>
  </w:abstractNum>
  <w:abstractNum w:abstractNumId="20" w15:restartNumberingAfterBreak="0">
    <w:nsid w:val="555A23DC"/>
    <w:multiLevelType w:val="multilevel"/>
    <w:tmpl w:val="7F8200BA"/>
    <w:lvl w:ilvl="0">
      <w:start w:val="1"/>
      <w:numFmt w:val="bullet"/>
      <w:lvlText w:val=""/>
      <w:lvlJc w:val="left"/>
      <w:pPr>
        <w:tabs>
          <w:tab w:val="num" w:pos="1378"/>
        </w:tabs>
        <w:ind w:left="1378" w:hanging="471"/>
      </w:pPr>
      <w:rPr>
        <w:rFonts w:ascii="Symbol" w:hAnsi="Symbol" w:hint="default"/>
        <w:sz w:val="10"/>
      </w:rPr>
    </w:lvl>
    <w:lvl w:ilvl="1">
      <w:start w:val="1"/>
      <w:numFmt w:val="bullet"/>
      <w:lvlText w:val=""/>
      <w:lvlJc w:val="left"/>
      <w:pPr>
        <w:tabs>
          <w:tab w:val="num" w:pos="1627"/>
        </w:tabs>
        <w:ind w:left="1627" w:hanging="360"/>
      </w:pPr>
      <w:rPr>
        <w:rFonts w:ascii="Wingdings" w:hAnsi="Wingdings" w:hint="default"/>
      </w:rPr>
    </w:lvl>
    <w:lvl w:ilvl="2">
      <w:start w:val="1"/>
      <w:numFmt w:val="bullet"/>
      <w:lvlText w:val=""/>
      <w:lvlJc w:val="left"/>
      <w:pPr>
        <w:tabs>
          <w:tab w:val="num" w:pos="1987"/>
        </w:tabs>
        <w:ind w:left="1987" w:hanging="360"/>
      </w:pPr>
      <w:rPr>
        <w:rFonts w:ascii="Wingdings" w:hAnsi="Wingdings" w:hint="default"/>
      </w:rPr>
    </w:lvl>
    <w:lvl w:ilvl="3">
      <w:start w:val="1"/>
      <w:numFmt w:val="bullet"/>
      <w:lvlText w:val=""/>
      <w:lvlJc w:val="left"/>
      <w:pPr>
        <w:tabs>
          <w:tab w:val="num" w:pos="2347"/>
        </w:tabs>
        <w:ind w:left="2347" w:hanging="360"/>
      </w:pPr>
      <w:rPr>
        <w:rFonts w:ascii="Symbol" w:hAnsi="Symbol" w:hint="default"/>
      </w:rPr>
    </w:lvl>
    <w:lvl w:ilvl="4">
      <w:start w:val="1"/>
      <w:numFmt w:val="bullet"/>
      <w:lvlText w:val=""/>
      <w:lvlJc w:val="left"/>
      <w:pPr>
        <w:tabs>
          <w:tab w:val="num" w:pos="2707"/>
        </w:tabs>
        <w:ind w:left="2707" w:hanging="360"/>
      </w:pPr>
      <w:rPr>
        <w:rFonts w:ascii="Symbol" w:hAnsi="Symbol" w:hint="default"/>
      </w:rPr>
    </w:lvl>
    <w:lvl w:ilvl="5">
      <w:start w:val="1"/>
      <w:numFmt w:val="bullet"/>
      <w:lvlText w:val=""/>
      <w:lvlJc w:val="left"/>
      <w:pPr>
        <w:tabs>
          <w:tab w:val="num" w:pos="3067"/>
        </w:tabs>
        <w:ind w:left="3067" w:hanging="360"/>
      </w:pPr>
      <w:rPr>
        <w:rFonts w:ascii="Wingdings" w:hAnsi="Wingdings" w:hint="default"/>
      </w:rPr>
    </w:lvl>
    <w:lvl w:ilvl="6">
      <w:start w:val="1"/>
      <w:numFmt w:val="bullet"/>
      <w:lvlText w:val=""/>
      <w:lvlJc w:val="left"/>
      <w:pPr>
        <w:tabs>
          <w:tab w:val="num" w:pos="3427"/>
        </w:tabs>
        <w:ind w:left="3427" w:hanging="360"/>
      </w:pPr>
      <w:rPr>
        <w:rFonts w:ascii="Wingdings" w:hAnsi="Wingdings" w:hint="default"/>
      </w:rPr>
    </w:lvl>
    <w:lvl w:ilvl="7">
      <w:start w:val="1"/>
      <w:numFmt w:val="bullet"/>
      <w:lvlText w:val=""/>
      <w:lvlJc w:val="left"/>
      <w:pPr>
        <w:tabs>
          <w:tab w:val="num" w:pos="3787"/>
        </w:tabs>
        <w:ind w:left="3787" w:hanging="360"/>
      </w:pPr>
      <w:rPr>
        <w:rFonts w:ascii="Symbol" w:hAnsi="Symbol" w:hint="default"/>
      </w:rPr>
    </w:lvl>
    <w:lvl w:ilvl="8">
      <w:start w:val="1"/>
      <w:numFmt w:val="bullet"/>
      <w:lvlText w:val=""/>
      <w:lvlJc w:val="left"/>
      <w:pPr>
        <w:tabs>
          <w:tab w:val="num" w:pos="4147"/>
        </w:tabs>
        <w:ind w:left="4147" w:hanging="360"/>
      </w:pPr>
      <w:rPr>
        <w:rFonts w:ascii="Symbol" w:hAnsi="Symbol" w:hint="default"/>
      </w:rPr>
    </w:lvl>
  </w:abstractNum>
  <w:abstractNum w:abstractNumId="21" w15:restartNumberingAfterBreak="0">
    <w:nsid w:val="58945DE4"/>
    <w:multiLevelType w:val="multilevel"/>
    <w:tmpl w:val="42D67B70"/>
    <w:lvl w:ilvl="0">
      <w:start w:val="1"/>
      <w:numFmt w:val="lowerRoman"/>
      <w:lvlText w:val="%1."/>
      <w:lvlJc w:val="right"/>
      <w:pPr>
        <w:tabs>
          <w:tab w:val="num" w:pos="540"/>
        </w:tabs>
        <w:ind w:left="540" w:hanging="37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15:restartNumberingAfterBreak="0">
    <w:nsid w:val="5F811DB8"/>
    <w:multiLevelType w:val="hybridMultilevel"/>
    <w:tmpl w:val="B150BAA2"/>
    <w:lvl w:ilvl="0" w:tplc="2D46292E">
      <w:start w:val="1"/>
      <w:numFmt w:val="bullet"/>
      <w:lvlText w:val="-"/>
      <w:lvlJc w:val="left"/>
      <w:pPr>
        <w:tabs>
          <w:tab w:val="num" w:pos="1361"/>
        </w:tabs>
        <w:ind w:left="1361" w:hanging="454"/>
      </w:pPr>
      <w:rPr>
        <w:rFonts w:ascii="Courier New" w:hAnsi="Courier New" w:hint="default"/>
        <w:sz w:val="24"/>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63DC48F7"/>
    <w:multiLevelType w:val="multilevel"/>
    <w:tmpl w:val="08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4" w15:restartNumberingAfterBreak="0">
    <w:nsid w:val="6CC81570"/>
    <w:multiLevelType w:val="multilevel"/>
    <w:tmpl w:val="D5A221F6"/>
    <w:lvl w:ilvl="0">
      <w:start w:val="1"/>
      <w:numFmt w:val="bullet"/>
      <w:lvlText w:val=""/>
      <w:lvlJc w:val="left"/>
      <w:pPr>
        <w:tabs>
          <w:tab w:val="num" w:pos="1267"/>
        </w:tabs>
        <w:ind w:left="1267" w:hanging="360"/>
      </w:pPr>
      <w:rPr>
        <w:rFonts w:ascii="Symbol" w:hAnsi="Symbol" w:hint="default"/>
        <w:sz w:val="10"/>
      </w:rPr>
    </w:lvl>
    <w:lvl w:ilvl="1">
      <w:start w:val="1"/>
      <w:numFmt w:val="bullet"/>
      <w:lvlText w:val=""/>
      <w:lvlJc w:val="left"/>
      <w:pPr>
        <w:tabs>
          <w:tab w:val="num" w:pos="1627"/>
        </w:tabs>
        <w:ind w:left="1627" w:hanging="360"/>
      </w:pPr>
      <w:rPr>
        <w:rFonts w:ascii="Wingdings" w:hAnsi="Wingdings" w:hint="default"/>
      </w:rPr>
    </w:lvl>
    <w:lvl w:ilvl="2">
      <w:start w:val="1"/>
      <w:numFmt w:val="bullet"/>
      <w:lvlText w:val=""/>
      <w:lvlJc w:val="left"/>
      <w:pPr>
        <w:tabs>
          <w:tab w:val="num" w:pos="1987"/>
        </w:tabs>
        <w:ind w:left="1987" w:hanging="360"/>
      </w:pPr>
      <w:rPr>
        <w:rFonts w:ascii="Wingdings" w:hAnsi="Wingdings" w:hint="default"/>
      </w:rPr>
    </w:lvl>
    <w:lvl w:ilvl="3">
      <w:start w:val="1"/>
      <w:numFmt w:val="bullet"/>
      <w:lvlText w:val=""/>
      <w:lvlJc w:val="left"/>
      <w:pPr>
        <w:tabs>
          <w:tab w:val="num" w:pos="2347"/>
        </w:tabs>
        <w:ind w:left="2347" w:hanging="360"/>
      </w:pPr>
      <w:rPr>
        <w:rFonts w:ascii="Symbol" w:hAnsi="Symbol" w:hint="default"/>
      </w:rPr>
    </w:lvl>
    <w:lvl w:ilvl="4">
      <w:start w:val="1"/>
      <w:numFmt w:val="bullet"/>
      <w:lvlText w:val=""/>
      <w:lvlJc w:val="left"/>
      <w:pPr>
        <w:tabs>
          <w:tab w:val="num" w:pos="2707"/>
        </w:tabs>
        <w:ind w:left="2707" w:hanging="360"/>
      </w:pPr>
      <w:rPr>
        <w:rFonts w:ascii="Symbol" w:hAnsi="Symbol" w:hint="default"/>
      </w:rPr>
    </w:lvl>
    <w:lvl w:ilvl="5">
      <w:start w:val="1"/>
      <w:numFmt w:val="bullet"/>
      <w:lvlText w:val=""/>
      <w:lvlJc w:val="left"/>
      <w:pPr>
        <w:tabs>
          <w:tab w:val="num" w:pos="3067"/>
        </w:tabs>
        <w:ind w:left="3067" w:hanging="360"/>
      </w:pPr>
      <w:rPr>
        <w:rFonts w:ascii="Wingdings" w:hAnsi="Wingdings" w:hint="default"/>
      </w:rPr>
    </w:lvl>
    <w:lvl w:ilvl="6">
      <w:start w:val="1"/>
      <w:numFmt w:val="bullet"/>
      <w:lvlText w:val=""/>
      <w:lvlJc w:val="left"/>
      <w:pPr>
        <w:tabs>
          <w:tab w:val="num" w:pos="3427"/>
        </w:tabs>
        <w:ind w:left="3427" w:hanging="360"/>
      </w:pPr>
      <w:rPr>
        <w:rFonts w:ascii="Wingdings" w:hAnsi="Wingdings" w:hint="default"/>
      </w:rPr>
    </w:lvl>
    <w:lvl w:ilvl="7">
      <w:start w:val="1"/>
      <w:numFmt w:val="bullet"/>
      <w:lvlText w:val=""/>
      <w:lvlJc w:val="left"/>
      <w:pPr>
        <w:tabs>
          <w:tab w:val="num" w:pos="3787"/>
        </w:tabs>
        <w:ind w:left="3787" w:hanging="360"/>
      </w:pPr>
      <w:rPr>
        <w:rFonts w:ascii="Symbol" w:hAnsi="Symbol" w:hint="default"/>
      </w:rPr>
    </w:lvl>
    <w:lvl w:ilvl="8">
      <w:start w:val="1"/>
      <w:numFmt w:val="bullet"/>
      <w:lvlText w:val=""/>
      <w:lvlJc w:val="left"/>
      <w:pPr>
        <w:tabs>
          <w:tab w:val="num" w:pos="4147"/>
        </w:tabs>
        <w:ind w:left="4147" w:hanging="360"/>
      </w:pPr>
      <w:rPr>
        <w:rFonts w:ascii="Symbol" w:hAnsi="Symbol" w:hint="default"/>
      </w:rPr>
    </w:lvl>
  </w:abstractNum>
  <w:abstractNum w:abstractNumId="25" w15:restartNumberingAfterBreak="0">
    <w:nsid w:val="7660023B"/>
    <w:multiLevelType w:val="multilevel"/>
    <w:tmpl w:val="01DE1DE6"/>
    <w:lvl w:ilvl="0">
      <w:start w:val="1"/>
      <w:numFmt w:val="lowerRoman"/>
      <w:lvlText w:val="%1."/>
      <w:lvlJc w:val="right"/>
      <w:pPr>
        <w:tabs>
          <w:tab w:val="num" w:pos="540"/>
        </w:tabs>
        <w:ind w:left="540" w:hanging="18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6" w15:restartNumberingAfterBreak="0">
    <w:nsid w:val="7A57381B"/>
    <w:multiLevelType w:val="hybridMultilevel"/>
    <w:tmpl w:val="56A2F6C2"/>
    <w:lvl w:ilvl="0" w:tplc="DCEA9F8A">
      <w:start w:val="1"/>
      <w:numFmt w:val="lowerLetter"/>
      <w:lvlText w:val="%1)"/>
      <w:lvlJc w:val="left"/>
      <w:pPr>
        <w:tabs>
          <w:tab w:val="num" w:pos="244"/>
        </w:tabs>
        <w:ind w:left="360" w:hanging="360"/>
      </w:pPr>
      <w:rPr>
        <w:rFonts w:cs="Times New Roman" w:hint="default"/>
      </w:rPr>
    </w:lvl>
    <w:lvl w:ilvl="1" w:tplc="0809000F">
      <w:start w:val="1"/>
      <w:numFmt w:val="decimal"/>
      <w:lvlText w:val="%2."/>
      <w:lvlJc w:val="left"/>
      <w:pPr>
        <w:tabs>
          <w:tab w:val="num" w:pos="533"/>
        </w:tabs>
        <w:ind w:left="533" w:hanging="360"/>
      </w:pPr>
      <w:rPr>
        <w:rFonts w:cs="Times New Roman" w:hint="default"/>
      </w:rPr>
    </w:lvl>
    <w:lvl w:ilvl="2" w:tplc="08090005" w:tentative="1">
      <w:start w:val="1"/>
      <w:numFmt w:val="bullet"/>
      <w:lvlText w:val=""/>
      <w:lvlJc w:val="left"/>
      <w:pPr>
        <w:tabs>
          <w:tab w:val="num" w:pos="1253"/>
        </w:tabs>
        <w:ind w:left="1253" w:hanging="360"/>
      </w:pPr>
      <w:rPr>
        <w:rFonts w:ascii="Wingdings" w:hAnsi="Wingdings" w:hint="default"/>
      </w:rPr>
    </w:lvl>
    <w:lvl w:ilvl="3" w:tplc="08090001" w:tentative="1">
      <w:start w:val="1"/>
      <w:numFmt w:val="bullet"/>
      <w:lvlText w:val=""/>
      <w:lvlJc w:val="left"/>
      <w:pPr>
        <w:tabs>
          <w:tab w:val="num" w:pos="1973"/>
        </w:tabs>
        <w:ind w:left="1973" w:hanging="360"/>
      </w:pPr>
      <w:rPr>
        <w:rFonts w:ascii="Symbol" w:hAnsi="Symbol" w:hint="default"/>
      </w:rPr>
    </w:lvl>
    <w:lvl w:ilvl="4" w:tplc="08090003" w:tentative="1">
      <w:start w:val="1"/>
      <w:numFmt w:val="bullet"/>
      <w:lvlText w:val="o"/>
      <w:lvlJc w:val="left"/>
      <w:pPr>
        <w:tabs>
          <w:tab w:val="num" w:pos="2693"/>
        </w:tabs>
        <w:ind w:left="2693" w:hanging="360"/>
      </w:pPr>
      <w:rPr>
        <w:rFonts w:ascii="Courier New" w:hAnsi="Courier New" w:hint="default"/>
      </w:rPr>
    </w:lvl>
    <w:lvl w:ilvl="5" w:tplc="08090005" w:tentative="1">
      <w:start w:val="1"/>
      <w:numFmt w:val="bullet"/>
      <w:lvlText w:val=""/>
      <w:lvlJc w:val="left"/>
      <w:pPr>
        <w:tabs>
          <w:tab w:val="num" w:pos="3413"/>
        </w:tabs>
        <w:ind w:left="3413" w:hanging="360"/>
      </w:pPr>
      <w:rPr>
        <w:rFonts w:ascii="Wingdings" w:hAnsi="Wingdings" w:hint="default"/>
      </w:rPr>
    </w:lvl>
    <w:lvl w:ilvl="6" w:tplc="08090001" w:tentative="1">
      <w:start w:val="1"/>
      <w:numFmt w:val="bullet"/>
      <w:lvlText w:val=""/>
      <w:lvlJc w:val="left"/>
      <w:pPr>
        <w:tabs>
          <w:tab w:val="num" w:pos="4133"/>
        </w:tabs>
        <w:ind w:left="4133" w:hanging="360"/>
      </w:pPr>
      <w:rPr>
        <w:rFonts w:ascii="Symbol" w:hAnsi="Symbol" w:hint="default"/>
      </w:rPr>
    </w:lvl>
    <w:lvl w:ilvl="7" w:tplc="08090003" w:tentative="1">
      <w:start w:val="1"/>
      <w:numFmt w:val="bullet"/>
      <w:lvlText w:val="o"/>
      <w:lvlJc w:val="left"/>
      <w:pPr>
        <w:tabs>
          <w:tab w:val="num" w:pos="4853"/>
        </w:tabs>
        <w:ind w:left="4853" w:hanging="360"/>
      </w:pPr>
      <w:rPr>
        <w:rFonts w:ascii="Courier New" w:hAnsi="Courier New" w:hint="default"/>
      </w:rPr>
    </w:lvl>
    <w:lvl w:ilvl="8" w:tplc="08090005" w:tentative="1">
      <w:start w:val="1"/>
      <w:numFmt w:val="bullet"/>
      <w:lvlText w:val=""/>
      <w:lvlJc w:val="left"/>
      <w:pPr>
        <w:tabs>
          <w:tab w:val="num" w:pos="5573"/>
        </w:tabs>
        <w:ind w:left="5573" w:hanging="360"/>
      </w:pPr>
      <w:rPr>
        <w:rFonts w:ascii="Wingdings" w:hAnsi="Wingdings" w:hint="default"/>
      </w:rPr>
    </w:lvl>
  </w:abstractNum>
  <w:num w:numId="1" w16cid:durableId="490752226">
    <w:abstractNumId w:val="12"/>
  </w:num>
  <w:num w:numId="2" w16cid:durableId="1006056442">
    <w:abstractNumId w:val="9"/>
  </w:num>
  <w:num w:numId="3" w16cid:durableId="843596171">
    <w:abstractNumId w:val="26"/>
  </w:num>
  <w:num w:numId="4" w16cid:durableId="1174881439">
    <w:abstractNumId w:val="1"/>
  </w:num>
  <w:num w:numId="5" w16cid:durableId="1212109432">
    <w:abstractNumId w:val="15"/>
  </w:num>
  <w:num w:numId="6" w16cid:durableId="295111596">
    <w:abstractNumId w:val="0"/>
  </w:num>
  <w:num w:numId="7" w16cid:durableId="1830246613">
    <w:abstractNumId w:val="11"/>
  </w:num>
  <w:num w:numId="8" w16cid:durableId="453213417">
    <w:abstractNumId w:val="6"/>
  </w:num>
  <w:num w:numId="9" w16cid:durableId="1310868196">
    <w:abstractNumId w:val="5"/>
  </w:num>
  <w:num w:numId="10" w16cid:durableId="1507473129">
    <w:abstractNumId w:val="22"/>
  </w:num>
  <w:num w:numId="11" w16cid:durableId="985234541">
    <w:abstractNumId w:val="14"/>
  </w:num>
  <w:num w:numId="12" w16cid:durableId="586041948">
    <w:abstractNumId w:val="10"/>
  </w:num>
  <w:num w:numId="13" w16cid:durableId="1700937704">
    <w:abstractNumId w:val="25"/>
  </w:num>
  <w:num w:numId="14" w16cid:durableId="1991907692">
    <w:abstractNumId w:val="17"/>
  </w:num>
  <w:num w:numId="15" w16cid:durableId="1789886319">
    <w:abstractNumId w:val="2"/>
  </w:num>
  <w:num w:numId="16" w16cid:durableId="320502272">
    <w:abstractNumId w:val="3"/>
  </w:num>
  <w:num w:numId="17" w16cid:durableId="811751704">
    <w:abstractNumId w:val="16"/>
  </w:num>
  <w:num w:numId="18" w16cid:durableId="878783864">
    <w:abstractNumId w:val="24"/>
  </w:num>
  <w:num w:numId="19" w16cid:durableId="81725647">
    <w:abstractNumId w:val="4"/>
  </w:num>
  <w:num w:numId="20" w16cid:durableId="309485992">
    <w:abstractNumId w:val="18"/>
  </w:num>
  <w:num w:numId="21" w16cid:durableId="810367913">
    <w:abstractNumId w:val="13"/>
  </w:num>
  <w:num w:numId="22" w16cid:durableId="280917679">
    <w:abstractNumId w:val="21"/>
  </w:num>
  <w:num w:numId="23" w16cid:durableId="1898347696">
    <w:abstractNumId w:val="7"/>
  </w:num>
  <w:num w:numId="24" w16cid:durableId="850677645">
    <w:abstractNumId w:val="19"/>
  </w:num>
  <w:num w:numId="25" w16cid:durableId="510729086">
    <w:abstractNumId w:val="8"/>
  </w:num>
  <w:num w:numId="26" w16cid:durableId="1524511113">
    <w:abstractNumId w:val="20"/>
  </w:num>
  <w:num w:numId="27" w16cid:durableId="531381114">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characterSpacingControl w:val="doNotCompress"/>
  <w:hdrShapeDefaults>
    <o:shapedefaults v:ext="edit" spidmax="2058"/>
    <o:shapelayout v:ext="edit">
      <o:idmap v:ext="edit" data="1"/>
    </o:shapelayout>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0A3679"/>
    <w:rsid w:val="0003611F"/>
    <w:rsid w:val="00047DF4"/>
    <w:rsid w:val="00057AA5"/>
    <w:rsid w:val="000674E2"/>
    <w:rsid w:val="0008291C"/>
    <w:rsid w:val="000A3679"/>
    <w:rsid w:val="000A4A43"/>
    <w:rsid w:val="000B1DF3"/>
    <w:rsid w:val="000B5409"/>
    <w:rsid w:val="000F1E2A"/>
    <w:rsid w:val="001005F8"/>
    <w:rsid w:val="00104BA4"/>
    <w:rsid w:val="00107C2B"/>
    <w:rsid w:val="00125958"/>
    <w:rsid w:val="001402E4"/>
    <w:rsid w:val="00142279"/>
    <w:rsid w:val="001666F2"/>
    <w:rsid w:val="00166E25"/>
    <w:rsid w:val="00167ECA"/>
    <w:rsid w:val="001B09FF"/>
    <w:rsid w:val="001C3173"/>
    <w:rsid w:val="00216249"/>
    <w:rsid w:val="0022258F"/>
    <w:rsid w:val="00235082"/>
    <w:rsid w:val="00235D3E"/>
    <w:rsid w:val="0027631B"/>
    <w:rsid w:val="00277779"/>
    <w:rsid w:val="002903A6"/>
    <w:rsid w:val="0029759D"/>
    <w:rsid w:val="002A074C"/>
    <w:rsid w:val="002A4F9E"/>
    <w:rsid w:val="002B064C"/>
    <w:rsid w:val="002C4682"/>
    <w:rsid w:val="002C6029"/>
    <w:rsid w:val="002E00E1"/>
    <w:rsid w:val="00301BBC"/>
    <w:rsid w:val="00304599"/>
    <w:rsid w:val="0030692F"/>
    <w:rsid w:val="003440C0"/>
    <w:rsid w:val="00344F40"/>
    <w:rsid w:val="00344F96"/>
    <w:rsid w:val="00346A22"/>
    <w:rsid w:val="003949B6"/>
    <w:rsid w:val="00395DF7"/>
    <w:rsid w:val="003C309C"/>
    <w:rsid w:val="003D21F0"/>
    <w:rsid w:val="003D223D"/>
    <w:rsid w:val="004105D2"/>
    <w:rsid w:val="00442FFD"/>
    <w:rsid w:val="00443E31"/>
    <w:rsid w:val="0046297C"/>
    <w:rsid w:val="00465EFE"/>
    <w:rsid w:val="004726FC"/>
    <w:rsid w:val="004935AF"/>
    <w:rsid w:val="004A5C98"/>
    <w:rsid w:val="004C55F7"/>
    <w:rsid w:val="004E24B0"/>
    <w:rsid w:val="004E4760"/>
    <w:rsid w:val="004F0418"/>
    <w:rsid w:val="00510F14"/>
    <w:rsid w:val="00516D70"/>
    <w:rsid w:val="00521814"/>
    <w:rsid w:val="00521DB2"/>
    <w:rsid w:val="00553DF5"/>
    <w:rsid w:val="00575403"/>
    <w:rsid w:val="005C1F8C"/>
    <w:rsid w:val="005C3C53"/>
    <w:rsid w:val="005C63FB"/>
    <w:rsid w:val="00616C56"/>
    <w:rsid w:val="00627F62"/>
    <w:rsid w:val="006444A0"/>
    <w:rsid w:val="00687C6C"/>
    <w:rsid w:val="006919DD"/>
    <w:rsid w:val="006A11B2"/>
    <w:rsid w:val="006A1F59"/>
    <w:rsid w:val="006C1D12"/>
    <w:rsid w:val="006C4605"/>
    <w:rsid w:val="006D58BC"/>
    <w:rsid w:val="006E394B"/>
    <w:rsid w:val="006F280E"/>
    <w:rsid w:val="00704DA8"/>
    <w:rsid w:val="00704F2C"/>
    <w:rsid w:val="0074504E"/>
    <w:rsid w:val="0074586E"/>
    <w:rsid w:val="00764116"/>
    <w:rsid w:val="00775B0D"/>
    <w:rsid w:val="00777490"/>
    <w:rsid w:val="007A4F5F"/>
    <w:rsid w:val="007B0DEF"/>
    <w:rsid w:val="007B364D"/>
    <w:rsid w:val="007B40DA"/>
    <w:rsid w:val="007B5441"/>
    <w:rsid w:val="007D7C80"/>
    <w:rsid w:val="007E502B"/>
    <w:rsid w:val="007E664B"/>
    <w:rsid w:val="007F0D72"/>
    <w:rsid w:val="007F7B58"/>
    <w:rsid w:val="008272EC"/>
    <w:rsid w:val="0085352F"/>
    <w:rsid w:val="00885AEC"/>
    <w:rsid w:val="008B6093"/>
    <w:rsid w:val="008C101C"/>
    <w:rsid w:val="008D3B91"/>
    <w:rsid w:val="008E28A0"/>
    <w:rsid w:val="008E7268"/>
    <w:rsid w:val="009148D7"/>
    <w:rsid w:val="009659CE"/>
    <w:rsid w:val="0097179B"/>
    <w:rsid w:val="009724E1"/>
    <w:rsid w:val="00984531"/>
    <w:rsid w:val="009A5E1A"/>
    <w:rsid w:val="009B094B"/>
    <w:rsid w:val="009C7D9E"/>
    <w:rsid w:val="009E5EA3"/>
    <w:rsid w:val="00A001CB"/>
    <w:rsid w:val="00A16A2F"/>
    <w:rsid w:val="00A30C32"/>
    <w:rsid w:val="00A401EE"/>
    <w:rsid w:val="00A4322C"/>
    <w:rsid w:val="00A50F56"/>
    <w:rsid w:val="00A510FB"/>
    <w:rsid w:val="00AA050F"/>
    <w:rsid w:val="00AB389B"/>
    <w:rsid w:val="00AB653A"/>
    <w:rsid w:val="00AC06A9"/>
    <w:rsid w:val="00AD6A56"/>
    <w:rsid w:val="00AE7AB2"/>
    <w:rsid w:val="00B024C5"/>
    <w:rsid w:val="00B3788F"/>
    <w:rsid w:val="00B53DAE"/>
    <w:rsid w:val="00B54D26"/>
    <w:rsid w:val="00B57E72"/>
    <w:rsid w:val="00BB5656"/>
    <w:rsid w:val="00BB610E"/>
    <w:rsid w:val="00BC43F8"/>
    <w:rsid w:val="00BE251A"/>
    <w:rsid w:val="00C44841"/>
    <w:rsid w:val="00C624DA"/>
    <w:rsid w:val="00C63614"/>
    <w:rsid w:val="00C71FF6"/>
    <w:rsid w:val="00C85F34"/>
    <w:rsid w:val="00C86E1F"/>
    <w:rsid w:val="00C910EE"/>
    <w:rsid w:val="00CA631E"/>
    <w:rsid w:val="00CA647E"/>
    <w:rsid w:val="00CD0166"/>
    <w:rsid w:val="00CD5123"/>
    <w:rsid w:val="00D1163F"/>
    <w:rsid w:val="00D370A1"/>
    <w:rsid w:val="00D40B23"/>
    <w:rsid w:val="00D4118B"/>
    <w:rsid w:val="00D41C55"/>
    <w:rsid w:val="00D43842"/>
    <w:rsid w:val="00D52F1D"/>
    <w:rsid w:val="00D834F5"/>
    <w:rsid w:val="00D97D71"/>
    <w:rsid w:val="00DE1A11"/>
    <w:rsid w:val="00DF25F3"/>
    <w:rsid w:val="00E01833"/>
    <w:rsid w:val="00E3095E"/>
    <w:rsid w:val="00E324BB"/>
    <w:rsid w:val="00E32584"/>
    <w:rsid w:val="00E41970"/>
    <w:rsid w:val="00E526FA"/>
    <w:rsid w:val="00E80588"/>
    <w:rsid w:val="00EA776A"/>
    <w:rsid w:val="00EB6EBA"/>
    <w:rsid w:val="00EC61F4"/>
    <w:rsid w:val="00ED7484"/>
    <w:rsid w:val="00EE2974"/>
    <w:rsid w:val="00F20996"/>
    <w:rsid w:val="00F2534E"/>
    <w:rsid w:val="00F30D15"/>
    <w:rsid w:val="00F3571C"/>
    <w:rsid w:val="00F41B59"/>
    <w:rsid w:val="00F46C80"/>
    <w:rsid w:val="00F553B5"/>
    <w:rsid w:val="00F75F4A"/>
    <w:rsid w:val="00F875E4"/>
    <w:rsid w:val="00F96BD1"/>
    <w:rsid w:val="00FA157F"/>
    <w:rsid w:val="00FD23D3"/>
    <w:rsid w:val="00FE754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2058"/>
    <o:shapelayout v:ext="edit">
      <o:idmap v:ext="edit" data="2"/>
    </o:shapelayout>
  </w:shapeDefaults>
  <w:decimalSymbol w:val="."/>
  <w:listSeparator w:val=","/>
  <w14:docId w14:val="637C9706"/>
  <w15:chartTrackingRefBased/>
  <w15:docId w15:val="{55836F87-7B3F-4411-A2BB-C42D77402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49B6"/>
    <w:rPr>
      <w:rFonts w:ascii="Arial" w:hAnsi="Arial"/>
      <w:sz w:val="24"/>
      <w:szCs w:val="24"/>
      <w:lang w:val="en-GB" w:eastAsia="en-GB"/>
    </w:rPr>
  </w:style>
  <w:style w:type="paragraph" w:styleId="Heading1">
    <w:name w:val="heading 1"/>
    <w:basedOn w:val="Normal"/>
    <w:next w:val="Normal"/>
    <w:link w:val="Heading1Char"/>
    <w:qFormat/>
    <w:rsid w:val="00EB6EBA"/>
    <w:pPr>
      <w:keepNext/>
      <w:outlineLvl w:val="0"/>
    </w:pPr>
    <w:rPr>
      <w:rFonts w:cs="Arial"/>
      <w:b/>
      <w:bCs/>
      <w:kern w:val="32"/>
      <w:sz w:val="96"/>
      <w:szCs w:val="32"/>
    </w:rPr>
  </w:style>
  <w:style w:type="paragraph" w:styleId="Heading2">
    <w:name w:val="heading 2"/>
    <w:basedOn w:val="Normal"/>
    <w:next w:val="Normal"/>
    <w:link w:val="Heading2Char"/>
    <w:qFormat/>
    <w:rsid w:val="00EB6EBA"/>
    <w:pPr>
      <w:keepNext/>
      <w:outlineLvl w:val="1"/>
    </w:pPr>
    <w:rPr>
      <w:rFonts w:cs="Arial"/>
      <w:b/>
      <w:bCs/>
      <w:iCs/>
      <w:sz w:val="32"/>
      <w:szCs w:val="28"/>
    </w:rPr>
  </w:style>
  <w:style w:type="paragraph" w:styleId="Heading3">
    <w:name w:val="heading 3"/>
    <w:basedOn w:val="Normal"/>
    <w:next w:val="Normal"/>
    <w:link w:val="Heading3Char"/>
    <w:qFormat/>
    <w:rsid w:val="00EB6EBA"/>
    <w:pPr>
      <w:keepNext/>
      <w:outlineLvl w:val="2"/>
    </w:pPr>
    <w:rPr>
      <w:rFonts w:cs="Arial"/>
      <w:b/>
      <w:bCs/>
      <w:szCs w:val="26"/>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Heading1Char">
    <w:name w:val="Heading 1 Char"/>
    <w:link w:val="Heading1"/>
    <w:locked/>
    <w:rPr>
      <w:rFonts w:ascii="Cambria" w:hAnsi="Cambria" w:cs="Times New Roman"/>
      <w:b/>
      <w:bCs/>
      <w:kern w:val="32"/>
      <w:sz w:val="32"/>
      <w:szCs w:val="32"/>
      <w:lang w:val="en-GB" w:eastAsia="en-GB"/>
    </w:rPr>
  </w:style>
  <w:style w:type="character" w:customStyle="1" w:styleId="Heading2Char">
    <w:name w:val="Heading 2 Char"/>
    <w:link w:val="Heading2"/>
    <w:locked/>
    <w:rsid w:val="004E24B0"/>
    <w:rPr>
      <w:rFonts w:ascii="Arial" w:hAnsi="Arial" w:cs="Times New Roman"/>
      <w:b/>
      <w:sz w:val="28"/>
      <w:lang w:val="en-GB" w:eastAsia="en-GB"/>
    </w:rPr>
  </w:style>
  <w:style w:type="character" w:customStyle="1" w:styleId="Heading3Char">
    <w:name w:val="Heading 3 Char"/>
    <w:link w:val="Heading3"/>
    <w:semiHidden/>
    <w:locked/>
    <w:rPr>
      <w:rFonts w:ascii="Cambria" w:hAnsi="Cambria" w:cs="Times New Roman"/>
      <w:b/>
      <w:bCs/>
      <w:sz w:val="26"/>
      <w:szCs w:val="26"/>
      <w:lang w:val="en-GB" w:eastAsia="en-GB"/>
    </w:rPr>
  </w:style>
  <w:style w:type="paragraph" w:customStyle="1" w:styleId="Heading41">
    <w:name w:val="Heading 41"/>
    <w:basedOn w:val="Normal"/>
    <w:next w:val="Normal"/>
    <w:rsid w:val="00704F2C"/>
    <w:pPr>
      <w:keepNext/>
    </w:pPr>
    <w:rPr>
      <w:i/>
      <w:u w:val="single"/>
    </w:rPr>
  </w:style>
  <w:style w:type="paragraph" w:customStyle="1" w:styleId="Heading51">
    <w:name w:val="Heading 51"/>
    <w:basedOn w:val="Normal"/>
    <w:next w:val="Normal"/>
    <w:rsid w:val="00EB6EBA"/>
    <w:pPr>
      <w:keepNext/>
    </w:pPr>
    <w:rPr>
      <w:i/>
    </w:rPr>
  </w:style>
  <w:style w:type="paragraph" w:styleId="NormalWeb">
    <w:name w:val="Normal (Web)"/>
    <w:basedOn w:val="Normal"/>
    <w:rsid w:val="003949B6"/>
    <w:pPr>
      <w:spacing w:before="100" w:beforeAutospacing="1" w:after="100" w:afterAutospacing="1"/>
    </w:pPr>
  </w:style>
  <w:style w:type="paragraph" w:styleId="Header">
    <w:name w:val="header"/>
    <w:basedOn w:val="Normal"/>
    <w:link w:val="HeaderChar"/>
    <w:rsid w:val="00704DA8"/>
    <w:pPr>
      <w:tabs>
        <w:tab w:val="center" w:pos="4153"/>
        <w:tab w:val="right" w:pos="8306"/>
      </w:tabs>
    </w:pPr>
  </w:style>
  <w:style w:type="character" w:customStyle="1" w:styleId="HeaderChar">
    <w:name w:val="Header Char"/>
    <w:link w:val="Header"/>
    <w:semiHidden/>
    <w:locked/>
    <w:rPr>
      <w:rFonts w:ascii="Arial" w:hAnsi="Arial" w:cs="Times New Roman"/>
      <w:sz w:val="24"/>
      <w:szCs w:val="24"/>
      <w:lang w:val="en-GB" w:eastAsia="en-GB"/>
    </w:rPr>
  </w:style>
  <w:style w:type="paragraph" w:styleId="Footer">
    <w:name w:val="footer"/>
    <w:basedOn w:val="Normal"/>
    <w:link w:val="FooterChar"/>
    <w:rsid w:val="00704DA8"/>
    <w:pPr>
      <w:tabs>
        <w:tab w:val="center" w:pos="4153"/>
        <w:tab w:val="right" w:pos="8306"/>
      </w:tabs>
    </w:pPr>
  </w:style>
  <w:style w:type="character" w:customStyle="1" w:styleId="FooterChar">
    <w:name w:val="Footer Char"/>
    <w:link w:val="Footer"/>
    <w:semiHidden/>
    <w:locked/>
    <w:rPr>
      <w:rFonts w:ascii="Arial" w:hAnsi="Arial" w:cs="Times New Roman"/>
      <w:sz w:val="24"/>
      <w:szCs w:val="24"/>
      <w:lang w:val="en-GB" w:eastAsia="en-GB"/>
    </w:rPr>
  </w:style>
  <w:style w:type="character" w:styleId="PageNumber">
    <w:name w:val="page number"/>
    <w:rsid w:val="00CD5123"/>
    <w:rPr>
      <w:rFonts w:ascii="Arial" w:hAnsi="Arial" w:cs="Times New Roman"/>
    </w:rPr>
  </w:style>
  <w:style w:type="paragraph" w:customStyle="1" w:styleId="Numbers1">
    <w:name w:val="Numbers 1"/>
    <w:basedOn w:val="Normal"/>
    <w:rsid w:val="00516D70"/>
    <w:pPr>
      <w:numPr>
        <w:numId w:val="4"/>
      </w:numPr>
    </w:pPr>
    <w:rPr>
      <w:lang w:val="en-NZ"/>
    </w:rPr>
  </w:style>
  <w:style w:type="paragraph" w:customStyle="1" w:styleId="Bullet1">
    <w:name w:val="Bullet 1"/>
    <w:basedOn w:val="Numbers1"/>
    <w:rsid w:val="00304599"/>
    <w:pPr>
      <w:numPr>
        <w:numId w:val="1"/>
      </w:numPr>
    </w:pPr>
  </w:style>
  <w:style w:type="character" w:styleId="Hyperlink">
    <w:name w:val="Hyperlink"/>
    <w:rsid w:val="00EA776A"/>
    <w:rPr>
      <w:rFonts w:cs="Times New Roman"/>
      <w:color w:val="0000FF"/>
      <w:u w:val="single"/>
    </w:rPr>
  </w:style>
  <w:style w:type="paragraph" w:customStyle="1" w:styleId="Bullet2">
    <w:name w:val="Bullet 2"/>
    <w:basedOn w:val="Normal"/>
    <w:rsid w:val="00A4322C"/>
    <w:pPr>
      <w:numPr>
        <w:numId w:val="2"/>
      </w:numPr>
    </w:pPr>
  </w:style>
  <w:style w:type="paragraph" w:customStyle="1" w:styleId="Numbers2">
    <w:name w:val="Numbers 2"/>
    <w:basedOn w:val="Numbers1"/>
    <w:next w:val="Normal"/>
    <w:rsid w:val="00CD5123"/>
    <w:pPr>
      <w:numPr>
        <w:numId w:val="14"/>
      </w:numPr>
    </w:pPr>
  </w:style>
  <w:style w:type="paragraph" w:styleId="FootnoteText">
    <w:name w:val="footnote text"/>
    <w:basedOn w:val="Normal"/>
    <w:link w:val="FootnoteTextChar"/>
    <w:semiHidden/>
    <w:rsid w:val="004E24B0"/>
    <w:rPr>
      <w:sz w:val="20"/>
      <w:szCs w:val="20"/>
    </w:rPr>
  </w:style>
  <w:style w:type="character" w:customStyle="1" w:styleId="FootnoteTextChar">
    <w:name w:val="Footnote Text Char"/>
    <w:link w:val="FootnoteText"/>
    <w:semiHidden/>
    <w:locked/>
    <w:rPr>
      <w:rFonts w:ascii="Arial" w:hAnsi="Arial" w:cs="Times New Roman"/>
      <w:sz w:val="20"/>
      <w:szCs w:val="20"/>
      <w:lang w:val="en-GB" w:eastAsia="en-GB"/>
    </w:rPr>
  </w:style>
  <w:style w:type="character" w:styleId="FootnoteReference">
    <w:name w:val="footnote reference"/>
    <w:semiHidden/>
    <w:rsid w:val="004E24B0"/>
    <w:rPr>
      <w:rFonts w:cs="Times New Roman"/>
      <w:vertAlign w:val="superscript"/>
    </w:rPr>
  </w:style>
  <w:style w:type="paragraph" w:styleId="BalloonText">
    <w:name w:val="Balloon Text"/>
    <w:basedOn w:val="Normal"/>
    <w:link w:val="BalloonTextChar"/>
    <w:semiHidden/>
    <w:rsid w:val="00F30D15"/>
    <w:rPr>
      <w:rFonts w:ascii="Tahoma" w:hAnsi="Tahoma" w:cs="Tahoma"/>
      <w:sz w:val="16"/>
      <w:szCs w:val="16"/>
    </w:rPr>
  </w:style>
  <w:style w:type="character" w:customStyle="1" w:styleId="BalloonTextChar">
    <w:name w:val="Balloon Text Char"/>
    <w:link w:val="BalloonText"/>
    <w:semiHidden/>
    <w:locked/>
    <w:rPr>
      <w:rFonts w:cs="Times New Roman"/>
      <w:sz w:val="2"/>
      <w:lang w:val="en-GB" w:eastAsia="en-GB"/>
    </w:rPr>
  </w:style>
  <w:style w:type="character" w:styleId="CommentReference">
    <w:name w:val="annotation reference"/>
    <w:semiHidden/>
    <w:rsid w:val="00F30D15"/>
    <w:rPr>
      <w:rFonts w:cs="Times New Roman"/>
      <w:sz w:val="16"/>
    </w:rPr>
  </w:style>
  <w:style w:type="paragraph" w:styleId="CommentText">
    <w:name w:val="annotation text"/>
    <w:basedOn w:val="Normal"/>
    <w:link w:val="CommentTextChar"/>
    <w:semiHidden/>
    <w:rsid w:val="00F30D15"/>
    <w:rPr>
      <w:sz w:val="20"/>
      <w:szCs w:val="20"/>
    </w:rPr>
  </w:style>
  <w:style w:type="character" w:customStyle="1" w:styleId="CommentTextChar">
    <w:name w:val="Comment Text Char"/>
    <w:link w:val="CommentText"/>
    <w:semiHidden/>
    <w:locked/>
    <w:rPr>
      <w:rFonts w:ascii="Arial" w:hAnsi="Arial" w:cs="Times New Roman"/>
      <w:sz w:val="20"/>
      <w:szCs w:val="20"/>
      <w:lang w:val="en-GB" w:eastAsia="en-GB"/>
    </w:rPr>
  </w:style>
  <w:style w:type="paragraph" w:styleId="CommentSubject">
    <w:name w:val="annotation subject"/>
    <w:basedOn w:val="CommentText"/>
    <w:next w:val="CommentText"/>
    <w:link w:val="CommentSubjectChar"/>
    <w:semiHidden/>
    <w:rsid w:val="00F30D15"/>
    <w:rPr>
      <w:b/>
      <w:bCs/>
    </w:rPr>
  </w:style>
  <w:style w:type="character" w:customStyle="1" w:styleId="CommentSubjectChar">
    <w:name w:val="Comment Subject Char"/>
    <w:link w:val="CommentSubject"/>
    <w:semiHidden/>
    <w:locked/>
    <w:rPr>
      <w:rFonts w:ascii="Arial" w:hAnsi="Arial" w:cs="Times New Roman"/>
      <w:b/>
      <w:bCs/>
      <w:sz w:val="20"/>
      <w:szCs w:val="20"/>
      <w:lang w:val="en-GB" w:eastAsia="en-GB"/>
    </w:rPr>
  </w:style>
  <w:style w:type="paragraph" w:customStyle="1" w:styleId="Numbers3">
    <w:name w:val="Numbers 3"/>
    <w:basedOn w:val="Numbers1"/>
    <w:rsid w:val="0003611F"/>
    <w:pPr>
      <w:numPr>
        <w:numId w:val="5"/>
      </w:numPr>
    </w:pPr>
  </w:style>
  <w:style w:type="paragraph" w:styleId="Revision">
    <w:name w:val="Revision"/>
    <w:hidden/>
    <w:semiHidden/>
    <w:rsid w:val="006C4605"/>
    <w:rPr>
      <w:rFonts w:ascii="Arial" w:hAnsi="Arial"/>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
      <w:marLeft w:val="0"/>
      <w:marRight w:val="0"/>
      <w:marTop w:val="0"/>
      <w:marBottom w:val="0"/>
      <w:divBdr>
        <w:top w:val="none" w:sz="0" w:space="0" w:color="auto"/>
        <w:left w:val="none" w:sz="0" w:space="0" w:color="auto"/>
        <w:bottom w:val="none" w:sz="0" w:space="0" w:color="auto"/>
        <w:right w:val="none" w:sz="0" w:space="0" w:color="auto"/>
      </w:divBdr>
    </w:div>
    <w:div w:id="8">
      <w:marLeft w:val="143"/>
      <w:marRight w:val="143"/>
      <w:marTop w:val="143"/>
      <w:marBottom w:val="143"/>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single" w:sz="18" w:space="0" w:color="7A797D"/>
            <w:right w:val="single" w:sz="18" w:space="0" w:color="7A797D"/>
          </w:divBdr>
          <w:divsChild>
            <w:div w:id="2">
              <w:marLeft w:val="0"/>
              <w:marRight w:val="0"/>
              <w:marTop w:val="0"/>
              <w:marBottom w:val="0"/>
              <w:divBdr>
                <w:top w:val="single" w:sz="6" w:space="0" w:color="8C8A91"/>
                <w:left w:val="single" w:sz="6" w:space="0" w:color="8C8A91"/>
                <w:bottom w:val="single" w:sz="6" w:space="0" w:color="8C8A91"/>
                <w:right w:val="single" w:sz="6" w:space="0" w:color="8C8A91"/>
              </w:divBdr>
              <w:divsChild>
                <w:div w:id="4">
                  <w:marLeft w:val="0"/>
                  <w:marRight w:val="0"/>
                  <w:marTop w:val="0"/>
                  <w:marBottom w:val="0"/>
                  <w:divBdr>
                    <w:top w:val="single" w:sz="36" w:space="0" w:color="CCCCCC"/>
                    <w:left w:val="single" w:sz="36" w:space="0" w:color="CCCCCC"/>
                    <w:bottom w:val="single" w:sz="36" w:space="0" w:color="CCCCCC"/>
                    <w:right w:val="single" w:sz="36" w:space="0" w:color="CCCCCC"/>
                  </w:divBdr>
                  <w:divsChild>
                    <w:div w:id="14">
                      <w:marLeft w:val="0"/>
                      <w:marRight w:val="0"/>
                      <w:marTop w:val="0"/>
                      <w:marBottom w:val="0"/>
                      <w:divBdr>
                        <w:top w:val="single" w:sz="6" w:space="0" w:color="8C8A91"/>
                        <w:left w:val="single" w:sz="6" w:space="0" w:color="8C8A91"/>
                        <w:bottom w:val="single" w:sz="6" w:space="0" w:color="8C8A91"/>
                        <w:right w:val="single" w:sz="6" w:space="0" w:color="8C8A91"/>
                      </w:divBdr>
                      <w:divsChild>
                        <w:div w:id="16">
                          <w:marLeft w:val="0"/>
                          <w:marRight w:val="0"/>
                          <w:marTop w:val="0"/>
                          <w:marBottom w:val="0"/>
                          <w:divBdr>
                            <w:top w:val="single" w:sz="36" w:space="0" w:color="CCCCCC"/>
                            <w:left w:val="single" w:sz="36" w:space="0" w:color="CCCCCC"/>
                            <w:bottom w:val="single" w:sz="36" w:space="0" w:color="CCCCCC"/>
                            <w:right w:val="single" w:sz="36" w:space="0" w:color="CCCCCC"/>
                          </w:divBdr>
                          <w:divsChild>
                            <w:div w:id="17">
                              <w:marLeft w:val="0"/>
                              <w:marRight w:val="0"/>
                              <w:marTop w:val="0"/>
                              <w:marBottom w:val="0"/>
                              <w:divBdr>
                                <w:top w:val="single" w:sz="6" w:space="0" w:color="8C8A91"/>
                                <w:left w:val="single" w:sz="6" w:space="0" w:color="8C8A91"/>
                                <w:bottom w:val="single" w:sz="6" w:space="0" w:color="8C8A91"/>
                                <w:right w:val="single" w:sz="6" w:space="0" w:color="8C8A91"/>
                              </w:divBdr>
                              <w:divsChild>
                                <w:div w:id="3">
                                  <w:marLeft w:val="0"/>
                                  <w:marRight w:val="0"/>
                                  <w:marTop w:val="0"/>
                                  <w:marBottom w:val="0"/>
                                  <w:divBdr>
                                    <w:top w:val="single" w:sz="18" w:space="6" w:color="666666"/>
                                    <w:left w:val="single" w:sz="18" w:space="6" w:color="666666"/>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dotted" w:sz="6" w:space="7" w:color="666666"/>
                                                <w:bottom w:val="dotted" w:sz="6" w:space="7" w:color="666666"/>
                                                <w:right w:val="dotted" w:sz="6" w:space="7" w:color="666666"/>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notes.xml.rels><?xml version="1.0" encoding="UTF-8" standalone="yes"?>
<Relationships xmlns="http://schemas.openxmlformats.org/package/2006/relationships"><Relationship Id="rId1" Type="http://schemas.openxmlformats.org/officeDocument/2006/relationships/hyperlink" Target="http://www.justice.govt.nz/policy/criminal-justice/aml-cft/publications-and-consultation/national-risk-assessment-201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ndersron\Desktop\Word%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Word template</Template>
  <TotalTime>0</TotalTime>
  <Pages>5</Pages>
  <Words>1634</Words>
  <Characters>9319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Heading 1</vt:lpstr>
    </vt:vector>
  </TitlesOfParts>
  <Company>Department of Internal Affairs</Company>
  <LinksUpToDate>false</LinksUpToDate>
  <CharactersWithSpaces>10932</CharactersWithSpaces>
  <SharedDoc>false</SharedDoc>
  <HLinks>
    <vt:vector size="6" baseType="variant">
      <vt:variant>
        <vt:i4>2621484</vt:i4>
      </vt:variant>
      <vt:variant>
        <vt:i4>0</vt:i4>
      </vt:variant>
      <vt:variant>
        <vt:i4>0</vt:i4>
      </vt:variant>
      <vt:variant>
        <vt:i4>5</vt:i4>
      </vt:variant>
      <vt:variant>
        <vt:lpwstr>http://www.justice.govt.nz/policy/criminal-justice/aml-cft/publications-and-consultation/national-risk-assessment-2010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1</dc:title>
  <dc:subject/>
  <dc:creator>andersron</dc:creator>
  <cp:keywords/>
  <cp:lastModifiedBy>Tim Bollinger</cp:lastModifiedBy>
  <cp:revision>2</cp:revision>
  <cp:lastPrinted>2013-08-15T21:53:00Z</cp:lastPrinted>
  <dcterms:created xsi:type="dcterms:W3CDTF">2025-02-27T01:58:00Z</dcterms:created>
  <dcterms:modified xsi:type="dcterms:W3CDTF">2025-02-27T01:58:00Z</dcterms:modified>
</cp:coreProperties>
</file>