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5FD" w:rsidRPr="00FD1279" w:rsidRDefault="001635FD" w:rsidP="001635FD">
      <w:pPr>
        <w:keepLines w:val="0"/>
        <w:autoSpaceDE w:val="0"/>
        <w:autoSpaceDN w:val="0"/>
        <w:adjustRightInd w:val="0"/>
        <w:spacing w:before="0" w:after="0"/>
        <w:rPr>
          <w:rFonts w:ascii="Arial" w:hAnsi="Arial" w:cs="Arial"/>
          <w:b/>
          <w:bCs/>
          <w:color w:val="00B0F0"/>
          <w:sz w:val="45"/>
          <w:szCs w:val="45"/>
          <w:lang w:eastAsia="en-NZ"/>
        </w:rPr>
      </w:pPr>
      <w:bookmarkStart w:id="0" w:name="_GoBack"/>
      <w:bookmarkEnd w:id="0"/>
      <w:r w:rsidRPr="00FD1279">
        <w:rPr>
          <w:rFonts w:ascii="Arial" w:hAnsi="Arial" w:cs="Arial"/>
          <w:b/>
          <w:bCs/>
          <w:color w:val="00B0F0"/>
          <w:sz w:val="45"/>
          <w:szCs w:val="45"/>
          <w:lang w:eastAsia="en-NZ"/>
        </w:rPr>
        <w:t>Gambling Fact Sheet #23</w:t>
      </w:r>
    </w:p>
    <w:p w:rsidR="001635FD" w:rsidRDefault="001635FD" w:rsidP="001635FD">
      <w:pPr>
        <w:pStyle w:val="Pa0"/>
        <w:rPr>
          <w:b/>
          <w:bCs/>
          <w:color w:val="000000"/>
          <w:sz w:val="34"/>
          <w:szCs w:val="34"/>
        </w:rPr>
      </w:pPr>
      <w:r>
        <w:rPr>
          <w:b/>
          <w:bCs/>
          <w:color w:val="000000"/>
          <w:sz w:val="34"/>
          <w:szCs w:val="34"/>
        </w:rPr>
        <w:t>Class 4 Key Persons &amp; Suitability</w:t>
      </w:r>
    </w:p>
    <w:p w:rsidR="001635FD" w:rsidRPr="001635FD" w:rsidRDefault="001635FD" w:rsidP="001635FD">
      <w:pPr>
        <w:pStyle w:val="Default"/>
        <w:ind w:right="-1"/>
        <w:rPr>
          <w:sz w:val="20"/>
          <w:szCs w:val="20"/>
        </w:rPr>
      </w:pPr>
    </w:p>
    <w:p w:rsidR="001635FD" w:rsidRPr="001635FD" w:rsidRDefault="001635FD" w:rsidP="001635FD">
      <w:pPr>
        <w:keepLines w:val="0"/>
        <w:autoSpaceDE w:val="0"/>
        <w:autoSpaceDN w:val="0"/>
        <w:adjustRightInd w:val="0"/>
        <w:spacing w:before="0" w:after="0"/>
        <w:ind w:right="-1"/>
        <w:rPr>
          <w:rFonts w:ascii="Arial" w:hAnsi="Arial" w:cs="Arial"/>
          <w:b/>
          <w:bCs/>
          <w:sz w:val="18"/>
          <w:szCs w:val="18"/>
          <w:lang w:eastAsia="en-NZ"/>
        </w:rPr>
      </w:pPr>
      <w:r w:rsidRPr="001635FD">
        <w:rPr>
          <w:rFonts w:ascii="Arial" w:hAnsi="Arial" w:cs="Arial"/>
          <w:b/>
          <w:bCs/>
          <w:sz w:val="18"/>
          <w:szCs w:val="18"/>
          <w:lang w:eastAsia="en-NZ"/>
        </w:rPr>
        <w:t>Note: While reasonable measures have been taken to ensure the quality and accuracy of the information contained in this Fact Sheet it does not replace information contained in the Gambling Act 2003 or the Racing Act 2003 or any provisions pursuant to these Acts. This Fact Sheet is for general information only and is not a substitute for independent, professional legal or financial advice.</w:t>
      </w:r>
    </w:p>
    <w:p w:rsidR="001635FD" w:rsidRPr="001635FD" w:rsidRDefault="001635FD" w:rsidP="001635FD">
      <w:pPr>
        <w:pStyle w:val="Default"/>
        <w:rPr>
          <w:sz w:val="20"/>
          <w:szCs w:val="20"/>
        </w:rPr>
      </w:pPr>
    </w:p>
    <w:p w:rsidR="001635FD" w:rsidRDefault="001635FD" w:rsidP="001635FD">
      <w:pPr>
        <w:pStyle w:val="Default"/>
        <w:sectPr w:rsidR="001635FD" w:rsidSect="003969E8">
          <w:headerReference w:type="default" r:id="rId9"/>
          <w:footerReference w:type="default" r:id="rId10"/>
          <w:headerReference w:type="first" r:id="rId11"/>
          <w:footerReference w:type="first" r:id="rId12"/>
          <w:pgSz w:w="11907" w:h="16840" w:code="9"/>
          <w:pgMar w:top="1418" w:right="1418" w:bottom="992" w:left="1418" w:header="425" w:footer="635" w:gutter="0"/>
          <w:cols w:space="708"/>
          <w:titlePg/>
          <w:docGrid w:linePitch="360"/>
        </w:sectPr>
      </w:pPr>
    </w:p>
    <w:p w:rsidR="001635FD" w:rsidRPr="00EF0E27" w:rsidRDefault="001635FD" w:rsidP="00232F92">
      <w:pPr>
        <w:keepLines w:val="0"/>
        <w:autoSpaceDE w:val="0"/>
        <w:autoSpaceDN w:val="0"/>
        <w:adjustRightInd w:val="0"/>
        <w:spacing w:before="0" w:after="120" w:line="241" w:lineRule="atLeast"/>
        <w:rPr>
          <w:rFonts w:ascii="Arial" w:hAnsi="Arial" w:cs="Arial"/>
          <w:sz w:val="18"/>
          <w:szCs w:val="18"/>
          <w:lang w:eastAsia="en-NZ"/>
        </w:rPr>
      </w:pPr>
      <w:r w:rsidRPr="00EF0E27">
        <w:rPr>
          <w:rFonts w:ascii="Arial" w:hAnsi="Arial" w:cs="Arial"/>
          <w:sz w:val="18"/>
          <w:szCs w:val="18"/>
          <w:lang w:eastAsia="en-NZ"/>
        </w:rPr>
        <w:lastRenderedPageBreak/>
        <w:t xml:space="preserve">The Gambling Act 2003 </w:t>
      </w:r>
      <w:r w:rsidR="009A5763">
        <w:rPr>
          <w:rFonts w:ascii="Arial" w:hAnsi="Arial" w:cs="Arial"/>
          <w:sz w:val="18"/>
          <w:szCs w:val="18"/>
          <w:lang w:eastAsia="en-NZ"/>
        </w:rPr>
        <w:t xml:space="preserve">(the Act) </w:t>
      </w:r>
      <w:r w:rsidRPr="00EF0E27">
        <w:rPr>
          <w:rFonts w:ascii="Arial" w:hAnsi="Arial" w:cs="Arial"/>
          <w:sz w:val="18"/>
          <w:szCs w:val="18"/>
          <w:lang w:eastAsia="en-NZ"/>
        </w:rPr>
        <w:t>aims to limit opportunities for crime or dishonesty associated with gambling and ensure that money from gambling benefits the community.</w:t>
      </w:r>
    </w:p>
    <w:p w:rsidR="001635FD" w:rsidRPr="00EF0E27" w:rsidRDefault="001635FD" w:rsidP="00232F92">
      <w:pPr>
        <w:keepLines w:val="0"/>
        <w:autoSpaceDE w:val="0"/>
        <w:autoSpaceDN w:val="0"/>
        <w:adjustRightInd w:val="0"/>
        <w:spacing w:before="0" w:after="120" w:line="241" w:lineRule="atLeast"/>
        <w:rPr>
          <w:rFonts w:ascii="Arial" w:hAnsi="Arial" w:cs="Arial"/>
          <w:sz w:val="18"/>
          <w:szCs w:val="18"/>
          <w:lang w:eastAsia="en-NZ"/>
        </w:rPr>
      </w:pPr>
      <w:r w:rsidRPr="00EF0E27">
        <w:rPr>
          <w:rFonts w:ascii="Arial" w:hAnsi="Arial" w:cs="Arial"/>
          <w:sz w:val="18"/>
          <w:szCs w:val="18"/>
          <w:lang w:eastAsia="en-NZ"/>
        </w:rPr>
        <w:t>The Act sets out strict suitability requirements on key persons who are involved in the operation of gaming machines and the distribution of funds generated by gaming machines.</w:t>
      </w:r>
    </w:p>
    <w:p w:rsidR="001635FD" w:rsidRPr="00EF0E27" w:rsidRDefault="001635FD" w:rsidP="00232F92">
      <w:pPr>
        <w:keepLines w:val="0"/>
        <w:autoSpaceDE w:val="0"/>
        <w:autoSpaceDN w:val="0"/>
        <w:adjustRightInd w:val="0"/>
        <w:spacing w:before="0" w:after="120" w:line="241" w:lineRule="atLeast"/>
        <w:rPr>
          <w:rFonts w:ascii="Arial" w:hAnsi="Arial" w:cs="Arial"/>
          <w:sz w:val="18"/>
          <w:szCs w:val="18"/>
          <w:lang w:eastAsia="en-NZ"/>
        </w:rPr>
      </w:pPr>
      <w:r w:rsidRPr="00EF0E27">
        <w:rPr>
          <w:rFonts w:ascii="Arial" w:hAnsi="Arial" w:cs="Arial"/>
          <w:sz w:val="18"/>
          <w:szCs w:val="18"/>
          <w:lang w:eastAsia="en-NZ"/>
        </w:rPr>
        <w:t xml:space="preserve">When applying for a </w:t>
      </w:r>
      <w:r w:rsidR="00ED02F4" w:rsidRPr="00EF0E27">
        <w:rPr>
          <w:rFonts w:ascii="Arial" w:hAnsi="Arial" w:cs="Arial"/>
          <w:sz w:val="18"/>
          <w:szCs w:val="18"/>
          <w:lang w:eastAsia="en-NZ"/>
        </w:rPr>
        <w:t>c</w:t>
      </w:r>
      <w:r w:rsidRPr="00EF0E27">
        <w:rPr>
          <w:rFonts w:ascii="Arial" w:hAnsi="Arial" w:cs="Arial"/>
          <w:sz w:val="18"/>
          <w:szCs w:val="18"/>
          <w:lang w:eastAsia="en-NZ"/>
        </w:rPr>
        <w:t>lass 4 gambling licence,</w:t>
      </w:r>
      <w:r w:rsidR="00232F92" w:rsidRPr="00EF0E27">
        <w:rPr>
          <w:rFonts w:ascii="Arial" w:hAnsi="Arial" w:cs="Arial"/>
          <w:sz w:val="18"/>
          <w:szCs w:val="18"/>
          <w:lang w:eastAsia="en-NZ"/>
        </w:rPr>
        <w:t xml:space="preserve"> </w:t>
      </w:r>
      <w:r w:rsidRPr="00EF0E27">
        <w:rPr>
          <w:rFonts w:ascii="Arial" w:hAnsi="Arial" w:cs="Arial"/>
          <w:sz w:val="18"/>
          <w:szCs w:val="18"/>
          <w:lang w:eastAsia="en-NZ"/>
        </w:rPr>
        <w:t>corporate societies are therefore required to identify key persons to enable:</w:t>
      </w:r>
    </w:p>
    <w:p w:rsidR="001635FD" w:rsidRPr="00EF0E27" w:rsidRDefault="00ED02F4" w:rsidP="00232F92">
      <w:pPr>
        <w:pStyle w:val="ListParagraph"/>
        <w:keepLines w:val="0"/>
        <w:numPr>
          <w:ilvl w:val="0"/>
          <w:numId w:val="29"/>
        </w:numPr>
        <w:autoSpaceDE w:val="0"/>
        <w:autoSpaceDN w:val="0"/>
        <w:adjustRightInd w:val="0"/>
        <w:spacing w:before="0" w:after="120" w:line="241" w:lineRule="atLeast"/>
        <w:ind w:left="426" w:hanging="426"/>
        <w:rPr>
          <w:rFonts w:ascii="Arial" w:hAnsi="Arial" w:cs="Arial"/>
          <w:sz w:val="18"/>
          <w:szCs w:val="18"/>
          <w:lang w:eastAsia="en-NZ"/>
        </w:rPr>
      </w:pPr>
      <w:r w:rsidRPr="00EF0E27">
        <w:rPr>
          <w:rFonts w:ascii="Arial" w:hAnsi="Arial" w:cs="Arial"/>
          <w:sz w:val="18"/>
          <w:szCs w:val="18"/>
          <w:lang w:eastAsia="en-NZ"/>
        </w:rPr>
        <w:t>s</w:t>
      </w:r>
      <w:r w:rsidR="001635FD" w:rsidRPr="00EF0E27">
        <w:rPr>
          <w:rFonts w:ascii="Arial" w:hAnsi="Arial" w:cs="Arial"/>
          <w:sz w:val="18"/>
          <w:szCs w:val="18"/>
          <w:lang w:eastAsia="en-NZ"/>
        </w:rPr>
        <w:t>uitability checks</w:t>
      </w:r>
    </w:p>
    <w:p w:rsidR="001635FD" w:rsidRPr="00EF0E27" w:rsidRDefault="00ED02F4" w:rsidP="00232F92">
      <w:pPr>
        <w:pStyle w:val="ListParagraph"/>
        <w:keepLines w:val="0"/>
        <w:numPr>
          <w:ilvl w:val="0"/>
          <w:numId w:val="29"/>
        </w:numPr>
        <w:autoSpaceDE w:val="0"/>
        <w:autoSpaceDN w:val="0"/>
        <w:adjustRightInd w:val="0"/>
        <w:spacing w:before="0" w:after="120" w:line="241" w:lineRule="atLeast"/>
        <w:ind w:left="426" w:hanging="426"/>
        <w:rPr>
          <w:rFonts w:ascii="Arial" w:hAnsi="Arial" w:cs="Arial"/>
          <w:sz w:val="18"/>
          <w:szCs w:val="18"/>
          <w:lang w:eastAsia="en-NZ"/>
        </w:rPr>
      </w:pPr>
      <w:r w:rsidRPr="00EF0E27">
        <w:rPr>
          <w:rFonts w:ascii="Arial" w:hAnsi="Arial" w:cs="Arial"/>
          <w:sz w:val="18"/>
          <w:szCs w:val="18"/>
          <w:lang w:eastAsia="en-NZ"/>
        </w:rPr>
        <w:t>identification of any conflict of interest between a c</w:t>
      </w:r>
      <w:r w:rsidR="001635FD" w:rsidRPr="00EF0E27">
        <w:rPr>
          <w:rFonts w:ascii="Arial" w:hAnsi="Arial" w:cs="Arial"/>
          <w:sz w:val="18"/>
          <w:szCs w:val="18"/>
          <w:lang w:eastAsia="en-NZ"/>
        </w:rPr>
        <w:t>lass 4 operator and venue key person</w:t>
      </w:r>
    </w:p>
    <w:p w:rsidR="001635FD" w:rsidRPr="00EF0E27" w:rsidRDefault="001635FD" w:rsidP="00232F92">
      <w:pPr>
        <w:pStyle w:val="ListParagraph"/>
        <w:keepLines w:val="0"/>
        <w:numPr>
          <w:ilvl w:val="0"/>
          <w:numId w:val="29"/>
        </w:numPr>
        <w:autoSpaceDE w:val="0"/>
        <w:autoSpaceDN w:val="0"/>
        <w:adjustRightInd w:val="0"/>
        <w:spacing w:before="0" w:after="120" w:line="241" w:lineRule="atLeast"/>
        <w:ind w:left="426" w:hanging="426"/>
        <w:rPr>
          <w:rFonts w:ascii="Arial" w:hAnsi="Arial" w:cs="Arial"/>
          <w:sz w:val="18"/>
          <w:szCs w:val="18"/>
          <w:lang w:eastAsia="en-NZ"/>
        </w:rPr>
      </w:pPr>
      <w:r w:rsidRPr="00EF0E27">
        <w:rPr>
          <w:rFonts w:ascii="Arial" w:hAnsi="Arial" w:cs="Arial"/>
          <w:sz w:val="18"/>
          <w:szCs w:val="18"/>
          <w:lang w:eastAsia="en-NZ"/>
        </w:rPr>
        <w:t xml:space="preserve">The Department of Internal Affairs to ensure that key persons are prohibited from seeking, </w:t>
      </w:r>
      <w:r w:rsidR="00ED02F4" w:rsidRPr="00EF0E27">
        <w:rPr>
          <w:rFonts w:ascii="Arial" w:hAnsi="Arial" w:cs="Arial"/>
          <w:sz w:val="18"/>
          <w:szCs w:val="18"/>
          <w:lang w:eastAsia="en-NZ"/>
        </w:rPr>
        <w:t xml:space="preserve">receiving or offering benefits in defined cases </w:t>
      </w:r>
      <w:r w:rsidRPr="00EF0E27">
        <w:rPr>
          <w:rFonts w:ascii="Arial" w:hAnsi="Arial" w:cs="Arial"/>
          <w:sz w:val="18"/>
          <w:szCs w:val="18"/>
          <w:lang w:eastAsia="en-NZ"/>
        </w:rPr>
        <w:t>(section 118).</w:t>
      </w:r>
    </w:p>
    <w:p w:rsidR="001635FD" w:rsidRPr="00FD1279" w:rsidRDefault="001635FD" w:rsidP="00232F92">
      <w:pPr>
        <w:pStyle w:val="Pa0"/>
        <w:spacing w:after="120"/>
        <w:rPr>
          <w:rStyle w:val="A4"/>
          <w:color w:val="00B0F0"/>
        </w:rPr>
      </w:pPr>
      <w:r w:rsidRPr="00FD1279">
        <w:rPr>
          <w:b/>
          <w:bCs/>
          <w:color w:val="00B0F0"/>
          <w:sz w:val="34"/>
          <w:szCs w:val="34"/>
        </w:rPr>
        <w:t>Key persons</w:t>
      </w:r>
    </w:p>
    <w:p w:rsidR="007E2F7F" w:rsidRPr="00EF0E27" w:rsidRDefault="007E2F7F" w:rsidP="00232F92">
      <w:pPr>
        <w:pStyle w:val="Pa0"/>
        <w:spacing w:after="120"/>
        <w:rPr>
          <w:rStyle w:val="A4"/>
          <w:sz w:val="18"/>
          <w:szCs w:val="18"/>
        </w:rPr>
      </w:pPr>
      <w:r w:rsidRPr="00EF0E27">
        <w:rPr>
          <w:rStyle w:val="A4"/>
          <w:sz w:val="18"/>
          <w:szCs w:val="18"/>
        </w:rPr>
        <w:t>Section 4 of the Act defines key persons as:</w:t>
      </w:r>
    </w:p>
    <w:p w:rsidR="007E2F7F" w:rsidRPr="008656DB" w:rsidRDefault="00ED02F4" w:rsidP="00232F92">
      <w:pPr>
        <w:pStyle w:val="Pa0"/>
        <w:numPr>
          <w:ilvl w:val="0"/>
          <w:numId w:val="30"/>
        </w:numPr>
        <w:spacing w:after="120"/>
        <w:ind w:left="426" w:hanging="426"/>
        <w:rPr>
          <w:sz w:val="18"/>
          <w:szCs w:val="18"/>
        </w:rPr>
      </w:pPr>
      <w:r w:rsidRPr="008656DB">
        <w:rPr>
          <w:rStyle w:val="A4"/>
          <w:color w:val="auto"/>
          <w:sz w:val="18"/>
          <w:szCs w:val="18"/>
        </w:rPr>
        <w:t>In relation to</w:t>
      </w:r>
      <w:r w:rsidR="007E2F7F" w:rsidRPr="008656DB">
        <w:rPr>
          <w:rStyle w:val="A4"/>
          <w:color w:val="auto"/>
          <w:sz w:val="18"/>
          <w:szCs w:val="18"/>
        </w:rPr>
        <w:t xml:space="preserve"> </w:t>
      </w:r>
      <w:r w:rsidR="008656DB">
        <w:rPr>
          <w:rStyle w:val="A4"/>
          <w:color w:val="auto"/>
          <w:sz w:val="18"/>
          <w:szCs w:val="18"/>
        </w:rPr>
        <w:t xml:space="preserve">an applicant for, or holder of, </w:t>
      </w:r>
      <w:r w:rsidR="007E2F7F" w:rsidRPr="008656DB">
        <w:rPr>
          <w:rStyle w:val="A4"/>
          <w:color w:val="auto"/>
          <w:sz w:val="18"/>
          <w:szCs w:val="18"/>
        </w:rPr>
        <w:t>a class 4 operator’s licence</w:t>
      </w:r>
      <w:r w:rsidRPr="008656DB">
        <w:rPr>
          <w:rStyle w:val="A4"/>
          <w:color w:val="auto"/>
          <w:sz w:val="18"/>
          <w:szCs w:val="18"/>
        </w:rPr>
        <w:t xml:space="preserve"> (i.e. a gaming machine corporate society)</w:t>
      </w:r>
      <w:r w:rsidR="008656DB">
        <w:rPr>
          <w:rStyle w:val="A4"/>
          <w:color w:val="auto"/>
          <w:sz w:val="18"/>
          <w:szCs w:val="18"/>
        </w:rPr>
        <w:t>, a person who</w:t>
      </w:r>
      <w:r w:rsidR="007E2F7F" w:rsidRPr="008656DB">
        <w:rPr>
          <w:rStyle w:val="A4"/>
          <w:color w:val="auto"/>
          <w:sz w:val="18"/>
          <w:szCs w:val="18"/>
        </w:rPr>
        <w:t xml:space="preserve">: </w:t>
      </w:r>
    </w:p>
    <w:p w:rsidR="007E2F7F" w:rsidRPr="008656DB" w:rsidRDefault="008656DB" w:rsidP="00232F92">
      <w:pPr>
        <w:pStyle w:val="Default"/>
        <w:numPr>
          <w:ilvl w:val="0"/>
          <w:numId w:val="32"/>
        </w:numPr>
        <w:spacing w:after="120" w:line="241" w:lineRule="atLeast"/>
        <w:ind w:left="709" w:hanging="283"/>
        <w:rPr>
          <w:color w:val="auto"/>
          <w:sz w:val="18"/>
          <w:szCs w:val="18"/>
        </w:rPr>
      </w:pPr>
      <w:r>
        <w:rPr>
          <w:rStyle w:val="A4"/>
          <w:color w:val="auto"/>
          <w:sz w:val="18"/>
          <w:szCs w:val="18"/>
        </w:rPr>
        <w:t xml:space="preserve">is </w:t>
      </w:r>
      <w:r w:rsidR="007E2F7F" w:rsidRPr="008656DB">
        <w:rPr>
          <w:rStyle w:val="A4"/>
          <w:color w:val="auto"/>
          <w:sz w:val="18"/>
          <w:szCs w:val="18"/>
        </w:rPr>
        <w:t xml:space="preserve">a trustee or other officer of the corporate society </w:t>
      </w:r>
    </w:p>
    <w:p w:rsidR="007E2F7F" w:rsidRPr="008656DB" w:rsidRDefault="008656DB" w:rsidP="00232F92">
      <w:pPr>
        <w:pStyle w:val="Default"/>
        <w:numPr>
          <w:ilvl w:val="0"/>
          <w:numId w:val="32"/>
        </w:numPr>
        <w:spacing w:after="120" w:line="241" w:lineRule="atLeast"/>
        <w:ind w:left="709" w:hanging="283"/>
        <w:rPr>
          <w:color w:val="auto"/>
          <w:sz w:val="18"/>
          <w:szCs w:val="18"/>
        </w:rPr>
      </w:pPr>
      <w:r>
        <w:rPr>
          <w:rStyle w:val="A4"/>
          <w:color w:val="auto"/>
          <w:sz w:val="18"/>
          <w:szCs w:val="18"/>
        </w:rPr>
        <w:t xml:space="preserve">is </w:t>
      </w:r>
      <w:r w:rsidR="007E2F7F" w:rsidRPr="008656DB">
        <w:rPr>
          <w:rStyle w:val="A4"/>
          <w:color w:val="auto"/>
          <w:sz w:val="18"/>
          <w:szCs w:val="18"/>
        </w:rPr>
        <w:t xml:space="preserve">the chief executive (or performs that function) of the corporate society </w:t>
      </w:r>
    </w:p>
    <w:p w:rsidR="007E2F7F" w:rsidRPr="008656DB" w:rsidRDefault="007E2F7F" w:rsidP="00232F92">
      <w:pPr>
        <w:pStyle w:val="Default"/>
        <w:numPr>
          <w:ilvl w:val="0"/>
          <w:numId w:val="32"/>
        </w:numPr>
        <w:spacing w:after="120" w:line="241" w:lineRule="atLeast"/>
        <w:ind w:left="709" w:hanging="283"/>
        <w:rPr>
          <w:color w:val="auto"/>
          <w:sz w:val="18"/>
          <w:szCs w:val="18"/>
        </w:rPr>
      </w:pPr>
      <w:r w:rsidRPr="008656DB">
        <w:rPr>
          <w:rStyle w:val="A4"/>
          <w:color w:val="auto"/>
          <w:sz w:val="18"/>
          <w:szCs w:val="18"/>
        </w:rPr>
        <w:t xml:space="preserve">exercises significant influence in the management of </w:t>
      </w:r>
      <w:r w:rsidR="004923A5" w:rsidRPr="008656DB">
        <w:rPr>
          <w:rStyle w:val="A4"/>
          <w:color w:val="auto"/>
          <w:sz w:val="18"/>
          <w:szCs w:val="18"/>
        </w:rPr>
        <w:t>the corporate</w:t>
      </w:r>
      <w:r w:rsidRPr="008656DB">
        <w:rPr>
          <w:rStyle w:val="A4"/>
          <w:color w:val="auto"/>
          <w:sz w:val="18"/>
          <w:szCs w:val="18"/>
        </w:rPr>
        <w:t xml:space="preserve"> society </w:t>
      </w:r>
    </w:p>
    <w:p w:rsidR="007B602E" w:rsidRPr="00B11885" w:rsidRDefault="007B602E" w:rsidP="007B602E">
      <w:pPr>
        <w:pStyle w:val="Default"/>
        <w:numPr>
          <w:ilvl w:val="0"/>
          <w:numId w:val="32"/>
        </w:numPr>
        <w:spacing w:after="120" w:line="241" w:lineRule="atLeast"/>
        <w:ind w:left="709" w:hanging="283"/>
        <w:rPr>
          <w:rStyle w:val="A4"/>
          <w:color w:val="auto"/>
          <w:sz w:val="18"/>
          <w:szCs w:val="18"/>
        </w:rPr>
      </w:pPr>
      <w:r w:rsidRPr="00B11885">
        <w:rPr>
          <w:rStyle w:val="A4"/>
          <w:color w:val="auto"/>
          <w:sz w:val="18"/>
          <w:szCs w:val="18"/>
        </w:rPr>
        <w:t xml:space="preserve">is a management services provider (management company) for the corporate society </w:t>
      </w:r>
    </w:p>
    <w:p w:rsidR="007E2F7F" w:rsidRPr="008656DB" w:rsidRDefault="007E2F7F" w:rsidP="00232F92">
      <w:pPr>
        <w:pStyle w:val="Default"/>
        <w:numPr>
          <w:ilvl w:val="0"/>
          <w:numId w:val="32"/>
        </w:numPr>
        <w:spacing w:after="120" w:line="241" w:lineRule="atLeast"/>
        <w:ind w:left="709" w:hanging="283"/>
        <w:rPr>
          <w:color w:val="auto"/>
          <w:sz w:val="18"/>
          <w:szCs w:val="18"/>
        </w:rPr>
      </w:pPr>
      <w:r w:rsidRPr="008656DB">
        <w:rPr>
          <w:rStyle w:val="A4"/>
          <w:color w:val="auto"/>
          <w:sz w:val="18"/>
          <w:szCs w:val="18"/>
        </w:rPr>
        <w:t xml:space="preserve">is the chief executive (or performs that function) of a management services provider (management company) for </w:t>
      </w:r>
      <w:r w:rsidR="007B602E">
        <w:rPr>
          <w:rStyle w:val="A4"/>
          <w:color w:val="auto"/>
          <w:sz w:val="18"/>
          <w:szCs w:val="18"/>
        </w:rPr>
        <w:t>the</w:t>
      </w:r>
      <w:r w:rsidR="007B602E" w:rsidRPr="008656DB">
        <w:rPr>
          <w:rStyle w:val="A4"/>
          <w:color w:val="auto"/>
          <w:sz w:val="18"/>
          <w:szCs w:val="18"/>
        </w:rPr>
        <w:t xml:space="preserve"> </w:t>
      </w:r>
      <w:r w:rsidRPr="008656DB">
        <w:rPr>
          <w:rStyle w:val="A4"/>
          <w:color w:val="auto"/>
          <w:sz w:val="18"/>
          <w:szCs w:val="18"/>
        </w:rPr>
        <w:t xml:space="preserve">corporate society </w:t>
      </w:r>
    </w:p>
    <w:p w:rsidR="007E2F7F" w:rsidRPr="008656DB" w:rsidRDefault="007E2F7F" w:rsidP="00232F92">
      <w:pPr>
        <w:pStyle w:val="Default"/>
        <w:numPr>
          <w:ilvl w:val="0"/>
          <w:numId w:val="32"/>
        </w:numPr>
        <w:spacing w:after="120" w:line="241" w:lineRule="atLeast"/>
        <w:ind w:left="709" w:hanging="283"/>
        <w:rPr>
          <w:color w:val="auto"/>
          <w:sz w:val="18"/>
          <w:szCs w:val="18"/>
        </w:rPr>
      </w:pPr>
      <w:proofErr w:type="gramStart"/>
      <w:r w:rsidRPr="008656DB">
        <w:rPr>
          <w:rStyle w:val="A4"/>
          <w:color w:val="auto"/>
          <w:sz w:val="18"/>
          <w:szCs w:val="18"/>
        </w:rPr>
        <w:t>exercises</w:t>
      </w:r>
      <w:proofErr w:type="gramEnd"/>
      <w:r w:rsidRPr="008656DB">
        <w:rPr>
          <w:rStyle w:val="A4"/>
          <w:color w:val="auto"/>
          <w:sz w:val="18"/>
          <w:szCs w:val="18"/>
        </w:rPr>
        <w:t xml:space="preserve"> significant influence in the management of a management services provider (management company) for </w:t>
      </w:r>
      <w:r w:rsidR="007B602E">
        <w:rPr>
          <w:rStyle w:val="A4"/>
          <w:color w:val="auto"/>
          <w:sz w:val="18"/>
          <w:szCs w:val="18"/>
        </w:rPr>
        <w:t>the</w:t>
      </w:r>
      <w:r w:rsidR="007B602E" w:rsidRPr="008656DB">
        <w:rPr>
          <w:rStyle w:val="A4"/>
          <w:color w:val="auto"/>
          <w:sz w:val="18"/>
          <w:szCs w:val="18"/>
        </w:rPr>
        <w:t xml:space="preserve"> </w:t>
      </w:r>
      <w:r w:rsidRPr="008656DB">
        <w:rPr>
          <w:rStyle w:val="A4"/>
          <w:color w:val="auto"/>
          <w:sz w:val="18"/>
          <w:szCs w:val="18"/>
        </w:rPr>
        <w:t>corporate society</w:t>
      </w:r>
      <w:r w:rsidR="007B602E">
        <w:rPr>
          <w:rStyle w:val="A4"/>
          <w:color w:val="auto"/>
          <w:sz w:val="18"/>
          <w:szCs w:val="18"/>
        </w:rPr>
        <w:t>.</w:t>
      </w:r>
      <w:r w:rsidRPr="008656DB">
        <w:rPr>
          <w:rStyle w:val="A4"/>
          <w:color w:val="auto"/>
          <w:sz w:val="18"/>
          <w:szCs w:val="18"/>
        </w:rPr>
        <w:t xml:space="preserve"> </w:t>
      </w:r>
    </w:p>
    <w:p w:rsidR="00B11885" w:rsidRDefault="00B11885" w:rsidP="00232F92">
      <w:pPr>
        <w:pStyle w:val="Pa0"/>
        <w:spacing w:after="120"/>
        <w:ind w:left="426"/>
        <w:rPr>
          <w:rStyle w:val="A1"/>
        </w:rPr>
      </w:pPr>
    </w:p>
    <w:p w:rsidR="00B11885" w:rsidRDefault="00B11885" w:rsidP="00232F92">
      <w:pPr>
        <w:pStyle w:val="Pa0"/>
        <w:spacing w:after="120"/>
        <w:ind w:left="426"/>
        <w:rPr>
          <w:rStyle w:val="A1"/>
        </w:rPr>
      </w:pPr>
    </w:p>
    <w:p w:rsidR="007E2F7F" w:rsidRDefault="007E2F7F" w:rsidP="00232F92">
      <w:pPr>
        <w:pStyle w:val="Pa0"/>
        <w:spacing w:after="120"/>
        <w:ind w:left="426"/>
        <w:rPr>
          <w:color w:val="000000"/>
          <w:sz w:val="16"/>
          <w:szCs w:val="16"/>
        </w:rPr>
      </w:pPr>
      <w:r>
        <w:rPr>
          <w:rStyle w:val="A1"/>
        </w:rPr>
        <w:lastRenderedPageBreak/>
        <w:t xml:space="preserve">Significant </w:t>
      </w:r>
      <w:r w:rsidRPr="008656DB">
        <w:rPr>
          <w:rStyle w:val="A8"/>
          <w:color w:val="auto"/>
        </w:rPr>
        <w:t xml:space="preserve">influence </w:t>
      </w:r>
      <w:r w:rsidRPr="008656DB">
        <w:rPr>
          <w:rStyle w:val="A1"/>
          <w:color w:val="auto"/>
        </w:rPr>
        <w:t xml:space="preserve">may include but </w:t>
      </w:r>
      <w:r>
        <w:rPr>
          <w:rStyle w:val="A1"/>
        </w:rPr>
        <w:t xml:space="preserve">is not limited to: </w:t>
      </w:r>
    </w:p>
    <w:p w:rsidR="007E2F7F" w:rsidRDefault="007E2F7F" w:rsidP="00232F92">
      <w:pPr>
        <w:pStyle w:val="Default"/>
        <w:numPr>
          <w:ilvl w:val="0"/>
          <w:numId w:val="34"/>
        </w:numPr>
        <w:spacing w:after="120" w:line="241" w:lineRule="atLeast"/>
        <w:ind w:left="709" w:hanging="283"/>
        <w:rPr>
          <w:sz w:val="16"/>
          <w:szCs w:val="16"/>
        </w:rPr>
      </w:pPr>
      <w:r>
        <w:rPr>
          <w:rStyle w:val="A1"/>
        </w:rPr>
        <w:t xml:space="preserve">the power to make decisions that would normally be made by the trustees, officers or senior management of the corporate society </w:t>
      </w:r>
    </w:p>
    <w:p w:rsidR="007E2F7F" w:rsidRDefault="007E2F7F" w:rsidP="00232F92">
      <w:pPr>
        <w:pStyle w:val="Default"/>
        <w:numPr>
          <w:ilvl w:val="0"/>
          <w:numId w:val="34"/>
        </w:numPr>
        <w:spacing w:after="120" w:line="241" w:lineRule="atLeast"/>
        <w:ind w:left="709" w:hanging="283"/>
        <w:rPr>
          <w:sz w:val="16"/>
          <w:szCs w:val="16"/>
        </w:rPr>
      </w:pPr>
      <w:r>
        <w:rPr>
          <w:rStyle w:val="A1"/>
        </w:rPr>
        <w:t xml:space="preserve">the power to appoint trustees, officers or senior management or to alter the society‘s constitution </w:t>
      </w:r>
    </w:p>
    <w:p w:rsidR="007E2F7F" w:rsidRPr="008656DB" w:rsidRDefault="007E2F7F" w:rsidP="00232F92">
      <w:pPr>
        <w:pStyle w:val="Default"/>
        <w:numPr>
          <w:ilvl w:val="0"/>
          <w:numId w:val="34"/>
        </w:numPr>
        <w:spacing w:after="120" w:line="241" w:lineRule="atLeast"/>
        <w:ind w:left="709" w:hanging="283"/>
        <w:rPr>
          <w:color w:val="auto"/>
          <w:sz w:val="16"/>
          <w:szCs w:val="16"/>
        </w:rPr>
      </w:pPr>
      <w:proofErr w:type="gramStart"/>
      <w:r w:rsidRPr="008656DB">
        <w:rPr>
          <w:rStyle w:val="A1"/>
          <w:color w:val="auto"/>
        </w:rPr>
        <w:t>influencing</w:t>
      </w:r>
      <w:proofErr w:type="gramEnd"/>
      <w:r w:rsidRPr="008656DB">
        <w:rPr>
          <w:rStyle w:val="A1"/>
          <w:color w:val="auto"/>
        </w:rPr>
        <w:t xml:space="preserve"> the grants decision-making process. </w:t>
      </w:r>
    </w:p>
    <w:p w:rsidR="007E2F7F" w:rsidRPr="00EF0E27" w:rsidRDefault="00ED02F4" w:rsidP="00232F92">
      <w:pPr>
        <w:pStyle w:val="Pa0"/>
        <w:numPr>
          <w:ilvl w:val="0"/>
          <w:numId w:val="30"/>
        </w:numPr>
        <w:spacing w:after="120"/>
        <w:ind w:left="426" w:hanging="426"/>
        <w:rPr>
          <w:rStyle w:val="A4"/>
          <w:sz w:val="18"/>
          <w:szCs w:val="18"/>
        </w:rPr>
      </w:pPr>
      <w:r w:rsidRPr="00EF0E27">
        <w:rPr>
          <w:rStyle w:val="A4"/>
          <w:sz w:val="18"/>
          <w:szCs w:val="18"/>
        </w:rPr>
        <w:t xml:space="preserve">In relation to a class 4 </w:t>
      </w:r>
      <w:r w:rsidR="007E2F7F" w:rsidRPr="00EF0E27">
        <w:rPr>
          <w:rStyle w:val="A4"/>
          <w:sz w:val="18"/>
          <w:szCs w:val="18"/>
        </w:rPr>
        <w:t xml:space="preserve">venue licence: </w:t>
      </w:r>
    </w:p>
    <w:p w:rsidR="007E2F7F" w:rsidRPr="008656DB" w:rsidRDefault="007E2F7F" w:rsidP="00232F92">
      <w:pPr>
        <w:pStyle w:val="Default"/>
        <w:numPr>
          <w:ilvl w:val="0"/>
          <w:numId w:val="32"/>
        </w:numPr>
        <w:spacing w:after="120" w:line="241" w:lineRule="atLeast"/>
        <w:ind w:left="709" w:hanging="283"/>
        <w:rPr>
          <w:rStyle w:val="A4"/>
          <w:color w:val="auto"/>
          <w:sz w:val="18"/>
          <w:szCs w:val="18"/>
        </w:rPr>
      </w:pPr>
      <w:r w:rsidRPr="008656DB">
        <w:rPr>
          <w:rStyle w:val="A4"/>
          <w:color w:val="auto"/>
          <w:sz w:val="18"/>
          <w:szCs w:val="18"/>
        </w:rPr>
        <w:t xml:space="preserve">a venue manager </w:t>
      </w:r>
    </w:p>
    <w:p w:rsidR="00232F92" w:rsidRPr="008656DB" w:rsidRDefault="00232F92" w:rsidP="00232F92">
      <w:pPr>
        <w:pStyle w:val="Default"/>
        <w:numPr>
          <w:ilvl w:val="0"/>
          <w:numId w:val="32"/>
        </w:numPr>
        <w:spacing w:after="120" w:line="241" w:lineRule="atLeast"/>
        <w:ind w:left="709" w:hanging="283"/>
        <w:rPr>
          <w:rStyle w:val="A4"/>
          <w:color w:val="auto"/>
          <w:sz w:val="18"/>
          <w:szCs w:val="18"/>
        </w:rPr>
      </w:pPr>
      <w:r w:rsidRPr="008656DB">
        <w:rPr>
          <w:rStyle w:val="A4"/>
          <w:color w:val="auto"/>
          <w:sz w:val="18"/>
          <w:szCs w:val="18"/>
        </w:rPr>
        <w:t>venue personnel (in general the Department will only check non-management venue personnel when there is evidence suggesting it should do so)</w:t>
      </w:r>
    </w:p>
    <w:p w:rsidR="007E2F7F" w:rsidRPr="008656DB" w:rsidRDefault="007E2F7F" w:rsidP="00232F92">
      <w:pPr>
        <w:pStyle w:val="Default"/>
        <w:numPr>
          <w:ilvl w:val="0"/>
          <w:numId w:val="32"/>
        </w:numPr>
        <w:spacing w:after="120" w:line="241" w:lineRule="atLeast"/>
        <w:ind w:left="709" w:hanging="283"/>
        <w:rPr>
          <w:rStyle w:val="A4"/>
          <w:color w:val="auto"/>
          <w:sz w:val="18"/>
          <w:szCs w:val="18"/>
        </w:rPr>
      </w:pPr>
      <w:r w:rsidRPr="008656DB">
        <w:rPr>
          <w:rStyle w:val="A4"/>
          <w:color w:val="auto"/>
          <w:sz w:val="18"/>
          <w:szCs w:val="18"/>
        </w:rPr>
        <w:t xml:space="preserve">a venue operator </w:t>
      </w:r>
    </w:p>
    <w:p w:rsidR="007E2F7F" w:rsidRPr="008656DB" w:rsidRDefault="007E2F7F" w:rsidP="00232F92">
      <w:pPr>
        <w:pStyle w:val="Default"/>
        <w:numPr>
          <w:ilvl w:val="0"/>
          <w:numId w:val="32"/>
        </w:numPr>
        <w:spacing w:after="120" w:line="241" w:lineRule="atLeast"/>
        <w:ind w:left="709" w:hanging="283"/>
        <w:rPr>
          <w:rStyle w:val="A4"/>
          <w:color w:val="auto"/>
          <w:sz w:val="18"/>
          <w:szCs w:val="18"/>
        </w:rPr>
      </w:pPr>
      <w:r w:rsidRPr="008656DB">
        <w:rPr>
          <w:rStyle w:val="A4"/>
          <w:color w:val="auto"/>
          <w:sz w:val="18"/>
          <w:szCs w:val="18"/>
        </w:rPr>
        <w:t xml:space="preserve">a person who is a director, shareholder, chief executive or senior manager of a venue operator </w:t>
      </w:r>
    </w:p>
    <w:p w:rsidR="007E2F7F" w:rsidRPr="008656DB" w:rsidRDefault="007E2F7F" w:rsidP="00232F92">
      <w:pPr>
        <w:pStyle w:val="Default"/>
        <w:numPr>
          <w:ilvl w:val="0"/>
          <w:numId w:val="32"/>
        </w:numPr>
        <w:spacing w:after="120" w:line="241" w:lineRule="atLeast"/>
        <w:ind w:left="709" w:hanging="283"/>
        <w:rPr>
          <w:rStyle w:val="A4"/>
          <w:color w:val="auto"/>
          <w:sz w:val="18"/>
          <w:szCs w:val="18"/>
        </w:rPr>
      </w:pPr>
      <w:r w:rsidRPr="008656DB">
        <w:rPr>
          <w:rStyle w:val="A4"/>
          <w:color w:val="auto"/>
          <w:sz w:val="18"/>
          <w:szCs w:val="18"/>
        </w:rPr>
        <w:t xml:space="preserve">a person who </w:t>
      </w:r>
      <w:r w:rsidR="004923A5" w:rsidRPr="008656DB">
        <w:rPr>
          <w:rStyle w:val="A4"/>
          <w:color w:val="auto"/>
          <w:sz w:val="18"/>
          <w:szCs w:val="18"/>
        </w:rPr>
        <w:t>the Secretary reasonably believes to have</w:t>
      </w:r>
      <w:r w:rsidRPr="008656DB">
        <w:rPr>
          <w:rStyle w:val="A4"/>
          <w:color w:val="auto"/>
          <w:sz w:val="18"/>
          <w:szCs w:val="18"/>
        </w:rPr>
        <w:t xml:space="preserve"> a significant interest in the management, ownership or operation of a venue operator</w:t>
      </w:r>
      <w:r w:rsidR="00EF0E27" w:rsidRPr="008656DB">
        <w:rPr>
          <w:rStyle w:val="A4"/>
          <w:color w:val="auto"/>
          <w:sz w:val="18"/>
          <w:szCs w:val="18"/>
        </w:rPr>
        <w:t>, except for the following persons</w:t>
      </w:r>
      <w:r w:rsidRPr="008656DB">
        <w:rPr>
          <w:rStyle w:val="A4"/>
          <w:color w:val="auto"/>
          <w:sz w:val="18"/>
          <w:szCs w:val="18"/>
        </w:rPr>
        <w:t xml:space="preserve"> </w:t>
      </w:r>
      <w:r w:rsidR="00EF0E27" w:rsidRPr="008656DB">
        <w:rPr>
          <w:rStyle w:val="A4"/>
          <w:color w:val="auto"/>
          <w:sz w:val="18"/>
          <w:szCs w:val="18"/>
        </w:rPr>
        <w:t>holding office</w:t>
      </w:r>
      <w:r w:rsidR="00036705" w:rsidRPr="008656DB">
        <w:rPr>
          <w:rStyle w:val="A4"/>
          <w:color w:val="auto"/>
          <w:sz w:val="18"/>
          <w:szCs w:val="18"/>
        </w:rPr>
        <w:t>, elected, or appointed under the Sale and Supply of Alcohol Act 2012:</w:t>
      </w:r>
    </w:p>
    <w:p w:rsidR="00036705" w:rsidRDefault="00E01762" w:rsidP="00E01762">
      <w:pPr>
        <w:pStyle w:val="Default"/>
        <w:numPr>
          <w:ilvl w:val="0"/>
          <w:numId w:val="36"/>
        </w:numPr>
        <w:spacing w:after="120" w:line="241" w:lineRule="atLeast"/>
        <w:rPr>
          <w:rStyle w:val="A4"/>
          <w:sz w:val="18"/>
          <w:szCs w:val="18"/>
        </w:rPr>
      </w:pPr>
      <w:r>
        <w:rPr>
          <w:rStyle w:val="A4"/>
          <w:sz w:val="18"/>
          <w:szCs w:val="18"/>
        </w:rPr>
        <w:t>a member of a licensing trust</w:t>
      </w:r>
      <w:r w:rsidR="00DA468F">
        <w:rPr>
          <w:rStyle w:val="A4"/>
          <w:sz w:val="18"/>
          <w:szCs w:val="18"/>
        </w:rPr>
        <w:t xml:space="preserve"> elected or </w:t>
      </w:r>
      <w:r w:rsidR="004032A8">
        <w:rPr>
          <w:rStyle w:val="A4"/>
          <w:sz w:val="18"/>
          <w:szCs w:val="18"/>
        </w:rPr>
        <w:t>appointed under specified sections of that Act; or</w:t>
      </w:r>
    </w:p>
    <w:p w:rsidR="00BB1BA5" w:rsidRDefault="004032A8" w:rsidP="00E01762">
      <w:pPr>
        <w:pStyle w:val="Default"/>
        <w:numPr>
          <w:ilvl w:val="0"/>
          <w:numId w:val="36"/>
        </w:numPr>
        <w:spacing w:after="120" w:line="241" w:lineRule="atLeast"/>
        <w:rPr>
          <w:rStyle w:val="A4"/>
          <w:sz w:val="18"/>
          <w:szCs w:val="18"/>
        </w:rPr>
      </w:pPr>
      <w:proofErr w:type="gramStart"/>
      <w:r>
        <w:rPr>
          <w:rStyle w:val="A4"/>
          <w:sz w:val="18"/>
          <w:szCs w:val="18"/>
        </w:rPr>
        <w:t>a</w:t>
      </w:r>
      <w:proofErr w:type="gramEnd"/>
      <w:r>
        <w:rPr>
          <w:rStyle w:val="A4"/>
          <w:sz w:val="18"/>
          <w:szCs w:val="18"/>
        </w:rPr>
        <w:t xml:space="preserve"> trustee of a community trust holding office, elected or appointed under specified sections of that Act.</w:t>
      </w:r>
    </w:p>
    <w:p w:rsidR="001D4CCF" w:rsidRPr="008656DB" w:rsidRDefault="001D4CCF" w:rsidP="001D4CCF">
      <w:pPr>
        <w:pStyle w:val="Default"/>
        <w:numPr>
          <w:ilvl w:val="0"/>
          <w:numId w:val="32"/>
        </w:numPr>
        <w:spacing w:after="120" w:line="241" w:lineRule="atLeast"/>
        <w:ind w:left="709" w:hanging="283"/>
        <w:rPr>
          <w:rStyle w:val="A4"/>
          <w:color w:val="auto"/>
          <w:sz w:val="18"/>
          <w:szCs w:val="18"/>
        </w:rPr>
      </w:pPr>
      <w:proofErr w:type="gramStart"/>
      <w:r w:rsidRPr="008656DB">
        <w:rPr>
          <w:rStyle w:val="A4"/>
          <w:color w:val="auto"/>
          <w:sz w:val="18"/>
          <w:szCs w:val="18"/>
        </w:rPr>
        <w:t>anyone</w:t>
      </w:r>
      <w:proofErr w:type="gramEnd"/>
      <w:r w:rsidRPr="008656DB">
        <w:rPr>
          <w:rStyle w:val="A4"/>
          <w:color w:val="auto"/>
          <w:sz w:val="18"/>
          <w:szCs w:val="18"/>
        </w:rPr>
        <w:t xml:space="preserve"> who has the ability, directly or indirectly, to exert a significant influence over the management or operations of a venue operator, except for the above persons holding office, elected, or appointed under the Sale and Supply of Alcohol Act 2012.</w:t>
      </w:r>
    </w:p>
    <w:p w:rsidR="001D4CCF" w:rsidRDefault="001D4CCF">
      <w:pPr>
        <w:keepLines w:val="0"/>
        <w:rPr>
          <w:rStyle w:val="A1"/>
          <w:rFonts w:ascii="Arial" w:hAnsi="Arial" w:cs="Arial"/>
          <w:lang w:eastAsia="en-NZ"/>
        </w:rPr>
      </w:pPr>
      <w:r>
        <w:rPr>
          <w:rStyle w:val="A1"/>
        </w:rPr>
        <w:br w:type="page"/>
      </w:r>
    </w:p>
    <w:p w:rsidR="007E2F7F" w:rsidRPr="00232F92" w:rsidRDefault="007E2F7F" w:rsidP="00232F92">
      <w:pPr>
        <w:pStyle w:val="Pa0"/>
        <w:spacing w:after="120"/>
        <w:ind w:left="426"/>
        <w:rPr>
          <w:rStyle w:val="A1"/>
        </w:rPr>
      </w:pPr>
      <w:r>
        <w:rPr>
          <w:rStyle w:val="A1"/>
        </w:rPr>
        <w:lastRenderedPageBreak/>
        <w:t xml:space="preserve">Significant </w:t>
      </w:r>
      <w:r w:rsidRPr="00232F92">
        <w:rPr>
          <w:rStyle w:val="A1"/>
          <w:u w:val="single"/>
        </w:rPr>
        <w:t>interest</w:t>
      </w:r>
      <w:r w:rsidRPr="00232F92">
        <w:rPr>
          <w:rStyle w:val="A1"/>
        </w:rPr>
        <w:t xml:space="preserve"> </w:t>
      </w:r>
      <w:r>
        <w:rPr>
          <w:rStyle w:val="A1"/>
        </w:rPr>
        <w:t xml:space="preserve">may include but is not limited to: </w:t>
      </w:r>
    </w:p>
    <w:p w:rsidR="000B6DFD" w:rsidRDefault="000B6DFD" w:rsidP="008D0092">
      <w:pPr>
        <w:pStyle w:val="Default"/>
        <w:numPr>
          <w:ilvl w:val="0"/>
          <w:numId w:val="34"/>
        </w:numPr>
        <w:spacing w:after="120" w:line="241" w:lineRule="atLeast"/>
        <w:ind w:left="709" w:hanging="283"/>
        <w:rPr>
          <w:rStyle w:val="A1"/>
        </w:rPr>
      </w:pPr>
      <w:r>
        <w:rPr>
          <w:rStyle w:val="A1"/>
        </w:rPr>
        <w:t xml:space="preserve">the power to </w:t>
      </w:r>
      <w:r w:rsidR="008D0092">
        <w:rPr>
          <w:rStyle w:val="A1"/>
        </w:rPr>
        <w:t>appoint trustees, officers or senior management</w:t>
      </w:r>
      <w:r w:rsidR="008D0092" w:rsidRPr="008D0092">
        <w:rPr>
          <w:rStyle w:val="A1"/>
        </w:rPr>
        <w:t>, or to alter the</w:t>
      </w:r>
      <w:r w:rsidR="008D0092">
        <w:rPr>
          <w:rStyle w:val="A1"/>
        </w:rPr>
        <w:t xml:space="preserve"> </w:t>
      </w:r>
      <w:r w:rsidR="008D0092" w:rsidRPr="008D0092">
        <w:rPr>
          <w:rStyle w:val="A1"/>
        </w:rPr>
        <w:t>society’s constitution</w:t>
      </w:r>
    </w:p>
    <w:p w:rsidR="007E2F7F" w:rsidRPr="008656DB" w:rsidRDefault="007E2F7F" w:rsidP="00232F92">
      <w:pPr>
        <w:pStyle w:val="Default"/>
        <w:numPr>
          <w:ilvl w:val="0"/>
          <w:numId w:val="34"/>
        </w:numPr>
        <w:spacing w:after="120" w:line="241" w:lineRule="atLeast"/>
        <w:ind w:left="709" w:hanging="283"/>
        <w:rPr>
          <w:rStyle w:val="A1"/>
          <w:color w:val="auto"/>
        </w:rPr>
      </w:pPr>
      <w:r w:rsidRPr="008656DB">
        <w:rPr>
          <w:rStyle w:val="A1"/>
          <w:color w:val="auto"/>
        </w:rPr>
        <w:t xml:space="preserve">financial or ownership interest in the venue operator company (e.g. a shareholding) </w:t>
      </w:r>
    </w:p>
    <w:p w:rsidR="007E2F7F" w:rsidRPr="008656DB" w:rsidRDefault="007E2F7F" w:rsidP="00232F92">
      <w:pPr>
        <w:pStyle w:val="Default"/>
        <w:numPr>
          <w:ilvl w:val="0"/>
          <w:numId w:val="34"/>
        </w:numPr>
        <w:spacing w:after="120" w:line="241" w:lineRule="atLeast"/>
        <w:ind w:left="709" w:hanging="283"/>
        <w:rPr>
          <w:rStyle w:val="A1"/>
          <w:color w:val="auto"/>
        </w:rPr>
      </w:pPr>
      <w:r w:rsidRPr="008656DB">
        <w:rPr>
          <w:rStyle w:val="A1"/>
          <w:color w:val="auto"/>
        </w:rPr>
        <w:t xml:space="preserve">undertaking responsibilities or duties that would normally be undertaken by the venue manager </w:t>
      </w:r>
    </w:p>
    <w:p w:rsidR="007E2F7F" w:rsidRPr="00232F92" w:rsidRDefault="007E2F7F" w:rsidP="00232F92">
      <w:pPr>
        <w:pStyle w:val="Default"/>
        <w:numPr>
          <w:ilvl w:val="0"/>
          <w:numId w:val="34"/>
        </w:numPr>
        <w:spacing w:after="120" w:line="241" w:lineRule="atLeast"/>
        <w:ind w:left="709" w:hanging="283"/>
        <w:rPr>
          <w:rStyle w:val="A1"/>
        </w:rPr>
      </w:pPr>
      <w:proofErr w:type="gramStart"/>
      <w:r w:rsidRPr="008656DB">
        <w:rPr>
          <w:rStyle w:val="A1"/>
          <w:color w:val="auto"/>
        </w:rPr>
        <w:t>the</w:t>
      </w:r>
      <w:proofErr w:type="gramEnd"/>
      <w:r w:rsidRPr="008656DB">
        <w:rPr>
          <w:rStyle w:val="A1"/>
          <w:color w:val="auto"/>
        </w:rPr>
        <w:t xml:space="preserve"> power to make decisions that would normally be </w:t>
      </w:r>
      <w:r w:rsidR="000B6DFD" w:rsidRPr="008656DB">
        <w:rPr>
          <w:rStyle w:val="A1"/>
          <w:color w:val="auto"/>
        </w:rPr>
        <w:t>made</w:t>
      </w:r>
      <w:r w:rsidRPr="008656DB">
        <w:rPr>
          <w:rStyle w:val="A1"/>
          <w:color w:val="auto"/>
        </w:rPr>
        <w:t xml:space="preserve"> by the venue manager</w:t>
      </w:r>
      <w:r w:rsidR="000B6DFD" w:rsidRPr="008656DB">
        <w:rPr>
          <w:rStyle w:val="A1"/>
          <w:color w:val="auto"/>
        </w:rPr>
        <w:t xml:space="preserve"> or the directors, chief executive or senior management of the </w:t>
      </w:r>
      <w:r w:rsidR="000B6DFD">
        <w:rPr>
          <w:rStyle w:val="A1"/>
        </w:rPr>
        <w:t>venue operator</w:t>
      </w:r>
      <w:r>
        <w:rPr>
          <w:rStyle w:val="A1"/>
        </w:rPr>
        <w:t xml:space="preserve">. </w:t>
      </w:r>
    </w:p>
    <w:p w:rsidR="002777D8" w:rsidRDefault="007E2F7F" w:rsidP="00232F92">
      <w:pPr>
        <w:pStyle w:val="Pa0"/>
        <w:spacing w:after="120"/>
        <w:ind w:left="425"/>
        <w:rPr>
          <w:rStyle w:val="A1"/>
        </w:rPr>
      </w:pPr>
      <w:r>
        <w:rPr>
          <w:rStyle w:val="A1"/>
        </w:rPr>
        <w:t xml:space="preserve">Significant </w:t>
      </w:r>
      <w:r w:rsidRPr="00232F92">
        <w:rPr>
          <w:rStyle w:val="A1"/>
          <w:u w:val="single"/>
        </w:rPr>
        <w:t>influence</w:t>
      </w:r>
      <w:r w:rsidRPr="00232F92">
        <w:rPr>
          <w:rStyle w:val="A1"/>
        </w:rPr>
        <w:t xml:space="preserve"> </w:t>
      </w:r>
      <w:r>
        <w:rPr>
          <w:rStyle w:val="A1"/>
        </w:rPr>
        <w:t>may include, but is not limited to, the power to influence decisions that would normally be undertaken by the venue operator or venue manager.</w:t>
      </w:r>
    </w:p>
    <w:p w:rsidR="007018E7" w:rsidRPr="007018E7" w:rsidRDefault="007018E7" w:rsidP="007018E7">
      <w:pPr>
        <w:keepLines w:val="0"/>
        <w:autoSpaceDE w:val="0"/>
        <w:autoSpaceDN w:val="0"/>
        <w:adjustRightInd w:val="0"/>
        <w:spacing w:before="0" w:after="120" w:line="241" w:lineRule="atLeast"/>
        <w:rPr>
          <w:rFonts w:ascii="Arial" w:hAnsi="Arial" w:cs="Arial"/>
          <w:sz w:val="18"/>
          <w:szCs w:val="18"/>
          <w:lang w:eastAsia="en-NZ"/>
        </w:rPr>
      </w:pPr>
      <w:r w:rsidRPr="007018E7">
        <w:rPr>
          <w:rFonts w:ascii="Arial" w:hAnsi="Arial" w:cs="Arial"/>
          <w:sz w:val="18"/>
          <w:szCs w:val="18"/>
          <w:lang w:eastAsia="en-NZ"/>
        </w:rPr>
        <w:t>Whether a person is, or is not, a key person in any</w:t>
      </w:r>
      <w:r>
        <w:rPr>
          <w:rFonts w:ascii="Arial" w:hAnsi="Arial" w:cs="Arial"/>
          <w:sz w:val="18"/>
          <w:szCs w:val="18"/>
          <w:lang w:eastAsia="en-NZ"/>
        </w:rPr>
        <w:t xml:space="preserve"> </w:t>
      </w:r>
      <w:r w:rsidRPr="007018E7">
        <w:rPr>
          <w:rFonts w:ascii="Arial" w:hAnsi="Arial" w:cs="Arial"/>
          <w:sz w:val="18"/>
          <w:szCs w:val="18"/>
          <w:lang w:eastAsia="en-NZ"/>
        </w:rPr>
        <w:t>given situation will be dependent on the facts of</w:t>
      </w:r>
      <w:r>
        <w:rPr>
          <w:rFonts w:ascii="Arial" w:hAnsi="Arial" w:cs="Arial"/>
          <w:sz w:val="18"/>
          <w:szCs w:val="18"/>
          <w:lang w:eastAsia="en-NZ"/>
        </w:rPr>
        <w:t xml:space="preserve"> </w:t>
      </w:r>
      <w:r w:rsidRPr="007018E7">
        <w:rPr>
          <w:rFonts w:ascii="Arial" w:hAnsi="Arial" w:cs="Arial"/>
          <w:sz w:val="18"/>
          <w:szCs w:val="18"/>
          <w:lang w:eastAsia="en-NZ"/>
        </w:rPr>
        <w:t>the case, and the Department cannot make blanket</w:t>
      </w:r>
      <w:r>
        <w:rPr>
          <w:rFonts w:ascii="Arial" w:hAnsi="Arial" w:cs="Arial"/>
          <w:sz w:val="18"/>
          <w:szCs w:val="18"/>
          <w:lang w:eastAsia="en-NZ"/>
        </w:rPr>
        <w:t xml:space="preserve"> </w:t>
      </w:r>
      <w:r w:rsidRPr="007018E7">
        <w:rPr>
          <w:rFonts w:ascii="Arial" w:hAnsi="Arial" w:cs="Arial"/>
          <w:sz w:val="18"/>
          <w:szCs w:val="18"/>
          <w:lang w:eastAsia="en-NZ"/>
        </w:rPr>
        <w:t>rules on this issue.</w:t>
      </w:r>
    </w:p>
    <w:p w:rsidR="007018E7" w:rsidRPr="007018E7" w:rsidRDefault="007018E7" w:rsidP="007018E7">
      <w:pPr>
        <w:keepLines w:val="0"/>
        <w:autoSpaceDE w:val="0"/>
        <w:autoSpaceDN w:val="0"/>
        <w:adjustRightInd w:val="0"/>
        <w:spacing w:before="0" w:after="120" w:line="241" w:lineRule="atLeast"/>
        <w:rPr>
          <w:rFonts w:ascii="Arial" w:hAnsi="Arial" w:cs="Arial"/>
          <w:sz w:val="18"/>
          <w:szCs w:val="18"/>
          <w:lang w:eastAsia="en-NZ"/>
        </w:rPr>
      </w:pPr>
      <w:r w:rsidRPr="007018E7">
        <w:rPr>
          <w:rFonts w:ascii="Arial" w:hAnsi="Arial" w:cs="Arial"/>
          <w:sz w:val="18"/>
          <w:szCs w:val="18"/>
          <w:lang w:eastAsia="en-NZ"/>
        </w:rPr>
        <w:t>Where applicable, all key persons must be listed on</w:t>
      </w:r>
      <w:r>
        <w:rPr>
          <w:rFonts w:ascii="Arial" w:hAnsi="Arial" w:cs="Arial"/>
          <w:sz w:val="18"/>
          <w:szCs w:val="18"/>
          <w:lang w:eastAsia="en-NZ"/>
        </w:rPr>
        <w:t xml:space="preserve"> </w:t>
      </w:r>
      <w:r w:rsidRPr="007018E7">
        <w:rPr>
          <w:rFonts w:ascii="Arial" w:hAnsi="Arial" w:cs="Arial"/>
          <w:sz w:val="18"/>
          <w:szCs w:val="18"/>
          <w:lang w:eastAsia="en-NZ"/>
        </w:rPr>
        <w:t xml:space="preserve">an application to renew, amend or apply for a </w:t>
      </w:r>
      <w:r w:rsidR="009A5763">
        <w:rPr>
          <w:rFonts w:ascii="Arial" w:hAnsi="Arial" w:cs="Arial"/>
          <w:sz w:val="18"/>
          <w:szCs w:val="18"/>
          <w:lang w:eastAsia="en-NZ"/>
        </w:rPr>
        <w:t>c</w:t>
      </w:r>
      <w:r w:rsidR="009A5763" w:rsidRPr="007018E7">
        <w:rPr>
          <w:rFonts w:ascii="Arial" w:hAnsi="Arial" w:cs="Arial"/>
          <w:sz w:val="18"/>
          <w:szCs w:val="18"/>
          <w:lang w:eastAsia="en-NZ"/>
        </w:rPr>
        <w:t>lass</w:t>
      </w:r>
      <w:r w:rsidR="009A5763">
        <w:rPr>
          <w:rFonts w:ascii="Arial" w:hAnsi="Arial" w:cs="Arial"/>
          <w:sz w:val="18"/>
          <w:szCs w:val="18"/>
          <w:lang w:eastAsia="en-NZ"/>
        </w:rPr>
        <w:t xml:space="preserve"> </w:t>
      </w:r>
      <w:r w:rsidRPr="007018E7">
        <w:rPr>
          <w:rFonts w:ascii="Arial" w:hAnsi="Arial" w:cs="Arial"/>
          <w:sz w:val="18"/>
          <w:szCs w:val="18"/>
          <w:lang w:eastAsia="en-NZ"/>
        </w:rPr>
        <w:t>4 operator or venue licence.</w:t>
      </w:r>
    </w:p>
    <w:p w:rsidR="007018E7" w:rsidRPr="00FD1279" w:rsidRDefault="007018E7" w:rsidP="007018E7">
      <w:pPr>
        <w:pStyle w:val="Pa0"/>
        <w:spacing w:after="120"/>
        <w:rPr>
          <w:b/>
          <w:bCs/>
          <w:color w:val="00B0F0"/>
          <w:sz w:val="34"/>
          <w:szCs w:val="34"/>
        </w:rPr>
      </w:pPr>
      <w:r w:rsidRPr="00FD1279">
        <w:rPr>
          <w:b/>
          <w:bCs/>
          <w:color w:val="00B0F0"/>
          <w:sz w:val="34"/>
          <w:szCs w:val="34"/>
        </w:rPr>
        <w:t>Suitability checks</w:t>
      </w:r>
    </w:p>
    <w:p w:rsidR="007018E7" w:rsidRPr="007018E7" w:rsidRDefault="007018E7" w:rsidP="007018E7">
      <w:pPr>
        <w:keepLines w:val="0"/>
        <w:autoSpaceDE w:val="0"/>
        <w:autoSpaceDN w:val="0"/>
        <w:adjustRightInd w:val="0"/>
        <w:spacing w:before="0" w:after="120" w:line="241" w:lineRule="atLeast"/>
        <w:rPr>
          <w:rFonts w:ascii="Arial" w:hAnsi="Arial" w:cs="Arial"/>
          <w:sz w:val="18"/>
          <w:szCs w:val="18"/>
          <w:lang w:eastAsia="en-NZ"/>
        </w:rPr>
      </w:pPr>
      <w:r w:rsidRPr="007018E7">
        <w:rPr>
          <w:rFonts w:ascii="Arial" w:hAnsi="Arial" w:cs="Arial"/>
          <w:sz w:val="18"/>
          <w:szCs w:val="18"/>
          <w:lang w:eastAsia="en-NZ"/>
        </w:rPr>
        <w:t>Sections 51 and 66 enable the Department to</w:t>
      </w:r>
      <w:r>
        <w:rPr>
          <w:rFonts w:ascii="Arial" w:hAnsi="Arial" w:cs="Arial"/>
          <w:sz w:val="18"/>
          <w:szCs w:val="18"/>
          <w:lang w:eastAsia="en-NZ"/>
        </w:rPr>
        <w:t xml:space="preserve"> </w:t>
      </w:r>
      <w:r w:rsidRPr="007018E7">
        <w:rPr>
          <w:rFonts w:ascii="Arial" w:hAnsi="Arial" w:cs="Arial"/>
          <w:sz w:val="18"/>
          <w:szCs w:val="18"/>
          <w:lang w:eastAsia="en-NZ"/>
        </w:rPr>
        <w:t>investigate and determine whether the applicant and</w:t>
      </w:r>
      <w:r>
        <w:rPr>
          <w:rFonts w:ascii="Arial" w:hAnsi="Arial" w:cs="Arial"/>
          <w:sz w:val="18"/>
          <w:szCs w:val="18"/>
          <w:lang w:eastAsia="en-NZ"/>
        </w:rPr>
        <w:t xml:space="preserve"> </w:t>
      </w:r>
      <w:r w:rsidRPr="007018E7">
        <w:rPr>
          <w:rFonts w:ascii="Arial" w:hAnsi="Arial" w:cs="Arial"/>
          <w:sz w:val="18"/>
          <w:szCs w:val="18"/>
          <w:lang w:eastAsia="en-NZ"/>
        </w:rPr>
        <w:t>associated key persons are suitable to operate</w:t>
      </w:r>
      <w:r>
        <w:rPr>
          <w:rFonts w:ascii="Arial" w:hAnsi="Arial" w:cs="Arial"/>
          <w:sz w:val="18"/>
          <w:szCs w:val="18"/>
          <w:lang w:eastAsia="en-NZ"/>
        </w:rPr>
        <w:t xml:space="preserve"> </w:t>
      </w:r>
      <w:r w:rsidRPr="007018E7">
        <w:rPr>
          <w:rFonts w:ascii="Arial" w:hAnsi="Arial" w:cs="Arial"/>
          <w:sz w:val="18"/>
          <w:szCs w:val="18"/>
          <w:lang w:eastAsia="en-NZ"/>
        </w:rPr>
        <w:t>gaming machines.</w:t>
      </w:r>
    </w:p>
    <w:p w:rsidR="007018E7" w:rsidRPr="007018E7" w:rsidRDefault="007018E7" w:rsidP="007018E7">
      <w:pPr>
        <w:keepLines w:val="0"/>
        <w:autoSpaceDE w:val="0"/>
        <w:autoSpaceDN w:val="0"/>
        <w:adjustRightInd w:val="0"/>
        <w:spacing w:before="0" w:after="120" w:line="241" w:lineRule="atLeast"/>
        <w:rPr>
          <w:rFonts w:ascii="Arial" w:hAnsi="Arial" w:cs="Arial"/>
          <w:sz w:val="18"/>
          <w:szCs w:val="18"/>
          <w:lang w:eastAsia="en-NZ"/>
        </w:rPr>
      </w:pPr>
      <w:r w:rsidRPr="007018E7">
        <w:rPr>
          <w:rFonts w:ascii="Arial" w:hAnsi="Arial" w:cs="Arial"/>
          <w:sz w:val="18"/>
          <w:szCs w:val="18"/>
          <w:lang w:eastAsia="en-NZ"/>
        </w:rPr>
        <w:t>Certain key persons must also complete a personal</w:t>
      </w:r>
      <w:r>
        <w:rPr>
          <w:rFonts w:ascii="Arial" w:hAnsi="Arial" w:cs="Arial"/>
          <w:sz w:val="18"/>
          <w:szCs w:val="18"/>
          <w:lang w:eastAsia="en-NZ"/>
        </w:rPr>
        <w:t xml:space="preserve"> information form (e.g. officers of the corporate </w:t>
      </w:r>
      <w:r w:rsidRPr="007018E7">
        <w:rPr>
          <w:rFonts w:ascii="Arial" w:hAnsi="Arial" w:cs="Arial"/>
          <w:sz w:val="18"/>
          <w:szCs w:val="18"/>
          <w:lang w:eastAsia="en-NZ"/>
        </w:rPr>
        <w:t>society applicant</w:t>
      </w:r>
      <w:r>
        <w:rPr>
          <w:rFonts w:ascii="Arial" w:hAnsi="Arial" w:cs="Arial"/>
          <w:sz w:val="18"/>
          <w:szCs w:val="18"/>
          <w:lang w:eastAsia="en-NZ"/>
        </w:rPr>
        <w:t xml:space="preserve"> or licence-holder</w:t>
      </w:r>
      <w:r w:rsidRPr="007018E7">
        <w:rPr>
          <w:rFonts w:ascii="Arial" w:hAnsi="Arial" w:cs="Arial"/>
          <w:sz w:val="18"/>
          <w:szCs w:val="18"/>
          <w:lang w:eastAsia="en-NZ"/>
        </w:rPr>
        <w:t>, the venue manager and the venue</w:t>
      </w:r>
      <w:r>
        <w:rPr>
          <w:rFonts w:ascii="Arial" w:hAnsi="Arial" w:cs="Arial"/>
          <w:sz w:val="18"/>
          <w:szCs w:val="18"/>
          <w:lang w:eastAsia="en-NZ"/>
        </w:rPr>
        <w:t xml:space="preserve"> </w:t>
      </w:r>
      <w:r w:rsidRPr="007018E7">
        <w:rPr>
          <w:rFonts w:ascii="Arial" w:hAnsi="Arial" w:cs="Arial"/>
          <w:sz w:val="18"/>
          <w:szCs w:val="18"/>
          <w:lang w:eastAsia="en-NZ"/>
        </w:rPr>
        <w:t>operator).</w:t>
      </w:r>
    </w:p>
    <w:p w:rsidR="007018E7" w:rsidRPr="008656DB" w:rsidRDefault="007018E7" w:rsidP="007018E7">
      <w:pPr>
        <w:keepLines w:val="0"/>
        <w:autoSpaceDE w:val="0"/>
        <w:autoSpaceDN w:val="0"/>
        <w:adjustRightInd w:val="0"/>
        <w:spacing w:before="0" w:after="120" w:line="241" w:lineRule="atLeast"/>
        <w:rPr>
          <w:rFonts w:ascii="Arial" w:hAnsi="Arial" w:cs="Arial"/>
          <w:sz w:val="18"/>
          <w:szCs w:val="18"/>
          <w:lang w:eastAsia="en-NZ"/>
        </w:rPr>
      </w:pPr>
      <w:r>
        <w:rPr>
          <w:rFonts w:ascii="Arial" w:hAnsi="Arial" w:cs="Arial"/>
          <w:sz w:val="18"/>
          <w:szCs w:val="18"/>
          <w:lang w:eastAsia="en-NZ"/>
        </w:rPr>
        <w:t>A licence-holder must notify the Department of any changes to key persons</w:t>
      </w:r>
      <w:r w:rsidRPr="007018E7">
        <w:rPr>
          <w:rFonts w:ascii="Arial" w:hAnsi="Arial" w:cs="Arial"/>
          <w:sz w:val="18"/>
          <w:szCs w:val="18"/>
          <w:lang w:eastAsia="en-NZ"/>
        </w:rPr>
        <w:t xml:space="preserve">. </w:t>
      </w:r>
      <w:r>
        <w:rPr>
          <w:rFonts w:ascii="Arial" w:hAnsi="Arial" w:cs="Arial"/>
          <w:sz w:val="18"/>
          <w:szCs w:val="18"/>
          <w:lang w:eastAsia="en-NZ"/>
        </w:rPr>
        <w:t xml:space="preserve"> </w:t>
      </w:r>
      <w:r w:rsidRPr="007018E7">
        <w:rPr>
          <w:rFonts w:ascii="Arial" w:hAnsi="Arial" w:cs="Arial"/>
          <w:sz w:val="18"/>
          <w:szCs w:val="18"/>
          <w:lang w:eastAsia="en-NZ"/>
        </w:rPr>
        <w:t>New key persons</w:t>
      </w:r>
      <w:r>
        <w:rPr>
          <w:rFonts w:ascii="Arial" w:hAnsi="Arial" w:cs="Arial"/>
          <w:sz w:val="18"/>
          <w:szCs w:val="18"/>
          <w:lang w:eastAsia="en-NZ"/>
        </w:rPr>
        <w:t xml:space="preserve"> </w:t>
      </w:r>
      <w:r w:rsidRPr="007018E7">
        <w:rPr>
          <w:rFonts w:ascii="Arial" w:hAnsi="Arial" w:cs="Arial"/>
          <w:sz w:val="18"/>
          <w:szCs w:val="18"/>
          <w:lang w:eastAsia="en-NZ"/>
        </w:rPr>
        <w:t xml:space="preserve">must </w:t>
      </w:r>
      <w:r w:rsidRPr="008656DB">
        <w:rPr>
          <w:rFonts w:ascii="Arial" w:hAnsi="Arial" w:cs="Arial"/>
          <w:sz w:val="18"/>
          <w:szCs w:val="18"/>
          <w:lang w:eastAsia="en-NZ"/>
        </w:rPr>
        <w:t>complete a personal information form.  This form enables the Department to undertake a number of internal and external suitability checks about the key person.</w:t>
      </w:r>
    </w:p>
    <w:p w:rsidR="007018E7" w:rsidRPr="008656DB" w:rsidRDefault="007018E7" w:rsidP="007018E7">
      <w:pPr>
        <w:keepLines w:val="0"/>
        <w:autoSpaceDE w:val="0"/>
        <w:autoSpaceDN w:val="0"/>
        <w:adjustRightInd w:val="0"/>
        <w:spacing w:before="0" w:after="120" w:line="241" w:lineRule="atLeast"/>
        <w:rPr>
          <w:rFonts w:ascii="Arial" w:hAnsi="Arial" w:cs="Arial"/>
          <w:sz w:val="18"/>
          <w:szCs w:val="18"/>
          <w:lang w:eastAsia="en-NZ"/>
        </w:rPr>
      </w:pPr>
      <w:r w:rsidRPr="008656DB">
        <w:rPr>
          <w:rFonts w:ascii="Arial" w:hAnsi="Arial" w:cs="Arial"/>
          <w:sz w:val="18"/>
          <w:szCs w:val="18"/>
          <w:lang w:eastAsia="en-NZ"/>
        </w:rPr>
        <w:t>Suitability checking may include making inquiries</w:t>
      </w:r>
      <w:r w:rsidR="00B82D94" w:rsidRPr="008656DB">
        <w:rPr>
          <w:rFonts w:ascii="Arial" w:hAnsi="Arial" w:cs="Arial"/>
          <w:sz w:val="18"/>
          <w:szCs w:val="18"/>
          <w:lang w:eastAsia="en-NZ"/>
        </w:rPr>
        <w:t xml:space="preserve"> with various other agencies.  T</w:t>
      </w:r>
      <w:r w:rsidRPr="008656DB">
        <w:rPr>
          <w:rFonts w:ascii="Arial" w:hAnsi="Arial" w:cs="Arial"/>
          <w:sz w:val="18"/>
          <w:szCs w:val="18"/>
          <w:lang w:eastAsia="en-NZ"/>
        </w:rPr>
        <w:t>his may include but is</w:t>
      </w:r>
      <w:r w:rsidR="00B82D94" w:rsidRPr="008656DB">
        <w:rPr>
          <w:rFonts w:ascii="Arial" w:hAnsi="Arial" w:cs="Arial"/>
          <w:sz w:val="18"/>
          <w:szCs w:val="18"/>
          <w:lang w:eastAsia="en-NZ"/>
        </w:rPr>
        <w:t xml:space="preserve"> </w:t>
      </w:r>
      <w:r w:rsidRPr="008656DB">
        <w:rPr>
          <w:rFonts w:ascii="Arial" w:hAnsi="Arial" w:cs="Arial"/>
          <w:sz w:val="18"/>
          <w:szCs w:val="18"/>
          <w:lang w:eastAsia="en-NZ"/>
        </w:rPr>
        <w:t>not limited to searches of databases such as the:</w:t>
      </w:r>
    </w:p>
    <w:p w:rsidR="007018E7" w:rsidRPr="008656DB" w:rsidRDefault="007018E7" w:rsidP="00B82D94">
      <w:pPr>
        <w:pStyle w:val="ListParagraph"/>
        <w:keepLines w:val="0"/>
        <w:numPr>
          <w:ilvl w:val="0"/>
          <w:numId w:val="29"/>
        </w:numPr>
        <w:autoSpaceDE w:val="0"/>
        <w:autoSpaceDN w:val="0"/>
        <w:adjustRightInd w:val="0"/>
        <w:spacing w:before="0" w:after="120" w:line="241" w:lineRule="atLeast"/>
        <w:ind w:left="426" w:hanging="426"/>
        <w:rPr>
          <w:rFonts w:ascii="Arial" w:hAnsi="Arial" w:cs="Arial"/>
          <w:sz w:val="18"/>
          <w:szCs w:val="18"/>
          <w:lang w:eastAsia="en-NZ"/>
        </w:rPr>
      </w:pPr>
      <w:r w:rsidRPr="008656DB">
        <w:rPr>
          <w:rFonts w:ascii="Arial" w:hAnsi="Arial" w:cs="Arial"/>
          <w:sz w:val="18"/>
          <w:szCs w:val="18"/>
          <w:lang w:eastAsia="en-NZ"/>
        </w:rPr>
        <w:t>Department of Internal Affairs’ intelligence</w:t>
      </w:r>
      <w:r w:rsidR="00B82D94" w:rsidRPr="008656DB">
        <w:rPr>
          <w:rFonts w:ascii="Arial" w:hAnsi="Arial" w:cs="Arial"/>
          <w:sz w:val="18"/>
          <w:szCs w:val="18"/>
          <w:lang w:eastAsia="en-NZ"/>
        </w:rPr>
        <w:t xml:space="preserve"> </w:t>
      </w:r>
      <w:r w:rsidRPr="008656DB">
        <w:rPr>
          <w:rFonts w:ascii="Arial" w:hAnsi="Arial" w:cs="Arial"/>
          <w:sz w:val="18"/>
          <w:szCs w:val="18"/>
          <w:lang w:eastAsia="en-NZ"/>
        </w:rPr>
        <w:t>databases</w:t>
      </w:r>
    </w:p>
    <w:p w:rsidR="007018E7" w:rsidRPr="008656DB" w:rsidRDefault="00B82D94" w:rsidP="00B82D94">
      <w:pPr>
        <w:pStyle w:val="ListParagraph"/>
        <w:keepLines w:val="0"/>
        <w:numPr>
          <w:ilvl w:val="0"/>
          <w:numId w:val="29"/>
        </w:numPr>
        <w:autoSpaceDE w:val="0"/>
        <w:autoSpaceDN w:val="0"/>
        <w:adjustRightInd w:val="0"/>
        <w:spacing w:before="0" w:after="120" w:line="241" w:lineRule="atLeast"/>
        <w:ind w:left="426" w:hanging="426"/>
        <w:rPr>
          <w:rFonts w:ascii="Arial" w:hAnsi="Arial" w:cs="Arial"/>
          <w:sz w:val="18"/>
          <w:szCs w:val="18"/>
          <w:lang w:eastAsia="en-NZ"/>
        </w:rPr>
      </w:pPr>
      <w:r w:rsidRPr="008656DB">
        <w:rPr>
          <w:rFonts w:ascii="Arial" w:hAnsi="Arial" w:cs="Arial"/>
          <w:sz w:val="18"/>
          <w:szCs w:val="18"/>
          <w:lang w:eastAsia="en-NZ"/>
        </w:rPr>
        <w:t>Veda</w:t>
      </w:r>
      <w:r w:rsidR="007018E7" w:rsidRPr="008656DB">
        <w:rPr>
          <w:rFonts w:ascii="Arial" w:hAnsi="Arial" w:cs="Arial"/>
          <w:sz w:val="18"/>
          <w:szCs w:val="18"/>
          <w:lang w:eastAsia="en-NZ"/>
        </w:rPr>
        <w:t xml:space="preserve"> database</w:t>
      </w:r>
    </w:p>
    <w:p w:rsidR="007018E7" w:rsidRPr="008656DB" w:rsidRDefault="007018E7" w:rsidP="00B82D94">
      <w:pPr>
        <w:pStyle w:val="ListParagraph"/>
        <w:keepLines w:val="0"/>
        <w:numPr>
          <w:ilvl w:val="0"/>
          <w:numId w:val="29"/>
        </w:numPr>
        <w:autoSpaceDE w:val="0"/>
        <w:autoSpaceDN w:val="0"/>
        <w:adjustRightInd w:val="0"/>
        <w:spacing w:before="0" w:after="120" w:line="241" w:lineRule="atLeast"/>
        <w:ind w:left="426" w:hanging="426"/>
        <w:rPr>
          <w:rFonts w:ascii="Arial" w:hAnsi="Arial" w:cs="Arial"/>
          <w:sz w:val="18"/>
          <w:szCs w:val="18"/>
          <w:lang w:eastAsia="en-NZ"/>
        </w:rPr>
      </w:pPr>
      <w:r w:rsidRPr="008656DB">
        <w:rPr>
          <w:rFonts w:ascii="Arial" w:hAnsi="Arial" w:cs="Arial"/>
          <w:sz w:val="18"/>
          <w:szCs w:val="18"/>
          <w:lang w:eastAsia="en-NZ"/>
        </w:rPr>
        <w:t>Work and Income New Zealand database</w:t>
      </w:r>
    </w:p>
    <w:p w:rsidR="007018E7" w:rsidRPr="008656DB" w:rsidRDefault="00B82D94" w:rsidP="00B82D94">
      <w:pPr>
        <w:pStyle w:val="ListParagraph"/>
        <w:keepLines w:val="0"/>
        <w:numPr>
          <w:ilvl w:val="0"/>
          <w:numId w:val="29"/>
        </w:numPr>
        <w:autoSpaceDE w:val="0"/>
        <w:autoSpaceDN w:val="0"/>
        <w:adjustRightInd w:val="0"/>
        <w:spacing w:before="0" w:after="120" w:line="241" w:lineRule="atLeast"/>
        <w:ind w:left="426" w:hanging="426"/>
        <w:rPr>
          <w:rFonts w:ascii="Arial" w:hAnsi="Arial" w:cs="Arial"/>
          <w:sz w:val="18"/>
          <w:szCs w:val="18"/>
          <w:lang w:eastAsia="en-NZ"/>
        </w:rPr>
      </w:pPr>
      <w:r w:rsidRPr="008656DB">
        <w:rPr>
          <w:rFonts w:ascii="Arial" w:hAnsi="Arial" w:cs="Arial"/>
          <w:sz w:val="18"/>
          <w:szCs w:val="18"/>
          <w:lang w:eastAsia="en-NZ"/>
        </w:rPr>
        <w:t>Companies Office databases</w:t>
      </w:r>
    </w:p>
    <w:p w:rsidR="007018E7" w:rsidRPr="00B82D94" w:rsidRDefault="007018E7" w:rsidP="00B82D94">
      <w:pPr>
        <w:pStyle w:val="ListParagraph"/>
        <w:keepLines w:val="0"/>
        <w:numPr>
          <w:ilvl w:val="0"/>
          <w:numId w:val="29"/>
        </w:numPr>
        <w:autoSpaceDE w:val="0"/>
        <w:autoSpaceDN w:val="0"/>
        <w:adjustRightInd w:val="0"/>
        <w:spacing w:before="0" w:after="120" w:line="241" w:lineRule="atLeast"/>
        <w:ind w:left="426" w:hanging="426"/>
        <w:rPr>
          <w:rFonts w:ascii="Arial" w:hAnsi="Arial" w:cs="Arial"/>
          <w:sz w:val="18"/>
          <w:szCs w:val="18"/>
          <w:lang w:eastAsia="en-NZ"/>
        </w:rPr>
      </w:pPr>
      <w:r w:rsidRPr="00B82D94">
        <w:rPr>
          <w:rFonts w:ascii="Arial" w:hAnsi="Arial" w:cs="Arial"/>
          <w:sz w:val="18"/>
          <w:szCs w:val="18"/>
          <w:lang w:eastAsia="en-NZ"/>
        </w:rPr>
        <w:t>New Zealand Insolvency and Trustee Service</w:t>
      </w:r>
      <w:r w:rsidR="00B82D94">
        <w:rPr>
          <w:rFonts w:ascii="Arial" w:hAnsi="Arial" w:cs="Arial"/>
          <w:sz w:val="18"/>
          <w:szCs w:val="18"/>
          <w:lang w:eastAsia="en-NZ"/>
        </w:rPr>
        <w:t xml:space="preserve"> </w:t>
      </w:r>
      <w:r w:rsidRPr="00B82D94">
        <w:rPr>
          <w:rFonts w:ascii="Arial" w:hAnsi="Arial" w:cs="Arial"/>
          <w:sz w:val="18"/>
          <w:szCs w:val="18"/>
          <w:lang w:eastAsia="en-NZ"/>
        </w:rPr>
        <w:t>database</w:t>
      </w:r>
    </w:p>
    <w:p w:rsidR="007018E7" w:rsidRPr="00B82D94" w:rsidRDefault="007018E7" w:rsidP="007018E7">
      <w:pPr>
        <w:pStyle w:val="ListParagraph"/>
        <w:keepLines w:val="0"/>
        <w:numPr>
          <w:ilvl w:val="0"/>
          <w:numId w:val="29"/>
        </w:numPr>
        <w:autoSpaceDE w:val="0"/>
        <w:autoSpaceDN w:val="0"/>
        <w:adjustRightInd w:val="0"/>
        <w:spacing w:before="0" w:after="120" w:line="241" w:lineRule="atLeast"/>
        <w:ind w:left="426" w:hanging="426"/>
        <w:rPr>
          <w:rFonts w:ascii="Arial" w:hAnsi="Arial" w:cs="Arial"/>
          <w:sz w:val="18"/>
          <w:szCs w:val="18"/>
          <w:lang w:eastAsia="en-NZ"/>
        </w:rPr>
      </w:pPr>
      <w:r w:rsidRPr="00B82D94">
        <w:rPr>
          <w:rFonts w:ascii="Arial" w:hAnsi="Arial" w:cs="Arial"/>
          <w:sz w:val="18"/>
          <w:szCs w:val="18"/>
          <w:lang w:eastAsia="en-NZ"/>
        </w:rPr>
        <w:t xml:space="preserve"> Ministry of Justice (Wanganui computer)</w:t>
      </w:r>
      <w:r w:rsidR="00B82D94">
        <w:rPr>
          <w:rFonts w:ascii="Arial" w:hAnsi="Arial" w:cs="Arial"/>
          <w:sz w:val="18"/>
          <w:szCs w:val="18"/>
          <w:lang w:eastAsia="en-NZ"/>
        </w:rPr>
        <w:t xml:space="preserve"> </w:t>
      </w:r>
      <w:r w:rsidRPr="00B82D94">
        <w:rPr>
          <w:rFonts w:ascii="Arial" w:hAnsi="Arial" w:cs="Arial"/>
          <w:sz w:val="18"/>
          <w:szCs w:val="18"/>
          <w:lang w:eastAsia="en-NZ"/>
        </w:rPr>
        <w:t>database.</w:t>
      </w:r>
    </w:p>
    <w:p w:rsidR="009618A9" w:rsidRDefault="007018E7" w:rsidP="007018E7">
      <w:pPr>
        <w:keepLines w:val="0"/>
        <w:autoSpaceDE w:val="0"/>
        <w:autoSpaceDN w:val="0"/>
        <w:adjustRightInd w:val="0"/>
        <w:spacing w:before="0" w:after="120" w:line="241" w:lineRule="atLeast"/>
        <w:rPr>
          <w:rFonts w:ascii="Arial" w:hAnsi="Arial" w:cs="Arial"/>
          <w:sz w:val="18"/>
          <w:szCs w:val="18"/>
          <w:lang w:eastAsia="en-NZ"/>
        </w:rPr>
      </w:pPr>
      <w:r w:rsidRPr="007018E7">
        <w:rPr>
          <w:rFonts w:ascii="Arial" w:hAnsi="Arial" w:cs="Arial"/>
          <w:sz w:val="18"/>
          <w:szCs w:val="18"/>
          <w:lang w:eastAsia="en-NZ"/>
        </w:rPr>
        <w:lastRenderedPageBreak/>
        <w:t>Information gathered will enable the Department</w:t>
      </w:r>
      <w:r w:rsidR="00B82D94">
        <w:rPr>
          <w:rFonts w:ascii="Arial" w:hAnsi="Arial" w:cs="Arial"/>
          <w:sz w:val="18"/>
          <w:szCs w:val="18"/>
          <w:lang w:eastAsia="en-NZ"/>
        </w:rPr>
        <w:t xml:space="preserve"> </w:t>
      </w:r>
      <w:r w:rsidRPr="007018E7">
        <w:rPr>
          <w:rFonts w:ascii="Arial" w:hAnsi="Arial" w:cs="Arial"/>
          <w:sz w:val="18"/>
          <w:szCs w:val="18"/>
          <w:lang w:eastAsia="en-NZ"/>
        </w:rPr>
        <w:t>to evaluate whether a key person is suitable to be</w:t>
      </w:r>
      <w:r w:rsidR="00B82D94">
        <w:rPr>
          <w:rFonts w:ascii="Arial" w:hAnsi="Arial" w:cs="Arial"/>
          <w:sz w:val="18"/>
          <w:szCs w:val="18"/>
          <w:lang w:eastAsia="en-NZ"/>
        </w:rPr>
        <w:t xml:space="preserve"> </w:t>
      </w:r>
      <w:r w:rsidRPr="007018E7">
        <w:rPr>
          <w:rFonts w:ascii="Arial" w:hAnsi="Arial" w:cs="Arial"/>
          <w:sz w:val="18"/>
          <w:szCs w:val="18"/>
          <w:lang w:eastAsia="en-NZ"/>
        </w:rPr>
        <w:t xml:space="preserve">involved in the operation of gaming machines. </w:t>
      </w:r>
      <w:r w:rsidR="00B82D94">
        <w:rPr>
          <w:rFonts w:ascii="Arial" w:hAnsi="Arial" w:cs="Arial"/>
          <w:sz w:val="18"/>
          <w:szCs w:val="18"/>
          <w:lang w:eastAsia="en-NZ"/>
        </w:rPr>
        <w:t xml:space="preserve"> </w:t>
      </w:r>
      <w:r w:rsidRPr="007018E7">
        <w:rPr>
          <w:rFonts w:ascii="Arial" w:hAnsi="Arial" w:cs="Arial"/>
          <w:sz w:val="18"/>
          <w:szCs w:val="18"/>
          <w:lang w:eastAsia="en-NZ"/>
        </w:rPr>
        <w:t>The</w:t>
      </w:r>
      <w:r w:rsidR="00B82D94">
        <w:rPr>
          <w:rFonts w:ascii="Arial" w:hAnsi="Arial" w:cs="Arial"/>
          <w:sz w:val="18"/>
          <w:szCs w:val="18"/>
          <w:lang w:eastAsia="en-NZ"/>
        </w:rPr>
        <w:t xml:space="preserve"> </w:t>
      </w:r>
      <w:r w:rsidRPr="007018E7">
        <w:rPr>
          <w:rFonts w:ascii="Arial" w:hAnsi="Arial" w:cs="Arial"/>
          <w:sz w:val="18"/>
          <w:szCs w:val="18"/>
          <w:lang w:eastAsia="en-NZ"/>
        </w:rPr>
        <w:t>Department’s primary concern is whether a key</w:t>
      </w:r>
      <w:r w:rsidR="00B82D94">
        <w:rPr>
          <w:rFonts w:ascii="Arial" w:hAnsi="Arial" w:cs="Arial"/>
          <w:sz w:val="18"/>
          <w:szCs w:val="18"/>
          <w:lang w:eastAsia="en-NZ"/>
        </w:rPr>
        <w:t xml:space="preserve"> </w:t>
      </w:r>
      <w:r w:rsidRPr="007018E7">
        <w:rPr>
          <w:rFonts w:ascii="Arial" w:hAnsi="Arial" w:cs="Arial"/>
          <w:sz w:val="18"/>
          <w:szCs w:val="18"/>
          <w:lang w:eastAsia="en-NZ"/>
        </w:rPr>
        <w:t>person has been involved in criminal or dishonest</w:t>
      </w:r>
      <w:r w:rsidR="009618A9">
        <w:rPr>
          <w:rFonts w:ascii="Arial" w:hAnsi="Arial" w:cs="Arial"/>
          <w:sz w:val="18"/>
          <w:szCs w:val="18"/>
          <w:lang w:eastAsia="en-NZ"/>
        </w:rPr>
        <w:t xml:space="preserve"> </w:t>
      </w:r>
      <w:r w:rsidRPr="007018E7">
        <w:rPr>
          <w:rFonts w:ascii="Arial" w:hAnsi="Arial" w:cs="Arial"/>
          <w:sz w:val="18"/>
          <w:szCs w:val="18"/>
          <w:lang w:eastAsia="en-NZ"/>
        </w:rPr>
        <w:t>activity.</w:t>
      </w:r>
    </w:p>
    <w:p w:rsidR="007018E7" w:rsidRPr="007018E7" w:rsidRDefault="007018E7" w:rsidP="007018E7">
      <w:pPr>
        <w:keepLines w:val="0"/>
        <w:autoSpaceDE w:val="0"/>
        <w:autoSpaceDN w:val="0"/>
        <w:adjustRightInd w:val="0"/>
        <w:spacing w:before="0" w:after="120" w:line="241" w:lineRule="atLeast"/>
        <w:rPr>
          <w:rFonts w:ascii="Arial" w:hAnsi="Arial" w:cs="Arial"/>
          <w:sz w:val="18"/>
          <w:szCs w:val="18"/>
          <w:lang w:eastAsia="en-NZ"/>
        </w:rPr>
      </w:pPr>
      <w:r w:rsidRPr="007018E7">
        <w:rPr>
          <w:rFonts w:ascii="Arial" w:hAnsi="Arial" w:cs="Arial"/>
          <w:sz w:val="18"/>
          <w:szCs w:val="18"/>
          <w:lang w:eastAsia="en-NZ"/>
        </w:rPr>
        <w:t>When the Department requests personal information</w:t>
      </w:r>
      <w:r w:rsidR="00B82D94">
        <w:rPr>
          <w:rFonts w:ascii="Arial" w:hAnsi="Arial" w:cs="Arial"/>
          <w:sz w:val="18"/>
          <w:szCs w:val="18"/>
          <w:lang w:eastAsia="en-NZ"/>
        </w:rPr>
        <w:t xml:space="preserve">, </w:t>
      </w:r>
      <w:r w:rsidRPr="007018E7">
        <w:rPr>
          <w:rFonts w:ascii="Arial" w:hAnsi="Arial" w:cs="Arial"/>
          <w:sz w:val="18"/>
          <w:szCs w:val="18"/>
          <w:lang w:eastAsia="en-NZ"/>
        </w:rPr>
        <w:t xml:space="preserve">it will explain the purposes for which </w:t>
      </w:r>
      <w:r w:rsidR="00B82D94">
        <w:rPr>
          <w:rFonts w:ascii="Arial" w:hAnsi="Arial" w:cs="Arial"/>
          <w:sz w:val="18"/>
          <w:szCs w:val="18"/>
          <w:lang w:eastAsia="en-NZ"/>
        </w:rPr>
        <w:t xml:space="preserve">the information </w:t>
      </w:r>
      <w:r w:rsidRPr="007018E7">
        <w:rPr>
          <w:rFonts w:ascii="Arial" w:hAnsi="Arial" w:cs="Arial"/>
          <w:sz w:val="18"/>
          <w:szCs w:val="18"/>
          <w:lang w:eastAsia="en-NZ"/>
        </w:rPr>
        <w:t>is requested</w:t>
      </w:r>
      <w:r w:rsidR="00B82D94">
        <w:rPr>
          <w:rFonts w:ascii="Arial" w:hAnsi="Arial" w:cs="Arial"/>
          <w:sz w:val="18"/>
          <w:szCs w:val="18"/>
          <w:lang w:eastAsia="en-NZ"/>
        </w:rPr>
        <w:t xml:space="preserve"> </w:t>
      </w:r>
      <w:r w:rsidRPr="007018E7">
        <w:rPr>
          <w:rFonts w:ascii="Arial" w:hAnsi="Arial" w:cs="Arial"/>
          <w:sz w:val="18"/>
          <w:szCs w:val="18"/>
          <w:lang w:eastAsia="en-NZ"/>
        </w:rPr>
        <w:t>and that the information may be disclosed to other</w:t>
      </w:r>
      <w:r w:rsidR="00B82D94">
        <w:rPr>
          <w:rFonts w:ascii="Arial" w:hAnsi="Arial" w:cs="Arial"/>
          <w:sz w:val="18"/>
          <w:szCs w:val="18"/>
          <w:lang w:eastAsia="en-NZ"/>
        </w:rPr>
        <w:t xml:space="preserve"> </w:t>
      </w:r>
      <w:r w:rsidRPr="007018E7">
        <w:rPr>
          <w:rFonts w:ascii="Arial" w:hAnsi="Arial" w:cs="Arial"/>
          <w:sz w:val="18"/>
          <w:szCs w:val="18"/>
          <w:lang w:eastAsia="en-NZ"/>
        </w:rPr>
        <w:t>agencies for the purposes of suitability</w:t>
      </w:r>
      <w:r w:rsidR="00B82D94">
        <w:rPr>
          <w:rFonts w:ascii="Arial" w:hAnsi="Arial" w:cs="Arial"/>
          <w:sz w:val="18"/>
          <w:szCs w:val="18"/>
          <w:lang w:eastAsia="en-NZ"/>
        </w:rPr>
        <w:t xml:space="preserve"> </w:t>
      </w:r>
      <w:r w:rsidRPr="007018E7">
        <w:rPr>
          <w:rFonts w:ascii="Arial" w:hAnsi="Arial" w:cs="Arial"/>
          <w:sz w:val="18"/>
          <w:szCs w:val="18"/>
          <w:lang w:eastAsia="en-NZ"/>
        </w:rPr>
        <w:t>checking.</w:t>
      </w:r>
    </w:p>
    <w:p w:rsidR="007018E7" w:rsidRPr="007018E7" w:rsidRDefault="007018E7" w:rsidP="007018E7">
      <w:pPr>
        <w:keepLines w:val="0"/>
        <w:autoSpaceDE w:val="0"/>
        <w:autoSpaceDN w:val="0"/>
        <w:adjustRightInd w:val="0"/>
        <w:spacing w:before="0" w:after="120" w:line="241" w:lineRule="atLeast"/>
        <w:rPr>
          <w:rFonts w:ascii="Arial" w:hAnsi="Arial" w:cs="Arial"/>
          <w:sz w:val="18"/>
          <w:szCs w:val="18"/>
          <w:lang w:eastAsia="en-NZ"/>
        </w:rPr>
      </w:pPr>
      <w:r w:rsidRPr="007018E7">
        <w:rPr>
          <w:rFonts w:ascii="Arial" w:hAnsi="Arial" w:cs="Arial"/>
          <w:sz w:val="18"/>
          <w:szCs w:val="18"/>
          <w:lang w:eastAsia="en-NZ"/>
        </w:rPr>
        <w:t>These forms and other information on key persons</w:t>
      </w:r>
      <w:r w:rsidR="00B82D94">
        <w:rPr>
          <w:rFonts w:ascii="Arial" w:hAnsi="Arial" w:cs="Arial"/>
          <w:sz w:val="18"/>
          <w:szCs w:val="18"/>
          <w:lang w:eastAsia="en-NZ"/>
        </w:rPr>
        <w:t xml:space="preserve"> </w:t>
      </w:r>
      <w:r w:rsidRPr="007018E7">
        <w:rPr>
          <w:rFonts w:ascii="Arial" w:hAnsi="Arial" w:cs="Arial"/>
          <w:sz w:val="18"/>
          <w:szCs w:val="18"/>
          <w:lang w:eastAsia="en-NZ"/>
        </w:rPr>
        <w:t>can be found on the Department’s website:</w:t>
      </w:r>
    </w:p>
    <w:p w:rsidR="007018E7" w:rsidRPr="00FD1279" w:rsidRDefault="007018E7" w:rsidP="007018E7">
      <w:pPr>
        <w:keepLines w:val="0"/>
        <w:autoSpaceDE w:val="0"/>
        <w:autoSpaceDN w:val="0"/>
        <w:adjustRightInd w:val="0"/>
        <w:spacing w:before="0" w:after="120" w:line="241" w:lineRule="atLeast"/>
        <w:rPr>
          <w:rFonts w:ascii="Arial" w:hAnsi="Arial" w:cs="Arial"/>
          <w:b/>
          <w:color w:val="00B0F0"/>
          <w:sz w:val="18"/>
          <w:szCs w:val="18"/>
          <w:lang w:eastAsia="en-NZ"/>
        </w:rPr>
      </w:pPr>
      <w:r w:rsidRPr="00FD1279">
        <w:rPr>
          <w:rFonts w:ascii="Arial" w:hAnsi="Arial" w:cs="Arial"/>
          <w:b/>
          <w:color w:val="00B0F0"/>
          <w:sz w:val="18"/>
          <w:szCs w:val="18"/>
          <w:lang w:eastAsia="en-NZ"/>
        </w:rPr>
        <w:t>www.dia.govt.nz/gambling</w:t>
      </w:r>
    </w:p>
    <w:sectPr w:rsidR="007018E7" w:rsidRPr="00FD1279" w:rsidSect="001635FD">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6DB" w:rsidRDefault="008656DB">
      <w:r>
        <w:separator/>
      </w:r>
    </w:p>
    <w:p w:rsidR="008656DB" w:rsidRDefault="008656DB"/>
    <w:p w:rsidR="008656DB" w:rsidRDefault="008656DB"/>
  </w:endnote>
  <w:endnote w:type="continuationSeparator" w:id="0">
    <w:p w:rsidR="008656DB" w:rsidRDefault="008656DB">
      <w:r>
        <w:continuationSeparator/>
      </w:r>
    </w:p>
    <w:p w:rsidR="008656DB" w:rsidRDefault="008656DB"/>
    <w:p w:rsidR="008656DB" w:rsidRDefault="00865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6DB" w:rsidRPr="003969E8" w:rsidRDefault="008656DB" w:rsidP="003969E8">
    <w:pPr>
      <w:pStyle w:val="Footer"/>
      <w:tabs>
        <w:tab w:val="left" w:pos="4536"/>
        <w:tab w:val="left" w:pos="5812"/>
      </w:tabs>
      <w:rPr>
        <w:i w:val="0"/>
      </w:rPr>
    </w:pPr>
    <w:r w:rsidRPr="003969E8">
      <w:rPr>
        <w:rFonts w:ascii="Arial" w:hAnsi="Arial" w:cs="Arial"/>
        <w:b/>
        <w:bCs/>
        <w:i w:val="0"/>
        <w:color w:val="00AEDD"/>
        <w:sz w:val="19"/>
        <w:szCs w:val="19"/>
        <w:lang w:eastAsia="en-NZ"/>
      </w:rPr>
      <w:t xml:space="preserve">Freephone: </w:t>
    </w:r>
    <w:r w:rsidRPr="003969E8">
      <w:rPr>
        <w:rFonts w:ascii="Arial" w:hAnsi="Arial" w:cs="Arial"/>
        <w:b/>
        <w:bCs/>
        <w:i w:val="0"/>
        <w:color w:val="000000"/>
        <w:sz w:val="19"/>
        <w:szCs w:val="19"/>
        <w:lang w:eastAsia="en-NZ"/>
      </w:rPr>
      <w:t xml:space="preserve">0800 257 887 </w:t>
    </w:r>
    <w:r w:rsidRPr="003969E8">
      <w:rPr>
        <w:rFonts w:ascii="Arial" w:hAnsi="Arial" w:cs="Arial"/>
        <w:b/>
        <w:bCs/>
        <w:i w:val="0"/>
        <w:color w:val="000000"/>
        <w:sz w:val="19"/>
        <w:szCs w:val="19"/>
        <w:lang w:eastAsia="en-NZ"/>
      </w:rPr>
      <w:tab/>
    </w:r>
    <w:r>
      <w:rPr>
        <w:rFonts w:ascii="Arial" w:hAnsi="Arial" w:cs="Arial"/>
        <w:b/>
        <w:bCs/>
        <w:i w:val="0"/>
        <w:sz w:val="23"/>
        <w:szCs w:val="23"/>
        <w:lang w:eastAsia="en-NZ"/>
      </w:rPr>
      <w:t>2</w:t>
    </w:r>
    <w:r w:rsidRPr="003969E8">
      <w:rPr>
        <w:rFonts w:ascii="Arial" w:hAnsi="Arial" w:cs="Arial"/>
        <w:b/>
        <w:bCs/>
        <w:i w:val="0"/>
        <w:color w:val="000000"/>
        <w:sz w:val="19"/>
        <w:szCs w:val="19"/>
        <w:lang w:eastAsia="en-NZ"/>
      </w:rPr>
      <w:tab/>
    </w:r>
    <w:r w:rsidRPr="003969E8">
      <w:rPr>
        <w:rFonts w:ascii="Arial" w:hAnsi="Arial" w:cs="Arial"/>
        <w:b/>
        <w:bCs/>
        <w:i w:val="0"/>
        <w:color w:val="00AEDD"/>
        <w:sz w:val="19"/>
        <w:szCs w:val="19"/>
        <w:lang w:eastAsia="en-NZ"/>
      </w:rPr>
      <w:t xml:space="preserve">Website: </w:t>
    </w:r>
    <w:r w:rsidRPr="003969E8">
      <w:rPr>
        <w:rFonts w:ascii="Arial" w:hAnsi="Arial" w:cs="Arial"/>
        <w:b/>
        <w:bCs/>
        <w:i w:val="0"/>
        <w:color w:val="000000"/>
        <w:sz w:val="19"/>
        <w:szCs w:val="19"/>
        <w:lang w:eastAsia="en-NZ"/>
      </w:rPr>
      <w:t>www.dia.govt.nz/gambling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6DB" w:rsidRPr="003969E8" w:rsidRDefault="008656DB" w:rsidP="003969E8">
    <w:pPr>
      <w:pStyle w:val="Footer"/>
      <w:tabs>
        <w:tab w:val="left" w:pos="4536"/>
        <w:tab w:val="left" w:pos="5812"/>
      </w:tabs>
      <w:rPr>
        <w:i w:val="0"/>
      </w:rPr>
    </w:pPr>
    <w:r w:rsidRPr="003969E8">
      <w:rPr>
        <w:rFonts w:ascii="Arial" w:hAnsi="Arial" w:cs="Arial"/>
        <w:b/>
        <w:bCs/>
        <w:i w:val="0"/>
        <w:color w:val="00AEDD"/>
        <w:sz w:val="19"/>
        <w:szCs w:val="19"/>
        <w:lang w:eastAsia="en-NZ"/>
      </w:rPr>
      <w:t xml:space="preserve">Freephone: </w:t>
    </w:r>
    <w:r w:rsidRPr="003969E8">
      <w:rPr>
        <w:rFonts w:ascii="Arial" w:hAnsi="Arial" w:cs="Arial"/>
        <w:b/>
        <w:bCs/>
        <w:i w:val="0"/>
        <w:color w:val="000000"/>
        <w:sz w:val="19"/>
        <w:szCs w:val="19"/>
        <w:lang w:eastAsia="en-NZ"/>
      </w:rPr>
      <w:t xml:space="preserve">0800 257 887 </w:t>
    </w:r>
    <w:r w:rsidRPr="003969E8">
      <w:rPr>
        <w:rFonts w:ascii="Arial" w:hAnsi="Arial" w:cs="Arial"/>
        <w:b/>
        <w:bCs/>
        <w:i w:val="0"/>
        <w:color w:val="000000"/>
        <w:sz w:val="19"/>
        <w:szCs w:val="19"/>
        <w:lang w:eastAsia="en-NZ"/>
      </w:rPr>
      <w:tab/>
    </w:r>
    <w:r w:rsidRPr="003969E8">
      <w:rPr>
        <w:rFonts w:ascii="Arial" w:hAnsi="Arial" w:cs="Arial"/>
        <w:b/>
        <w:bCs/>
        <w:i w:val="0"/>
        <w:sz w:val="23"/>
        <w:szCs w:val="23"/>
        <w:lang w:eastAsia="en-NZ"/>
      </w:rPr>
      <w:t>1</w:t>
    </w:r>
    <w:r w:rsidRPr="003969E8">
      <w:rPr>
        <w:rFonts w:ascii="Arial" w:hAnsi="Arial" w:cs="Arial"/>
        <w:b/>
        <w:bCs/>
        <w:i w:val="0"/>
        <w:color w:val="000000"/>
        <w:sz w:val="19"/>
        <w:szCs w:val="19"/>
        <w:lang w:eastAsia="en-NZ"/>
      </w:rPr>
      <w:tab/>
    </w:r>
    <w:r w:rsidRPr="003969E8">
      <w:rPr>
        <w:rFonts w:ascii="Arial" w:hAnsi="Arial" w:cs="Arial"/>
        <w:b/>
        <w:bCs/>
        <w:i w:val="0"/>
        <w:color w:val="00AEDD"/>
        <w:sz w:val="19"/>
        <w:szCs w:val="19"/>
        <w:lang w:eastAsia="en-NZ"/>
      </w:rPr>
      <w:t xml:space="preserve">Website: </w:t>
    </w:r>
    <w:r w:rsidRPr="003969E8">
      <w:rPr>
        <w:rFonts w:ascii="Arial" w:hAnsi="Arial" w:cs="Arial"/>
        <w:b/>
        <w:bCs/>
        <w:i w:val="0"/>
        <w:color w:val="000000"/>
        <w:sz w:val="19"/>
        <w:szCs w:val="19"/>
        <w:lang w:eastAsia="en-NZ"/>
      </w:rPr>
      <w:t>www.dia.govt.nz/gambling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6DB" w:rsidRDefault="008656DB" w:rsidP="00FB1990">
      <w:pPr>
        <w:pStyle w:val="Spacer"/>
      </w:pPr>
      <w:r>
        <w:separator/>
      </w:r>
    </w:p>
    <w:p w:rsidR="008656DB" w:rsidRDefault="008656DB" w:rsidP="00FB1990">
      <w:pPr>
        <w:pStyle w:val="Spacer"/>
      </w:pPr>
    </w:p>
  </w:footnote>
  <w:footnote w:type="continuationSeparator" w:id="0">
    <w:p w:rsidR="008656DB" w:rsidRDefault="008656DB">
      <w:r>
        <w:continuationSeparator/>
      </w:r>
    </w:p>
    <w:p w:rsidR="008656DB" w:rsidRDefault="008656DB"/>
    <w:p w:rsidR="008656DB" w:rsidRDefault="008656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6DB" w:rsidRDefault="008656DB" w:rsidP="00460B3F">
    <w:pPr>
      <w:pStyle w:val="Header"/>
      <w:tabs>
        <w:tab w:val="right" w:pos="9072"/>
      </w:tabs>
    </w:pPr>
    <w:r>
      <w:rPr>
        <w:rFonts w:ascii="Arial" w:hAnsi="Arial" w:cs="Arial"/>
        <w:b/>
        <w:bCs/>
        <w:color w:val="00AEDD"/>
        <w:sz w:val="19"/>
        <w:szCs w:val="19"/>
        <w:lang w:eastAsia="en-NZ"/>
      </w:rPr>
      <w:t xml:space="preserve">Gambling Fact Sheet #23: </w:t>
    </w:r>
    <w:r>
      <w:rPr>
        <w:rFonts w:ascii="Arial" w:hAnsi="Arial" w:cs="Arial"/>
        <w:b/>
        <w:bCs/>
        <w:color w:val="000000"/>
        <w:sz w:val="19"/>
        <w:szCs w:val="19"/>
        <w:lang w:eastAsia="en-NZ"/>
      </w:rPr>
      <w:t>Class 4 Key Persons and Suitability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6DB" w:rsidRDefault="009B6ED3" w:rsidP="003969E8">
    <w:pPr>
      <w:pStyle w:val="Header"/>
      <w:tabs>
        <w:tab w:val="left" w:pos="1179"/>
      </w:tabs>
    </w:pPr>
    <w:r>
      <w:rPr>
        <w:noProof/>
        <w:lang w:eastAsia="en-NZ"/>
      </w:rPr>
      <w:drawing>
        <wp:anchor distT="0" distB="360045" distL="114300" distR="114300" simplePos="0" relativeHeight="251659264" behindDoc="1" locked="0" layoutInCell="1" allowOverlap="1" wp14:anchorId="6D593F40" wp14:editId="13DC7A15">
          <wp:simplePos x="0" y="0"/>
          <wp:positionH relativeFrom="page">
            <wp:posOffset>4969890</wp:posOffset>
          </wp:positionH>
          <wp:positionV relativeFrom="page">
            <wp:posOffset>323770</wp:posOffset>
          </wp:positionV>
          <wp:extent cx="2296795" cy="405765"/>
          <wp:effectExtent l="0" t="0" r="8255" b="0"/>
          <wp:wrapNone/>
          <wp:docPr id="1" name="Picture 1" descr="D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templates.dia.govt.nz\diatemplates$\Templates\Images\Logo -  DIA 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6795" cy="4057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2D3D1A"/>
    <w:multiLevelType w:val="hybridMultilevel"/>
    <w:tmpl w:val="7C0A2E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07EDE97"/>
    <w:multiLevelType w:val="hybridMultilevel"/>
    <w:tmpl w:val="14D41B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C5D5A97"/>
    <w:multiLevelType w:val="hybridMultilevel"/>
    <w:tmpl w:val="677AF0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5E38DB5"/>
    <w:multiLevelType w:val="hybridMultilevel"/>
    <w:tmpl w:val="08BDDA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5">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6">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7">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8">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9">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1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2">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3">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4">
    <w:nsid w:val="16946843"/>
    <w:multiLevelType w:val="hybridMultilevel"/>
    <w:tmpl w:val="25EE741E"/>
    <w:lvl w:ilvl="0" w:tplc="1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6">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3E126BAD"/>
    <w:multiLevelType w:val="hybridMultilevel"/>
    <w:tmpl w:val="5AB43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7D71613"/>
    <w:multiLevelType w:val="hybridMultilevel"/>
    <w:tmpl w:val="306E44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6">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7">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8">
    <w:nsid w:val="6AB20D78"/>
    <w:multiLevelType w:val="hybridMultilevel"/>
    <w:tmpl w:val="BC4C677C"/>
    <w:lvl w:ilvl="0" w:tplc="14090003">
      <w:start w:val="1"/>
      <w:numFmt w:val="bullet"/>
      <w:lvlText w:val="o"/>
      <w:lvlJc w:val="left"/>
      <w:rPr>
        <w:rFonts w:ascii="Courier New" w:hAnsi="Courier New" w:cs="Courier New" w:hint="default"/>
      </w:rPr>
    </w:lvl>
    <w:lvl w:ilvl="1" w:tplc="5C721730">
      <w:start w:val="1"/>
      <w:numFmt w:val="bullet"/>
      <w:lvlText w:val="."/>
      <w:lvlJc w:val="left"/>
      <w:rPr>
        <w:rFonts w:ascii="Courier New" w:hAnsi="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0">
    <w:nsid w:val="6CE67A77"/>
    <w:multiLevelType w:val="hybridMultilevel"/>
    <w:tmpl w:val="E60617E2"/>
    <w:lvl w:ilvl="0" w:tplc="3BBAD256">
      <w:start w:val="1"/>
      <w:numFmt w:val="upp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31">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2">
    <w:nsid w:val="70A53ED0"/>
    <w:multiLevelType w:val="hybridMultilevel"/>
    <w:tmpl w:val="D24AE558"/>
    <w:lvl w:ilvl="0" w:tplc="5C721730">
      <w:start w:val="1"/>
      <w:numFmt w:val="bullet"/>
      <w:lvlText w:val="."/>
      <w:lvlJc w:val="left"/>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326481E"/>
    <w:multiLevelType w:val="hybridMultilevel"/>
    <w:tmpl w:val="C99CF81A"/>
    <w:lvl w:ilvl="0" w:tplc="1409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5">
    <w:nsid w:val="79E46B37"/>
    <w:multiLevelType w:val="multilevel"/>
    <w:tmpl w:val="BC4C677C"/>
    <w:lvl w:ilvl="0">
      <w:start w:val="1"/>
      <w:numFmt w:val="bullet"/>
      <w:lvlText w:val="o"/>
      <w:lvlJc w:val="left"/>
      <w:rPr>
        <w:rFonts w:ascii="Courier New" w:hAnsi="Courier New" w:cs="Courier New" w:hint="default"/>
      </w:rPr>
    </w:lvl>
    <w:lvl w:ilvl="1">
      <w:start w:val="1"/>
      <w:numFmt w:val="bullet"/>
      <w:lvlText w:val="."/>
      <w:lvlJc w:val="left"/>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23"/>
  </w:num>
  <w:num w:numId="8">
    <w:abstractNumId w:val="24"/>
  </w:num>
  <w:num w:numId="9">
    <w:abstractNumId w:val="19"/>
  </w:num>
  <w:num w:numId="10">
    <w:abstractNumId w:val="15"/>
  </w:num>
  <w:num w:numId="11">
    <w:abstractNumId w:val="25"/>
  </w:num>
  <w:num w:numId="12">
    <w:abstractNumId w:val="27"/>
  </w:num>
  <w:num w:numId="13">
    <w:abstractNumId w:val="31"/>
  </w:num>
  <w:num w:numId="14">
    <w:abstractNumId w:val="11"/>
  </w:num>
  <w:num w:numId="15">
    <w:abstractNumId w:val="17"/>
  </w:num>
  <w:num w:numId="16">
    <w:abstractNumId w:val="34"/>
  </w:num>
  <w:num w:numId="17">
    <w:abstractNumId w:val="29"/>
  </w:num>
  <w:num w:numId="18">
    <w:abstractNumId w:val="26"/>
  </w:num>
  <w:num w:numId="19">
    <w:abstractNumId w:val="21"/>
  </w:num>
  <w:num w:numId="20">
    <w:abstractNumId w:val="18"/>
  </w:num>
  <w:num w:numId="21">
    <w:abstractNumId w:val="13"/>
  </w:num>
  <w:num w:numId="22">
    <w:abstractNumId w:val="10"/>
  </w:num>
  <w:num w:numId="23">
    <w:abstractNumId w:val="16"/>
  </w:num>
  <w:num w:numId="24">
    <w:abstractNumId w:val="12"/>
  </w:num>
  <w:num w:numId="25">
    <w:abstractNumId w:val="3"/>
  </w:num>
  <w:num w:numId="26">
    <w:abstractNumId w:val="2"/>
  </w:num>
  <w:num w:numId="27">
    <w:abstractNumId w:val="0"/>
  </w:num>
  <w:num w:numId="28">
    <w:abstractNumId w:val="1"/>
  </w:num>
  <w:num w:numId="29">
    <w:abstractNumId w:val="20"/>
  </w:num>
  <w:num w:numId="30">
    <w:abstractNumId w:val="22"/>
  </w:num>
  <w:num w:numId="31">
    <w:abstractNumId w:val="14"/>
  </w:num>
  <w:num w:numId="32">
    <w:abstractNumId w:val="28"/>
  </w:num>
  <w:num w:numId="33">
    <w:abstractNumId w:val="33"/>
  </w:num>
  <w:num w:numId="34">
    <w:abstractNumId w:val="32"/>
  </w:num>
  <w:num w:numId="35">
    <w:abstractNumId w:val="35"/>
  </w:num>
  <w:num w:numId="36">
    <w:abstractNumId w:val="30"/>
  </w:num>
  <w:num w:numId="37">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4577"/>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F7F"/>
    <w:rsid w:val="00003360"/>
    <w:rsid w:val="00003FC7"/>
    <w:rsid w:val="00005919"/>
    <w:rsid w:val="00007C42"/>
    <w:rsid w:val="00015020"/>
    <w:rsid w:val="0001647B"/>
    <w:rsid w:val="00020010"/>
    <w:rsid w:val="00034673"/>
    <w:rsid w:val="00036671"/>
    <w:rsid w:val="00036705"/>
    <w:rsid w:val="00037226"/>
    <w:rsid w:val="000409E2"/>
    <w:rsid w:val="00044EA1"/>
    <w:rsid w:val="00054574"/>
    <w:rsid w:val="0005649A"/>
    <w:rsid w:val="00063BB2"/>
    <w:rsid w:val="00065F18"/>
    <w:rsid w:val="00067005"/>
    <w:rsid w:val="00076035"/>
    <w:rsid w:val="00077013"/>
    <w:rsid w:val="00091C3A"/>
    <w:rsid w:val="000B6DFD"/>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35FD"/>
    <w:rsid w:val="0016433D"/>
    <w:rsid w:val="00184C0F"/>
    <w:rsid w:val="001A5F55"/>
    <w:rsid w:val="001C0031"/>
    <w:rsid w:val="001C0C30"/>
    <w:rsid w:val="001D0111"/>
    <w:rsid w:val="001D4CCF"/>
    <w:rsid w:val="001D7EAE"/>
    <w:rsid w:val="001E64FC"/>
    <w:rsid w:val="001F0724"/>
    <w:rsid w:val="002007DF"/>
    <w:rsid w:val="00205FE8"/>
    <w:rsid w:val="00206BA3"/>
    <w:rsid w:val="00215160"/>
    <w:rsid w:val="002224B4"/>
    <w:rsid w:val="00226D5E"/>
    <w:rsid w:val="00232F92"/>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969E8"/>
    <w:rsid w:val="003A10DA"/>
    <w:rsid w:val="003A12C8"/>
    <w:rsid w:val="003A6FFE"/>
    <w:rsid w:val="003A7695"/>
    <w:rsid w:val="003B3A23"/>
    <w:rsid w:val="003B6592"/>
    <w:rsid w:val="003C772C"/>
    <w:rsid w:val="003F2B58"/>
    <w:rsid w:val="003F5886"/>
    <w:rsid w:val="0040020C"/>
    <w:rsid w:val="00401CA0"/>
    <w:rsid w:val="00402A08"/>
    <w:rsid w:val="004032A8"/>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23A5"/>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41F2"/>
    <w:rsid w:val="0060573A"/>
    <w:rsid w:val="006064F5"/>
    <w:rsid w:val="00617298"/>
    <w:rsid w:val="00637753"/>
    <w:rsid w:val="00660CE4"/>
    <w:rsid w:val="00662716"/>
    <w:rsid w:val="00676C9F"/>
    <w:rsid w:val="00677B13"/>
    <w:rsid w:val="00677F4E"/>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18E7"/>
    <w:rsid w:val="00702F2C"/>
    <w:rsid w:val="007068C8"/>
    <w:rsid w:val="00715B8F"/>
    <w:rsid w:val="0073106E"/>
    <w:rsid w:val="00755142"/>
    <w:rsid w:val="00756BB7"/>
    <w:rsid w:val="0075764B"/>
    <w:rsid w:val="00760C01"/>
    <w:rsid w:val="00761293"/>
    <w:rsid w:val="00767C04"/>
    <w:rsid w:val="007736A2"/>
    <w:rsid w:val="007A6226"/>
    <w:rsid w:val="007B3C61"/>
    <w:rsid w:val="007B602E"/>
    <w:rsid w:val="007D1918"/>
    <w:rsid w:val="007E2F7F"/>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656DB"/>
    <w:rsid w:val="00870045"/>
    <w:rsid w:val="00876E5F"/>
    <w:rsid w:val="00884A12"/>
    <w:rsid w:val="00890CE4"/>
    <w:rsid w:val="00891ED7"/>
    <w:rsid w:val="008B7B54"/>
    <w:rsid w:val="008C3187"/>
    <w:rsid w:val="008C5E4F"/>
    <w:rsid w:val="008D0092"/>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618A9"/>
    <w:rsid w:val="00973A6D"/>
    <w:rsid w:val="009804E0"/>
    <w:rsid w:val="00983735"/>
    <w:rsid w:val="009865AA"/>
    <w:rsid w:val="00987080"/>
    <w:rsid w:val="0098765A"/>
    <w:rsid w:val="00987E5B"/>
    <w:rsid w:val="00991620"/>
    <w:rsid w:val="009968B0"/>
    <w:rsid w:val="009A5763"/>
    <w:rsid w:val="009A6CB2"/>
    <w:rsid w:val="009B0982"/>
    <w:rsid w:val="009B4C99"/>
    <w:rsid w:val="009B6ED3"/>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F3A5A"/>
    <w:rsid w:val="00AF3E15"/>
    <w:rsid w:val="00AF5218"/>
    <w:rsid w:val="00AF60A0"/>
    <w:rsid w:val="00B0480E"/>
    <w:rsid w:val="00B1026A"/>
    <w:rsid w:val="00B11885"/>
    <w:rsid w:val="00B21166"/>
    <w:rsid w:val="00B263AE"/>
    <w:rsid w:val="00B33A6C"/>
    <w:rsid w:val="00B42F17"/>
    <w:rsid w:val="00B43A02"/>
    <w:rsid w:val="00B47091"/>
    <w:rsid w:val="00B56534"/>
    <w:rsid w:val="00B57A21"/>
    <w:rsid w:val="00B62C3E"/>
    <w:rsid w:val="00B645DE"/>
    <w:rsid w:val="00B65857"/>
    <w:rsid w:val="00B66698"/>
    <w:rsid w:val="00B745DC"/>
    <w:rsid w:val="00B82D94"/>
    <w:rsid w:val="00B84350"/>
    <w:rsid w:val="00B855A6"/>
    <w:rsid w:val="00B91098"/>
    <w:rsid w:val="00B91904"/>
    <w:rsid w:val="00B92735"/>
    <w:rsid w:val="00B969ED"/>
    <w:rsid w:val="00BA77F1"/>
    <w:rsid w:val="00BB0D90"/>
    <w:rsid w:val="00BB1BA5"/>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0546"/>
    <w:rsid w:val="00C54E78"/>
    <w:rsid w:val="00C6078D"/>
    <w:rsid w:val="00C657CF"/>
    <w:rsid w:val="00C80D62"/>
    <w:rsid w:val="00C8388B"/>
    <w:rsid w:val="00C84944"/>
    <w:rsid w:val="00C90217"/>
    <w:rsid w:val="00C96BFD"/>
    <w:rsid w:val="00C96C98"/>
    <w:rsid w:val="00CA5358"/>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468F"/>
    <w:rsid w:val="00DA5101"/>
    <w:rsid w:val="00DA79EF"/>
    <w:rsid w:val="00DB0C0B"/>
    <w:rsid w:val="00DB3B74"/>
    <w:rsid w:val="00DC5870"/>
    <w:rsid w:val="00DD0384"/>
    <w:rsid w:val="00DD0901"/>
    <w:rsid w:val="00DD4AB0"/>
    <w:rsid w:val="00DE16B6"/>
    <w:rsid w:val="00DE3323"/>
    <w:rsid w:val="00DE36CA"/>
    <w:rsid w:val="00DE7E63"/>
    <w:rsid w:val="00DF77A2"/>
    <w:rsid w:val="00E01762"/>
    <w:rsid w:val="00E367C5"/>
    <w:rsid w:val="00E37E71"/>
    <w:rsid w:val="00E42486"/>
    <w:rsid w:val="00E42847"/>
    <w:rsid w:val="00E46064"/>
    <w:rsid w:val="00E604A1"/>
    <w:rsid w:val="00E7293C"/>
    <w:rsid w:val="00E73AA8"/>
    <w:rsid w:val="00E76812"/>
    <w:rsid w:val="00E80228"/>
    <w:rsid w:val="00E86D2A"/>
    <w:rsid w:val="00E8711A"/>
    <w:rsid w:val="00E969B7"/>
    <w:rsid w:val="00EA2ED4"/>
    <w:rsid w:val="00EA491A"/>
    <w:rsid w:val="00EB1583"/>
    <w:rsid w:val="00EB54A9"/>
    <w:rsid w:val="00EC23FB"/>
    <w:rsid w:val="00EC7017"/>
    <w:rsid w:val="00ED02F4"/>
    <w:rsid w:val="00ED4356"/>
    <w:rsid w:val="00ED7681"/>
    <w:rsid w:val="00EE243C"/>
    <w:rsid w:val="00EF0E27"/>
    <w:rsid w:val="00EF4E29"/>
    <w:rsid w:val="00EF63C6"/>
    <w:rsid w:val="00F034FB"/>
    <w:rsid w:val="00F0403B"/>
    <w:rsid w:val="00F05606"/>
    <w:rsid w:val="00F105F5"/>
    <w:rsid w:val="00F1075A"/>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D127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Default">
    <w:name w:val="Default"/>
    <w:rsid w:val="007E2F7F"/>
    <w:pPr>
      <w:autoSpaceDE w:val="0"/>
      <w:autoSpaceDN w:val="0"/>
      <w:adjustRightInd w:val="0"/>
      <w:spacing w:before="0" w:after="0"/>
    </w:pPr>
    <w:rPr>
      <w:rFonts w:ascii="Arial" w:hAnsi="Arial" w:cs="Arial"/>
      <w:color w:val="000000"/>
    </w:rPr>
  </w:style>
  <w:style w:type="paragraph" w:customStyle="1" w:styleId="Pa0">
    <w:name w:val="Pa0"/>
    <w:basedOn w:val="Default"/>
    <w:next w:val="Default"/>
    <w:uiPriority w:val="99"/>
    <w:rsid w:val="007E2F7F"/>
    <w:pPr>
      <w:spacing w:line="241" w:lineRule="atLeast"/>
    </w:pPr>
    <w:rPr>
      <w:color w:val="auto"/>
    </w:rPr>
  </w:style>
  <w:style w:type="character" w:customStyle="1" w:styleId="A4">
    <w:name w:val="A4"/>
    <w:uiPriority w:val="99"/>
    <w:rsid w:val="007E2F7F"/>
    <w:rPr>
      <w:color w:val="000000"/>
      <w:sz w:val="20"/>
      <w:szCs w:val="20"/>
    </w:rPr>
  </w:style>
  <w:style w:type="character" w:customStyle="1" w:styleId="A1">
    <w:name w:val="A1"/>
    <w:uiPriority w:val="99"/>
    <w:rsid w:val="007E2F7F"/>
    <w:rPr>
      <w:i/>
      <w:iCs/>
      <w:color w:val="000000"/>
      <w:sz w:val="16"/>
      <w:szCs w:val="16"/>
    </w:rPr>
  </w:style>
  <w:style w:type="character" w:customStyle="1" w:styleId="A8">
    <w:name w:val="A8"/>
    <w:uiPriority w:val="99"/>
    <w:rsid w:val="007E2F7F"/>
    <w:rPr>
      <w:i/>
      <w:iCs/>
      <w:color w:val="000000"/>
      <w:sz w:val="16"/>
      <w:szCs w:val="1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Default">
    <w:name w:val="Default"/>
    <w:rsid w:val="007E2F7F"/>
    <w:pPr>
      <w:autoSpaceDE w:val="0"/>
      <w:autoSpaceDN w:val="0"/>
      <w:adjustRightInd w:val="0"/>
      <w:spacing w:before="0" w:after="0"/>
    </w:pPr>
    <w:rPr>
      <w:rFonts w:ascii="Arial" w:hAnsi="Arial" w:cs="Arial"/>
      <w:color w:val="000000"/>
    </w:rPr>
  </w:style>
  <w:style w:type="paragraph" w:customStyle="1" w:styleId="Pa0">
    <w:name w:val="Pa0"/>
    <w:basedOn w:val="Default"/>
    <w:next w:val="Default"/>
    <w:uiPriority w:val="99"/>
    <w:rsid w:val="007E2F7F"/>
    <w:pPr>
      <w:spacing w:line="241" w:lineRule="atLeast"/>
    </w:pPr>
    <w:rPr>
      <w:color w:val="auto"/>
    </w:rPr>
  </w:style>
  <w:style w:type="character" w:customStyle="1" w:styleId="A4">
    <w:name w:val="A4"/>
    <w:uiPriority w:val="99"/>
    <w:rsid w:val="007E2F7F"/>
    <w:rPr>
      <w:color w:val="000000"/>
      <w:sz w:val="20"/>
      <w:szCs w:val="20"/>
    </w:rPr>
  </w:style>
  <w:style w:type="character" w:customStyle="1" w:styleId="A1">
    <w:name w:val="A1"/>
    <w:uiPriority w:val="99"/>
    <w:rsid w:val="007E2F7F"/>
    <w:rPr>
      <w:i/>
      <w:iCs/>
      <w:color w:val="000000"/>
      <w:sz w:val="16"/>
      <w:szCs w:val="16"/>
    </w:rPr>
  </w:style>
  <w:style w:type="character" w:customStyle="1" w:styleId="A8">
    <w:name w:val="A8"/>
    <w:uiPriority w:val="99"/>
    <w:rsid w:val="007E2F7F"/>
    <w:rPr>
      <w:i/>
      <w:iCs/>
      <w:color w:val="000000"/>
      <w:sz w:val="16"/>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8C315-83C3-468C-BD3E-22E37C7AB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D0FAF9F5</Template>
  <TotalTime>0</TotalTime>
  <Pages>2</Pages>
  <Words>930</Words>
  <Characters>4932</Characters>
  <Application>Microsoft Office Word</Application>
  <DocSecurity>0</DocSecurity>
  <Lines>41</Lines>
  <Paragraphs>11</Paragraphs>
  <ScaleCrop>false</ScaleCrop>
  <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2015-10-19T02:44:00Z</dcterms:created>
  <dcterms:modified xsi:type="dcterms:W3CDTF">2015-10-21T03:22:00Z</dcterms:modified>
</cp:coreProperties>
</file>