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egoe UI" w:hAnsi="Segoe UI" w:cs="Segoe UI"/>
          <w:b/>
          <w:bCs/>
          <w:color w:val="03B2C4"/>
          <w:sz w:val="36"/>
          <w:szCs w:val="36"/>
        </w:rPr>
        <w:id w:val="1124276035"/>
        <w:docPartObj>
          <w:docPartGallery w:val="Cover Pages"/>
          <w:docPartUnique/>
        </w:docPartObj>
      </w:sdtPr>
      <w:sdtEndPr>
        <w:rPr>
          <w:rFonts w:ascii="Calibri" w:hAnsi="Calibri" w:cs="Calibri"/>
          <w:b w:val="0"/>
          <w:bCs w:val="0"/>
          <w:color w:val="auto"/>
          <w:sz w:val="21"/>
          <w:szCs w:val="21"/>
        </w:rPr>
      </w:sdtEndPr>
      <w:sdtContent>
        <w:tbl>
          <w:tblPr>
            <w:tblStyle w:val="TableDefault"/>
            <w:tblW w:w="6859" w:type="dxa"/>
            <w:tblBorders>
              <w:top w:val="none" w:sz="0" w:space="0" w:color="auto"/>
              <w:bottom w:val="none" w:sz="0" w:space="0" w:color="auto"/>
              <w:insideH w:val="none" w:sz="0" w:space="0" w:color="auto"/>
            </w:tblBorders>
            <w:tblCellMar>
              <w:top w:w="113" w:type="dxa"/>
              <w:bottom w:w="113" w:type="dxa"/>
            </w:tblCellMar>
            <w:tblLook w:val="0600" w:firstRow="0" w:lastRow="0" w:firstColumn="0" w:lastColumn="0" w:noHBand="1" w:noVBand="1"/>
          </w:tblPr>
          <w:tblGrid>
            <w:gridCol w:w="1474"/>
            <w:gridCol w:w="850"/>
            <w:gridCol w:w="4535"/>
          </w:tblGrid>
          <w:tr w:rsidR="00A4666D" w14:paraId="7AC8FA7B" w14:textId="77777777" w:rsidTr="00F60163">
            <w:tc>
              <w:tcPr>
                <w:tcW w:w="1474" w:type="dxa"/>
              </w:tcPr>
              <w:p w14:paraId="3E32E2B8" w14:textId="4A872936" w:rsidR="00A4666D" w:rsidRPr="00276B51" w:rsidRDefault="00A4666D" w:rsidP="00A4666D">
                <w:pPr>
                  <w:rPr>
                    <w:b/>
                    <w:bCs/>
                    <w:color w:val="03B2C4"/>
                    <w:sz w:val="72"/>
                    <w:szCs w:val="96"/>
                  </w:rPr>
                </w:pPr>
                <w:r w:rsidRPr="00107AA8">
                  <w:rPr>
                    <w:rStyle w:val="Sectionsub-headingChar"/>
                  </w:rPr>
                  <w:t>At a glance</w:t>
                </w:r>
              </w:p>
            </w:tc>
            <w:tc>
              <w:tcPr>
                <w:tcW w:w="850" w:type="dxa"/>
                <w:shd w:val="clear" w:color="auto" w:fill="F2F2F2" w:themeFill="background1" w:themeFillShade="F2"/>
              </w:tcPr>
              <w:p w14:paraId="1C8BFFB0" w14:textId="3A295675" w:rsidR="00A4666D" w:rsidRPr="00276B51" w:rsidRDefault="00A4666D" w:rsidP="00A4666D">
                <w:pPr>
                  <w:rPr>
                    <w:rFonts w:ascii="Calibri" w:hAnsi="Calibri" w:cs="Calibri"/>
                    <w:sz w:val="21"/>
                    <w:szCs w:val="21"/>
                  </w:rPr>
                </w:pPr>
                <w:r w:rsidRPr="00276B51">
                  <w:rPr>
                    <w:b/>
                    <w:bCs/>
                    <w:color w:val="03B2C4"/>
                    <w:sz w:val="72"/>
                    <w:szCs w:val="96"/>
                  </w:rPr>
                  <w:t>1</w:t>
                </w:r>
              </w:p>
            </w:tc>
            <w:tc>
              <w:tcPr>
                <w:tcW w:w="4535" w:type="dxa"/>
                <w:shd w:val="clear" w:color="auto" w:fill="F2F2F2" w:themeFill="background1" w:themeFillShade="F2"/>
                <w:vAlign w:val="center"/>
              </w:tcPr>
              <w:p w14:paraId="4130736D" w14:textId="4504B5CE" w:rsidR="00A4666D" w:rsidRDefault="00CF4BBF" w:rsidP="00F60163">
                <w:pPr>
                  <w:spacing w:after="0"/>
                </w:pPr>
                <w:r w:rsidRPr="00CF4BBF">
                  <w:t xml:space="preserve">This document provides additional context around the information requested in the </w:t>
                </w:r>
                <w:proofErr w:type="spellStart"/>
                <w:r>
                  <w:t>RfI</w:t>
                </w:r>
                <w:proofErr w:type="spellEnd"/>
                <w:r>
                  <w:t xml:space="preserve"> Response Template B</w:t>
                </w:r>
                <w:r w:rsidR="00D33353">
                  <w:t>.</w:t>
                </w:r>
              </w:p>
            </w:tc>
          </w:tr>
        </w:tbl>
        <w:p w14:paraId="7351229F" w14:textId="6B72469D" w:rsidR="00107AA8" w:rsidRDefault="00107AA8">
          <w:pPr>
            <w:spacing w:after="160" w:line="259" w:lineRule="auto"/>
            <w:sectPr w:rsidR="00107AA8" w:rsidSect="00107AA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871" w:right="936" w:bottom="1077" w:left="3402" w:header="567" w:footer="493" w:gutter="0"/>
              <w:pgNumType w:start="0"/>
              <w:cols w:space="708"/>
              <w:titlePg/>
              <w:docGrid w:linePitch="360"/>
            </w:sectPr>
          </w:pPr>
        </w:p>
        <w:p w14:paraId="5F117B83" w14:textId="0562955D" w:rsidR="00911155" w:rsidRPr="00B442D7" w:rsidRDefault="0028011B" w:rsidP="00911155">
          <w:pPr>
            <w:pStyle w:val="Title1"/>
            <w:ind w:left="0"/>
            <w:rPr>
              <w:rFonts w:ascii="Calibri" w:hAnsi="Calibri" w:cs="Calibri"/>
              <w:lang w:val="en-GB"/>
            </w:rPr>
          </w:pPr>
          <w:r w:rsidRPr="00B442D7">
            <w:rPr>
              <w:rFonts w:ascii="Calibri" w:hAnsi="Calibri" w:cs="Calibri"/>
              <w:lang w:val="en-GB"/>
            </w:rPr>
            <w:lastRenderedPageBreak/>
            <w:t>CONFIDENCE GRADES</w:t>
          </w:r>
        </w:p>
        <w:p w14:paraId="3CBC3525" w14:textId="77777777" w:rsidR="00911155" w:rsidRPr="00B442D7" w:rsidRDefault="00911155" w:rsidP="00911155">
          <w:pPr>
            <w:pStyle w:val="Bodynumbercopy"/>
            <w:spacing w:line="240" w:lineRule="auto"/>
          </w:pPr>
          <w:r w:rsidRPr="00B442D7">
            <w:t xml:space="preserve">This </w:t>
          </w:r>
          <w:proofErr w:type="spellStart"/>
          <w:r w:rsidRPr="00B442D7">
            <w:t>RfI</w:t>
          </w:r>
          <w:proofErr w:type="spellEnd"/>
          <w:r w:rsidRPr="00B442D7">
            <w:t xml:space="preserve"> includes a confidence grading system which requires each Local Authority to apply a level of confidence to each request. </w:t>
          </w:r>
        </w:p>
        <w:p w14:paraId="1B4F9D24" w14:textId="33006F15" w:rsidR="00911155" w:rsidRPr="00206735" w:rsidRDefault="00911155" w:rsidP="00911155">
          <w:pPr>
            <w:pStyle w:val="Bodynumbercopy"/>
            <w:spacing w:line="240" w:lineRule="auto"/>
          </w:pPr>
          <w:r w:rsidRPr="00206735">
            <w:t xml:space="preserve">The confidence grade system has been developed to provide a reasoned basis for </w:t>
          </w:r>
          <w:r w:rsidR="00206735">
            <w:t>Local Authorities</w:t>
          </w:r>
          <w:r w:rsidRPr="00206735">
            <w:t xml:space="preserve"> to qualify information in respect to reliability and accuracy. It is essential that proper care and a high level of application is given to the assignment of confidence grades to data requiring such annexation. </w:t>
          </w:r>
        </w:p>
        <w:p w14:paraId="7F4ACCBE" w14:textId="77777777" w:rsidR="00911155" w:rsidRPr="00B442D7" w:rsidRDefault="00911155" w:rsidP="00911155">
          <w:pPr>
            <w:pStyle w:val="Bodynumbercopy"/>
            <w:spacing w:line="240" w:lineRule="auto"/>
          </w:pPr>
          <w:r w:rsidRPr="00B442D7">
            <w:t>There are two elements to the confidence grades:</w:t>
          </w:r>
        </w:p>
        <w:p w14:paraId="739D8244" w14:textId="77777777" w:rsidR="00911155" w:rsidRPr="00B442D7" w:rsidRDefault="00911155" w:rsidP="00911155">
          <w:pPr>
            <w:pStyle w:val="Bodynumbercopy"/>
            <w:numPr>
              <w:ilvl w:val="0"/>
              <w:numId w:val="52"/>
            </w:numPr>
            <w:spacing w:line="240" w:lineRule="auto"/>
          </w:pPr>
          <w:r w:rsidRPr="00B442D7">
            <w:t>Reliability bands (A to D); and</w:t>
          </w:r>
        </w:p>
        <w:p w14:paraId="7C9B649C" w14:textId="77777777" w:rsidR="00911155" w:rsidRPr="00B442D7" w:rsidRDefault="00911155" w:rsidP="00911155">
          <w:pPr>
            <w:pStyle w:val="Bodynumbercopy"/>
            <w:numPr>
              <w:ilvl w:val="0"/>
              <w:numId w:val="52"/>
            </w:numPr>
            <w:spacing w:line="240" w:lineRule="auto"/>
          </w:pPr>
          <w:r w:rsidRPr="00B442D7">
            <w:t>Accuracy bands (1 to 6).</w:t>
          </w:r>
        </w:p>
        <w:p w14:paraId="706FA2E4" w14:textId="77777777" w:rsidR="00911155" w:rsidRPr="00B442D7" w:rsidRDefault="00911155" w:rsidP="00911155">
          <w:pPr>
            <w:pStyle w:val="Bodynumbercopy"/>
            <w:spacing w:line="240" w:lineRule="auto"/>
          </w:pPr>
          <w:r w:rsidRPr="00B442D7">
            <w:t>The reliability bands are assigned according to the source of the information.</w:t>
          </w:r>
        </w:p>
        <w:tbl>
          <w:tblPr>
            <w:tblStyle w:val="TableGrid1"/>
            <w:tblW w:w="7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44"/>
          </w:tblGrid>
          <w:tr w:rsidR="00911155" w:rsidRPr="00B442D7" w14:paraId="3908DD13" w14:textId="77777777" w:rsidTr="004C0500">
            <w:trPr>
              <w:trHeight w:val="203"/>
              <w:tblHeader/>
            </w:trPr>
            <w:tc>
              <w:tcPr>
                <w:tcW w:w="1555"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05C8E62A" w14:textId="77777777" w:rsidR="00911155" w:rsidRPr="00E74F3B" w:rsidRDefault="00911155" w:rsidP="004C0500">
                <w:pP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Reliability Band</w:t>
                </w:r>
              </w:p>
            </w:tc>
            <w:tc>
              <w:tcPr>
                <w:tcW w:w="6144"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07328AF0" w14:textId="77777777" w:rsidR="00911155" w:rsidRPr="00E74F3B" w:rsidRDefault="00911155" w:rsidP="004C0500">
                <w:pPr>
                  <w:jc w:val="cente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Description</w:t>
                </w:r>
              </w:p>
            </w:tc>
          </w:tr>
          <w:tr w:rsidR="00911155" w:rsidRPr="00B442D7" w14:paraId="4DA4A753" w14:textId="77777777" w:rsidTr="004C0500">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2415EB1C" w14:textId="77777777" w:rsidR="00911155" w:rsidRPr="00E74F3B" w:rsidRDefault="00911155" w:rsidP="004C0500">
                <w:pPr>
                  <w:rPr>
                    <w:rFonts w:ascii="Calibri" w:hAnsi="Calibri" w:cs="Calibri"/>
                    <w:sz w:val="21"/>
                    <w:szCs w:val="21"/>
                  </w:rPr>
                </w:pPr>
                <w:r w:rsidRPr="00E74F3B">
                  <w:rPr>
                    <w:rFonts w:ascii="Calibri" w:hAnsi="Calibri" w:cs="Calibri"/>
                    <w:sz w:val="21"/>
                    <w:szCs w:val="21"/>
                  </w:rPr>
                  <w:t>A</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77E95667" w14:textId="77777777" w:rsidR="00911155" w:rsidRPr="00E74F3B" w:rsidRDefault="00911155" w:rsidP="004C0500">
                <w:pPr>
                  <w:rPr>
                    <w:rFonts w:ascii="Calibri" w:hAnsi="Calibri" w:cs="Calibri"/>
                    <w:sz w:val="21"/>
                    <w:szCs w:val="21"/>
                  </w:rPr>
                </w:pPr>
                <w:r w:rsidRPr="00E74F3B">
                  <w:rPr>
                    <w:rFonts w:ascii="Calibri" w:hAnsi="Calibri" w:cs="Calibri"/>
                    <w:color w:val="000000"/>
                    <w:sz w:val="21"/>
                    <w:szCs w:val="21"/>
                  </w:rPr>
                  <w:t>Sound textual records, procedures, investigations or analysis properly documented and recognised as the best method of assessment.</w:t>
                </w:r>
              </w:p>
            </w:tc>
          </w:tr>
          <w:tr w:rsidR="00911155" w:rsidRPr="00B442D7" w14:paraId="6951F090" w14:textId="77777777" w:rsidTr="004C0500">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40B4095F" w14:textId="77777777" w:rsidR="00911155" w:rsidRPr="00E74F3B" w:rsidRDefault="00911155" w:rsidP="004C0500">
                <w:pPr>
                  <w:rPr>
                    <w:rFonts w:ascii="Calibri" w:hAnsi="Calibri" w:cs="Calibri"/>
                    <w:sz w:val="21"/>
                    <w:szCs w:val="21"/>
                  </w:rPr>
                </w:pPr>
                <w:r w:rsidRPr="00E74F3B">
                  <w:rPr>
                    <w:rFonts w:ascii="Calibri" w:hAnsi="Calibri" w:cs="Calibri"/>
                    <w:sz w:val="21"/>
                    <w:szCs w:val="21"/>
                  </w:rPr>
                  <w:t>B</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55D862C5" w14:textId="77777777" w:rsidR="00911155" w:rsidRPr="00E74F3B" w:rsidRDefault="00911155" w:rsidP="004C0500">
                <w:pPr>
                  <w:rPr>
                    <w:rFonts w:ascii="Calibri" w:hAnsi="Calibri" w:cs="Calibri"/>
                    <w:sz w:val="21"/>
                    <w:szCs w:val="21"/>
                  </w:rPr>
                </w:pPr>
                <w:r w:rsidRPr="00E74F3B">
                  <w:rPr>
                    <w:rFonts w:ascii="Calibri" w:hAnsi="Calibri" w:cs="Calibri"/>
                    <w:color w:val="000000"/>
                    <w:sz w:val="21"/>
                    <w:szCs w:val="21"/>
                  </w:rPr>
                  <w:t>As A but with minor shortcomings. Examples include old assessment, some missing documentation, some reliance on unconfirmed reports, some use of extrapolation.</w:t>
                </w:r>
              </w:p>
            </w:tc>
          </w:tr>
          <w:tr w:rsidR="00911155" w:rsidRPr="00B442D7" w14:paraId="5B2B62B4" w14:textId="77777777" w:rsidTr="004C0500">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0786ABB8" w14:textId="77777777" w:rsidR="00911155" w:rsidRPr="00E74F3B" w:rsidRDefault="00911155" w:rsidP="004C0500">
                <w:pPr>
                  <w:rPr>
                    <w:rFonts w:ascii="Calibri" w:hAnsi="Calibri" w:cs="Calibri"/>
                    <w:sz w:val="21"/>
                    <w:szCs w:val="21"/>
                  </w:rPr>
                </w:pPr>
                <w:r w:rsidRPr="00E74F3B">
                  <w:rPr>
                    <w:rFonts w:ascii="Calibri" w:hAnsi="Calibri" w:cs="Calibri"/>
                    <w:sz w:val="21"/>
                    <w:szCs w:val="21"/>
                  </w:rPr>
                  <w:t>C</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5476586E" w14:textId="77777777" w:rsidR="00911155" w:rsidRPr="00E74F3B" w:rsidRDefault="00911155" w:rsidP="004C0500">
                <w:pPr>
                  <w:rPr>
                    <w:rFonts w:ascii="Calibri" w:hAnsi="Calibri" w:cs="Calibri"/>
                    <w:sz w:val="21"/>
                    <w:szCs w:val="21"/>
                  </w:rPr>
                </w:pPr>
                <w:r w:rsidRPr="00E74F3B">
                  <w:rPr>
                    <w:rFonts w:ascii="Calibri" w:hAnsi="Calibri" w:cs="Calibri"/>
                    <w:color w:val="000000"/>
                    <w:sz w:val="21"/>
                    <w:szCs w:val="21"/>
                  </w:rPr>
                  <w:t>Extrapolation from limited sample for which Grade A or B data is available.</w:t>
                </w:r>
              </w:p>
            </w:tc>
          </w:tr>
          <w:tr w:rsidR="00911155" w:rsidRPr="00B442D7" w14:paraId="46F0512D" w14:textId="77777777" w:rsidTr="004C0500">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2A767F10" w14:textId="77777777" w:rsidR="00911155" w:rsidRPr="00E74F3B" w:rsidRDefault="00911155" w:rsidP="004C0500">
                <w:pPr>
                  <w:rPr>
                    <w:rFonts w:ascii="Calibri" w:hAnsi="Calibri" w:cs="Calibri"/>
                    <w:sz w:val="21"/>
                    <w:szCs w:val="21"/>
                  </w:rPr>
                </w:pPr>
                <w:r w:rsidRPr="00E74F3B">
                  <w:rPr>
                    <w:rFonts w:ascii="Calibri" w:hAnsi="Calibri" w:cs="Calibri"/>
                    <w:sz w:val="21"/>
                    <w:szCs w:val="21"/>
                  </w:rPr>
                  <w:t>D</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1EF56354" w14:textId="77777777" w:rsidR="00911155" w:rsidRPr="00E74F3B" w:rsidRDefault="00911155" w:rsidP="004C0500">
                <w:pPr>
                  <w:rPr>
                    <w:rFonts w:ascii="Calibri" w:hAnsi="Calibri" w:cs="Calibri"/>
                    <w:sz w:val="21"/>
                    <w:szCs w:val="21"/>
                  </w:rPr>
                </w:pPr>
                <w:r w:rsidRPr="00E74F3B">
                  <w:rPr>
                    <w:rFonts w:ascii="Calibri" w:hAnsi="Calibri" w:cs="Calibri"/>
                    <w:color w:val="000000"/>
                    <w:sz w:val="21"/>
                    <w:szCs w:val="21"/>
                  </w:rPr>
                  <w:t>Unconfirmed verbal reports, cursory inspections or analysis.</w:t>
                </w:r>
              </w:p>
            </w:tc>
          </w:tr>
        </w:tbl>
        <w:p w14:paraId="0C670604" w14:textId="77777777" w:rsidR="00911155" w:rsidRPr="00B442D7" w:rsidRDefault="00911155" w:rsidP="00911155">
          <w:pPr>
            <w:rPr>
              <w:rFonts w:ascii="Calibri" w:hAnsi="Calibri" w:cs="Calibri"/>
            </w:rPr>
          </w:pPr>
        </w:p>
        <w:p w14:paraId="675E72AF" w14:textId="77777777" w:rsidR="00911155" w:rsidRPr="00B442D7" w:rsidRDefault="00911155" w:rsidP="00911155">
          <w:pPr>
            <w:pStyle w:val="Bodynumbercopy"/>
            <w:spacing w:line="240" w:lineRule="auto"/>
            <w:rPr>
              <w:rFonts w:eastAsia="Calibri"/>
              <w:lang w:val="en-GB"/>
            </w:rPr>
          </w:pPr>
          <w:r w:rsidRPr="00B442D7">
            <w:rPr>
              <w:rFonts w:eastAsia="Calibri"/>
              <w:lang w:val="en-GB"/>
            </w:rPr>
            <w:t xml:space="preserve">Accuracy bands provide the margin of error around the central estimate. </w:t>
          </w:r>
        </w:p>
        <w:tbl>
          <w:tblPr>
            <w:tblW w:w="7730" w:type="dxa"/>
            <w:tblInd w:w="8" w:type="dxa"/>
            <w:tblBorders>
              <w:top w:val="single" w:sz="4" w:space="0" w:color="307D99"/>
              <w:left w:val="single" w:sz="4" w:space="0" w:color="307D99"/>
              <w:bottom w:val="single" w:sz="4" w:space="0" w:color="307D99"/>
              <w:right w:val="single" w:sz="4" w:space="0" w:color="307D99"/>
              <w:insideH w:val="single" w:sz="4" w:space="0" w:color="307D99"/>
              <w:insideV w:val="single" w:sz="4" w:space="0" w:color="307D99"/>
            </w:tblBorders>
            <w:tblLayout w:type="fixed"/>
            <w:tblCellMar>
              <w:left w:w="0" w:type="dxa"/>
              <w:right w:w="0" w:type="dxa"/>
            </w:tblCellMar>
            <w:tblLook w:val="0000" w:firstRow="0" w:lastRow="0" w:firstColumn="0" w:lastColumn="0" w:noHBand="0" w:noVBand="0"/>
          </w:tblPr>
          <w:tblGrid>
            <w:gridCol w:w="1129"/>
            <w:gridCol w:w="3173"/>
            <w:gridCol w:w="3428"/>
          </w:tblGrid>
          <w:tr w:rsidR="00911155" w:rsidRPr="00B442D7" w14:paraId="538FE26A" w14:textId="77777777" w:rsidTr="004C0500">
            <w:trPr>
              <w:cantSplit/>
              <w:trHeight w:val="818"/>
            </w:trPr>
            <w:tc>
              <w:tcPr>
                <w:tcW w:w="1129" w:type="dxa"/>
                <w:shd w:val="clear" w:color="auto" w:fill="12B2C2"/>
                <w:vAlign w:val="center"/>
              </w:tcPr>
              <w:p w14:paraId="2D629C5C" w14:textId="77777777" w:rsidR="00911155" w:rsidRPr="00B442D7" w:rsidRDefault="00911155" w:rsidP="004C0500">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Band</w:t>
                </w:r>
              </w:p>
            </w:tc>
            <w:tc>
              <w:tcPr>
                <w:tcW w:w="3173" w:type="dxa"/>
                <w:shd w:val="clear" w:color="auto" w:fill="12B2C2"/>
                <w:vAlign w:val="center"/>
              </w:tcPr>
              <w:p w14:paraId="3B1547C5" w14:textId="77777777" w:rsidR="00911155" w:rsidRPr="00B442D7" w:rsidRDefault="00911155" w:rsidP="004C0500">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to or within +/-</w:t>
                </w:r>
              </w:p>
            </w:tc>
            <w:tc>
              <w:tcPr>
                <w:tcW w:w="3427" w:type="dxa"/>
                <w:shd w:val="clear" w:color="auto" w:fill="12B2C2"/>
                <w:vAlign w:val="center"/>
              </w:tcPr>
              <w:p w14:paraId="3A6F1BF2" w14:textId="77777777" w:rsidR="00911155" w:rsidRPr="00B442D7" w:rsidRDefault="00911155" w:rsidP="004C0500">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but outside +/-</w:t>
                </w:r>
              </w:p>
            </w:tc>
          </w:tr>
          <w:tr w:rsidR="00911155" w:rsidRPr="00B442D7" w14:paraId="3F022658" w14:textId="77777777" w:rsidTr="004C0500">
            <w:trPr>
              <w:cantSplit/>
              <w:trHeight w:val="548"/>
            </w:trPr>
            <w:tc>
              <w:tcPr>
                <w:tcW w:w="1129" w:type="dxa"/>
                <w:vAlign w:val="center"/>
              </w:tcPr>
              <w:p w14:paraId="51EDCBA2"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173" w:type="dxa"/>
                <w:vAlign w:val="center"/>
              </w:tcPr>
              <w:p w14:paraId="2AA9D880"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427" w:type="dxa"/>
                <w:vAlign w:val="center"/>
              </w:tcPr>
              <w:p w14:paraId="50E36763"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w:t>
                </w:r>
              </w:p>
            </w:tc>
          </w:tr>
          <w:tr w:rsidR="00911155" w:rsidRPr="00B442D7" w14:paraId="7756A1B3" w14:textId="77777777" w:rsidTr="004C0500">
            <w:trPr>
              <w:cantSplit/>
              <w:trHeight w:val="535"/>
            </w:trPr>
            <w:tc>
              <w:tcPr>
                <w:tcW w:w="1129" w:type="dxa"/>
                <w:vAlign w:val="center"/>
              </w:tcPr>
              <w:p w14:paraId="5085CE97"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2</w:t>
                </w:r>
              </w:p>
            </w:tc>
            <w:tc>
              <w:tcPr>
                <w:tcW w:w="3173" w:type="dxa"/>
                <w:vAlign w:val="center"/>
              </w:tcPr>
              <w:p w14:paraId="385361C7"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427" w:type="dxa"/>
                <w:vAlign w:val="center"/>
              </w:tcPr>
              <w:p w14:paraId="71DAF0D9"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r>
          <w:tr w:rsidR="00911155" w:rsidRPr="00B442D7" w14:paraId="320E66F0" w14:textId="77777777" w:rsidTr="004C0500">
            <w:trPr>
              <w:cantSplit/>
              <w:trHeight w:val="548"/>
            </w:trPr>
            <w:tc>
              <w:tcPr>
                <w:tcW w:w="1129" w:type="dxa"/>
                <w:vAlign w:val="center"/>
              </w:tcPr>
              <w:p w14:paraId="51864D62"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3</w:t>
                </w:r>
              </w:p>
            </w:tc>
            <w:tc>
              <w:tcPr>
                <w:tcW w:w="3173" w:type="dxa"/>
                <w:vAlign w:val="center"/>
              </w:tcPr>
              <w:p w14:paraId="28537E19"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c>
              <w:tcPr>
                <w:tcW w:w="3427" w:type="dxa"/>
                <w:vAlign w:val="center"/>
              </w:tcPr>
              <w:p w14:paraId="2619423A"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r>
          <w:tr w:rsidR="00911155" w:rsidRPr="00B442D7" w14:paraId="63FAEC31" w14:textId="77777777" w:rsidTr="004C0500">
            <w:trPr>
              <w:cantSplit/>
              <w:trHeight w:val="535"/>
            </w:trPr>
            <w:tc>
              <w:tcPr>
                <w:tcW w:w="1129" w:type="dxa"/>
                <w:vAlign w:val="center"/>
              </w:tcPr>
              <w:p w14:paraId="6D8FE40B"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4</w:t>
                </w:r>
              </w:p>
            </w:tc>
            <w:tc>
              <w:tcPr>
                <w:tcW w:w="3173" w:type="dxa"/>
                <w:vAlign w:val="center"/>
              </w:tcPr>
              <w:p w14:paraId="442C788D"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c>
              <w:tcPr>
                <w:tcW w:w="3427" w:type="dxa"/>
                <w:vAlign w:val="center"/>
              </w:tcPr>
              <w:p w14:paraId="79198B1E"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r>
          <w:tr w:rsidR="00911155" w:rsidRPr="00B442D7" w14:paraId="4C9126BC" w14:textId="77777777" w:rsidTr="004C0500">
            <w:trPr>
              <w:cantSplit/>
              <w:trHeight w:val="535"/>
            </w:trPr>
            <w:tc>
              <w:tcPr>
                <w:tcW w:w="1129" w:type="dxa"/>
                <w:vAlign w:val="center"/>
              </w:tcPr>
              <w:p w14:paraId="2C43FC07"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173" w:type="dxa"/>
                <w:vAlign w:val="center"/>
              </w:tcPr>
              <w:p w14:paraId="4728656B"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c>
              <w:tcPr>
                <w:tcW w:w="3427" w:type="dxa"/>
                <w:vAlign w:val="center"/>
              </w:tcPr>
              <w:p w14:paraId="73C7A1A5"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r>
          <w:tr w:rsidR="00911155" w:rsidRPr="00B442D7" w14:paraId="539FB8D6" w14:textId="77777777" w:rsidTr="004C0500">
            <w:trPr>
              <w:cantSplit/>
              <w:trHeight w:val="535"/>
            </w:trPr>
            <w:tc>
              <w:tcPr>
                <w:tcW w:w="1129" w:type="dxa"/>
                <w:vAlign w:val="center"/>
              </w:tcPr>
              <w:p w14:paraId="7787D46F"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6</w:t>
                </w:r>
              </w:p>
            </w:tc>
            <w:tc>
              <w:tcPr>
                <w:tcW w:w="3173" w:type="dxa"/>
                <w:vAlign w:val="center"/>
              </w:tcPr>
              <w:p w14:paraId="30ED93DF"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100%</w:t>
                </w:r>
              </w:p>
            </w:tc>
            <w:tc>
              <w:tcPr>
                <w:tcW w:w="3427" w:type="dxa"/>
                <w:vAlign w:val="center"/>
              </w:tcPr>
              <w:p w14:paraId="254E9B12"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r>
          <w:tr w:rsidR="00911155" w:rsidRPr="00B442D7" w14:paraId="4836DF05" w14:textId="77777777" w:rsidTr="004C0500">
            <w:trPr>
              <w:cantSplit/>
              <w:trHeight w:val="832"/>
            </w:trPr>
            <w:tc>
              <w:tcPr>
                <w:tcW w:w="1129" w:type="dxa"/>
                <w:vAlign w:val="center"/>
              </w:tcPr>
              <w:p w14:paraId="3182C588"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X</w:t>
                </w:r>
              </w:p>
            </w:tc>
            <w:tc>
              <w:tcPr>
                <w:tcW w:w="6601" w:type="dxa"/>
                <w:gridSpan w:val="2"/>
                <w:vAlign w:val="center"/>
              </w:tcPr>
              <w:p w14:paraId="00E0B971" w14:textId="77777777" w:rsidR="00911155" w:rsidRPr="00E74F3B" w:rsidRDefault="00911155" w:rsidP="004C0500">
                <w:pPr>
                  <w:jc w:val="center"/>
                  <w:rPr>
                    <w:rFonts w:ascii="Calibri" w:hAnsi="Calibri" w:cs="Calibri"/>
                    <w:color w:val="000000"/>
                    <w:sz w:val="21"/>
                    <w:szCs w:val="21"/>
                    <w:lang w:val="en-GB"/>
                  </w:rPr>
                </w:pPr>
                <w:r w:rsidRPr="00E74F3B">
                  <w:rPr>
                    <w:rFonts w:ascii="Calibri" w:hAnsi="Calibri" w:cs="Calibri"/>
                    <w:color w:val="000000"/>
                    <w:sz w:val="21"/>
                    <w:szCs w:val="21"/>
                    <w:lang w:val="en-GB"/>
                  </w:rPr>
                  <w:t>Accuracy outside +/- 100 %, zero or small numbers or otherwise incompatible, see example below.</w:t>
                </w:r>
              </w:p>
            </w:tc>
          </w:tr>
        </w:tbl>
        <w:p w14:paraId="7C169AC8" w14:textId="77777777" w:rsidR="00911155" w:rsidRPr="00E74F3B" w:rsidRDefault="00911155" w:rsidP="00911155">
          <w:pPr>
            <w:pStyle w:val="Bodynumbercopy"/>
            <w:spacing w:line="240" w:lineRule="auto"/>
            <w:rPr>
              <w:rFonts w:eastAsia="Calibri"/>
              <w:lang w:val="en-GB"/>
            </w:rPr>
          </w:pPr>
          <w:r w:rsidRPr="0042216E">
            <w:rPr>
              <w:rFonts w:eastAsia="Calibri"/>
              <w:lang w:val="en-GB"/>
            </w:rPr>
            <w:lastRenderedPageBreak/>
            <w:t>The X grade is generally only likely to be appropriate where a zero has been entered.</w:t>
          </w:r>
        </w:p>
        <w:p w14:paraId="0A3CD967" w14:textId="77777777" w:rsidR="00911155" w:rsidRPr="00B442D7" w:rsidRDefault="00911155" w:rsidP="00911155">
          <w:pPr>
            <w:pStyle w:val="Bodynumbercopy"/>
            <w:spacing w:line="240" w:lineRule="auto"/>
            <w:rPr>
              <w:rFonts w:eastAsia="Calibri"/>
              <w:lang w:val="en-GB"/>
            </w:rPr>
          </w:pPr>
          <w:r w:rsidRPr="00B442D7">
            <w:rPr>
              <w:rFonts w:eastAsia="Calibri"/>
              <w:lang w:val="en-GB"/>
            </w:rPr>
            <w:t>The overall confidence grade is a combination of the reliability and accuracy band. For example:</w:t>
          </w:r>
        </w:p>
        <w:p w14:paraId="5B6D09E0" w14:textId="77777777" w:rsidR="00911155" w:rsidRPr="00B442D7" w:rsidRDefault="00911155" w:rsidP="00911155">
          <w:pPr>
            <w:pStyle w:val="Bodynumbercopy"/>
            <w:numPr>
              <w:ilvl w:val="0"/>
              <w:numId w:val="53"/>
            </w:numPr>
            <w:spacing w:line="240" w:lineRule="auto"/>
          </w:pPr>
          <w:r w:rsidRPr="00B442D7">
            <w:t>A2: Data based on sound records etc. (A, highly reliable) and estimated to be within +/- 5% (accuracy band 2);</w:t>
          </w:r>
        </w:p>
        <w:p w14:paraId="0120BED4" w14:textId="77777777" w:rsidR="00911155" w:rsidRPr="00B442D7" w:rsidRDefault="00911155" w:rsidP="00911155">
          <w:pPr>
            <w:pStyle w:val="Bodynumbercopy"/>
            <w:numPr>
              <w:ilvl w:val="0"/>
              <w:numId w:val="53"/>
            </w:numPr>
            <w:spacing w:line="240" w:lineRule="auto"/>
          </w:pPr>
          <w:r w:rsidRPr="00B442D7">
            <w:t>C4: Data based on extrapolation from a limited sample (C, unreliable) and estimated to be within +/- 25% (accuracy band 4);</w:t>
          </w:r>
        </w:p>
        <w:p w14:paraId="6045866F" w14:textId="77777777" w:rsidR="00911155" w:rsidRPr="00B442D7" w:rsidRDefault="00911155" w:rsidP="00911155">
          <w:pPr>
            <w:pStyle w:val="Bodynumbercopy"/>
            <w:numPr>
              <w:ilvl w:val="0"/>
              <w:numId w:val="53"/>
            </w:numPr>
            <w:spacing w:line="240" w:lineRule="auto"/>
          </w:pPr>
          <w:r w:rsidRPr="00B442D7">
            <w:t>AX: Data based on sound records etc. (A, highly reliable) but value too small to calculate any meaningful accuracy percentage.</w:t>
          </w:r>
        </w:p>
        <w:p w14:paraId="66432BBC" w14:textId="77777777" w:rsidR="00911155" w:rsidRPr="00B442D7" w:rsidRDefault="00911155" w:rsidP="00911155">
          <w:pPr>
            <w:jc w:val="both"/>
            <w:rPr>
              <w:rFonts w:ascii="Calibri" w:eastAsia="Calibri" w:hAnsi="Calibri" w:cs="Calibri"/>
              <w:lang w:val="en-GB"/>
            </w:rPr>
          </w:pPr>
        </w:p>
        <w:p w14:paraId="39F1C7AE" w14:textId="77777777" w:rsidR="00911155" w:rsidRPr="00B442D7" w:rsidRDefault="00911155" w:rsidP="00911155">
          <w:pPr>
            <w:pStyle w:val="Bodynumbercopy"/>
            <w:spacing w:line="240" w:lineRule="auto"/>
            <w:rPr>
              <w:rFonts w:eastAsia="Calibri"/>
              <w:lang w:val="en-GB"/>
            </w:rPr>
          </w:pPr>
          <w:r w:rsidRPr="00B442D7">
            <w:rPr>
              <w:rFonts w:eastAsia="Calibri"/>
              <w:lang w:val="en-GB"/>
            </w:rPr>
            <w:t xml:space="preserve">The table below provides a list of compatible confidence grades. </w:t>
          </w:r>
        </w:p>
        <w:tbl>
          <w:tblPr>
            <w:tblW w:w="5000" w:type="pct"/>
            <w:tblLayout w:type="fixed"/>
            <w:tblCellMar>
              <w:left w:w="0" w:type="dxa"/>
              <w:right w:w="0" w:type="dxa"/>
            </w:tblCellMar>
            <w:tblLook w:val="0000" w:firstRow="0" w:lastRow="0" w:firstColumn="0" w:lastColumn="0" w:noHBand="0" w:noVBand="0"/>
          </w:tblPr>
          <w:tblGrid>
            <w:gridCol w:w="4065"/>
            <w:gridCol w:w="853"/>
            <w:gridCol w:w="853"/>
            <w:gridCol w:w="890"/>
            <w:gridCol w:w="891"/>
          </w:tblGrid>
          <w:tr w:rsidR="00911155" w:rsidRPr="00B442D7" w14:paraId="712E3AC2" w14:textId="77777777" w:rsidTr="004C0500">
            <w:trPr>
              <w:cantSplit/>
              <w:trHeight w:val="302"/>
            </w:trPr>
            <w:tc>
              <w:tcPr>
                <w:tcW w:w="5000" w:type="pct"/>
                <w:gridSpan w:val="5"/>
                <w:tcBorders>
                  <w:top w:val="single" w:sz="6" w:space="0" w:color="000000"/>
                  <w:left w:val="single" w:sz="6" w:space="0" w:color="000000"/>
                  <w:bottom w:val="single" w:sz="6" w:space="0" w:color="FFFFFF"/>
                  <w:right w:val="single" w:sz="6" w:space="0" w:color="000000"/>
                </w:tcBorders>
                <w:shd w:val="clear" w:color="auto" w:fill="12B2C2"/>
                <w:vAlign w:val="center"/>
              </w:tcPr>
              <w:p w14:paraId="0B8625C5" w14:textId="77777777" w:rsidR="00911155" w:rsidRPr="00E74F3B" w:rsidRDefault="00911155" w:rsidP="004C0500">
                <w:pPr>
                  <w:spacing w:line="201" w:lineRule="atLeast"/>
                  <w:jc w:val="center"/>
                  <w:rPr>
                    <w:rFonts w:ascii="Calibri" w:hAnsi="Calibri" w:cs="Calibri"/>
                    <w:color w:val="000000"/>
                    <w:sz w:val="21"/>
                    <w:szCs w:val="21"/>
                  </w:rPr>
                </w:pPr>
              </w:p>
              <w:p w14:paraId="3463BBF3" w14:textId="77777777" w:rsidR="00911155" w:rsidRPr="00E74F3B" w:rsidRDefault="00911155" w:rsidP="004C0500">
                <w:pPr>
                  <w:jc w:val="center"/>
                  <w:rPr>
                    <w:rFonts w:ascii="Calibri" w:hAnsi="Calibri" w:cs="Calibri"/>
                    <w:b/>
                    <w:color w:val="000000"/>
                    <w:sz w:val="21"/>
                    <w:szCs w:val="21"/>
                  </w:rPr>
                </w:pPr>
                <w:r w:rsidRPr="00E74F3B">
                  <w:rPr>
                    <w:rFonts w:ascii="Calibri" w:hAnsi="Calibri" w:cs="Calibri"/>
                    <w:b/>
                    <w:color w:val="FFFFFF" w:themeColor="background2"/>
                    <w:sz w:val="21"/>
                    <w:szCs w:val="21"/>
                  </w:rPr>
                  <w:t>Compatible Confidence Grades</w:t>
                </w:r>
              </w:p>
            </w:tc>
          </w:tr>
          <w:tr w:rsidR="00911155" w:rsidRPr="00B442D7" w14:paraId="47D3B80D" w14:textId="77777777" w:rsidTr="004C0500">
            <w:trPr>
              <w:cantSplit/>
            </w:trPr>
            <w:tc>
              <w:tcPr>
                <w:tcW w:w="2691" w:type="pct"/>
                <w:tcBorders>
                  <w:top w:val="single" w:sz="6" w:space="0" w:color="000000"/>
                  <w:left w:val="single" w:sz="6" w:space="0" w:color="000000"/>
                  <w:right w:val="single" w:sz="6" w:space="0" w:color="FFFFFF"/>
                </w:tcBorders>
              </w:tcPr>
              <w:p w14:paraId="15910A62" w14:textId="77777777" w:rsidR="00911155" w:rsidRPr="00E74F3B" w:rsidRDefault="00911155" w:rsidP="004C0500">
                <w:pPr>
                  <w:spacing w:line="201" w:lineRule="atLeast"/>
                  <w:rPr>
                    <w:rFonts w:ascii="Calibri" w:hAnsi="Calibri" w:cs="Calibri"/>
                    <w:b/>
                    <w:color w:val="000000"/>
                    <w:sz w:val="21"/>
                    <w:szCs w:val="21"/>
                  </w:rPr>
                </w:pPr>
              </w:p>
              <w:p w14:paraId="78480646" w14:textId="77777777" w:rsidR="00911155" w:rsidRPr="00E74F3B" w:rsidRDefault="00911155" w:rsidP="004C0500">
                <w:pPr>
                  <w:jc w:val="center"/>
                  <w:rPr>
                    <w:rFonts w:ascii="Calibri" w:hAnsi="Calibri" w:cs="Calibri"/>
                    <w:b/>
                    <w:bCs/>
                    <w:color w:val="000000"/>
                    <w:sz w:val="21"/>
                    <w:szCs w:val="21"/>
                  </w:rPr>
                </w:pPr>
                <w:r w:rsidRPr="00E74F3B">
                  <w:rPr>
                    <w:rFonts w:ascii="Calibri" w:hAnsi="Calibri" w:cs="Calibri"/>
                    <w:b/>
                    <w:bCs/>
                    <w:color w:val="000000"/>
                    <w:sz w:val="21"/>
                    <w:szCs w:val="21"/>
                  </w:rPr>
                  <w:t>Accuracy Band</w:t>
                </w:r>
              </w:p>
            </w:tc>
            <w:tc>
              <w:tcPr>
                <w:tcW w:w="2309" w:type="pct"/>
                <w:gridSpan w:val="4"/>
                <w:tcBorders>
                  <w:top w:val="single" w:sz="6" w:space="0" w:color="000000"/>
                  <w:left w:val="single" w:sz="6" w:space="0" w:color="000000"/>
                  <w:bottom w:val="single" w:sz="6" w:space="0" w:color="FFFFFF"/>
                  <w:right w:val="single" w:sz="6" w:space="0" w:color="000000"/>
                </w:tcBorders>
              </w:tcPr>
              <w:p w14:paraId="7E259FDD" w14:textId="77777777" w:rsidR="00911155" w:rsidRPr="00E74F3B" w:rsidRDefault="00911155" w:rsidP="004C0500">
                <w:pPr>
                  <w:spacing w:line="201" w:lineRule="atLeast"/>
                  <w:jc w:val="center"/>
                  <w:rPr>
                    <w:rFonts w:ascii="Calibri" w:hAnsi="Calibri" w:cs="Calibri"/>
                    <w:color w:val="000000"/>
                    <w:sz w:val="21"/>
                    <w:szCs w:val="21"/>
                  </w:rPr>
                </w:pPr>
              </w:p>
              <w:p w14:paraId="0472EBFB" w14:textId="77777777" w:rsidR="00911155" w:rsidRPr="00E74F3B" w:rsidRDefault="00911155" w:rsidP="004C0500">
                <w:pPr>
                  <w:jc w:val="center"/>
                  <w:rPr>
                    <w:rFonts w:ascii="Calibri" w:hAnsi="Calibri" w:cs="Calibri"/>
                    <w:b/>
                    <w:bCs/>
                    <w:color w:val="000000"/>
                    <w:sz w:val="21"/>
                    <w:szCs w:val="21"/>
                  </w:rPr>
                </w:pPr>
                <w:r w:rsidRPr="00E74F3B">
                  <w:rPr>
                    <w:rFonts w:ascii="Calibri" w:hAnsi="Calibri" w:cs="Calibri"/>
                    <w:b/>
                    <w:bCs/>
                    <w:color w:val="000000"/>
                    <w:sz w:val="21"/>
                    <w:szCs w:val="21"/>
                  </w:rPr>
                  <w:t>Reliability Band</w:t>
                </w:r>
              </w:p>
            </w:tc>
          </w:tr>
          <w:tr w:rsidR="00911155" w:rsidRPr="00B442D7" w14:paraId="6DD1355C" w14:textId="77777777" w:rsidTr="004C0500">
            <w:trPr>
              <w:cantSplit/>
            </w:trPr>
            <w:tc>
              <w:tcPr>
                <w:tcW w:w="2691" w:type="pct"/>
                <w:tcBorders>
                  <w:left w:val="single" w:sz="6" w:space="0" w:color="000000"/>
                  <w:bottom w:val="single" w:sz="6" w:space="0" w:color="FFFFFF"/>
                  <w:right w:val="single" w:sz="6" w:space="0" w:color="FFFFFF"/>
                </w:tcBorders>
              </w:tcPr>
              <w:p w14:paraId="2048A996" w14:textId="77777777" w:rsidR="00911155" w:rsidRPr="00E74F3B" w:rsidRDefault="00911155" w:rsidP="004C0500">
                <w:pP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1E9E9152" w14:textId="77777777" w:rsidR="00911155" w:rsidRPr="00E74F3B" w:rsidRDefault="00911155" w:rsidP="004C0500">
                <w:pPr>
                  <w:spacing w:line="163" w:lineRule="atLeast"/>
                  <w:rPr>
                    <w:rFonts w:ascii="Calibri" w:hAnsi="Calibri" w:cs="Calibri"/>
                    <w:color w:val="000000"/>
                    <w:sz w:val="21"/>
                    <w:szCs w:val="21"/>
                  </w:rPr>
                </w:pPr>
              </w:p>
              <w:p w14:paraId="4439C89C"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A</w:t>
                </w:r>
              </w:p>
            </w:tc>
            <w:tc>
              <w:tcPr>
                <w:tcW w:w="565" w:type="pct"/>
                <w:tcBorders>
                  <w:top w:val="single" w:sz="6" w:space="0" w:color="000000"/>
                  <w:left w:val="single" w:sz="6" w:space="0" w:color="000000"/>
                  <w:bottom w:val="single" w:sz="6" w:space="0" w:color="FFFFFF"/>
                  <w:right w:val="single" w:sz="6" w:space="0" w:color="FFFFFF"/>
                </w:tcBorders>
              </w:tcPr>
              <w:p w14:paraId="77D1EFFF" w14:textId="77777777" w:rsidR="00911155" w:rsidRPr="00E74F3B" w:rsidRDefault="00911155" w:rsidP="004C0500">
                <w:pPr>
                  <w:spacing w:line="163" w:lineRule="atLeast"/>
                  <w:jc w:val="center"/>
                  <w:rPr>
                    <w:rFonts w:ascii="Calibri" w:hAnsi="Calibri" w:cs="Calibri"/>
                    <w:color w:val="000000"/>
                    <w:sz w:val="21"/>
                    <w:szCs w:val="21"/>
                  </w:rPr>
                </w:pPr>
              </w:p>
              <w:p w14:paraId="4BF0F5FC"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B</w:t>
                </w:r>
              </w:p>
            </w:tc>
            <w:tc>
              <w:tcPr>
                <w:tcW w:w="589" w:type="pct"/>
                <w:tcBorders>
                  <w:top w:val="single" w:sz="6" w:space="0" w:color="000000"/>
                  <w:left w:val="single" w:sz="6" w:space="0" w:color="000000"/>
                  <w:bottom w:val="single" w:sz="6" w:space="0" w:color="FFFFFF"/>
                  <w:right w:val="single" w:sz="6" w:space="0" w:color="FFFFFF"/>
                </w:tcBorders>
              </w:tcPr>
              <w:p w14:paraId="76199132" w14:textId="77777777" w:rsidR="00911155" w:rsidRPr="00E74F3B" w:rsidRDefault="00911155" w:rsidP="004C0500">
                <w:pPr>
                  <w:spacing w:line="163" w:lineRule="atLeast"/>
                  <w:jc w:val="center"/>
                  <w:rPr>
                    <w:rFonts w:ascii="Calibri" w:hAnsi="Calibri" w:cs="Calibri"/>
                    <w:color w:val="000000"/>
                    <w:sz w:val="21"/>
                    <w:szCs w:val="21"/>
                  </w:rPr>
                </w:pPr>
              </w:p>
              <w:p w14:paraId="4DE42466"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C</w:t>
                </w:r>
              </w:p>
            </w:tc>
            <w:tc>
              <w:tcPr>
                <w:tcW w:w="590" w:type="pct"/>
                <w:tcBorders>
                  <w:top w:val="single" w:sz="6" w:space="0" w:color="000000"/>
                  <w:left w:val="single" w:sz="6" w:space="0" w:color="000000"/>
                  <w:bottom w:val="single" w:sz="6" w:space="0" w:color="FFFFFF"/>
                  <w:right w:val="single" w:sz="6" w:space="0" w:color="000000"/>
                </w:tcBorders>
              </w:tcPr>
              <w:p w14:paraId="445532FF" w14:textId="77777777" w:rsidR="00911155" w:rsidRPr="00E74F3B" w:rsidRDefault="00911155" w:rsidP="004C0500">
                <w:pPr>
                  <w:spacing w:line="163" w:lineRule="atLeast"/>
                  <w:jc w:val="center"/>
                  <w:rPr>
                    <w:rFonts w:ascii="Calibri" w:hAnsi="Calibri" w:cs="Calibri"/>
                    <w:color w:val="000000"/>
                    <w:sz w:val="21"/>
                    <w:szCs w:val="21"/>
                  </w:rPr>
                </w:pPr>
              </w:p>
              <w:p w14:paraId="13924797"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D</w:t>
                </w:r>
              </w:p>
            </w:tc>
          </w:tr>
          <w:tr w:rsidR="00911155" w:rsidRPr="00B442D7" w14:paraId="1E8869A6" w14:textId="77777777" w:rsidTr="004C0500">
            <w:trPr>
              <w:cantSplit/>
            </w:trPr>
            <w:tc>
              <w:tcPr>
                <w:tcW w:w="2691" w:type="pct"/>
                <w:tcBorders>
                  <w:top w:val="single" w:sz="6" w:space="0" w:color="000000"/>
                  <w:left w:val="single" w:sz="6" w:space="0" w:color="000000"/>
                  <w:bottom w:val="single" w:sz="6" w:space="0" w:color="FFFFFF"/>
                  <w:right w:val="single" w:sz="6" w:space="0" w:color="FFFFFF"/>
                </w:tcBorders>
              </w:tcPr>
              <w:p w14:paraId="0DF8EB88" w14:textId="77777777" w:rsidR="00911155" w:rsidRPr="00E74F3B" w:rsidRDefault="00911155" w:rsidP="004C0500">
                <w:pPr>
                  <w:spacing w:line="201" w:lineRule="atLeast"/>
                  <w:rPr>
                    <w:rFonts w:ascii="Calibri" w:hAnsi="Calibri" w:cs="Calibri"/>
                    <w:color w:val="000000"/>
                    <w:sz w:val="21"/>
                    <w:szCs w:val="21"/>
                  </w:rPr>
                </w:pPr>
              </w:p>
              <w:p w14:paraId="21708378"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1</w:t>
                </w:r>
              </w:p>
            </w:tc>
            <w:tc>
              <w:tcPr>
                <w:tcW w:w="565" w:type="pct"/>
                <w:tcBorders>
                  <w:top w:val="single" w:sz="6" w:space="0" w:color="000000"/>
                  <w:left w:val="single" w:sz="6" w:space="0" w:color="000000"/>
                  <w:bottom w:val="single" w:sz="6" w:space="0" w:color="FFFFFF"/>
                  <w:right w:val="single" w:sz="6" w:space="0" w:color="FFFFFF"/>
                </w:tcBorders>
              </w:tcPr>
              <w:p w14:paraId="74705BDF" w14:textId="77777777" w:rsidR="00911155" w:rsidRPr="00E74F3B" w:rsidRDefault="00911155" w:rsidP="004C0500">
                <w:pPr>
                  <w:spacing w:line="201" w:lineRule="atLeast"/>
                  <w:jc w:val="center"/>
                  <w:rPr>
                    <w:rFonts w:ascii="Calibri" w:hAnsi="Calibri" w:cs="Calibri"/>
                    <w:color w:val="000000"/>
                    <w:sz w:val="21"/>
                    <w:szCs w:val="21"/>
                  </w:rPr>
                </w:pPr>
              </w:p>
              <w:p w14:paraId="15816C94"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A1</w:t>
                </w:r>
              </w:p>
            </w:tc>
            <w:tc>
              <w:tcPr>
                <w:tcW w:w="565" w:type="pct"/>
                <w:tcBorders>
                  <w:top w:val="single" w:sz="6" w:space="0" w:color="000000"/>
                  <w:left w:val="single" w:sz="6" w:space="0" w:color="000000"/>
                  <w:bottom w:val="single" w:sz="6" w:space="0" w:color="FFFFFF"/>
                  <w:right w:val="single" w:sz="6" w:space="0" w:color="FFFFFF"/>
                </w:tcBorders>
              </w:tcPr>
              <w:p w14:paraId="212F3944" w14:textId="77777777" w:rsidR="00911155" w:rsidRPr="00E74F3B" w:rsidRDefault="00911155" w:rsidP="004C0500">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2BB4B4D4" w14:textId="77777777" w:rsidR="00911155" w:rsidRPr="00E74F3B" w:rsidRDefault="00911155" w:rsidP="004C0500">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4E89FBA9" w14:textId="77777777" w:rsidR="00911155" w:rsidRPr="00E74F3B" w:rsidRDefault="00911155" w:rsidP="004C0500">
                <w:pPr>
                  <w:jc w:val="center"/>
                  <w:rPr>
                    <w:rFonts w:ascii="Calibri" w:hAnsi="Calibri" w:cs="Calibri"/>
                    <w:color w:val="000000"/>
                    <w:sz w:val="21"/>
                    <w:szCs w:val="21"/>
                  </w:rPr>
                </w:pPr>
              </w:p>
            </w:tc>
          </w:tr>
          <w:tr w:rsidR="00911155" w:rsidRPr="00B442D7" w14:paraId="62A54F8B" w14:textId="77777777" w:rsidTr="004C0500">
            <w:trPr>
              <w:cantSplit/>
            </w:trPr>
            <w:tc>
              <w:tcPr>
                <w:tcW w:w="2691" w:type="pct"/>
                <w:tcBorders>
                  <w:top w:val="single" w:sz="6" w:space="0" w:color="000000"/>
                  <w:left w:val="single" w:sz="6" w:space="0" w:color="000000"/>
                  <w:bottom w:val="single" w:sz="6" w:space="0" w:color="FFFFFF"/>
                  <w:right w:val="single" w:sz="6" w:space="0" w:color="FFFFFF"/>
                </w:tcBorders>
              </w:tcPr>
              <w:p w14:paraId="7249C451" w14:textId="77777777" w:rsidR="00911155" w:rsidRPr="00E74F3B" w:rsidRDefault="00911155" w:rsidP="004C0500">
                <w:pPr>
                  <w:spacing w:line="163" w:lineRule="atLeast"/>
                  <w:rPr>
                    <w:rFonts w:ascii="Calibri" w:hAnsi="Calibri" w:cs="Calibri"/>
                    <w:color w:val="000000"/>
                    <w:sz w:val="21"/>
                    <w:szCs w:val="21"/>
                  </w:rPr>
                </w:pPr>
              </w:p>
              <w:p w14:paraId="12FD4E6A"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2</w:t>
                </w:r>
              </w:p>
            </w:tc>
            <w:tc>
              <w:tcPr>
                <w:tcW w:w="565" w:type="pct"/>
                <w:tcBorders>
                  <w:top w:val="single" w:sz="6" w:space="0" w:color="000000"/>
                  <w:left w:val="single" w:sz="6" w:space="0" w:color="000000"/>
                  <w:bottom w:val="single" w:sz="6" w:space="0" w:color="FFFFFF"/>
                  <w:right w:val="single" w:sz="6" w:space="0" w:color="FFFFFF"/>
                </w:tcBorders>
              </w:tcPr>
              <w:p w14:paraId="1AB5FD12" w14:textId="77777777" w:rsidR="00911155" w:rsidRPr="00E74F3B" w:rsidRDefault="00911155" w:rsidP="004C0500">
                <w:pPr>
                  <w:spacing w:line="163" w:lineRule="atLeast"/>
                  <w:jc w:val="center"/>
                  <w:rPr>
                    <w:rFonts w:ascii="Calibri" w:hAnsi="Calibri" w:cs="Calibri"/>
                    <w:color w:val="000000"/>
                    <w:sz w:val="21"/>
                    <w:szCs w:val="21"/>
                  </w:rPr>
                </w:pPr>
              </w:p>
              <w:p w14:paraId="52BA56BB"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A2</w:t>
                </w:r>
              </w:p>
            </w:tc>
            <w:tc>
              <w:tcPr>
                <w:tcW w:w="565" w:type="pct"/>
                <w:tcBorders>
                  <w:top w:val="single" w:sz="6" w:space="0" w:color="000000"/>
                  <w:left w:val="single" w:sz="6" w:space="0" w:color="000000"/>
                  <w:bottom w:val="single" w:sz="6" w:space="0" w:color="FFFFFF"/>
                  <w:right w:val="single" w:sz="6" w:space="0" w:color="FFFFFF"/>
                </w:tcBorders>
              </w:tcPr>
              <w:p w14:paraId="519E30CE" w14:textId="77777777" w:rsidR="00911155" w:rsidRPr="00E74F3B" w:rsidRDefault="00911155" w:rsidP="004C0500">
                <w:pPr>
                  <w:spacing w:line="163" w:lineRule="atLeast"/>
                  <w:jc w:val="center"/>
                  <w:rPr>
                    <w:rFonts w:ascii="Calibri" w:hAnsi="Calibri" w:cs="Calibri"/>
                    <w:color w:val="000000"/>
                    <w:sz w:val="21"/>
                    <w:szCs w:val="21"/>
                  </w:rPr>
                </w:pPr>
              </w:p>
              <w:p w14:paraId="3CC325C1"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B2</w:t>
                </w:r>
              </w:p>
            </w:tc>
            <w:tc>
              <w:tcPr>
                <w:tcW w:w="589" w:type="pct"/>
                <w:tcBorders>
                  <w:top w:val="single" w:sz="6" w:space="0" w:color="000000"/>
                  <w:left w:val="single" w:sz="6" w:space="0" w:color="000000"/>
                  <w:bottom w:val="single" w:sz="6" w:space="0" w:color="FFFFFF"/>
                  <w:right w:val="single" w:sz="6" w:space="0" w:color="FFFFFF"/>
                </w:tcBorders>
              </w:tcPr>
              <w:p w14:paraId="258C2B91" w14:textId="77777777" w:rsidR="00911155" w:rsidRPr="00E74F3B" w:rsidRDefault="00911155" w:rsidP="004C0500">
                <w:pPr>
                  <w:spacing w:line="163" w:lineRule="atLeast"/>
                  <w:jc w:val="center"/>
                  <w:rPr>
                    <w:rFonts w:ascii="Calibri" w:hAnsi="Calibri" w:cs="Calibri"/>
                    <w:color w:val="000000"/>
                    <w:sz w:val="21"/>
                    <w:szCs w:val="21"/>
                  </w:rPr>
                </w:pPr>
              </w:p>
              <w:p w14:paraId="0D7013F9"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C2</w:t>
                </w:r>
              </w:p>
            </w:tc>
            <w:tc>
              <w:tcPr>
                <w:tcW w:w="590" w:type="pct"/>
                <w:tcBorders>
                  <w:top w:val="single" w:sz="6" w:space="0" w:color="000000"/>
                  <w:left w:val="single" w:sz="6" w:space="0" w:color="000000"/>
                  <w:bottom w:val="single" w:sz="6" w:space="0" w:color="FFFFFF"/>
                  <w:right w:val="single" w:sz="6" w:space="0" w:color="000000"/>
                </w:tcBorders>
              </w:tcPr>
              <w:p w14:paraId="1FBAF713" w14:textId="77777777" w:rsidR="00911155" w:rsidRPr="00E74F3B" w:rsidRDefault="00911155" w:rsidP="004C0500">
                <w:pPr>
                  <w:jc w:val="center"/>
                  <w:rPr>
                    <w:rFonts w:ascii="Calibri" w:hAnsi="Calibri" w:cs="Calibri"/>
                    <w:color w:val="000000"/>
                    <w:sz w:val="21"/>
                    <w:szCs w:val="21"/>
                  </w:rPr>
                </w:pPr>
              </w:p>
            </w:tc>
          </w:tr>
          <w:tr w:rsidR="00911155" w:rsidRPr="00B442D7" w14:paraId="33B9D26B" w14:textId="77777777" w:rsidTr="004C0500">
            <w:trPr>
              <w:cantSplit/>
            </w:trPr>
            <w:tc>
              <w:tcPr>
                <w:tcW w:w="2691" w:type="pct"/>
                <w:tcBorders>
                  <w:top w:val="single" w:sz="6" w:space="0" w:color="000000"/>
                  <w:left w:val="single" w:sz="6" w:space="0" w:color="000000"/>
                  <w:bottom w:val="single" w:sz="6" w:space="0" w:color="FFFFFF"/>
                  <w:right w:val="single" w:sz="6" w:space="0" w:color="FFFFFF"/>
                </w:tcBorders>
              </w:tcPr>
              <w:p w14:paraId="7AE977CF" w14:textId="77777777" w:rsidR="00911155" w:rsidRPr="00E74F3B" w:rsidRDefault="00911155" w:rsidP="004C0500">
                <w:pPr>
                  <w:spacing w:line="163" w:lineRule="atLeast"/>
                  <w:rPr>
                    <w:rFonts w:ascii="Calibri" w:hAnsi="Calibri" w:cs="Calibri"/>
                    <w:color w:val="000000"/>
                    <w:sz w:val="21"/>
                    <w:szCs w:val="21"/>
                  </w:rPr>
                </w:pPr>
              </w:p>
              <w:p w14:paraId="69A64B1D"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3</w:t>
                </w:r>
              </w:p>
            </w:tc>
            <w:tc>
              <w:tcPr>
                <w:tcW w:w="565" w:type="pct"/>
                <w:tcBorders>
                  <w:top w:val="single" w:sz="6" w:space="0" w:color="000000"/>
                  <w:left w:val="single" w:sz="6" w:space="0" w:color="000000"/>
                  <w:bottom w:val="single" w:sz="6" w:space="0" w:color="FFFFFF"/>
                  <w:right w:val="single" w:sz="6" w:space="0" w:color="FFFFFF"/>
                </w:tcBorders>
              </w:tcPr>
              <w:p w14:paraId="2B9C8EBF" w14:textId="77777777" w:rsidR="00911155" w:rsidRPr="00E74F3B" w:rsidRDefault="00911155" w:rsidP="004C0500">
                <w:pPr>
                  <w:spacing w:line="163" w:lineRule="atLeast"/>
                  <w:jc w:val="center"/>
                  <w:rPr>
                    <w:rFonts w:ascii="Calibri" w:hAnsi="Calibri" w:cs="Calibri"/>
                    <w:color w:val="000000"/>
                    <w:sz w:val="21"/>
                    <w:szCs w:val="21"/>
                  </w:rPr>
                </w:pPr>
              </w:p>
              <w:p w14:paraId="301D0EDA"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A3</w:t>
                </w:r>
              </w:p>
            </w:tc>
            <w:tc>
              <w:tcPr>
                <w:tcW w:w="565" w:type="pct"/>
                <w:tcBorders>
                  <w:top w:val="single" w:sz="6" w:space="0" w:color="000000"/>
                  <w:left w:val="single" w:sz="6" w:space="0" w:color="000000"/>
                  <w:bottom w:val="single" w:sz="6" w:space="0" w:color="FFFFFF"/>
                  <w:right w:val="single" w:sz="6" w:space="0" w:color="FFFFFF"/>
                </w:tcBorders>
              </w:tcPr>
              <w:p w14:paraId="65CF9663" w14:textId="77777777" w:rsidR="00911155" w:rsidRPr="00E74F3B" w:rsidRDefault="00911155" w:rsidP="004C0500">
                <w:pPr>
                  <w:spacing w:line="163" w:lineRule="atLeast"/>
                  <w:jc w:val="center"/>
                  <w:rPr>
                    <w:rFonts w:ascii="Calibri" w:hAnsi="Calibri" w:cs="Calibri"/>
                    <w:color w:val="000000"/>
                    <w:sz w:val="21"/>
                    <w:szCs w:val="21"/>
                  </w:rPr>
                </w:pPr>
              </w:p>
              <w:p w14:paraId="67C941F5"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B3</w:t>
                </w:r>
              </w:p>
            </w:tc>
            <w:tc>
              <w:tcPr>
                <w:tcW w:w="589" w:type="pct"/>
                <w:tcBorders>
                  <w:top w:val="single" w:sz="6" w:space="0" w:color="000000"/>
                  <w:left w:val="single" w:sz="6" w:space="0" w:color="000000"/>
                  <w:bottom w:val="single" w:sz="6" w:space="0" w:color="FFFFFF"/>
                  <w:right w:val="single" w:sz="6" w:space="0" w:color="FFFFFF"/>
                </w:tcBorders>
              </w:tcPr>
              <w:p w14:paraId="2EF446B8" w14:textId="77777777" w:rsidR="00911155" w:rsidRPr="00E74F3B" w:rsidRDefault="00911155" w:rsidP="004C0500">
                <w:pPr>
                  <w:spacing w:line="163" w:lineRule="atLeast"/>
                  <w:jc w:val="center"/>
                  <w:rPr>
                    <w:rFonts w:ascii="Calibri" w:hAnsi="Calibri" w:cs="Calibri"/>
                    <w:color w:val="000000"/>
                    <w:sz w:val="21"/>
                    <w:szCs w:val="21"/>
                  </w:rPr>
                </w:pPr>
              </w:p>
              <w:p w14:paraId="6C49DE34"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C3</w:t>
                </w:r>
              </w:p>
            </w:tc>
            <w:tc>
              <w:tcPr>
                <w:tcW w:w="590" w:type="pct"/>
                <w:tcBorders>
                  <w:top w:val="single" w:sz="6" w:space="0" w:color="000000"/>
                  <w:left w:val="single" w:sz="6" w:space="0" w:color="000000"/>
                  <w:bottom w:val="single" w:sz="6" w:space="0" w:color="FFFFFF"/>
                  <w:right w:val="single" w:sz="6" w:space="0" w:color="000000"/>
                </w:tcBorders>
              </w:tcPr>
              <w:p w14:paraId="68DE572A" w14:textId="77777777" w:rsidR="00911155" w:rsidRPr="00E74F3B" w:rsidRDefault="00911155" w:rsidP="004C0500">
                <w:pPr>
                  <w:spacing w:line="163" w:lineRule="atLeast"/>
                  <w:jc w:val="center"/>
                  <w:rPr>
                    <w:rFonts w:ascii="Calibri" w:hAnsi="Calibri" w:cs="Calibri"/>
                    <w:color w:val="000000"/>
                    <w:sz w:val="21"/>
                    <w:szCs w:val="21"/>
                  </w:rPr>
                </w:pPr>
              </w:p>
              <w:p w14:paraId="34C2E437"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D3</w:t>
                </w:r>
              </w:p>
            </w:tc>
          </w:tr>
          <w:tr w:rsidR="00911155" w:rsidRPr="00B442D7" w14:paraId="41038A76" w14:textId="77777777" w:rsidTr="004C0500">
            <w:trPr>
              <w:cantSplit/>
            </w:trPr>
            <w:tc>
              <w:tcPr>
                <w:tcW w:w="2691" w:type="pct"/>
                <w:tcBorders>
                  <w:top w:val="single" w:sz="6" w:space="0" w:color="000000"/>
                  <w:left w:val="single" w:sz="6" w:space="0" w:color="000000"/>
                  <w:bottom w:val="single" w:sz="6" w:space="0" w:color="FFFFFF"/>
                  <w:right w:val="single" w:sz="6" w:space="0" w:color="FFFFFF"/>
                </w:tcBorders>
              </w:tcPr>
              <w:p w14:paraId="7ACA34CD" w14:textId="77777777" w:rsidR="00911155" w:rsidRPr="00E74F3B" w:rsidRDefault="00911155" w:rsidP="004C0500">
                <w:pPr>
                  <w:spacing w:line="163" w:lineRule="atLeast"/>
                  <w:rPr>
                    <w:rFonts w:ascii="Calibri" w:hAnsi="Calibri" w:cs="Calibri"/>
                    <w:color w:val="000000"/>
                    <w:sz w:val="21"/>
                    <w:szCs w:val="21"/>
                  </w:rPr>
                </w:pPr>
              </w:p>
              <w:p w14:paraId="3A5885D3"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4</w:t>
                </w:r>
              </w:p>
            </w:tc>
            <w:tc>
              <w:tcPr>
                <w:tcW w:w="565" w:type="pct"/>
                <w:tcBorders>
                  <w:top w:val="single" w:sz="6" w:space="0" w:color="000000"/>
                  <w:left w:val="single" w:sz="6" w:space="0" w:color="000000"/>
                  <w:bottom w:val="single" w:sz="6" w:space="0" w:color="FFFFFF"/>
                  <w:right w:val="single" w:sz="6" w:space="0" w:color="FFFFFF"/>
                </w:tcBorders>
              </w:tcPr>
              <w:p w14:paraId="7112B21C" w14:textId="77777777" w:rsidR="00911155" w:rsidRPr="00E74F3B" w:rsidRDefault="00911155" w:rsidP="004C0500">
                <w:pPr>
                  <w:spacing w:line="163" w:lineRule="atLeast"/>
                  <w:jc w:val="center"/>
                  <w:rPr>
                    <w:rFonts w:ascii="Calibri" w:hAnsi="Calibri" w:cs="Calibri"/>
                    <w:color w:val="000000"/>
                    <w:sz w:val="21"/>
                    <w:szCs w:val="21"/>
                  </w:rPr>
                </w:pPr>
              </w:p>
              <w:p w14:paraId="7547E0CB"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A4</w:t>
                </w:r>
              </w:p>
            </w:tc>
            <w:tc>
              <w:tcPr>
                <w:tcW w:w="565" w:type="pct"/>
                <w:tcBorders>
                  <w:top w:val="single" w:sz="6" w:space="0" w:color="000000"/>
                  <w:left w:val="single" w:sz="6" w:space="0" w:color="000000"/>
                  <w:bottom w:val="single" w:sz="6" w:space="0" w:color="FFFFFF"/>
                  <w:right w:val="single" w:sz="6" w:space="0" w:color="FFFFFF"/>
                </w:tcBorders>
              </w:tcPr>
              <w:p w14:paraId="6187B911" w14:textId="77777777" w:rsidR="00911155" w:rsidRPr="00E74F3B" w:rsidRDefault="00911155" w:rsidP="004C0500">
                <w:pPr>
                  <w:spacing w:line="163" w:lineRule="atLeast"/>
                  <w:jc w:val="center"/>
                  <w:rPr>
                    <w:rFonts w:ascii="Calibri" w:hAnsi="Calibri" w:cs="Calibri"/>
                    <w:color w:val="000000"/>
                    <w:sz w:val="21"/>
                    <w:szCs w:val="21"/>
                  </w:rPr>
                </w:pPr>
              </w:p>
              <w:p w14:paraId="2ED39B9E"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B4</w:t>
                </w:r>
              </w:p>
            </w:tc>
            <w:tc>
              <w:tcPr>
                <w:tcW w:w="589" w:type="pct"/>
                <w:tcBorders>
                  <w:top w:val="single" w:sz="6" w:space="0" w:color="000000"/>
                  <w:left w:val="single" w:sz="6" w:space="0" w:color="000000"/>
                  <w:bottom w:val="single" w:sz="6" w:space="0" w:color="FFFFFF"/>
                  <w:right w:val="single" w:sz="6" w:space="0" w:color="FFFFFF"/>
                </w:tcBorders>
              </w:tcPr>
              <w:p w14:paraId="0705B918" w14:textId="77777777" w:rsidR="00911155" w:rsidRPr="00E74F3B" w:rsidRDefault="00911155" w:rsidP="004C0500">
                <w:pPr>
                  <w:spacing w:line="163" w:lineRule="atLeast"/>
                  <w:jc w:val="center"/>
                  <w:rPr>
                    <w:rFonts w:ascii="Calibri" w:hAnsi="Calibri" w:cs="Calibri"/>
                    <w:color w:val="000000"/>
                    <w:sz w:val="21"/>
                    <w:szCs w:val="21"/>
                  </w:rPr>
                </w:pPr>
              </w:p>
              <w:p w14:paraId="019A8625"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C4</w:t>
                </w:r>
              </w:p>
            </w:tc>
            <w:tc>
              <w:tcPr>
                <w:tcW w:w="590" w:type="pct"/>
                <w:tcBorders>
                  <w:top w:val="single" w:sz="6" w:space="0" w:color="000000"/>
                  <w:left w:val="single" w:sz="6" w:space="0" w:color="000000"/>
                  <w:bottom w:val="single" w:sz="6" w:space="0" w:color="FFFFFF"/>
                  <w:right w:val="single" w:sz="6" w:space="0" w:color="000000"/>
                </w:tcBorders>
              </w:tcPr>
              <w:p w14:paraId="2018E44D" w14:textId="77777777" w:rsidR="00911155" w:rsidRPr="00E74F3B" w:rsidRDefault="00911155" w:rsidP="004C0500">
                <w:pPr>
                  <w:spacing w:line="163" w:lineRule="atLeast"/>
                  <w:jc w:val="center"/>
                  <w:rPr>
                    <w:rFonts w:ascii="Calibri" w:hAnsi="Calibri" w:cs="Calibri"/>
                    <w:color w:val="000000"/>
                    <w:sz w:val="21"/>
                    <w:szCs w:val="21"/>
                  </w:rPr>
                </w:pPr>
              </w:p>
              <w:p w14:paraId="75FB33EA"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D4</w:t>
                </w:r>
              </w:p>
            </w:tc>
          </w:tr>
          <w:tr w:rsidR="00911155" w:rsidRPr="00B442D7" w14:paraId="4718517D" w14:textId="77777777" w:rsidTr="004C0500">
            <w:trPr>
              <w:cantSplit/>
            </w:trPr>
            <w:tc>
              <w:tcPr>
                <w:tcW w:w="2691" w:type="pct"/>
                <w:tcBorders>
                  <w:top w:val="single" w:sz="6" w:space="0" w:color="000000"/>
                  <w:left w:val="single" w:sz="6" w:space="0" w:color="000000"/>
                  <w:bottom w:val="single" w:sz="6" w:space="0" w:color="FFFFFF"/>
                  <w:right w:val="single" w:sz="6" w:space="0" w:color="FFFFFF"/>
                </w:tcBorders>
              </w:tcPr>
              <w:p w14:paraId="3FE3A90F" w14:textId="77777777" w:rsidR="00911155" w:rsidRPr="00E74F3B" w:rsidRDefault="00911155" w:rsidP="004C0500">
                <w:pPr>
                  <w:spacing w:line="163" w:lineRule="atLeast"/>
                  <w:rPr>
                    <w:rFonts w:ascii="Calibri" w:hAnsi="Calibri" w:cs="Calibri"/>
                    <w:color w:val="000000"/>
                    <w:sz w:val="21"/>
                    <w:szCs w:val="21"/>
                  </w:rPr>
                </w:pPr>
              </w:p>
              <w:p w14:paraId="1BD97646"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5</w:t>
                </w:r>
              </w:p>
            </w:tc>
            <w:tc>
              <w:tcPr>
                <w:tcW w:w="565" w:type="pct"/>
                <w:tcBorders>
                  <w:top w:val="single" w:sz="6" w:space="0" w:color="000000"/>
                  <w:left w:val="single" w:sz="6" w:space="0" w:color="000000"/>
                  <w:bottom w:val="single" w:sz="6" w:space="0" w:color="FFFFFF"/>
                  <w:right w:val="single" w:sz="6" w:space="0" w:color="FFFFFF"/>
                </w:tcBorders>
              </w:tcPr>
              <w:p w14:paraId="009B1C66" w14:textId="77777777" w:rsidR="00911155" w:rsidRPr="00E74F3B" w:rsidRDefault="00911155" w:rsidP="004C0500">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599D14AC" w14:textId="77777777" w:rsidR="00911155" w:rsidRPr="00E74F3B" w:rsidRDefault="00911155" w:rsidP="004C0500">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7A2EFD59" w14:textId="77777777" w:rsidR="00911155" w:rsidRPr="00E74F3B" w:rsidRDefault="00911155" w:rsidP="004C0500">
                <w:pPr>
                  <w:spacing w:line="163" w:lineRule="atLeast"/>
                  <w:jc w:val="center"/>
                  <w:rPr>
                    <w:rFonts w:ascii="Calibri" w:hAnsi="Calibri" w:cs="Calibri"/>
                    <w:color w:val="000000"/>
                    <w:sz w:val="21"/>
                    <w:szCs w:val="21"/>
                  </w:rPr>
                </w:pPr>
              </w:p>
              <w:p w14:paraId="77BA3617"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C5</w:t>
                </w:r>
              </w:p>
            </w:tc>
            <w:tc>
              <w:tcPr>
                <w:tcW w:w="590" w:type="pct"/>
                <w:tcBorders>
                  <w:top w:val="single" w:sz="6" w:space="0" w:color="000000"/>
                  <w:left w:val="single" w:sz="6" w:space="0" w:color="000000"/>
                  <w:bottom w:val="single" w:sz="6" w:space="0" w:color="FFFFFF"/>
                  <w:right w:val="single" w:sz="6" w:space="0" w:color="000000"/>
                </w:tcBorders>
              </w:tcPr>
              <w:p w14:paraId="3DBA0CD0" w14:textId="77777777" w:rsidR="00911155" w:rsidRPr="00E74F3B" w:rsidRDefault="00911155" w:rsidP="004C0500">
                <w:pPr>
                  <w:spacing w:line="163" w:lineRule="atLeast"/>
                  <w:jc w:val="center"/>
                  <w:rPr>
                    <w:rFonts w:ascii="Calibri" w:hAnsi="Calibri" w:cs="Calibri"/>
                    <w:color w:val="000000"/>
                    <w:sz w:val="21"/>
                    <w:szCs w:val="21"/>
                  </w:rPr>
                </w:pPr>
              </w:p>
              <w:p w14:paraId="258A562A"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D5</w:t>
                </w:r>
              </w:p>
            </w:tc>
          </w:tr>
          <w:tr w:rsidR="00911155" w:rsidRPr="00B442D7" w14:paraId="55683CA8" w14:textId="77777777" w:rsidTr="004C0500">
            <w:trPr>
              <w:cantSplit/>
            </w:trPr>
            <w:tc>
              <w:tcPr>
                <w:tcW w:w="2691" w:type="pct"/>
                <w:tcBorders>
                  <w:top w:val="single" w:sz="6" w:space="0" w:color="000000"/>
                  <w:left w:val="single" w:sz="6" w:space="0" w:color="000000"/>
                  <w:bottom w:val="single" w:sz="6" w:space="0" w:color="FFFFFF"/>
                  <w:right w:val="single" w:sz="6" w:space="0" w:color="FFFFFF"/>
                </w:tcBorders>
              </w:tcPr>
              <w:p w14:paraId="0AFB0626" w14:textId="77777777" w:rsidR="00911155" w:rsidRPr="00E74F3B" w:rsidRDefault="00911155" w:rsidP="004C0500">
                <w:pPr>
                  <w:spacing w:line="163" w:lineRule="atLeast"/>
                  <w:rPr>
                    <w:rFonts w:ascii="Calibri" w:hAnsi="Calibri" w:cs="Calibri"/>
                    <w:color w:val="000000"/>
                    <w:sz w:val="21"/>
                    <w:szCs w:val="21"/>
                  </w:rPr>
                </w:pPr>
              </w:p>
              <w:p w14:paraId="5B279C32"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6</w:t>
                </w:r>
              </w:p>
            </w:tc>
            <w:tc>
              <w:tcPr>
                <w:tcW w:w="565" w:type="pct"/>
                <w:tcBorders>
                  <w:top w:val="single" w:sz="6" w:space="0" w:color="000000"/>
                  <w:left w:val="single" w:sz="6" w:space="0" w:color="000000"/>
                  <w:bottom w:val="single" w:sz="6" w:space="0" w:color="FFFFFF"/>
                  <w:right w:val="single" w:sz="6" w:space="0" w:color="FFFFFF"/>
                </w:tcBorders>
              </w:tcPr>
              <w:p w14:paraId="19A01371" w14:textId="77777777" w:rsidR="00911155" w:rsidRPr="00E74F3B" w:rsidRDefault="00911155" w:rsidP="004C0500">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2D169165" w14:textId="77777777" w:rsidR="00911155" w:rsidRPr="00E74F3B" w:rsidRDefault="00911155" w:rsidP="004C0500">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55D4A422" w14:textId="77777777" w:rsidR="00911155" w:rsidRPr="00E74F3B" w:rsidRDefault="00911155" w:rsidP="004C0500">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59A9A163" w14:textId="77777777" w:rsidR="00911155" w:rsidRPr="00E74F3B" w:rsidRDefault="00911155" w:rsidP="004C0500">
                <w:pPr>
                  <w:spacing w:line="163" w:lineRule="atLeast"/>
                  <w:jc w:val="center"/>
                  <w:rPr>
                    <w:rFonts w:ascii="Calibri" w:hAnsi="Calibri" w:cs="Calibri"/>
                    <w:color w:val="000000"/>
                    <w:sz w:val="21"/>
                    <w:szCs w:val="21"/>
                  </w:rPr>
                </w:pPr>
              </w:p>
              <w:p w14:paraId="5BA14887"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D6</w:t>
                </w:r>
              </w:p>
            </w:tc>
          </w:tr>
          <w:tr w:rsidR="00911155" w:rsidRPr="00B442D7" w14:paraId="29CC7574" w14:textId="77777777" w:rsidTr="004C0500">
            <w:trPr>
              <w:cantSplit/>
            </w:trPr>
            <w:tc>
              <w:tcPr>
                <w:tcW w:w="2691" w:type="pct"/>
                <w:tcBorders>
                  <w:top w:val="single" w:sz="6" w:space="0" w:color="000000"/>
                  <w:left w:val="single" w:sz="6" w:space="0" w:color="000000"/>
                  <w:bottom w:val="single" w:sz="6" w:space="0" w:color="000000"/>
                  <w:right w:val="single" w:sz="6" w:space="0" w:color="FFFFFF"/>
                </w:tcBorders>
              </w:tcPr>
              <w:p w14:paraId="1AEBDC2A" w14:textId="77777777" w:rsidR="00911155" w:rsidRPr="00E74F3B" w:rsidRDefault="00911155" w:rsidP="004C0500">
                <w:pPr>
                  <w:spacing w:line="163" w:lineRule="atLeast"/>
                  <w:rPr>
                    <w:rFonts w:ascii="Calibri" w:hAnsi="Calibri" w:cs="Calibri"/>
                    <w:color w:val="000000"/>
                    <w:sz w:val="21"/>
                    <w:szCs w:val="21"/>
                  </w:rPr>
                </w:pPr>
              </w:p>
              <w:p w14:paraId="6569F6A5"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X</w:t>
                </w:r>
              </w:p>
            </w:tc>
            <w:tc>
              <w:tcPr>
                <w:tcW w:w="565" w:type="pct"/>
                <w:tcBorders>
                  <w:top w:val="single" w:sz="6" w:space="0" w:color="000000"/>
                  <w:left w:val="single" w:sz="6" w:space="0" w:color="000000"/>
                  <w:bottom w:val="single" w:sz="6" w:space="0" w:color="000000"/>
                  <w:right w:val="single" w:sz="6" w:space="0" w:color="FFFFFF"/>
                </w:tcBorders>
              </w:tcPr>
              <w:p w14:paraId="2D280B68" w14:textId="77777777" w:rsidR="00911155" w:rsidRPr="00E74F3B" w:rsidRDefault="00911155" w:rsidP="004C0500">
                <w:pPr>
                  <w:spacing w:line="163" w:lineRule="atLeast"/>
                  <w:jc w:val="center"/>
                  <w:rPr>
                    <w:rFonts w:ascii="Calibri" w:hAnsi="Calibri" w:cs="Calibri"/>
                    <w:color w:val="000000"/>
                    <w:sz w:val="21"/>
                    <w:szCs w:val="21"/>
                  </w:rPr>
                </w:pPr>
              </w:p>
              <w:p w14:paraId="744A6B19"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AX</w:t>
                </w:r>
              </w:p>
            </w:tc>
            <w:tc>
              <w:tcPr>
                <w:tcW w:w="565" w:type="pct"/>
                <w:tcBorders>
                  <w:top w:val="single" w:sz="6" w:space="0" w:color="000000"/>
                  <w:left w:val="single" w:sz="6" w:space="0" w:color="000000"/>
                  <w:bottom w:val="single" w:sz="6" w:space="0" w:color="000000"/>
                  <w:right w:val="single" w:sz="6" w:space="0" w:color="FFFFFF"/>
                </w:tcBorders>
              </w:tcPr>
              <w:p w14:paraId="65FB8183" w14:textId="77777777" w:rsidR="00911155" w:rsidRPr="00E74F3B" w:rsidRDefault="00911155" w:rsidP="004C0500">
                <w:pPr>
                  <w:spacing w:line="163" w:lineRule="atLeast"/>
                  <w:jc w:val="center"/>
                  <w:rPr>
                    <w:rFonts w:ascii="Calibri" w:hAnsi="Calibri" w:cs="Calibri"/>
                    <w:color w:val="000000"/>
                    <w:sz w:val="21"/>
                    <w:szCs w:val="21"/>
                  </w:rPr>
                </w:pPr>
              </w:p>
              <w:p w14:paraId="7CA459ED"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BX</w:t>
                </w:r>
              </w:p>
            </w:tc>
            <w:tc>
              <w:tcPr>
                <w:tcW w:w="589" w:type="pct"/>
                <w:tcBorders>
                  <w:top w:val="single" w:sz="6" w:space="0" w:color="000000"/>
                  <w:left w:val="single" w:sz="6" w:space="0" w:color="000000"/>
                  <w:bottom w:val="single" w:sz="6" w:space="0" w:color="000000"/>
                  <w:right w:val="single" w:sz="6" w:space="0" w:color="FFFFFF"/>
                </w:tcBorders>
              </w:tcPr>
              <w:p w14:paraId="481AC30C" w14:textId="77777777" w:rsidR="00911155" w:rsidRPr="00E74F3B" w:rsidRDefault="00911155" w:rsidP="004C0500">
                <w:pPr>
                  <w:spacing w:line="163" w:lineRule="atLeast"/>
                  <w:jc w:val="center"/>
                  <w:rPr>
                    <w:rFonts w:ascii="Calibri" w:hAnsi="Calibri" w:cs="Calibri"/>
                    <w:color w:val="000000"/>
                    <w:sz w:val="21"/>
                    <w:szCs w:val="21"/>
                  </w:rPr>
                </w:pPr>
              </w:p>
              <w:p w14:paraId="45B97734"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CX</w:t>
                </w:r>
              </w:p>
            </w:tc>
            <w:tc>
              <w:tcPr>
                <w:tcW w:w="590" w:type="pct"/>
                <w:tcBorders>
                  <w:top w:val="single" w:sz="6" w:space="0" w:color="000000"/>
                  <w:left w:val="single" w:sz="6" w:space="0" w:color="000000"/>
                  <w:bottom w:val="single" w:sz="6" w:space="0" w:color="000000"/>
                  <w:right w:val="single" w:sz="6" w:space="0" w:color="000000"/>
                </w:tcBorders>
              </w:tcPr>
              <w:p w14:paraId="771EE98B" w14:textId="77777777" w:rsidR="00911155" w:rsidRPr="00E74F3B" w:rsidRDefault="00911155" w:rsidP="004C0500">
                <w:pPr>
                  <w:spacing w:line="163" w:lineRule="atLeast"/>
                  <w:jc w:val="center"/>
                  <w:rPr>
                    <w:rFonts w:ascii="Calibri" w:hAnsi="Calibri" w:cs="Calibri"/>
                    <w:color w:val="000000"/>
                    <w:sz w:val="21"/>
                    <w:szCs w:val="21"/>
                  </w:rPr>
                </w:pPr>
              </w:p>
              <w:p w14:paraId="77F269A9" w14:textId="77777777" w:rsidR="00911155" w:rsidRPr="00E74F3B" w:rsidRDefault="00911155" w:rsidP="004C0500">
                <w:pPr>
                  <w:jc w:val="center"/>
                  <w:rPr>
                    <w:rFonts w:ascii="Calibri" w:hAnsi="Calibri" w:cs="Calibri"/>
                    <w:color w:val="000000"/>
                    <w:sz w:val="21"/>
                    <w:szCs w:val="21"/>
                  </w:rPr>
                </w:pPr>
                <w:r w:rsidRPr="00E74F3B">
                  <w:rPr>
                    <w:rFonts w:ascii="Calibri" w:hAnsi="Calibri" w:cs="Calibri"/>
                    <w:color w:val="000000"/>
                    <w:sz w:val="21"/>
                    <w:szCs w:val="21"/>
                  </w:rPr>
                  <w:t>DX</w:t>
                </w:r>
              </w:p>
            </w:tc>
          </w:tr>
        </w:tbl>
        <w:p w14:paraId="23C29CC3" w14:textId="77777777" w:rsidR="00911155" w:rsidRPr="00B442D7" w:rsidRDefault="00911155" w:rsidP="00911155">
          <w:pPr>
            <w:jc w:val="both"/>
            <w:rPr>
              <w:rFonts w:ascii="Calibri" w:eastAsia="Calibri" w:hAnsi="Calibri" w:cs="Calibri"/>
              <w:lang w:val="en-GB"/>
            </w:rPr>
          </w:pPr>
        </w:p>
        <w:p w14:paraId="7C04B276" w14:textId="77777777" w:rsidR="00911155" w:rsidRPr="003E3FE8" w:rsidRDefault="00911155" w:rsidP="00911155">
          <w:pPr>
            <w:pStyle w:val="Bodynumbercopy"/>
            <w:spacing w:line="240" w:lineRule="auto"/>
            <w:rPr>
              <w:rFonts w:eastAsia="Calibri"/>
              <w:lang w:val="en-GB"/>
            </w:rPr>
          </w:pPr>
          <w:r w:rsidRPr="00B442D7">
            <w:rPr>
              <w:rFonts w:eastAsia="Calibri"/>
              <w:lang w:val="en-GB"/>
            </w:rPr>
            <w:t>As shown in the table above, certain reliability and accuracy band combinations are considered to be incompatible – for example, D1 or D2.</w:t>
          </w:r>
        </w:p>
        <w:p w14:paraId="39BABE21" w14:textId="77777777" w:rsidR="0028011B" w:rsidRDefault="00911155" w:rsidP="0028011B">
          <w:pPr>
            <w:pStyle w:val="Bodynumbercopy"/>
            <w:spacing w:line="240" w:lineRule="auto"/>
            <w:rPr>
              <w:rFonts w:eastAsia="Calibri"/>
              <w:lang w:val="en-GB"/>
            </w:rPr>
          </w:pPr>
          <w:r w:rsidRPr="00B442D7">
            <w:rPr>
              <w:rFonts w:eastAsia="Calibri"/>
              <w:lang w:val="en-GB"/>
            </w:rPr>
            <w:t>When selecting a confidence grade from the drop-down boxes provided in the template, it would be appreciated if each Local Authority could add explanatory comments for responses with lower confidence levels in the Comments field.</w:t>
          </w:r>
        </w:p>
        <w:p w14:paraId="59457A9A" w14:textId="7DA12C47" w:rsidR="0028011B" w:rsidRDefault="0028011B" w:rsidP="0028011B">
          <w:pPr>
            <w:pStyle w:val="Title1"/>
          </w:pPr>
          <w:r>
            <w:lastRenderedPageBreak/>
            <w:t xml:space="preserve">GLOSSARY </w:t>
          </w:r>
        </w:p>
        <w:tbl>
          <w:tblPr>
            <w:tblStyle w:val="GridTable1Light"/>
            <w:tblW w:w="0" w:type="auto"/>
            <w:tblLook w:val="04A0" w:firstRow="1" w:lastRow="0" w:firstColumn="1" w:lastColumn="0" w:noHBand="0" w:noVBand="1"/>
          </w:tblPr>
          <w:tblGrid>
            <w:gridCol w:w="1682"/>
            <w:gridCol w:w="5876"/>
          </w:tblGrid>
          <w:tr w:rsidR="0028011B" w:rsidRPr="00FE0B30" w14:paraId="0A89F896" w14:textId="77777777" w:rsidTr="00946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14:paraId="3C16B42B" w14:textId="77777777" w:rsidR="0028011B" w:rsidRPr="00FE0B30" w:rsidRDefault="0028011B" w:rsidP="009462FC">
                <w:pPr>
                  <w:rPr>
                    <w:rFonts w:asciiTheme="minorHAnsi" w:hAnsiTheme="minorHAnsi" w:cstheme="minorHAnsi"/>
                  </w:rPr>
                </w:pPr>
                <w:r w:rsidRPr="00FE0B30">
                  <w:rPr>
                    <w:rFonts w:asciiTheme="minorHAnsi" w:hAnsiTheme="minorHAnsi" w:cstheme="minorHAnsi"/>
                  </w:rPr>
                  <w:t>Term</w:t>
                </w:r>
              </w:p>
            </w:tc>
            <w:tc>
              <w:tcPr>
                <w:tcW w:w="5876" w:type="dxa"/>
              </w:tcPr>
              <w:p w14:paraId="4E0AAC8A" w14:textId="77777777" w:rsidR="0028011B" w:rsidRPr="00FE0B30" w:rsidRDefault="0028011B" w:rsidP="009462F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Description</w:t>
                </w:r>
              </w:p>
            </w:tc>
          </w:tr>
          <w:tr w:rsidR="0028011B" w:rsidRPr="00FE0B30" w14:paraId="5AE538A4"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6A124CC9" w14:textId="77777777" w:rsidR="0028011B" w:rsidRPr="00C45200" w:rsidRDefault="0028011B" w:rsidP="009462FC">
                <w:pPr>
                  <w:rPr>
                    <w:rFonts w:asciiTheme="minorHAnsi" w:hAnsiTheme="minorHAnsi" w:cstheme="minorHAnsi"/>
                    <w:b w:val="0"/>
                    <w:bCs w:val="0"/>
                  </w:rPr>
                </w:pPr>
                <w:r w:rsidRPr="00C45200">
                  <w:rPr>
                    <w:rFonts w:asciiTheme="minorHAnsi" w:hAnsiTheme="minorHAnsi" w:cstheme="minorHAnsi"/>
                    <w:b w:val="0"/>
                    <w:bCs w:val="0"/>
                  </w:rPr>
                  <w:t>m.s.t</w:t>
                </w:r>
              </w:p>
            </w:tc>
            <w:tc>
              <w:tcPr>
                <w:tcW w:w="5876" w:type="dxa"/>
              </w:tcPr>
              <w:p w14:paraId="5B18A0FF" w14:textId="77777777" w:rsidR="0028011B" w:rsidRPr="00FE0B30"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Main stop </w:t>
                </w:r>
                <w:proofErr w:type="gramStart"/>
                <w:r>
                  <w:rPr>
                    <w:rFonts w:asciiTheme="minorHAnsi" w:hAnsiTheme="minorHAnsi" w:cstheme="minorHAnsi"/>
                  </w:rPr>
                  <w:t>tap</w:t>
                </w:r>
                <w:proofErr w:type="gramEnd"/>
              </w:p>
            </w:tc>
          </w:tr>
          <w:tr w:rsidR="0028011B" w:rsidRPr="00FE0B30" w14:paraId="3E92A416"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26BADBE6" w14:textId="77777777" w:rsidR="0028011B" w:rsidRPr="00C45200" w:rsidRDefault="0028011B" w:rsidP="009462FC">
                <w:pPr>
                  <w:rPr>
                    <w:rFonts w:asciiTheme="minorHAnsi" w:hAnsiTheme="minorHAnsi" w:cstheme="minorHAnsi"/>
                    <w:b w:val="0"/>
                    <w:bCs w:val="0"/>
                  </w:rPr>
                </w:pPr>
                <w:r w:rsidRPr="00C45200">
                  <w:rPr>
                    <w:rFonts w:asciiTheme="minorHAnsi" w:hAnsiTheme="minorHAnsi" w:cstheme="minorHAnsi"/>
                    <w:b w:val="0"/>
                    <w:bCs w:val="0"/>
                  </w:rPr>
                  <w:t>Nr</w:t>
                </w:r>
              </w:p>
            </w:tc>
            <w:tc>
              <w:tcPr>
                <w:tcW w:w="5876" w:type="dxa"/>
              </w:tcPr>
              <w:p w14:paraId="6992C4BE" w14:textId="77777777" w:rsid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Number</w:t>
                </w:r>
              </w:p>
            </w:tc>
          </w:tr>
          <w:tr w:rsidR="0028011B" w:rsidRPr="00FE0B30" w14:paraId="12CFB500"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1AADAB86" w14:textId="77777777" w:rsidR="0028011B" w:rsidRPr="00C45200" w:rsidRDefault="0028011B" w:rsidP="009462FC">
                <w:pPr>
                  <w:rPr>
                    <w:rFonts w:asciiTheme="minorHAnsi" w:hAnsiTheme="minorHAnsi" w:cstheme="minorHAnsi"/>
                    <w:b w:val="0"/>
                    <w:bCs w:val="0"/>
                  </w:rPr>
                </w:pPr>
                <w:r>
                  <w:rPr>
                    <w:rFonts w:asciiTheme="minorHAnsi" w:hAnsiTheme="minorHAnsi" w:cstheme="minorHAnsi"/>
                    <w:b w:val="0"/>
                    <w:bCs w:val="0"/>
                  </w:rPr>
                  <w:t>PRV</w:t>
                </w:r>
              </w:p>
            </w:tc>
            <w:tc>
              <w:tcPr>
                <w:tcW w:w="5876" w:type="dxa"/>
              </w:tcPr>
              <w:p w14:paraId="1399EAC1" w14:textId="77777777" w:rsid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Pressure Relief Valve</w:t>
                </w:r>
              </w:p>
            </w:tc>
          </w:tr>
          <w:tr w:rsidR="0028011B" w:rsidRPr="00FE0B30" w14:paraId="04238012"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455F6E08" w14:textId="77777777" w:rsidR="0028011B" w:rsidRPr="00C45200" w:rsidRDefault="0028011B" w:rsidP="009462FC">
                <w:pPr>
                  <w:rPr>
                    <w:rFonts w:asciiTheme="minorHAnsi" w:hAnsiTheme="minorHAnsi" w:cstheme="minorHAnsi"/>
                    <w:b w:val="0"/>
                    <w:bCs w:val="0"/>
                  </w:rPr>
                </w:pPr>
                <w:r w:rsidRPr="00C45200">
                  <w:rPr>
                    <w:rFonts w:asciiTheme="minorHAnsi" w:hAnsiTheme="minorHAnsi" w:cstheme="minorHAnsi"/>
                    <w:b w:val="0"/>
                    <w:bCs w:val="0"/>
                  </w:rPr>
                  <w:t>l/min</w:t>
                </w:r>
              </w:p>
            </w:tc>
            <w:tc>
              <w:tcPr>
                <w:tcW w:w="5876" w:type="dxa"/>
              </w:tcPr>
              <w:p w14:paraId="790D091C" w14:textId="77777777" w:rsid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Litres per minute</w:t>
                </w:r>
              </w:p>
            </w:tc>
          </w:tr>
          <w:tr w:rsidR="0028011B" w:rsidRPr="00FE0B30" w14:paraId="711C51E2"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60F4E09E" w14:textId="77777777" w:rsidR="0028011B" w:rsidRPr="00C45200" w:rsidRDefault="0028011B" w:rsidP="009462FC">
                <w:pPr>
                  <w:rPr>
                    <w:rFonts w:asciiTheme="minorHAnsi" w:hAnsiTheme="minorHAnsi" w:cstheme="minorHAnsi"/>
                    <w:b w:val="0"/>
                    <w:bCs w:val="0"/>
                  </w:rPr>
                </w:pPr>
                <w:r w:rsidRPr="00C45200">
                  <w:rPr>
                    <w:rFonts w:asciiTheme="minorHAnsi" w:hAnsiTheme="minorHAnsi" w:cstheme="minorHAnsi"/>
                    <w:b w:val="0"/>
                    <w:bCs w:val="0"/>
                  </w:rPr>
                  <w:t>DI</w:t>
                </w:r>
              </w:p>
            </w:tc>
            <w:tc>
              <w:tcPr>
                <w:tcW w:w="5876" w:type="dxa"/>
              </w:tcPr>
              <w:p w14:paraId="2D5A0270" w14:textId="77777777" w:rsidR="0028011B" w:rsidRPr="00FE0B30"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0B30">
                  <w:rPr>
                    <w:rFonts w:asciiTheme="minorHAnsi" w:hAnsiTheme="minorHAnsi" w:cstheme="minorHAnsi"/>
                  </w:rPr>
                  <w:t>Distribution</w:t>
                </w:r>
                <w:r>
                  <w:rPr>
                    <w:rFonts w:asciiTheme="minorHAnsi" w:hAnsiTheme="minorHAnsi" w:cstheme="minorHAnsi"/>
                  </w:rPr>
                  <w:t xml:space="preserve"> Input</w:t>
                </w:r>
                <w:r w:rsidRPr="00FE0B30">
                  <w:rPr>
                    <w:rFonts w:asciiTheme="minorHAnsi" w:hAnsiTheme="minorHAnsi" w:cstheme="minorHAnsi"/>
                  </w:rPr>
                  <w:t xml:space="preserve"> </w:t>
                </w:r>
              </w:p>
            </w:tc>
          </w:tr>
          <w:tr w:rsidR="0028011B" w:rsidRPr="00FE0B30" w14:paraId="76F50571"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667E4B14" w14:textId="77777777" w:rsidR="0028011B" w:rsidRPr="00C45200" w:rsidRDefault="0028011B" w:rsidP="009462FC">
                <w:pPr>
                  <w:rPr>
                    <w:rFonts w:asciiTheme="minorHAnsi" w:hAnsiTheme="minorHAnsi" w:cstheme="minorHAnsi"/>
                    <w:b w:val="0"/>
                    <w:bCs w:val="0"/>
                  </w:rPr>
                </w:pPr>
                <w:proofErr w:type="spellStart"/>
                <w:r w:rsidRPr="00C45200">
                  <w:rPr>
                    <w:rFonts w:asciiTheme="minorHAnsi" w:hAnsiTheme="minorHAnsi" w:cstheme="minorHAnsi"/>
                    <w:b w:val="0"/>
                    <w:bCs w:val="0"/>
                  </w:rPr>
                  <w:t>Ml</w:t>
                </w:r>
                <w:proofErr w:type="spellEnd"/>
                <w:r w:rsidRPr="00C45200">
                  <w:rPr>
                    <w:rFonts w:asciiTheme="minorHAnsi" w:hAnsiTheme="minorHAnsi" w:cstheme="minorHAnsi"/>
                    <w:b w:val="0"/>
                    <w:bCs w:val="0"/>
                  </w:rPr>
                  <w:t>/d</w:t>
                </w:r>
              </w:p>
            </w:tc>
            <w:tc>
              <w:tcPr>
                <w:tcW w:w="5876" w:type="dxa"/>
              </w:tcPr>
              <w:p w14:paraId="16132166" w14:textId="77777777" w:rsid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Megalitres per day (thousand m</w:t>
                </w:r>
                <w:r w:rsidRPr="0028011B">
                  <w:rPr>
                    <w:rFonts w:asciiTheme="minorHAnsi" w:hAnsiTheme="minorHAnsi" w:cstheme="minorHAnsi"/>
                    <w:vertAlign w:val="superscript"/>
                  </w:rPr>
                  <w:t>3</w:t>
                </w:r>
                <w:r>
                  <w:rPr>
                    <w:rFonts w:asciiTheme="minorHAnsi" w:hAnsiTheme="minorHAnsi" w:cstheme="minorHAnsi"/>
                  </w:rPr>
                  <w:t xml:space="preserve"> per day)</w:t>
                </w:r>
              </w:p>
            </w:tc>
          </w:tr>
          <w:tr w:rsidR="0028011B" w:rsidRPr="00FE0B30" w14:paraId="23690B5E"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30DEB384" w14:textId="77777777" w:rsidR="0028011B" w:rsidRPr="00C45200" w:rsidRDefault="0028011B" w:rsidP="009462FC">
                <w:pPr>
                  <w:rPr>
                    <w:rFonts w:asciiTheme="minorHAnsi" w:hAnsiTheme="minorHAnsi" w:cstheme="minorHAnsi"/>
                    <w:b w:val="0"/>
                    <w:bCs w:val="0"/>
                  </w:rPr>
                </w:pPr>
                <w:r w:rsidRPr="00C45200">
                  <w:rPr>
                    <w:rFonts w:asciiTheme="minorHAnsi" w:hAnsiTheme="minorHAnsi" w:cstheme="minorHAnsi"/>
                    <w:b w:val="0"/>
                    <w:bCs w:val="0"/>
                  </w:rPr>
                  <w:t>95%ile</w:t>
                </w:r>
              </w:p>
            </w:tc>
            <w:tc>
              <w:tcPr>
                <w:tcW w:w="5876" w:type="dxa"/>
              </w:tcPr>
              <w:p w14:paraId="6A99A558" w14:textId="77777777" w:rsid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95% percentile</w:t>
                </w:r>
              </w:p>
            </w:tc>
          </w:tr>
          <w:tr w:rsidR="0028011B" w:rsidRPr="00FE0B30" w14:paraId="50AA1674"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0FE5EC4B" w14:textId="77777777" w:rsidR="0028011B" w:rsidRPr="0028011B" w:rsidRDefault="0028011B" w:rsidP="009462FC">
                <w:pPr>
                  <w:rPr>
                    <w:rFonts w:asciiTheme="minorHAnsi" w:hAnsiTheme="minorHAnsi" w:cstheme="minorHAnsi"/>
                    <w:b w:val="0"/>
                    <w:bCs w:val="0"/>
                  </w:rPr>
                </w:pPr>
                <w:r w:rsidRPr="0028011B">
                  <w:rPr>
                    <w:rFonts w:asciiTheme="minorHAnsi" w:hAnsiTheme="minorHAnsi" w:cstheme="minorHAnsi"/>
                    <w:b w:val="0"/>
                    <w:bCs w:val="0"/>
                  </w:rPr>
                  <w:t>WAFU</w:t>
                </w:r>
              </w:p>
            </w:tc>
            <w:tc>
              <w:tcPr>
                <w:tcW w:w="5876" w:type="dxa"/>
              </w:tcPr>
              <w:p w14:paraId="02A6B63E" w14:textId="77777777" w:rsidR="0028011B" w:rsidRP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8011B">
                  <w:rPr>
                    <w:rFonts w:asciiTheme="minorHAnsi" w:hAnsiTheme="minorHAnsi" w:cstheme="minorHAnsi"/>
                  </w:rPr>
                  <w:t>Water Available for Use</w:t>
                </w:r>
              </w:p>
            </w:tc>
          </w:tr>
          <w:tr w:rsidR="0028011B" w:rsidRPr="00FE0B30" w14:paraId="72C310E4"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282C473F" w14:textId="77777777" w:rsidR="0028011B" w:rsidRPr="00C45200" w:rsidRDefault="0028011B" w:rsidP="009462FC">
                <w:pPr>
                  <w:rPr>
                    <w:rFonts w:asciiTheme="minorHAnsi" w:hAnsiTheme="minorHAnsi" w:cstheme="minorHAnsi"/>
                    <w:b w:val="0"/>
                    <w:bCs w:val="0"/>
                  </w:rPr>
                </w:pPr>
                <w:r w:rsidRPr="00C45200">
                  <w:rPr>
                    <w:rFonts w:asciiTheme="minorHAnsi" w:hAnsiTheme="minorHAnsi" w:cstheme="minorHAnsi"/>
                    <w:b w:val="0"/>
                    <w:bCs w:val="0"/>
                  </w:rPr>
                  <w:t>WT</w:t>
                </w:r>
                <w:r>
                  <w:rPr>
                    <w:rFonts w:asciiTheme="minorHAnsi" w:hAnsiTheme="minorHAnsi" w:cstheme="minorHAnsi"/>
                    <w:b w:val="0"/>
                    <w:bCs w:val="0"/>
                  </w:rPr>
                  <w:t>Ps</w:t>
                </w:r>
              </w:p>
            </w:tc>
            <w:tc>
              <w:tcPr>
                <w:tcW w:w="5876" w:type="dxa"/>
              </w:tcPr>
              <w:p w14:paraId="45B603F8" w14:textId="77777777" w:rsid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Water treatment plants</w:t>
                </w:r>
              </w:p>
            </w:tc>
          </w:tr>
          <w:tr w:rsidR="0028011B" w:rsidRPr="00FE0B30" w14:paraId="2E127F19"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406BE5D3" w14:textId="77777777" w:rsidR="0028011B" w:rsidRPr="00A12D8A" w:rsidRDefault="0028011B" w:rsidP="009462FC">
                <w:pPr>
                  <w:rPr>
                    <w:rFonts w:asciiTheme="minorHAnsi" w:hAnsiTheme="minorHAnsi" w:cstheme="minorHAnsi"/>
                    <w:b w:val="0"/>
                    <w:bCs w:val="0"/>
                  </w:rPr>
                </w:pPr>
                <w:r w:rsidRPr="00A12D8A">
                  <w:rPr>
                    <w:rFonts w:asciiTheme="minorHAnsi" w:hAnsiTheme="minorHAnsi" w:cstheme="minorHAnsi"/>
                    <w:b w:val="0"/>
                    <w:bCs w:val="0"/>
                  </w:rPr>
                  <w:t>WWTP</w:t>
                </w:r>
                <w:r>
                  <w:rPr>
                    <w:rFonts w:asciiTheme="minorHAnsi" w:hAnsiTheme="minorHAnsi" w:cstheme="minorHAnsi"/>
                    <w:b w:val="0"/>
                    <w:bCs w:val="0"/>
                  </w:rPr>
                  <w:t>s</w:t>
                </w:r>
              </w:p>
            </w:tc>
            <w:tc>
              <w:tcPr>
                <w:tcW w:w="5876" w:type="dxa"/>
              </w:tcPr>
              <w:p w14:paraId="065CB82E" w14:textId="77777777" w:rsid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Wastewater treatment plants</w:t>
                </w:r>
              </w:p>
            </w:tc>
          </w:tr>
          <w:tr w:rsidR="0028011B" w:rsidRPr="00FE0B30" w14:paraId="6C1144E3"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16A2B960" w14:textId="77777777" w:rsidR="0028011B" w:rsidRPr="00C45200" w:rsidRDefault="0028011B" w:rsidP="009462FC">
                <w:pPr>
                  <w:rPr>
                    <w:rFonts w:asciiTheme="minorHAnsi" w:hAnsiTheme="minorHAnsi" w:cstheme="minorHAnsi"/>
                    <w:b w:val="0"/>
                    <w:bCs w:val="0"/>
                  </w:rPr>
                </w:pPr>
                <w:proofErr w:type="spellStart"/>
                <w:r w:rsidRPr="00C45200">
                  <w:rPr>
                    <w:rFonts w:asciiTheme="minorHAnsi" w:hAnsiTheme="minorHAnsi" w:cstheme="minorHAnsi"/>
                    <w:b w:val="0"/>
                    <w:bCs w:val="0"/>
                  </w:rPr>
                  <w:t>Opex</w:t>
                </w:r>
                <w:proofErr w:type="spellEnd"/>
              </w:p>
            </w:tc>
            <w:tc>
              <w:tcPr>
                <w:tcW w:w="5876" w:type="dxa"/>
              </w:tcPr>
              <w:p w14:paraId="7BAE62CD" w14:textId="77777777" w:rsidR="0028011B" w:rsidRPr="00FE0B30"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Operating expenditure</w:t>
                </w:r>
              </w:p>
            </w:tc>
          </w:tr>
          <w:tr w:rsidR="0028011B" w:rsidRPr="00FE0B30" w14:paraId="4B21A582"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6D8CA063" w14:textId="77777777" w:rsidR="0028011B" w:rsidRPr="00C45200" w:rsidRDefault="0028011B" w:rsidP="009462FC">
                <w:pPr>
                  <w:rPr>
                    <w:rFonts w:asciiTheme="minorHAnsi" w:hAnsiTheme="minorHAnsi" w:cstheme="minorHAnsi"/>
                    <w:b w:val="0"/>
                    <w:bCs w:val="0"/>
                  </w:rPr>
                </w:pPr>
                <w:r w:rsidRPr="00C45200">
                  <w:rPr>
                    <w:rFonts w:asciiTheme="minorHAnsi" w:hAnsiTheme="minorHAnsi" w:cstheme="minorHAnsi"/>
                    <w:b w:val="0"/>
                    <w:bCs w:val="0"/>
                  </w:rPr>
                  <w:t>Capex</w:t>
                </w:r>
              </w:p>
            </w:tc>
            <w:tc>
              <w:tcPr>
                <w:tcW w:w="5876" w:type="dxa"/>
              </w:tcPr>
              <w:p w14:paraId="46F1F3C5" w14:textId="77777777" w:rsidR="0028011B" w:rsidRPr="00FE0B30"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Capital expenditure</w:t>
                </w:r>
              </w:p>
            </w:tc>
          </w:tr>
          <w:tr w:rsidR="0028011B" w:rsidRPr="00FE0B30" w14:paraId="77FAF932"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64D73701" w14:textId="77777777" w:rsidR="0028011B" w:rsidRPr="00C45200" w:rsidRDefault="0028011B" w:rsidP="009462FC">
                <w:pPr>
                  <w:rPr>
                    <w:rFonts w:asciiTheme="minorHAnsi" w:hAnsiTheme="minorHAnsi" w:cstheme="minorHAnsi"/>
                    <w:b w:val="0"/>
                    <w:bCs w:val="0"/>
                  </w:rPr>
                </w:pPr>
                <w:proofErr w:type="spellStart"/>
                <w:r>
                  <w:rPr>
                    <w:rFonts w:asciiTheme="minorHAnsi" w:hAnsiTheme="minorHAnsi" w:cstheme="minorHAnsi"/>
                    <w:b w:val="0"/>
                    <w:bCs w:val="0"/>
                  </w:rPr>
                  <w:t>NZ$m</w:t>
                </w:r>
                <w:proofErr w:type="spellEnd"/>
                <w:r>
                  <w:rPr>
                    <w:rFonts w:asciiTheme="minorHAnsi" w:hAnsiTheme="minorHAnsi" w:cstheme="minorHAnsi"/>
                    <w:b w:val="0"/>
                    <w:bCs w:val="0"/>
                  </w:rPr>
                  <w:t>/prop</w:t>
                </w:r>
              </w:p>
            </w:tc>
            <w:tc>
              <w:tcPr>
                <w:tcW w:w="5876" w:type="dxa"/>
              </w:tcPr>
              <w:p w14:paraId="2F6605D8" w14:textId="77777777" w:rsid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Million NZ$ per property</w:t>
                </w:r>
              </w:p>
            </w:tc>
          </w:tr>
          <w:tr w:rsidR="0028011B" w:rsidRPr="00FE0B30" w14:paraId="6862A67E" w14:textId="77777777" w:rsidTr="009462FC">
            <w:tc>
              <w:tcPr>
                <w:cnfStyle w:val="001000000000" w:firstRow="0" w:lastRow="0" w:firstColumn="1" w:lastColumn="0" w:oddVBand="0" w:evenVBand="0" w:oddHBand="0" w:evenHBand="0" w:firstRowFirstColumn="0" w:firstRowLastColumn="0" w:lastRowFirstColumn="0" w:lastRowLastColumn="0"/>
                <w:tcW w:w="1682" w:type="dxa"/>
              </w:tcPr>
              <w:p w14:paraId="7236E92C" w14:textId="77777777" w:rsidR="0028011B" w:rsidRPr="00C45200" w:rsidRDefault="0028011B" w:rsidP="009462FC">
                <w:pPr>
                  <w:rPr>
                    <w:rFonts w:asciiTheme="minorHAnsi" w:hAnsiTheme="minorHAnsi" w:cstheme="minorHAnsi"/>
                    <w:b w:val="0"/>
                    <w:bCs w:val="0"/>
                  </w:rPr>
                </w:pPr>
                <w:r w:rsidRPr="00C45200">
                  <w:rPr>
                    <w:rFonts w:asciiTheme="minorHAnsi" w:hAnsiTheme="minorHAnsi" w:cstheme="minorHAnsi"/>
                    <w:b w:val="0"/>
                    <w:bCs w:val="0"/>
                  </w:rPr>
                  <w:t>SOSI</w:t>
                </w:r>
              </w:p>
            </w:tc>
            <w:tc>
              <w:tcPr>
                <w:tcW w:w="5876" w:type="dxa"/>
              </w:tcPr>
              <w:p w14:paraId="3F9C407C" w14:textId="77777777" w:rsidR="0028011B" w:rsidRDefault="0028011B" w:rsidP="009462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Security of Supply Index</w:t>
                </w:r>
              </w:p>
            </w:tc>
          </w:tr>
        </w:tbl>
        <w:p w14:paraId="3D110284" w14:textId="0439D55B" w:rsidR="00574567" w:rsidRPr="0028011B" w:rsidRDefault="00734FEA" w:rsidP="0028011B">
          <w:pPr>
            <w:pStyle w:val="Bodynumbercopy"/>
            <w:numPr>
              <w:ilvl w:val="0"/>
              <w:numId w:val="0"/>
            </w:numPr>
            <w:spacing w:line="240" w:lineRule="auto"/>
            <w:ind w:left="780" w:hanging="420"/>
            <w:rPr>
              <w:rFonts w:eastAsia="Calibri"/>
              <w:lang w:val="en-GB"/>
            </w:rPr>
          </w:pPr>
        </w:p>
      </w:sdtContent>
    </w:sdt>
    <w:p w14:paraId="27EB624E" w14:textId="77777777" w:rsidR="006472BD" w:rsidRDefault="006472BD">
      <w:pPr>
        <w:spacing w:after="160" w:line="259" w:lineRule="auto"/>
        <w:rPr>
          <w:rFonts w:ascii="Segoe UI" w:hAnsi="Segoe UI" w:cs="Segoe UI"/>
          <w:b/>
          <w:bCs/>
          <w:color w:val="03B2C4"/>
          <w:sz w:val="36"/>
          <w:szCs w:val="36"/>
        </w:rPr>
      </w:pPr>
      <w:r>
        <w:br w:type="page"/>
      </w:r>
    </w:p>
    <w:p w14:paraId="05C12BC7" w14:textId="5F90A44D" w:rsidR="00BE4543" w:rsidRDefault="00BE4543" w:rsidP="00F53F03">
      <w:pPr>
        <w:pStyle w:val="Title1"/>
      </w:pPr>
      <w:r>
        <w:lastRenderedPageBreak/>
        <w:t xml:space="preserve">TABLE B1: </w:t>
      </w:r>
      <w:r w:rsidR="00E158E1">
        <w:t>WATER AVAILABILITY</w:t>
      </w:r>
    </w:p>
    <w:p w14:paraId="74C9E771" w14:textId="1D41D8A0" w:rsidR="0082334E" w:rsidRDefault="00BE4543" w:rsidP="00B60D09">
      <w:pPr>
        <w:pStyle w:val="Bodynumbercopy"/>
        <w:numPr>
          <w:ilvl w:val="0"/>
          <w:numId w:val="58"/>
        </w:numPr>
      </w:pPr>
      <w:r w:rsidRPr="001E7C7A">
        <w:t xml:space="preserve">This table </w:t>
      </w:r>
      <w:r w:rsidR="003D1395">
        <w:t xml:space="preserve">focuses on drinking water (wastewater and stormwater are covered in later sections). In particular, it </w:t>
      </w:r>
      <w:r w:rsidRPr="001E7C7A">
        <w:t xml:space="preserve">is concerned with the availability of water within each water </w:t>
      </w:r>
      <w:r w:rsidR="000B56A4">
        <w:t>resource</w:t>
      </w:r>
      <w:r w:rsidR="000B56A4" w:rsidRPr="001E7C7A">
        <w:t xml:space="preserve"> </w:t>
      </w:r>
      <w:r w:rsidRPr="001E7C7A">
        <w:t xml:space="preserve">area. </w:t>
      </w:r>
    </w:p>
    <w:p w14:paraId="5C8E34F1" w14:textId="4A9BCC03" w:rsidR="0082334E" w:rsidRDefault="0082334E" w:rsidP="0082334E">
      <w:pPr>
        <w:pStyle w:val="Bodynumbercopy"/>
      </w:pPr>
      <w:r>
        <w:t xml:space="preserve">For ease of reporting the </w:t>
      </w:r>
      <w:r w:rsidR="00906346">
        <w:t>Local</w:t>
      </w:r>
      <w:r>
        <w:t xml:space="preserve"> Authority is asked to report total figures. However, if data &gt; 0 is entered </w:t>
      </w:r>
      <w:r w:rsidR="00DB246F">
        <w:t xml:space="preserve">in </w:t>
      </w:r>
      <w:r>
        <w:t>lines B1.2 and B1.3</w:t>
      </w:r>
      <w:r w:rsidR="00DB246F">
        <w:t>,</w:t>
      </w:r>
      <w:r>
        <w:t xml:space="preserve"> the </w:t>
      </w:r>
      <w:r w:rsidR="00906346">
        <w:t>Local</w:t>
      </w:r>
      <w:r>
        <w:t xml:space="preserve"> Authority is requested to provide a more detailed breakdown in their commentaries. Specific requirements are given in the line definitions.</w:t>
      </w:r>
    </w:p>
    <w:p w14:paraId="5EB9169B" w14:textId="7CCFE8DC" w:rsidR="00BE4543" w:rsidRDefault="0082334E" w:rsidP="0082334E">
      <w:pPr>
        <w:pStyle w:val="Bodynumbercopy"/>
      </w:pPr>
      <w:r>
        <w:t>In lines B1.2 to B1.4 and B1.6 to B1.8 headroom calculations are required.  The terms used in the line definitions are explained here:</w:t>
      </w:r>
    </w:p>
    <w:p w14:paraId="689C526A" w14:textId="77777777" w:rsidR="00DA5C28" w:rsidRDefault="00DA5C28" w:rsidP="00DA5C28">
      <w:pPr>
        <w:pStyle w:val="Sectionsub-heading"/>
      </w:pPr>
      <w:r>
        <w:t>Headroom</w:t>
      </w:r>
    </w:p>
    <w:p w14:paraId="501291E3" w14:textId="77777777" w:rsidR="00DA5C28" w:rsidRDefault="00DA5C28" w:rsidP="00DA5C28">
      <w:pPr>
        <w:pStyle w:val="Bodynumbercopy"/>
      </w:pPr>
      <w:r>
        <w:t xml:space="preserve">Difference between the water available for use and the annual average demand (as measured by distribution input {DI}). For the calculation, bulk imports and exports should be the agreed or contractual maximum amounts, dry year DI should represent the reporting year DI adjusted to represent the likely demand in a dry year.  The adjustment should be based on measured differences in average demand in a dry year compared to a normal year immediately adjacent to the dry year. Where records are not available the method of adjustment should be stated and compared to other published information.  </w:t>
      </w:r>
    </w:p>
    <w:p w14:paraId="7664DF65" w14:textId="7722241A" w:rsidR="00DA5C28" w:rsidRDefault="00DA5C28" w:rsidP="00DA5C28">
      <w:pPr>
        <w:pStyle w:val="Sectionsub-heading"/>
      </w:pPr>
      <w:r>
        <w:t>Water resource area</w:t>
      </w:r>
    </w:p>
    <w:p w14:paraId="0DFDE132" w14:textId="7F37156E" w:rsidR="00B529DC" w:rsidRPr="001E7C7A" w:rsidRDefault="00DA5C28" w:rsidP="00A12D8A">
      <w:pPr>
        <w:pStyle w:val="Bodynumbercopy"/>
      </w:pPr>
      <w:r>
        <w:t>The largest possible area in which all resources, including external transfers, can be shared and hence the area in which all customers experience the same degree of supply failure from a resource shortfall.</w:t>
      </w:r>
    </w:p>
    <w:p w14:paraId="7DA523AD" w14:textId="28911CA0" w:rsidR="00BE4543" w:rsidRPr="003B4ACA" w:rsidRDefault="00BF4126" w:rsidP="00DE586F">
      <w:pPr>
        <w:spacing w:after="160" w:line="259" w:lineRule="auto"/>
        <w:rPr>
          <w:rStyle w:val="Sectionsub-headingChar"/>
        </w:rPr>
      </w:pPr>
      <w:r>
        <w:rPr>
          <w:rStyle w:val="Sectionsub-headingChar"/>
        </w:rPr>
        <w:t>Headroom per r</w:t>
      </w:r>
      <w:r w:rsidRPr="003B4ACA">
        <w:rPr>
          <w:rStyle w:val="Sectionsub-headingChar"/>
        </w:rPr>
        <w:t xml:space="preserve">esource </w:t>
      </w:r>
      <w:r w:rsidR="00E4747D" w:rsidRPr="003B4ACA">
        <w:rPr>
          <w:rStyle w:val="Sectionsub-headingChar"/>
        </w:rPr>
        <w:t>a</w:t>
      </w:r>
      <w:r w:rsidR="00BE4543" w:rsidRPr="003B4ACA">
        <w:rPr>
          <w:rStyle w:val="Sectionsub-headingChar"/>
        </w:rPr>
        <w:t>rea</w:t>
      </w:r>
    </w:p>
    <w:p w14:paraId="4356AF37" w14:textId="6203E8D0" w:rsidR="00BE4543" w:rsidRDefault="00BE4543" w:rsidP="00773C0E">
      <w:pPr>
        <w:pStyle w:val="Bodynumbercopy"/>
      </w:pPr>
      <w:r>
        <w:t>This covers the headroom available per area.</w:t>
      </w:r>
      <w:r w:rsidR="00773C0E">
        <w:t xml:space="preserve"> Headroom is </w:t>
      </w:r>
      <w:r w:rsidR="00943169">
        <w:t xml:space="preserve">expressed </w:t>
      </w:r>
      <w:r w:rsidR="00773C0E">
        <w:t>per 1</w:t>
      </w:r>
      <w:r w:rsidR="7C18CB4C">
        <w:t>,</w:t>
      </w:r>
      <w:r w:rsidR="00773C0E">
        <w:t>000 customers.</w:t>
      </w:r>
    </w:p>
    <w:p w14:paraId="76984573" w14:textId="6FCA60EE" w:rsidR="00BE4543" w:rsidRDefault="00BE4543" w:rsidP="00F53F03">
      <w:pPr>
        <w:pStyle w:val="Sectionsub-heading"/>
      </w:pPr>
      <w:r>
        <w:t xml:space="preserve">Deployable </w:t>
      </w:r>
      <w:r w:rsidR="00E4747D">
        <w:t>o</w:t>
      </w:r>
      <w:r>
        <w:t>utput</w:t>
      </w:r>
    </w:p>
    <w:p w14:paraId="265314F5" w14:textId="20D00DC6" w:rsidR="00823144" w:rsidRDefault="00F53F03" w:rsidP="00AD7EC2">
      <w:pPr>
        <w:pStyle w:val="Bodynumbercopy"/>
      </w:pPr>
      <w:r w:rsidRPr="00B60D09">
        <w:rPr>
          <w:b/>
          <w:bCs/>
        </w:rPr>
        <w:t>Deployable output</w:t>
      </w:r>
      <w:r>
        <w:t xml:space="preserve"> is the maximum amount of water the </w:t>
      </w:r>
      <w:r w:rsidR="00906346">
        <w:t>Local</w:t>
      </w:r>
      <w:r w:rsidR="002E0E38">
        <w:t xml:space="preserve"> Authority</w:t>
      </w:r>
      <w:r w:rsidR="00E26F25">
        <w:t xml:space="preserve"> </w:t>
      </w:r>
      <w:r>
        <w:t>could provide if required.</w:t>
      </w:r>
      <w:r w:rsidR="0085009C" w:rsidRPr="0085009C">
        <w:rPr>
          <w:rStyle w:val="CommentReference"/>
          <w:rFonts w:ascii="Arial" w:hAnsi="Arial" w:cstheme="minorBidi"/>
        </w:rPr>
        <w:t xml:space="preserve"> </w:t>
      </w:r>
      <w:r w:rsidR="00AC58E3" w:rsidRPr="00B60D09">
        <w:t>It</w:t>
      </w:r>
      <w:r w:rsidR="00823144">
        <w:t xml:space="preserve"> is the output of a source or group of sources or of bulk supply as constrained by:</w:t>
      </w:r>
    </w:p>
    <w:p w14:paraId="5C57C183" w14:textId="77777777" w:rsidR="00823144" w:rsidRDefault="00823144" w:rsidP="00AD7EC2">
      <w:pPr>
        <w:pStyle w:val="Bodynumbercopy"/>
        <w:numPr>
          <w:ilvl w:val="1"/>
          <w:numId w:val="1"/>
        </w:numPr>
      </w:pPr>
      <w:r>
        <w:t>Environment</w:t>
      </w:r>
    </w:p>
    <w:p w14:paraId="2DA79582" w14:textId="0DAC0383" w:rsidR="00823144" w:rsidRDefault="007845E6" w:rsidP="00AD7EC2">
      <w:pPr>
        <w:pStyle w:val="Bodynumbercopy"/>
        <w:numPr>
          <w:ilvl w:val="1"/>
          <w:numId w:val="1"/>
        </w:numPr>
      </w:pPr>
      <w:r>
        <w:t>An abstraction licence</w:t>
      </w:r>
      <w:r w:rsidR="00823144">
        <w:t>, if applicable</w:t>
      </w:r>
    </w:p>
    <w:p w14:paraId="111F6AAE" w14:textId="77777777" w:rsidR="00823144" w:rsidRDefault="00823144" w:rsidP="00AD7EC2">
      <w:pPr>
        <w:pStyle w:val="Bodynumbercopy"/>
        <w:numPr>
          <w:ilvl w:val="1"/>
          <w:numId w:val="1"/>
        </w:numPr>
      </w:pPr>
      <w:r>
        <w:t>Pumping plant and/or well/aquifer properties</w:t>
      </w:r>
    </w:p>
    <w:p w14:paraId="7D4C4F80" w14:textId="77777777" w:rsidR="00823144" w:rsidRDefault="00823144" w:rsidP="00AD7EC2">
      <w:pPr>
        <w:pStyle w:val="Bodynumbercopy"/>
        <w:numPr>
          <w:ilvl w:val="1"/>
          <w:numId w:val="1"/>
        </w:numPr>
      </w:pPr>
      <w:r>
        <w:t>Raw water mains and/or aquifers</w:t>
      </w:r>
    </w:p>
    <w:p w14:paraId="7392EDD6" w14:textId="77777777" w:rsidR="00823144" w:rsidRDefault="00823144" w:rsidP="00AD7EC2">
      <w:pPr>
        <w:pStyle w:val="Bodynumbercopy"/>
        <w:numPr>
          <w:ilvl w:val="1"/>
          <w:numId w:val="1"/>
        </w:numPr>
      </w:pPr>
      <w:r>
        <w:t>Transfer and/or output main</w:t>
      </w:r>
    </w:p>
    <w:p w14:paraId="66BB332F" w14:textId="77777777" w:rsidR="00823144" w:rsidRDefault="00823144" w:rsidP="00AD7EC2">
      <w:pPr>
        <w:pStyle w:val="Bodynumbercopy"/>
        <w:numPr>
          <w:ilvl w:val="1"/>
          <w:numId w:val="1"/>
        </w:numPr>
      </w:pPr>
      <w:r>
        <w:t>Water quality</w:t>
      </w:r>
    </w:p>
    <w:p w14:paraId="2B822FEA" w14:textId="46163D8E" w:rsidR="00F53F03" w:rsidRDefault="00F53F03" w:rsidP="00B60D09">
      <w:pPr>
        <w:pStyle w:val="Bodynumbercopy"/>
        <w:numPr>
          <w:ilvl w:val="0"/>
          <w:numId w:val="0"/>
        </w:numPr>
        <w:ind w:left="780"/>
      </w:pPr>
    </w:p>
    <w:p w14:paraId="3C74E199" w14:textId="1B0F7236" w:rsidR="00F53F03" w:rsidRDefault="00F53F03" w:rsidP="00823144">
      <w:pPr>
        <w:pStyle w:val="Bodynumbercopy"/>
      </w:pPr>
      <w:r>
        <w:t xml:space="preserve">For </w:t>
      </w:r>
      <w:r w:rsidRPr="008039A4">
        <w:rPr>
          <w:b/>
          <w:bCs/>
        </w:rPr>
        <w:t>groundwater sources</w:t>
      </w:r>
      <w:r>
        <w:t xml:space="preserve">, the deployable output is defined as the output for specified conditions and demands of a commissioned source or group of </w:t>
      </w:r>
      <w:r>
        <w:lastRenderedPageBreak/>
        <w:t>sources as constrained by licensed quantities</w:t>
      </w:r>
      <w:r w:rsidR="00EE150E">
        <w:t xml:space="preserve"> (e.g. regional consents)</w:t>
      </w:r>
      <w:r>
        <w:t>; water quantity; environment; treatment; raw water mains and/or output main; well construction; aquifer properties.</w:t>
      </w:r>
      <w:r w:rsidR="0085009C" w:rsidRPr="0085009C">
        <w:rPr>
          <w:rStyle w:val="CommentReference"/>
          <w:rFonts w:ascii="Arial" w:hAnsi="Arial" w:cstheme="minorBidi"/>
        </w:rPr>
        <w:t xml:space="preserve"> </w:t>
      </w:r>
    </w:p>
    <w:p w14:paraId="4A404FC7" w14:textId="2B554202" w:rsidR="00BE4543" w:rsidRDefault="00F53F03" w:rsidP="001E7C7A">
      <w:pPr>
        <w:pStyle w:val="Bodynumbercopy"/>
      </w:pPr>
      <w:r>
        <w:t xml:space="preserve">For </w:t>
      </w:r>
      <w:r w:rsidR="00373CDB">
        <w:rPr>
          <w:b/>
          <w:bCs/>
        </w:rPr>
        <w:t>surface water</w:t>
      </w:r>
      <w:r w:rsidR="00373CDB" w:rsidRPr="008039A4">
        <w:rPr>
          <w:b/>
          <w:bCs/>
        </w:rPr>
        <w:t xml:space="preserve"> </w:t>
      </w:r>
      <w:r w:rsidR="00373CDB">
        <w:rPr>
          <w:b/>
          <w:bCs/>
        </w:rPr>
        <w:t>sources</w:t>
      </w:r>
      <w:r>
        <w:t xml:space="preserve">, the deployable output is defined as the constant rate of supply that can be maintained from the water resources system except during periods of restriction within the following constraints: given </w:t>
      </w:r>
      <w:r w:rsidRPr="00F53F03">
        <w:t>level of service; the historic period for which data is available or could be derived; supply without storage entering the emergency storage zone; supply within the defined physical capacities of</w:t>
      </w:r>
      <w:r w:rsidR="00624B2B" w:rsidRPr="00624B2B">
        <w:t xml:space="preserve"> the existing system adopted for the simulation; source operation in accordance with the licence, or, for specified scenarios, a Drought Order or Permit.</w:t>
      </w:r>
    </w:p>
    <w:p w14:paraId="74AC8264" w14:textId="56A54B2E" w:rsidR="00BE4543" w:rsidRDefault="00BE4543" w:rsidP="00F53F03">
      <w:pPr>
        <w:pStyle w:val="Sectionsub-heading"/>
      </w:pPr>
      <w:r>
        <w:t>Outage Allowance</w:t>
      </w:r>
    </w:p>
    <w:p w14:paraId="19131F3B" w14:textId="73CFE830" w:rsidR="00BE4543" w:rsidRDefault="00BE4543" w:rsidP="001E7C7A">
      <w:pPr>
        <w:pStyle w:val="Bodynumbercopy"/>
      </w:pPr>
      <w:r w:rsidRPr="00D35279">
        <w:rPr>
          <w:b/>
        </w:rPr>
        <w:t>Outage</w:t>
      </w:r>
      <w:r>
        <w:t xml:space="preserve"> is defined as temporary loss of deployable output due to planned or unplanned events.</w:t>
      </w:r>
      <w:r w:rsidR="00A85B94">
        <w:t xml:space="preserve"> </w:t>
      </w:r>
      <w:r w:rsidR="00690B25">
        <w:t>Allowable</w:t>
      </w:r>
      <w:r w:rsidR="00A85B94">
        <w:t xml:space="preserve"> outages affect the water available for use.</w:t>
      </w:r>
      <w:r w:rsidR="00690B25">
        <w:t xml:space="preserve"> </w:t>
      </w:r>
      <w:r>
        <w:t>Planned events are those such as maintenance of source works; unplanned events are exclusively pollution, turbidity, nitrate, algae, power failure and system failure</w:t>
      </w:r>
      <w:r w:rsidR="00F872F4">
        <w:t>.</w:t>
      </w:r>
    </w:p>
    <w:p w14:paraId="151A21A9" w14:textId="0D57C3B8" w:rsidR="00BE4543" w:rsidRDefault="00BE4543" w:rsidP="00F53F03">
      <w:pPr>
        <w:pStyle w:val="Sectionsub-heading"/>
      </w:pPr>
      <w:r>
        <w:t xml:space="preserve">Water </w:t>
      </w:r>
      <w:r w:rsidR="00F872F4">
        <w:t>a</w:t>
      </w:r>
      <w:r>
        <w:t xml:space="preserve">vailable for </w:t>
      </w:r>
      <w:r w:rsidR="00F872F4">
        <w:t>u</w:t>
      </w:r>
      <w:r>
        <w:t>se</w:t>
      </w:r>
    </w:p>
    <w:p w14:paraId="268A1D33" w14:textId="3FF5DE42" w:rsidR="00BE4543" w:rsidRDefault="00BE4543" w:rsidP="001E7C7A">
      <w:pPr>
        <w:pStyle w:val="Bodynumbercopy"/>
      </w:pPr>
      <w:r w:rsidRPr="00D35279">
        <w:rPr>
          <w:b/>
        </w:rPr>
        <w:t>Water available for use</w:t>
      </w:r>
      <w:r>
        <w:t xml:space="preserve"> is defined as the deployable output less sustainability reductions, plus bulk supply imports, less bulk supply </w:t>
      </w:r>
      <w:r w:rsidR="002B20FA">
        <w:t xml:space="preserve">exports </w:t>
      </w:r>
      <w:r>
        <w:t xml:space="preserve">and less reductions </w:t>
      </w:r>
      <w:r w:rsidR="002B20FA">
        <w:t>related to the</w:t>
      </w:r>
      <w:r>
        <w:t xml:space="preserve"> outage allowance.</w:t>
      </w:r>
    </w:p>
    <w:p w14:paraId="69746B7D" w14:textId="2F56C93C" w:rsidR="00BE4543" w:rsidRDefault="00403DB0" w:rsidP="00F53F03">
      <w:pPr>
        <w:pStyle w:val="Sectionsub-heading"/>
      </w:pPr>
      <w:r>
        <w:t xml:space="preserve">Water </w:t>
      </w:r>
      <w:r w:rsidR="00797AF4">
        <w:t>r</w:t>
      </w:r>
      <w:r w:rsidR="00BE4543">
        <w:t>estrictions</w:t>
      </w:r>
    </w:p>
    <w:p w14:paraId="324C8B7A" w14:textId="565C508F" w:rsidR="00BE4543" w:rsidRDefault="00BE4543" w:rsidP="001E7C7A">
      <w:pPr>
        <w:pStyle w:val="Bodynumbercopy"/>
      </w:pPr>
      <w:r>
        <w:t xml:space="preserve">This </w:t>
      </w:r>
      <w:r w:rsidR="00403DB0">
        <w:t xml:space="preserve">relates to </w:t>
      </w:r>
      <w:r w:rsidR="0072635F">
        <w:t xml:space="preserve">all </w:t>
      </w:r>
      <w:r w:rsidR="00403DB0">
        <w:t>restrictions to water use</w:t>
      </w:r>
      <w:r w:rsidR="00114C23">
        <w:t xml:space="preserve"> as introduced by the company</w:t>
      </w:r>
      <w:r w:rsidR="00403DB0">
        <w:t xml:space="preserve"> (e.g. watering gardens on certain days)</w:t>
      </w:r>
      <w:r>
        <w:t>.</w:t>
      </w:r>
      <w:r w:rsidR="00854B9C">
        <w:t xml:space="preserve"> These </w:t>
      </w:r>
      <w:r w:rsidR="0072635F">
        <w:t xml:space="preserve">include legally enforceable </w:t>
      </w:r>
      <w:r w:rsidR="00654D64">
        <w:t xml:space="preserve">and non-legally enforceable (i.e. advisory) </w:t>
      </w:r>
      <w:r w:rsidR="0072635F">
        <w:t xml:space="preserve">restrictions. </w:t>
      </w:r>
    </w:p>
    <w:p w14:paraId="3D8FA4D5" w14:textId="656A3D2D" w:rsidR="00BE4543" w:rsidRDefault="00373CDB" w:rsidP="00F53F03">
      <w:pPr>
        <w:pStyle w:val="Sectionsub-heading"/>
      </w:pPr>
      <w:r>
        <w:t>Water restrictions process / order</w:t>
      </w:r>
    </w:p>
    <w:p w14:paraId="4AB34D3B" w14:textId="2E8B5BD6" w:rsidR="00BE4543" w:rsidRDefault="00076E0D" w:rsidP="001E7C7A">
      <w:pPr>
        <w:pStyle w:val="Bodynumbercopy"/>
      </w:pPr>
      <w:r>
        <w:t>O</w:t>
      </w:r>
      <w:r w:rsidR="00BE4543">
        <w:t xml:space="preserve">rders </w:t>
      </w:r>
      <w:r w:rsidR="00373CDB">
        <w:t>to apply water restrictions</w:t>
      </w:r>
      <w:r w:rsidR="00BE4543">
        <w:t xml:space="preserve"> under relevant legislation </w:t>
      </w:r>
      <w:r w:rsidR="005567D0">
        <w:t xml:space="preserve">which has </w:t>
      </w:r>
      <w:r w:rsidR="00BE4543">
        <w:t xml:space="preserve">been approved as required and implemented by the </w:t>
      </w:r>
      <w:r w:rsidR="00906346">
        <w:t>Local</w:t>
      </w:r>
      <w:r w:rsidR="002E0E38">
        <w:t xml:space="preserve"> Authority</w:t>
      </w:r>
      <w:r w:rsidR="00BE4543">
        <w:t>.</w:t>
      </w:r>
      <w:r w:rsidR="00DF200E">
        <w:t xml:space="preserve"> These </w:t>
      </w:r>
      <w:r w:rsidR="0072635F">
        <w:t>relate to legally enforceable restrictions only.</w:t>
      </w:r>
    </w:p>
    <w:p w14:paraId="1D7A634E" w14:textId="77777777" w:rsidR="0091041B" w:rsidRDefault="0091041B" w:rsidP="00C15D93">
      <w:pPr>
        <w:pStyle w:val="Sectionsub-heading"/>
      </w:pPr>
      <w:r>
        <w:br w:type="page"/>
      </w:r>
    </w:p>
    <w:p w14:paraId="08430613" w14:textId="5B3F0D2D" w:rsidR="00BE4543" w:rsidRPr="00EE59DE" w:rsidRDefault="000B330D" w:rsidP="00C15D93">
      <w:pPr>
        <w:pStyle w:val="Sectionsub-heading"/>
      </w:pPr>
      <w:r w:rsidRPr="00EE59DE">
        <w:lastRenderedPageBreak/>
        <w:t>BLOCK 1: WATER AVAILABILITY</w:t>
      </w:r>
    </w:p>
    <w:tbl>
      <w:tblPr>
        <w:tblStyle w:val="TableGrid"/>
        <w:tblW w:w="0" w:type="auto"/>
        <w:tblLook w:val="04A0" w:firstRow="1" w:lastRow="0" w:firstColumn="1" w:lastColumn="0" w:noHBand="0" w:noVBand="1"/>
      </w:tblPr>
      <w:tblGrid>
        <w:gridCol w:w="968"/>
        <w:gridCol w:w="1027"/>
        <w:gridCol w:w="4649"/>
        <w:gridCol w:w="914"/>
      </w:tblGrid>
      <w:tr w:rsidR="00C15D93" w:rsidRPr="00E95AA0" w14:paraId="3998EE2C" w14:textId="77777777" w:rsidTr="00323F7C">
        <w:tc>
          <w:tcPr>
            <w:tcW w:w="968" w:type="dxa"/>
          </w:tcPr>
          <w:p w14:paraId="24EB34E8" w14:textId="77777777" w:rsidR="00C15D93" w:rsidRPr="008A4D36" w:rsidRDefault="00C15D93" w:rsidP="00D51317">
            <w:pPr>
              <w:pStyle w:val="Bodyromannumerals"/>
              <w:rPr>
                <w:b/>
                <w:bCs/>
                <w:lang w:val="en-US"/>
              </w:rPr>
            </w:pPr>
            <w:r w:rsidRPr="008A4D36">
              <w:rPr>
                <w:b/>
                <w:bCs/>
                <w:lang w:val="en-US"/>
              </w:rPr>
              <w:t>B1.1</w:t>
            </w:r>
          </w:p>
        </w:tc>
        <w:tc>
          <w:tcPr>
            <w:tcW w:w="5676" w:type="dxa"/>
            <w:gridSpan w:val="2"/>
          </w:tcPr>
          <w:p w14:paraId="6E597A07" w14:textId="24239283" w:rsidR="00C15D93" w:rsidRPr="008A4D36" w:rsidRDefault="00C15D93" w:rsidP="00D51317">
            <w:pPr>
              <w:pStyle w:val="Bodyromannumerals"/>
              <w:rPr>
                <w:b/>
                <w:bCs/>
                <w:lang w:val="en-US"/>
              </w:rPr>
            </w:pPr>
            <w:r w:rsidRPr="008A4D36">
              <w:rPr>
                <w:b/>
                <w:bCs/>
                <w:lang w:val="en-US"/>
              </w:rPr>
              <w:t xml:space="preserve">Number of water </w:t>
            </w:r>
            <w:r w:rsidR="00633A01">
              <w:rPr>
                <w:b/>
                <w:bCs/>
                <w:lang w:val="en-US"/>
              </w:rPr>
              <w:t>resource</w:t>
            </w:r>
            <w:r w:rsidRPr="008A4D36">
              <w:rPr>
                <w:b/>
                <w:bCs/>
                <w:lang w:val="en-US"/>
              </w:rPr>
              <w:t xml:space="preserve"> areas</w:t>
            </w:r>
          </w:p>
        </w:tc>
        <w:tc>
          <w:tcPr>
            <w:tcW w:w="914" w:type="dxa"/>
          </w:tcPr>
          <w:p w14:paraId="79AB3EE6" w14:textId="77777777" w:rsidR="00C15D93" w:rsidRPr="008A4D36" w:rsidRDefault="00C15D93" w:rsidP="00D51317">
            <w:pPr>
              <w:pStyle w:val="Bodyromannumerals"/>
              <w:rPr>
                <w:b/>
                <w:bCs/>
                <w:lang w:val="en-US"/>
              </w:rPr>
            </w:pPr>
            <w:r w:rsidRPr="008A4D36">
              <w:rPr>
                <w:b/>
                <w:bCs/>
                <w:lang w:val="en-US"/>
              </w:rPr>
              <w:t>Nr.</w:t>
            </w:r>
          </w:p>
        </w:tc>
      </w:tr>
      <w:tr w:rsidR="00C15D93" w:rsidRPr="00216F0E" w14:paraId="7B95001A" w14:textId="77777777" w:rsidTr="00323F7C">
        <w:tc>
          <w:tcPr>
            <w:tcW w:w="1995" w:type="dxa"/>
            <w:gridSpan w:val="2"/>
            <w:tcBorders>
              <w:left w:val="single" w:sz="4" w:space="0" w:color="FFFFFF"/>
              <w:bottom w:val="single" w:sz="4" w:space="0" w:color="FFFFFF"/>
              <w:right w:val="single" w:sz="4" w:space="0" w:color="FFFFFF"/>
            </w:tcBorders>
          </w:tcPr>
          <w:p w14:paraId="3AF5E820" w14:textId="77777777" w:rsidR="00C15D93" w:rsidRPr="00B72DDF" w:rsidRDefault="00C15D93" w:rsidP="00D51317">
            <w:pPr>
              <w:pStyle w:val="Bodyromannumerals"/>
              <w:rPr>
                <w:i/>
                <w:lang w:val="en-US"/>
              </w:rPr>
            </w:pPr>
            <w:r w:rsidRPr="00B72DDF">
              <w:rPr>
                <w:i/>
                <w:lang w:val="en-US"/>
              </w:rPr>
              <w:t>Definition:</w:t>
            </w:r>
          </w:p>
        </w:tc>
        <w:tc>
          <w:tcPr>
            <w:tcW w:w="5563" w:type="dxa"/>
            <w:gridSpan w:val="2"/>
            <w:tcBorders>
              <w:left w:val="single" w:sz="4" w:space="0" w:color="FFFFFF"/>
              <w:bottom w:val="single" w:sz="4" w:space="0" w:color="FFFFFF"/>
              <w:right w:val="single" w:sz="4" w:space="0" w:color="FFFFFF"/>
            </w:tcBorders>
          </w:tcPr>
          <w:p w14:paraId="06D6DAD0" w14:textId="55CD2232" w:rsidR="00C15D93" w:rsidRPr="00265A09" w:rsidRDefault="00C15D93" w:rsidP="00D51317">
            <w:pPr>
              <w:pStyle w:val="Bodyromannumerals"/>
              <w:rPr>
                <w:lang w:val="en-US"/>
              </w:rPr>
            </w:pPr>
            <w:r w:rsidRPr="00B72DDF">
              <w:rPr>
                <w:lang w:val="en-US"/>
              </w:rPr>
              <w:t xml:space="preserve">The total number of water resource areas </w:t>
            </w:r>
            <w:r w:rsidRPr="00265A09">
              <w:rPr>
                <w:lang w:val="en-US"/>
              </w:rPr>
              <w:t xml:space="preserve">within the </w:t>
            </w:r>
            <w:r w:rsidR="00906346">
              <w:rPr>
                <w:lang w:val="en-US"/>
              </w:rPr>
              <w:t>Local</w:t>
            </w:r>
            <w:r w:rsidR="002E0E38">
              <w:rPr>
                <w:lang w:val="en-US"/>
              </w:rPr>
              <w:t xml:space="preserve"> Authority</w:t>
            </w:r>
            <w:r w:rsidR="000A6D09" w:rsidRPr="00265A09">
              <w:rPr>
                <w:lang w:val="en-US"/>
              </w:rPr>
              <w:t xml:space="preserve">’s </w:t>
            </w:r>
            <w:r w:rsidRPr="00265A09">
              <w:rPr>
                <w:lang w:val="en-US"/>
              </w:rPr>
              <w:t>area.</w:t>
            </w:r>
          </w:p>
        </w:tc>
      </w:tr>
      <w:tr w:rsidR="00C15D93" w:rsidRPr="00216F0E" w14:paraId="4F4592F8" w14:textId="77777777" w:rsidTr="00323F7C">
        <w:tc>
          <w:tcPr>
            <w:tcW w:w="1995" w:type="dxa"/>
            <w:gridSpan w:val="2"/>
            <w:tcBorders>
              <w:top w:val="single" w:sz="4" w:space="0" w:color="FFFFFF"/>
              <w:left w:val="single" w:sz="4" w:space="0" w:color="FFFFFF"/>
              <w:bottom w:val="single" w:sz="4" w:space="0" w:color="FFFFFF"/>
              <w:right w:val="single" w:sz="4" w:space="0" w:color="FFFFFF"/>
            </w:tcBorders>
          </w:tcPr>
          <w:p w14:paraId="1E31DB89" w14:textId="77777777" w:rsidR="00C15D93" w:rsidRPr="00A80A3E" w:rsidRDefault="00C15D93" w:rsidP="00D51317">
            <w:pPr>
              <w:pStyle w:val="Bodyromannumerals"/>
              <w:rPr>
                <w:i/>
                <w:lang w:val="en-US"/>
              </w:rPr>
            </w:pPr>
            <w:r w:rsidRPr="00A80A3E">
              <w:rPr>
                <w:i/>
                <w:lang w:val="en-US"/>
              </w:rPr>
              <w:t>Processing Rules:</w:t>
            </w:r>
          </w:p>
        </w:tc>
        <w:tc>
          <w:tcPr>
            <w:tcW w:w="5563" w:type="dxa"/>
            <w:gridSpan w:val="2"/>
            <w:tcBorders>
              <w:top w:val="single" w:sz="4" w:space="0" w:color="FFFFFF"/>
              <w:left w:val="single" w:sz="4" w:space="0" w:color="FFFFFF"/>
              <w:bottom w:val="single" w:sz="4" w:space="0" w:color="FFFFFF"/>
              <w:right w:val="single" w:sz="4" w:space="0" w:color="FFFFFF"/>
            </w:tcBorders>
          </w:tcPr>
          <w:p w14:paraId="79BFD46F" w14:textId="7068A33A" w:rsidR="00C15D93" w:rsidRPr="00216F0E" w:rsidRDefault="00C15D93" w:rsidP="00D51317">
            <w:pPr>
              <w:pStyle w:val="Bodyromannumerals"/>
              <w:rPr>
                <w:lang w:val="en-US"/>
              </w:rPr>
            </w:pPr>
            <w:bookmarkStart w:id="2" w:name="_Hlk54350450"/>
            <w:r w:rsidRPr="00AF4AEA">
              <w:rPr>
                <w:lang w:val="en-US"/>
              </w:rPr>
              <w:t xml:space="preserve">Calculated field: </w:t>
            </w:r>
            <w:r w:rsidRPr="00055D4E">
              <w:t>SUM [</w:t>
            </w:r>
            <w:r w:rsidRPr="00AF4AEA">
              <w:t>B1.2</w:t>
            </w:r>
            <w:r w:rsidR="0015638F">
              <w:t>:</w:t>
            </w:r>
            <w:r w:rsidRPr="00AF4AEA">
              <w:t xml:space="preserve"> B1.</w:t>
            </w:r>
            <w:r w:rsidR="00BB7F43">
              <w:t>3</w:t>
            </w:r>
            <w:r w:rsidRPr="00AF4AEA">
              <w:t>]</w:t>
            </w:r>
            <w:bookmarkEnd w:id="2"/>
          </w:p>
        </w:tc>
      </w:tr>
      <w:tr w:rsidR="00C15D93" w:rsidRPr="00E95AA0" w14:paraId="54039FA4" w14:textId="77777777" w:rsidTr="00323F7C">
        <w:tc>
          <w:tcPr>
            <w:tcW w:w="968" w:type="dxa"/>
          </w:tcPr>
          <w:p w14:paraId="1408CBE1" w14:textId="55B6267C" w:rsidR="00C15D93" w:rsidRPr="008A4D36" w:rsidRDefault="00C15D93" w:rsidP="00D51317">
            <w:pPr>
              <w:pStyle w:val="Bodyromannumerals"/>
              <w:rPr>
                <w:b/>
                <w:bCs/>
                <w:lang w:val="en-US"/>
              </w:rPr>
            </w:pPr>
            <w:r w:rsidRPr="008A4D36">
              <w:rPr>
                <w:b/>
                <w:bCs/>
                <w:lang w:val="en-US"/>
              </w:rPr>
              <w:t>B1.</w:t>
            </w:r>
            <w:r w:rsidR="005111C3">
              <w:rPr>
                <w:b/>
                <w:bCs/>
                <w:lang w:val="en-US"/>
              </w:rPr>
              <w:t>2</w:t>
            </w:r>
          </w:p>
        </w:tc>
        <w:tc>
          <w:tcPr>
            <w:tcW w:w="5676" w:type="dxa"/>
            <w:gridSpan w:val="2"/>
          </w:tcPr>
          <w:p w14:paraId="308234C8" w14:textId="09E361CC" w:rsidR="00C15D93" w:rsidRPr="008A4D36" w:rsidRDefault="00C15D93" w:rsidP="00D51317">
            <w:pPr>
              <w:pStyle w:val="Bodyromannumerals"/>
              <w:rPr>
                <w:b/>
                <w:bCs/>
                <w:lang w:val="en-US"/>
              </w:rPr>
            </w:pPr>
            <w:r w:rsidRPr="008A4D36">
              <w:rPr>
                <w:b/>
                <w:bCs/>
                <w:lang w:val="en-US"/>
              </w:rPr>
              <w:t xml:space="preserve">Number where headroom </w:t>
            </w:r>
            <w:r w:rsidR="00C247D5" w:rsidRPr="00C247D5">
              <w:rPr>
                <w:b/>
                <w:bCs/>
                <w:lang w:val="en-US"/>
              </w:rPr>
              <w:t>≤</w:t>
            </w:r>
            <w:r w:rsidRPr="008A4D36">
              <w:rPr>
                <w:b/>
                <w:bCs/>
                <w:lang w:val="en-US"/>
              </w:rPr>
              <w:t>5%</w:t>
            </w:r>
          </w:p>
        </w:tc>
        <w:tc>
          <w:tcPr>
            <w:tcW w:w="914" w:type="dxa"/>
          </w:tcPr>
          <w:p w14:paraId="0E2F9F6C" w14:textId="77777777" w:rsidR="00C15D93" w:rsidRPr="008A4D36" w:rsidRDefault="00C15D93" w:rsidP="00D51317">
            <w:pPr>
              <w:pStyle w:val="Bodyromannumerals"/>
              <w:rPr>
                <w:b/>
                <w:bCs/>
                <w:lang w:val="en-US"/>
              </w:rPr>
            </w:pPr>
            <w:r w:rsidRPr="008A4D36">
              <w:rPr>
                <w:b/>
                <w:bCs/>
                <w:lang w:val="en-US"/>
              </w:rPr>
              <w:t>Nr.</w:t>
            </w:r>
          </w:p>
        </w:tc>
      </w:tr>
      <w:tr w:rsidR="00C15D93" w:rsidRPr="00216F0E" w14:paraId="37D6AD65" w14:textId="77777777" w:rsidTr="00323F7C">
        <w:tc>
          <w:tcPr>
            <w:tcW w:w="1995" w:type="dxa"/>
            <w:gridSpan w:val="2"/>
            <w:tcBorders>
              <w:left w:val="single" w:sz="4" w:space="0" w:color="FFFFFF"/>
              <w:bottom w:val="single" w:sz="4" w:space="0" w:color="FFFFFF"/>
              <w:right w:val="single" w:sz="4" w:space="0" w:color="FFFFFF"/>
            </w:tcBorders>
          </w:tcPr>
          <w:p w14:paraId="2A103344" w14:textId="77777777" w:rsidR="00C15D93" w:rsidRPr="00B72DDF" w:rsidRDefault="00C15D93" w:rsidP="00D51317">
            <w:pPr>
              <w:pStyle w:val="Bodyromannumerals"/>
              <w:rPr>
                <w:i/>
                <w:lang w:val="en-US"/>
              </w:rPr>
            </w:pPr>
            <w:r w:rsidRPr="00B72DDF">
              <w:rPr>
                <w:i/>
                <w:lang w:val="en-US"/>
              </w:rPr>
              <w:t>Definition:</w:t>
            </w:r>
          </w:p>
        </w:tc>
        <w:tc>
          <w:tcPr>
            <w:tcW w:w="5563" w:type="dxa"/>
            <w:gridSpan w:val="2"/>
            <w:tcBorders>
              <w:left w:val="single" w:sz="4" w:space="0" w:color="FFFFFF"/>
              <w:bottom w:val="single" w:sz="4" w:space="0" w:color="FFFFFF"/>
              <w:right w:val="single" w:sz="4" w:space="0" w:color="FFFFFF"/>
            </w:tcBorders>
          </w:tcPr>
          <w:p w14:paraId="4A8B85A1" w14:textId="732B9371" w:rsidR="00C15D93" w:rsidRPr="00AF4AEA" w:rsidRDefault="00C15D93" w:rsidP="00D51317">
            <w:pPr>
              <w:pStyle w:val="Bodyromannumerals"/>
              <w:rPr>
                <w:lang w:val="en-US"/>
              </w:rPr>
            </w:pPr>
            <w:r w:rsidRPr="00AF4AEA">
              <w:rPr>
                <w:lang w:val="en-US"/>
              </w:rPr>
              <w:t xml:space="preserve">The total number of water supply areas where the difference between water available for use and the annual average demand (distribution input) is </w:t>
            </w:r>
            <w:r w:rsidR="00C247D5" w:rsidRPr="00C247D5">
              <w:rPr>
                <w:lang w:val="en-US"/>
              </w:rPr>
              <w:t>≤</w:t>
            </w:r>
            <w:r w:rsidRPr="00AF4AEA">
              <w:rPr>
                <w:lang w:val="en-US"/>
              </w:rPr>
              <w:t>5% of the annual average demand.</w:t>
            </w:r>
          </w:p>
          <w:p w14:paraId="659247BB" w14:textId="77777777" w:rsidR="00C15D93" w:rsidRPr="00AF4AEA" w:rsidRDefault="00C15D93" w:rsidP="00D51317">
            <w:pPr>
              <w:pStyle w:val="Bodyromannumerals"/>
              <w:rPr>
                <w:lang w:val="en-US"/>
              </w:rPr>
            </w:pPr>
            <w:r w:rsidRPr="00AF4AEA">
              <w:rPr>
                <w:lang w:val="en-US"/>
              </w:rPr>
              <w:t>For all water supply areas included in this row please list the deployable output, outage allowance and water available for use in the commentary.</w:t>
            </w:r>
          </w:p>
        </w:tc>
      </w:tr>
      <w:tr w:rsidR="00C15D93" w:rsidRPr="00216F0E" w14:paraId="1F6A3891" w14:textId="77777777" w:rsidTr="00323F7C">
        <w:tc>
          <w:tcPr>
            <w:tcW w:w="1995" w:type="dxa"/>
            <w:gridSpan w:val="2"/>
            <w:tcBorders>
              <w:top w:val="single" w:sz="4" w:space="0" w:color="FFFFFF"/>
              <w:left w:val="single" w:sz="4" w:space="0" w:color="FFFFFF"/>
              <w:bottom w:val="single" w:sz="4" w:space="0" w:color="FFFFFF"/>
              <w:right w:val="single" w:sz="4" w:space="0" w:color="FFFFFF"/>
            </w:tcBorders>
          </w:tcPr>
          <w:p w14:paraId="41C6DB13" w14:textId="77777777" w:rsidR="00C15D93" w:rsidRPr="00AF4AEA" w:rsidRDefault="00C15D93" w:rsidP="00D51317">
            <w:pPr>
              <w:pStyle w:val="Bodyromannumerals"/>
              <w:rPr>
                <w:i/>
                <w:lang w:val="en-US"/>
              </w:rPr>
            </w:pPr>
            <w:r w:rsidRPr="00A80A3E">
              <w:rPr>
                <w:i/>
                <w:lang w:val="en-US"/>
              </w:rPr>
              <w:t>Processing Rules:</w:t>
            </w:r>
          </w:p>
        </w:tc>
        <w:tc>
          <w:tcPr>
            <w:tcW w:w="5563" w:type="dxa"/>
            <w:gridSpan w:val="2"/>
            <w:tcBorders>
              <w:top w:val="single" w:sz="4" w:space="0" w:color="FFFFFF"/>
              <w:left w:val="single" w:sz="4" w:space="0" w:color="FFFFFF"/>
              <w:bottom w:val="single" w:sz="4" w:space="0" w:color="FFFFFF"/>
              <w:right w:val="single" w:sz="4" w:space="0" w:color="FFFFFF"/>
            </w:tcBorders>
          </w:tcPr>
          <w:p w14:paraId="04CF4A83" w14:textId="77777777" w:rsidR="00C15D93" w:rsidRPr="00AF4AEA" w:rsidRDefault="00C15D93" w:rsidP="00D51317">
            <w:pPr>
              <w:pStyle w:val="Bodyromannumerals"/>
              <w:rPr>
                <w:lang w:val="en-US"/>
              </w:rPr>
            </w:pPr>
            <w:r w:rsidRPr="00AF4AEA">
              <w:rPr>
                <w:lang w:val="en-US"/>
              </w:rPr>
              <w:t>Input field</w:t>
            </w:r>
          </w:p>
        </w:tc>
      </w:tr>
      <w:tr w:rsidR="00C15D93" w:rsidRPr="00E95AA0" w14:paraId="0963EDF6" w14:textId="77777777" w:rsidTr="00323F7C">
        <w:tc>
          <w:tcPr>
            <w:tcW w:w="968" w:type="dxa"/>
          </w:tcPr>
          <w:p w14:paraId="4908D643" w14:textId="69C44910" w:rsidR="00C15D93" w:rsidRPr="008A4D36" w:rsidRDefault="00C15D93" w:rsidP="00D51317">
            <w:pPr>
              <w:pStyle w:val="Bodyromannumerals"/>
              <w:rPr>
                <w:b/>
                <w:bCs/>
                <w:lang w:val="en-US"/>
              </w:rPr>
            </w:pPr>
            <w:r w:rsidRPr="008A4D36">
              <w:rPr>
                <w:b/>
                <w:bCs/>
                <w:lang w:val="en-US"/>
              </w:rPr>
              <w:t>B1.</w:t>
            </w:r>
            <w:r w:rsidR="005111C3">
              <w:rPr>
                <w:b/>
                <w:bCs/>
                <w:lang w:val="en-US"/>
              </w:rPr>
              <w:t>3</w:t>
            </w:r>
          </w:p>
        </w:tc>
        <w:tc>
          <w:tcPr>
            <w:tcW w:w="5676" w:type="dxa"/>
            <w:gridSpan w:val="2"/>
          </w:tcPr>
          <w:p w14:paraId="73109C08" w14:textId="77777777" w:rsidR="00C15D93" w:rsidRPr="008A4D36" w:rsidRDefault="00C15D93" w:rsidP="00D51317">
            <w:pPr>
              <w:pStyle w:val="Bodyromannumerals"/>
              <w:rPr>
                <w:b/>
                <w:bCs/>
                <w:lang w:val="en-US"/>
              </w:rPr>
            </w:pPr>
            <w:r w:rsidRPr="008A4D36">
              <w:rPr>
                <w:b/>
                <w:bCs/>
                <w:lang w:val="en-US"/>
              </w:rPr>
              <w:t>Number where headroom &gt;5%</w:t>
            </w:r>
          </w:p>
        </w:tc>
        <w:tc>
          <w:tcPr>
            <w:tcW w:w="914" w:type="dxa"/>
          </w:tcPr>
          <w:p w14:paraId="5F3EDAFC" w14:textId="77777777" w:rsidR="00C15D93" w:rsidRPr="008A4D36" w:rsidRDefault="00C15D93" w:rsidP="00D51317">
            <w:pPr>
              <w:pStyle w:val="Bodyromannumerals"/>
              <w:rPr>
                <w:b/>
                <w:bCs/>
                <w:lang w:val="en-US"/>
              </w:rPr>
            </w:pPr>
            <w:r w:rsidRPr="008A4D36">
              <w:rPr>
                <w:b/>
                <w:bCs/>
                <w:lang w:val="en-US"/>
              </w:rPr>
              <w:t>Nr.</w:t>
            </w:r>
          </w:p>
        </w:tc>
      </w:tr>
      <w:tr w:rsidR="00C15D93" w:rsidRPr="00216F0E" w14:paraId="6978B212" w14:textId="77777777" w:rsidTr="00323F7C">
        <w:tc>
          <w:tcPr>
            <w:tcW w:w="1995" w:type="dxa"/>
            <w:gridSpan w:val="2"/>
            <w:tcBorders>
              <w:left w:val="single" w:sz="4" w:space="0" w:color="FFFFFF"/>
              <w:bottom w:val="single" w:sz="4" w:space="0" w:color="FFFFFF"/>
              <w:right w:val="single" w:sz="4" w:space="0" w:color="FFFFFF"/>
            </w:tcBorders>
          </w:tcPr>
          <w:p w14:paraId="59ACA5DF" w14:textId="77777777" w:rsidR="00C15D93" w:rsidRPr="00B72DDF" w:rsidRDefault="00C15D93" w:rsidP="00D51317">
            <w:pPr>
              <w:pStyle w:val="Bodyromannumerals"/>
              <w:rPr>
                <w:i/>
                <w:lang w:val="en-US"/>
              </w:rPr>
            </w:pPr>
            <w:r w:rsidRPr="00B72DDF">
              <w:rPr>
                <w:i/>
                <w:lang w:val="en-US"/>
              </w:rPr>
              <w:t>Definition:</w:t>
            </w:r>
          </w:p>
        </w:tc>
        <w:tc>
          <w:tcPr>
            <w:tcW w:w="5563" w:type="dxa"/>
            <w:gridSpan w:val="2"/>
            <w:tcBorders>
              <w:left w:val="single" w:sz="4" w:space="0" w:color="FFFFFF"/>
              <w:bottom w:val="single" w:sz="4" w:space="0" w:color="FFFFFF"/>
              <w:right w:val="single" w:sz="4" w:space="0" w:color="FFFFFF"/>
            </w:tcBorders>
          </w:tcPr>
          <w:p w14:paraId="4F643BFF" w14:textId="77777777" w:rsidR="00C15D93" w:rsidRPr="00AF4AEA" w:rsidRDefault="00C15D93" w:rsidP="00D51317">
            <w:pPr>
              <w:pStyle w:val="Bodyromannumerals"/>
              <w:rPr>
                <w:lang w:val="en-US"/>
              </w:rPr>
            </w:pPr>
            <w:r w:rsidRPr="00AF4AEA">
              <w:rPr>
                <w:lang w:val="en-US"/>
              </w:rPr>
              <w:t>The total number of water supply areas where the difference between water availability for use and the annual average demand (distribution input) is &gt;5% of the annual average demand.</w:t>
            </w:r>
          </w:p>
          <w:p w14:paraId="535E7343" w14:textId="77777777" w:rsidR="00C15D93" w:rsidRPr="00AF4AEA" w:rsidRDefault="00C15D93" w:rsidP="00D51317">
            <w:pPr>
              <w:pStyle w:val="Bodyromannumerals"/>
              <w:rPr>
                <w:lang w:val="en-US"/>
              </w:rPr>
            </w:pPr>
            <w:r w:rsidRPr="00AF4AEA">
              <w:rPr>
                <w:lang w:val="en-US"/>
              </w:rPr>
              <w:t>For all water supply areas included in this row please list the deployable output, outage allowance and water available for use in the commentary.</w:t>
            </w:r>
          </w:p>
        </w:tc>
      </w:tr>
      <w:tr w:rsidR="00C15D93" w:rsidRPr="00216F0E" w14:paraId="199B5628" w14:textId="77777777" w:rsidTr="00323F7C">
        <w:tc>
          <w:tcPr>
            <w:tcW w:w="1995" w:type="dxa"/>
            <w:gridSpan w:val="2"/>
            <w:tcBorders>
              <w:top w:val="single" w:sz="4" w:space="0" w:color="FFFFFF"/>
              <w:left w:val="single" w:sz="4" w:space="0" w:color="FFFFFF"/>
              <w:bottom w:val="single" w:sz="4" w:space="0" w:color="FFFFFF"/>
              <w:right w:val="single" w:sz="4" w:space="0" w:color="FFFFFF"/>
            </w:tcBorders>
          </w:tcPr>
          <w:p w14:paraId="5654497C" w14:textId="77777777" w:rsidR="00C15D93" w:rsidRPr="00AF4AEA" w:rsidRDefault="00C15D93" w:rsidP="00D51317">
            <w:pPr>
              <w:pStyle w:val="Bodyromannumerals"/>
              <w:rPr>
                <w:i/>
                <w:lang w:val="en-US"/>
              </w:rPr>
            </w:pPr>
            <w:r w:rsidRPr="00A80A3E">
              <w:rPr>
                <w:i/>
                <w:lang w:val="en-US"/>
              </w:rPr>
              <w:t>Processing Rules:</w:t>
            </w:r>
          </w:p>
        </w:tc>
        <w:tc>
          <w:tcPr>
            <w:tcW w:w="5563" w:type="dxa"/>
            <w:gridSpan w:val="2"/>
            <w:tcBorders>
              <w:top w:val="single" w:sz="4" w:space="0" w:color="FFFFFF"/>
              <w:left w:val="single" w:sz="4" w:space="0" w:color="FFFFFF"/>
              <w:bottom w:val="single" w:sz="4" w:space="0" w:color="FFFFFF"/>
              <w:right w:val="single" w:sz="4" w:space="0" w:color="FFFFFF"/>
            </w:tcBorders>
          </w:tcPr>
          <w:p w14:paraId="7A93F7EE" w14:textId="77777777" w:rsidR="00C15D93" w:rsidRPr="00AF4AEA" w:rsidRDefault="00C15D93" w:rsidP="00D51317">
            <w:pPr>
              <w:pStyle w:val="Bodyromannumerals"/>
              <w:rPr>
                <w:lang w:val="en-US"/>
              </w:rPr>
            </w:pPr>
            <w:r w:rsidRPr="00AF4AEA">
              <w:rPr>
                <w:lang w:val="en-US"/>
              </w:rPr>
              <w:t>Input field</w:t>
            </w:r>
          </w:p>
        </w:tc>
      </w:tr>
    </w:tbl>
    <w:p w14:paraId="5D07D46C" w14:textId="3C326EF7" w:rsidR="00BE4543" w:rsidRDefault="00C15D93" w:rsidP="00C15D93">
      <w:pPr>
        <w:pStyle w:val="Sectionsub-heading"/>
      </w:pPr>
      <w:r>
        <w:t>BLOCK 2: HEA</w:t>
      </w:r>
      <w:r w:rsidR="00EC0C06">
        <w:t>D</w:t>
      </w:r>
      <w:r>
        <w:t>ROOM</w:t>
      </w:r>
    </w:p>
    <w:tbl>
      <w:tblPr>
        <w:tblStyle w:val="TableGrid"/>
        <w:tblW w:w="0" w:type="auto"/>
        <w:tblLook w:val="04A0" w:firstRow="1" w:lastRow="0" w:firstColumn="1" w:lastColumn="0" w:noHBand="0" w:noVBand="1"/>
      </w:tblPr>
      <w:tblGrid>
        <w:gridCol w:w="965"/>
        <w:gridCol w:w="1039"/>
        <w:gridCol w:w="4489"/>
        <w:gridCol w:w="1065"/>
      </w:tblGrid>
      <w:tr w:rsidR="00C15D93" w:rsidRPr="00E95AA0" w14:paraId="573533E7" w14:textId="77777777" w:rsidTr="002C17E3">
        <w:tc>
          <w:tcPr>
            <w:tcW w:w="965" w:type="dxa"/>
          </w:tcPr>
          <w:p w14:paraId="55D44108" w14:textId="2A33E420" w:rsidR="00C15D93" w:rsidRPr="008A4D36" w:rsidRDefault="00C15D93" w:rsidP="00D51317">
            <w:pPr>
              <w:pStyle w:val="Bodyromannumerals"/>
              <w:rPr>
                <w:b/>
                <w:bCs/>
                <w:lang w:val="en-US"/>
              </w:rPr>
            </w:pPr>
            <w:r w:rsidRPr="008A4D36">
              <w:rPr>
                <w:b/>
                <w:bCs/>
                <w:lang w:val="en-US"/>
              </w:rPr>
              <w:t>B1.</w:t>
            </w:r>
            <w:r w:rsidR="005111C3">
              <w:rPr>
                <w:b/>
                <w:bCs/>
                <w:lang w:val="en-US"/>
              </w:rPr>
              <w:t>4</w:t>
            </w:r>
          </w:p>
        </w:tc>
        <w:tc>
          <w:tcPr>
            <w:tcW w:w="5528" w:type="dxa"/>
            <w:gridSpan w:val="2"/>
          </w:tcPr>
          <w:p w14:paraId="4ACFB13D" w14:textId="034183D5" w:rsidR="00C15D93" w:rsidRPr="008A4D36" w:rsidRDefault="00C15D93" w:rsidP="00D51317">
            <w:pPr>
              <w:pStyle w:val="Bodyromannumerals"/>
              <w:rPr>
                <w:b/>
                <w:bCs/>
                <w:lang w:val="en-US"/>
              </w:rPr>
            </w:pPr>
            <w:r w:rsidRPr="008A4D36">
              <w:rPr>
                <w:b/>
                <w:bCs/>
                <w:lang w:val="en-US"/>
              </w:rPr>
              <w:t xml:space="preserve">Total </w:t>
            </w:r>
            <w:r w:rsidR="007F2BE5">
              <w:rPr>
                <w:b/>
                <w:bCs/>
                <w:lang w:val="en-US"/>
              </w:rPr>
              <w:t xml:space="preserve">winter </w:t>
            </w:r>
            <w:r w:rsidRPr="008A4D36">
              <w:rPr>
                <w:b/>
                <w:bCs/>
                <w:lang w:val="en-US"/>
              </w:rPr>
              <w:t>population</w:t>
            </w:r>
          </w:p>
        </w:tc>
        <w:tc>
          <w:tcPr>
            <w:tcW w:w="1065" w:type="dxa"/>
          </w:tcPr>
          <w:p w14:paraId="1CCF4921" w14:textId="77777777" w:rsidR="00C15D93" w:rsidRPr="008A4D36" w:rsidRDefault="00C15D93" w:rsidP="00D51317">
            <w:pPr>
              <w:pStyle w:val="Bodyromannumerals"/>
              <w:rPr>
                <w:b/>
                <w:bCs/>
                <w:lang w:val="en-US"/>
              </w:rPr>
            </w:pPr>
            <w:r w:rsidRPr="008A4D36">
              <w:rPr>
                <w:b/>
                <w:bCs/>
                <w:lang w:val="en-US"/>
              </w:rPr>
              <w:t xml:space="preserve">000 </w:t>
            </w:r>
          </w:p>
        </w:tc>
      </w:tr>
      <w:tr w:rsidR="00C15D93" w:rsidRPr="00216F0E" w14:paraId="5AFA9762" w14:textId="77777777" w:rsidTr="002C17E3">
        <w:tc>
          <w:tcPr>
            <w:tcW w:w="2004" w:type="dxa"/>
            <w:gridSpan w:val="2"/>
            <w:tcBorders>
              <w:left w:val="single" w:sz="4" w:space="0" w:color="FFFFFF"/>
              <w:bottom w:val="single" w:sz="4" w:space="0" w:color="FFFFFF"/>
              <w:right w:val="single" w:sz="4" w:space="0" w:color="FFFFFF"/>
            </w:tcBorders>
          </w:tcPr>
          <w:p w14:paraId="2F15189C" w14:textId="77777777" w:rsidR="00C15D93" w:rsidRPr="00B72DDF" w:rsidRDefault="00C15D93" w:rsidP="00D51317">
            <w:pPr>
              <w:pStyle w:val="Bodyromannumerals"/>
              <w:rPr>
                <w:i/>
                <w:lang w:val="en-US"/>
              </w:rPr>
            </w:pPr>
            <w:r w:rsidRPr="00B72DDF">
              <w:rPr>
                <w:i/>
                <w:lang w:val="en-US"/>
              </w:rPr>
              <w:t>Definition:</w:t>
            </w:r>
          </w:p>
        </w:tc>
        <w:tc>
          <w:tcPr>
            <w:tcW w:w="5554" w:type="dxa"/>
            <w:gridSpan w:val="2"/>
            <w:tcBorders>
              <w:left w:val="single" w:sz="4" w:space="0" w:color="FFFFFF"/>
              <w:bottom w:val="single" w:sz="4" w:space="0" w:color="FFFFFF"/>
              <w:right w:val="single" w:sz="4" w:space="0" w:color="FFFFFF"/>
            </w:tcBorders>
          </w:tcPr>
          <w:p w14:paraId="6C1F15D5" w14:textId="5E5EB8C4" w:rsidR="00EC0C06" w:rsidRDefault="00EC0C06" w:rsidP="00EC0C06">
            <w:pPr>
              <w:pStyle w:val="Bodyromannumerals"/>
              <w:rPr>
                <w:lang w:val="en-US"/>
              </w:rPr>
            </w:pPr>
            <w:r>
              <w:rPr>
                <w:lang w:val="en-US"/>
              </w:rPr>
              <w:t>Total winter p</w:t>
            </w:r>
            <w:r w:rsidRPr="009A191E">
              <w:rPr>
                <w:lang w:val="en-US"/>
              </w:rPr>
              <w:t xml:space="preserve">opulation supplied </w:t>
            </w:r>
            <w:r>
              <w:rPr>
                <w:lang w:val="en-US"/>
              </w:rPr>
              <w:t>at the financial year end (30 June)</w:t>
            </w:r>
            <w:r w:rsidRPr="009A191E">
              <w:rPr>
                <w:lang w:val="en-US"/>
              </w:rPr>
              <w:t xml:space="preserve"> in the </w:t>
            </w:r>
            <w:r w:rsidR="00906346">
              <w:rPr>
                <w:lang w:val="en-US"/>
              </w:rPr>
              <w:t>Local</w:t>
            </w:r>
            <w:r w:rsidRPr="00B47509">
              <w:rPr>
                <w:lang w:val="en-US"/>
              </w:rPr>
              <w:t xml:space="preserve"> Authority</w:t>
            </w:r>
            <w:r w:rsidRPr="009A191E">
              <w:rPr>
                <w:lang w:val="en-US"/>
              </w:rPr>
              <w:t>’s area of supply.</w:t>
            </w:r>
            <w:r>
              <w:rPr>
                <w:lang w:val="en-US"/>
              </w:rPr>
              <w:t xml:space="preserve"> This should include billed customers supplied with unmeasured and measured water.</w:t>
            </w:r>
          </w:p>
          <w:p w14:paraId="2C5BDB58" w14:textId="5050C2F4" w:rsidR="00C15D93" w:rsidRPr="00E95AA0" w:rsidRDefault="00EC0C06" w:rsidP="00D51317">
            <w:pPr>
              <w:pStyle w:val="Bodyromannumerals"/>
              <w:rPr>
                <w:lang w:val="en-US"/>
              </w:rPr>
            </w:pPr>
            <w:r w:rsidRPr="009A191E">
              <w:rPr>
                <w:lang w:val="en-US"/>
              </w:rPr>
              <w:t>Include population served by bulk supplies received.</w:t>
            </w:r>
          </w:p>
        </w:tc>
      </w:tr>
      <w:tr w:rsidR="00C15D93" w:rsidRPr="00216F0E" w14:paraId="4C66FBCA" w14:textId="77777777" w:rsidTr="002C17E3">
        <w:tc>
          <w:tcPr>
            <w:tcW w:w="2004" w:type="dxa"/>
            <w:gridSpan w:val="2"/>
            <w:tcBorders>
              <w:top w:val="single" w:sz="4" w:space="0" w:color="FFFFFF"/>
              <w:left w:val="single" w:sz="4" w:space="0" w:color="FFFFFF"/>
              <w:bottom w:val="single" w:sz="4" w:space="0" w:color="FFFFFF"/>
              <w:right w:val="single" w:sz="4" w:space="0" w:color="FFFFFF"/>
            </w:tcBorders>
          </w:tcPr>
          <w:p w14:paraId="5A8E7154" w14:textId="77777777" w:rsidR="00C15D93" w:rsidRPr="00AF4AEA" w:rsidRDefault="00C15D93" w:rsidP="00D51317">
            <w:pPr>
              <w:pStyle w:val="Bodyromannumerals"/>
              <w:rPr>
                <w:i/>
                <w:lang w:val="en-US"/>
              </w:rPr>
            </w:pPr>
            <w:r w:rsidRPr="00A80A3E">
              <w:rPr>
                <w:i/>
                <w:lang w:val="en-US"/>
              </w:rPr>
              <w:t>Processing Rules:</w:t>
            </w:r>
          </w:p>
        </w:tc>
        <w:tc>
          <w:tcPr>
            <w:tcW w:w="5554" w:type="dxa"/>
            <w:gridSpan w:val="2"/>
            <w:tcBorders>
              <w:top w:val="single" w:sz="4" w:space="0" w:color="FFFFFF"/>
              <w:left w:val="single" w:sz="4" w:space="0" w:color="FFFFFF"/>
              <w:bottom w:val="single" w:sz="4" w:space="0" w:color="FFFFFF"/>
              <w:right w:val="single" w:sz="4" w:space="0" w:color="FFFFFF"/>
            </w:tcBorders>
          </w:tcPr>
          <w:p w14:paraId="259E7E7B" w14:textId="235995D2" w:rsidR="00C15D93" w:rsidRPr="00AF4AEA" w:rsidRDefault="00C15D93" w:rsidP="00D51317">
            <w:pPr>
              <w:pStyle w:val="Bodyromannumerals"/>
              <w:rPr>
                <w:lang w:val="en-US"/>
              </w:rPr>
            </w:pPr>
            <w:r w:rsidRPr="00AF4AEA">
              <w:rPr>
                <w:lang w:val="en-US"/>
              </w:rPr>
              <w:t>Brought forward field: A1.</w:t>
            </w:r>
            <w:r w:rsidR="00C07A0D">
              <w:rPr>
                <w:lang w:val="en-US"/>
              </w:rPr>
              <w:t>43</w:t>
            </w:r>
          </w:p>
        </w:tc>
      </w:tr>
      <w:tr w:rsidR="00C15D93" w:rsidRPr="00E95AA0" w14:paraId="0684EB3D" w14:textId="77777777" w:rsidTr="002C17E3">
        <w:tc>
          <w:tcPr>
            <w:tcW w:w="965" w:type="dxa"/>
          </w:tcPr>
          <w:p w14:paraId="164A7CCB" w14:textId="16B82EE5" w:rsidR="00C15D93" w:rsidRPr="008A4D36" w:rsidRDefault="00C15D93" w:rsidP="00D51317">
            <w:pPr>
              <w:pStyle w:val="Bodyromannumerals"/>
              <w:rPr>
                <w:b/>
                <w:bCs/>
                <w:lang w:val="en-US"/>
              </w:rPr>
            </w:pPr>
            <w:r w:rsidRPr="008A4D36">
              <w:rPr>
                <w:b/>
                <w:bCs/>
                <w:lang w:val="en-US"/>
              </w:rPr>
              <w:t>B1.</w:t>
            </w:r>
            <w:r w:rsidR="005111C3">
              <w:rPr>
                <w:b/>
                <w:bCs/>
                <w:lang w:val="en-US"/>
              </w:rPr>
              <w:t>5</w:t>
            </w:r>
          </w:p>
        </w:tc>
        <w:tc>
          <w:tcPr>
            <w:tcW w:w="5528" w:type="dxa"/>
            <w:gridSpan w:val="2"/>
          </w:tcPr>
          <w:p w14:paraId="42A228C0" w14:textId="09DA340F" w:rsidR="00C15D93" w:rsidRPr="008A4D36" w:rsidRDefault="00C15D93" w:rsidP="00D51317">
            <w:pPr>
              <w:pStyle w:val="Bodyromannumerals"/>
              <w:rPr>
                <w:b/>
                <w:bCs/>
                <w:lang w:val="en-US"/>
              </w:rPr>
            </w:pPr>
            <w:r w:rsidRPr="008A4D36">
              <w:rPr>
                <w:b/>
                <w:bCs/>
                <w:lang w:val="en-US"/>
              </w:rPr>
              <w:t xml:space="preserve">Population in areas where headroom </w:t>
            </w:r>
            <w:r w:rsidR="00D00F39" w:rsidRPr="00C247D5">
              <w:rPr>
                <w:lang w:val="en-US"/>
              </w:rPr>
              <w:t>≤</w:t>
            </w:r>
            <w:r w:rsidRPr="008A4D36">
              <w:rPr>
                <w:b/>
                <w:bCs/>
                <w:lang w:val="en-US"/>
              </w:rPr>
              <w:t>5%</w:t>
            </w:r>
          </w:p>
        </w:tc>
        <w:tc>
          <w:tcPr>
            <w:tcW w:w="1065" w:type="dxa"/>
          </w:tcPr>
          <w:p w14:paraId="62021FA5" w14:textId="77777777" w:rsidR="00C15D93" w:rsidRPr="008A4D36" w:rsidRDefault="00C15D93" w:rsidP="00D51317">
            <w:pPr>
              <w:pStyle w:val="Bodyromannumerals"/>
              <w:rPr>
                <w:b/>
                <w:bCs/>
                <w:lang w:val="en-US"/>
              </w:rPr>
            </w:pPr>
            <w:r w:rsidRPr="008A4D36">
              <w:rPr>
                <w:b/>
                <w:bCs/>
                <w:lang w:val="en-US"/>
              </w:rPr>
              <w:t xml:space="preserve">000 </w:t>
            </w:r>
          </w:p>
        </w:tc>
      </w:tr>
      <w:tr w:rsidR="00C15D93" w:rsidRPr="00216F0E" w14:paraId="29CB34DD" w14:textId="77777777" w:rsidTr="002C17E3">
        <w:tc>
          <w:tcPr>
            <w:tcW w:w="2004" w:type="dxa"/>
            <w:gridSpan w:val="2"/>
            <w:tcBorders>
              <w:left w:val="single" w:sz="4" w:space="0" w:color="FFFFFF"/>
              <w:bottom w:val="single" w:sz="4" w:space="0" w:color="FFFFFF"/>
              <w:right w:val="single" w:sz="4" w:space="0" w:color="FFFFFF"/>
            </w:tcBorders>
          </w:tcPr>
          <w:p w14:paraId="34414506" w14:textId="77777777" w:rsidR="00C15D93" w:rsidRPr="00E95AA0" w:rsidRDefault="00C15D93" w:rsidP="00D51317">
            <w:pPr>
              <w:pStyle w:val="Bodyromannumerals"/>
              <w:rPr>
                <w:i/>
                <w:lang w:val="en-US"/>
              </w:rPr>
            </w:pPr>
            <w:r w:rsidRPr="00E95AA0">
              <w:rPr>
                <w:i/>
                <w:lang w:val="en-US"/>
              </w:rPr>
              <w:t>Definition:</w:t>
            </w:r>
          </w:p>
        </w:tc>
        <w:tc>
          <w:tcPr>
            <w:tcW w:w="5554" w:type="dxa"/>
            <w:gridSpan w:val="2"/>
            <w:tcBorders>
              <w:left w:val="single" w:sz="4" w:space="0" w:color="FFFFFF"/>
              <w:bottom w:val="single" w:sz="4" w:space="0" w:color="FFFFFF"/>
              <w:right w:val="single" w:sz="4" w:space="0" w:color="FFFFFF"/>
            </w:tcBorders>
          </w:tcPr>
          <w:p w14:paraId="4701C40E" w14:textId="130BDA4D" w:rsidR="00C15D93" w:rsidRPr="00AF4AEA" w:rsidRDefault="00C15D93" w:rsidP="00D51317">
            <w:pPr>
              <w:pStyle w:val="Bodyromannumerals"/>
              <w:rPr>
                <w:lang w:val="en-US"/>
              </w:rPr>
            </w:pPr>
            <w:r w:rsidRPr="00AF4AEA">
              <w:rPr>
                <w:lang w:val="en-US"/>
              </w:rPr>
              <w:t xml:space="preserve">Total population being supplied water where the difference between water available for use and the annual average demand (distribution input) is </w:t>
            </w:r>
            <w:r w:rsidR="00D00F39" w:rsidRPr="00C247D5">
              <w:rPr>
                <w:lang w:val="en-US"/>
              </w:rPr>
              <w:t>≤</w:t>
            </w:r>
            <w:r w:rsidRPr="00AF4AEA">
              <w:rPr>
                <w:lang w:val="en-US"/>
              </w:rPr>
              <w:t>5% of the annual average</w:t>
            </w:r>
            <w:r w:rsidR="005D5875">
              <w:rPr>
                <w:lang w:val="en-US"/>
              </w:rPr>
              <w:t xml:space="preserve"> demand</w:t>
            </w:r>
            <w:r w:rsidRPr="00AF4AEA">
              <w:rPr>
                <w:lang w:val="en-US"/>
              </w:rPr>
              <w:t>.</w:t>
            </w:r>
          </w:p>
        </w:tc>
      </w:tr>
      <w:tr w:rsidR="00C15D93" w:rsidRPr="00216F0E" w14:paraId="74576C04" w14:textId="77777777" w:rsidTr="002C17E3">
        <w:tc>
          <w:tcPr>
            <w:tcW w:w="2004" w:type="dxa"/>
            <w:gridSpan w:val="2"/>
            <w:tcBorders>
              <w:top w:val="single" w:sz="4" w:space="0" w:color="FFFFFF"/>
              <w:left w:val="single" w:sz="4" w:space="0" w:color="FFFFFF"/>
              <w:bottom w:val="single" w:sz="4" w:space="0" w:color="FFFFFF"/>
              <w:right w:val="single" w:sz="4" w:space="0" w:color="FFFFFF"/>
            </w:tcBorders>
          </w:tcPr>
          <w:p w14:paraId="73B7CBB6" w14:textId="77777777" w:rsidR="00C15D93" w:rsidRPr="00AF4AEA" w:rsidRDefault="00C15D93" w:rsidP="00D51317">
            <w:pPr>
              <w:pStyle w:val="Bodyromannumerals"/>
              <w:rPr>
                <w:i/>
                <w:lang w:val="en-US"/>
              </w:rPr>
            </w:pPr>
            <w:r w:rsidRPr="00A80A3E">
              <w:rPr>
                <w:i/>
                <w:lang w:val="en-US"/>
              </w:rPr>
              <w:t>Processing Rules:</w:t>
            </w:r>
          </w:p>
        </w:tc>
        <w:tc>
          <w:tcPr>
            <w:tcW w:w="5554" w:type="dxa"/>
            <w:gridSpan w:val="2"/>
            <w:tcBorders>
              <w:top w:val="single" w:sz="4" w:space="0" w:color="FFFFFF"/>
              <w:left w:val="single" w:sz="4" w:space="0" w:color="FFFFFF"/>
              <w:bottom w:val="single" w:sz="4" w:space="0" w:color="FFFFFF"/>
              <w:right w:val="single" w:sz="4" w:space="0" w:color="FFFFFF"/>
            </w:tcBorders>
          </w:tcPr>
          <w:p w14:paraId="6D0F059E" w14:textId="77777777" w:rsidR="00C15D93" w:rsidRPr="00AF4AEA" w:rsidRDefault="00C15D93" w:rsidP="00D51317">
            <w:pPr>
              <w:pStyle w:val="Bodyromannumerals"/>
              <w:rPr>
                <w:lang w:val="en-US"/>
              </w:rPr>
            </w:pPr>
            <w:r w:rsidRPr="00AF4AEA">
              <w:rPr>
                <w:lang w:val="en-US"/>
              </w:rPr>
              <w:t>Input field</w:t>
            </w:r>
          </w:p>
        </w:tc>
      </w:tr>
      <w:tr w:rsidR="00C15D93" w:rsidRPr="00E95AA0" w14:paraId="65B4B701" w14:textId="77777777" w:rsidTr="002C17E3">
        <w:tc>
          <w:tcPr>
            <w:tcW w:w="965" w:type="dxa"/>
          </w:tcPr>
          <w:p w14:paraId="58D7CBC4" w14:textId="48C26DF3" w:rsidR="00C15D93" w:rsidRPr="008A4D36" w:rsidRDefault="00C15D93" w:rsidP="00D51317">
            <w:pPr>
              <w:pStyle w:val="Bodyromannumerals"/>
              <w:rPr>
                <w:b/>
                <w:bCs/>
                <w:lang w:val="en-US"/>
              </w:rPr>
            </w:pPr>
            <w:r w:rsidRPr="008A4D36">
              <w:rPr>
                <w:b/>
                <w:bCs/>
                <w:lang w:val="en-US"/>
              </w:rPr>
              <w:lastRenderedPageBreak/>
              <w:t>B1.</w:t>
            </w:r>
            <w:r w:rsidR="005111C3">
              <w:rPr>
                <w:b/>
                <w:bCs/>
                <w:lang w:val="en-US"/>
              </w:rPr>
              <w:t>6</w:t>
            </w:r>
          </w:p>
        </w:tc>
        <w:tc>
          <w:tcPr>
            <w:tcW w:w="5528" w:type="dxa"/>
            <w:gridSpan w:val="2"/>
          </w:tcPr>
          <w:p w14:paraId="69B0F0D9" w14:textId="77777777" w:rsidR="00C15D93" w:rsidRPr="008A4D36" w:rsidRDefault="00C15D93" w:rsidP="00D51317">
            <w:pPr>
              <w:pStyle w:val="Bodyromannumerals"/>
              <w:rPr>
                <w:b/>
                <w:bCs/>
                <w:lang w:val="en-US"/>
              </w:rPr>
            </w:pPr>
            <w:r w:rsidRPr="008A4D36">
              <w:rPr>
                <w:b/>
                <w:bCs/>
                <w:lang w:val="en-US"/>
              </w:rPr>
              <w:t>Population in areas where headroom &gt;5%</w:t>
            </w:r>
          </w:p>
        </w:tc>
        <w:tc>
          <w:tcPr>
            <w:tcW w:w="1065" w:type="dxa"/>
          </w:tcPr>
          <w:p w14:paraId="44149C15" w14:textId="77777777" w:rsidR="00C15D93" w:rsidRPr="008A4D36" w:rsidRDefault="00C15D93" w:rsidP="00D51317">
            <w:pPr>
              <w:pStyle w:val="Bodyromannumerals"/>
              <w:rPr>
                <w:b/>
                <w:bCs/>
                <w:lang w:val="en-US"/>
              </w:rPr>
            </w:pPr>
            <w:r w:rsidRPr="008A4D36">
              <w:rPr>
                <w:b/>
                <w:bCs/>
                <w:lang w:val="en-US"/>
              </w:rPr>
              <w:t xml:space="preserve">000 </w:t>
            </w:r>
          </w:p>
        </w:tc>
      </w:tr>
      <w:tr w:rsidR="00C15D93" w:rsidRPr="00216F0E" w14:paraId="687A942B" w14:textId="77777777" w:rsidTr="002C17E3">
        <w:tc>
          <w:tcPr>
            <w:tcW w:w="2004" w:type="dxa"/>
            <w:gridSpan w:val="2"/>
            <w:tcBorders>
              <w:left w:val="single" w:sz="4" w:space="0" w:color="FFFFFF"/>
              <w:bottom w:val="single" w:sz="4" w:space="0" w:color="FFFFFF"/>
              <w:right w:val="single" w:sz="4" w:space="0" w:color="FFFFFF"/>
            </w:tcBorders>
          </w:tcPr>
          <w:p w14:paraId="60DD9859" w14:textId="77777777" w:rsidR="00C15D93" w:rsidRPr="00E95AA0" w:rsidRDefault="00C15D93" w:rsidP="00D51317">
            <w:pPr>
              <w:pStyle w:val="Bodyromannumerals"/>
              <w:rPr>
                <w:i/>
                <w:lang w:val="en-US"/>
              </w:rPr>
            </w:pPr>
            <w:r w:rsidRPr="00E95AA0">
              <w:rPr>
                <w:i/>
                <w:lang w:val="en-US"/>
              </w:rPr>
              <w:t>Definition:</w:t>
            </w:r>
          </w:p>
        </w:tc>
        <w:tc>
          <w:tcPr>
            <w:tcW w:w="5554" w:type="dxa"/>
            <w:gridSpan w:val="2"/>
            <w:tcBorders>
              <w:left w:val="single" w:sz="4" w:space="0" w:color="FFFFFF"/>
              <w:bottom w:val="single" w:sz="4" w:space="0" w:color="FFFFFF"/>
              <w:right w:val="single" w:sz="4" w:space="0" w:color="FFFFFF"/>
            </w:tcBorders>
          </w:tcPr>
          <w:p w14:paraId="302A7942" w14:textId="0FCDADBE" w:rsidR="00C15D93" w:rsidRPr="00E95AA0" w:rsidRDefault="00C15D93" w:rsidP="00D51317">
            <w:pPr>
              <w:pStyle w:val="Bodyromannumerals"/>
              <w:rPr>
                <w:lang w:val="en-US"/>
              </w:rPr>
            </w:pPr>
            <w:r w:rsidRPr="00AF4AEA">
              <w:rPr>
                <w:lang w:val="en-US"/>
              </w:rPr>
              <w:t>Total population being supplied water where the difference between water available for use and the annual average demand (distribution input) is &gt;5% of the annual average</w:t>
            </w:r>
            <w:r w:rsidR="005D5875">
              <w:rPr>
                <w:lang w:val="en-US"/>
              </w:rPr>
              <w:t xml:space="preserve"> demand</w:t>
            </w:r>
            <w:r w:rsidRPr="00AF4AEA">
              <w:rPr>
                <w:lang w:val="en-US"/>
              </w:rPr>
              <w:t>.</w:t>
            </w:r>
          </w:p>
        </w:tc>
      </w:tr>
      <w:tr w:rsidR="00C15D93" w:rsidRPr="00216F0E" w14:paraId="259CDEC1" w14:textId="77777777" w:rsidTr="002C17E3">
        <w:tc>
          <w:tcPr>
            <w:tcW w:w="2004" w:type="dxa"/>
            <w:gridSpan w:val="2"/>
            <w:tcBorders>
              <w:top w:val="single" w:sz="4" w:space="0" w:color="FFFFFF"/>
              <w:left w:val="single" w:sz="4" w:space="0" w:color="FFFFFF"/>
              <w:bottom w:val="single" w:sz="4" w:space="0" w:color="FFFFFF"/>
              <w:right w:val="single" w:sz="4" w:space="0" w:color="FFFFFF"/>
            </w:tcBorders>
          </w:tcPr>
          <w:p w14:paraId="4193227E" w14:textId="77777777" w:rsidR="00C15D93" w:rsidRPr="00AF4AEA" w:rsidRDefault="00C15D93" w:rsidP="00D51317">
            <w:pPr>
              <w:pStyle w:val="Bodyromannumerals"/>
              <w:rPr>
                <w:i/>
                <w:lang w:val="en-US"/>
              </w:rPr>
            </w:pPr>
            <w:r w:rsidRPr="00A80A3E">
              <w:rPr>
                <w:i/>
                <w:lang w:val="en-US"/>
              </w:rPr>
              <w:t>Processing Rules:</w:t>
            </w:r>
          </w:p>
        </w:tc>
        <w:tc>
          <w:tcPr>
            <w:tcW w:w="5554" w:type="dxa"/>
            <w:gridSpan w:val="2"/>
            <w:tcBorders>
              <w:top w:val="single" w:sz="4" w:space="0" w:color="FFFFFF"/>
              <w:left w:val="single" w:sz="4" w:space="0" w:color="FFFFFF"/>
              <w:bottom w:val="single" w:sz="4" w:space="0" w:color="FFFFFF"/>
              <w:right w:val="single" w:sz="4" w:space="0" w:color="FFFFFF"/>
            </w:tcBorders>
          </w:tcPr>
          <w:p w14:paraId="449F12B1" w14:textId="77777777" w:rsidR="00C15D93" w:rsidRPr="00AF4AEA" w:rsidRDefault="00C15D93" w:rsidP="00D51317">
            <w:pPr>
              <w:pStyle w:val="Bodyromannumerals"/>
              <w:rPr>
                <w:lang w:val="en-US"/>
              </w:rPr>
            </w:pPr>
            <w:r w:rsidRPr="00AF4AEA">
              <w:rPr>
                <w:lang w:val="en-US"/>
              </w:rPr>
              <w:t>Input field</w:t>
            </w:r>
          </w:p>
        </w:tc>
      </w:tr>
    </w:tbl>
    <w:p w14:paraId="3EA41200" w14:textId="7DF6B560" w:rsidR="00C15D93" w:rsidRPr="00C15D93" w:rsidRDefault="00C15D93" w:rsidP="00C15D93">
      <w:pPr>
        <w:pStyle w:val="Sectionsub-heading"/>
      </w:pPr>
      <w:r w:rsidRPr="00C15D93">
        <w:t>BLOCK 3: RESTRICTIONS ON WATER USE</w:t>
      </w:r>
    </w:p>
    <w:tbl>
      <w:tblPr>
        <w:tblStyle w:val="TableGrid"/>
        <w:tblW w:w="7558" w:type="dxa"/>
        <w:tblLook w:val="04A0" w:firstRow="1" w:lastRow="0" w:firstColumn="1" w:lastColumn="0" w:noHBand="0" w:noVBand="1"/>
      </w:tblPr>
      <w:tblGrid>
        <w:gridCol w:w="1050"/>
        <w:gridCol w:w="976"/>
        <w:gridCol w:w="4480"/>
        <w:gridCol w:w="1052"/>
      </w:tblGrid>
      <w:tr w:rsidR="00C15D93" w:rsidRPr="00E95AA0" w14:paraId="1087FDAE" w14:textId="77777777" w:rsidTr="286C5C0D">
        <w:tc>
          <w:tcPr>
            <w:tcW w:w="1050" w:type="dxa"/>
          </w:tcPr>
          <w:p w14:paraId="64296305" w14:textId="6600E309" w:rsidR="00C15D93" w:rsidRPr="008616F9" w:rsidRDefault="00C15D93" w:rsidP="00D51317">
            <w:pPr>
              <w:pStyle w:val="Bodyromannumerals"/>
              <w:rPr>
                <w:b/>
                <w:bCs/>
                <w:lang w:val="en-US"/>
              </w:rPr>
            </w:pPr>
            <w:r w:rsidRPr="008616F9">
              <w:rPr>
                <w:b/>
                <w:bCs/>
                <w:lang w:val="en-US"/>
              </w:rPr>
              <w:t>B1.</w:t>
            </w:r>
            <w:r w:rsidR="005111C3">
              <w:rPr>
                <w:b/>
                <w:bCs/>
                <w:lang w:val="en-US"/>
              </w:rPr>
              <w:t>7</w:t>
            </w:r>
          </w:p>
        </w:tc>
        <w:tc>
          <w:tcPr>
            <w:tcW w:w="5456" w:type="dxa"/>
            <w:gridSpan w:val="2"/>
          </w:tcPr>
          <w:p w14:paraId="22C89F1E" w14:textId="7A6DAF22" w:rsidR="00C15D93" w:rsidRPr="008616F9" w:rsidRDefault="00C15D93" w:rsidP="00D51317">
            <w:pPr>
              <w:pStyle w:val="Bodyromannumerals"/>
              <w:rPr>
                <w:b/>
                <w:bCs/>
                <w:lang w:val="en-US"/>
              </w:rPr>
            </w:pPr>
            <w:r w:rsidRPr="008616F9">
              <w:rPr>
                <w:b/>
                <w:bCs/>
                <w:lang w:val="en-US"/>
              </w:rPr>
              <w:t xml:space="preserve">% </w:t>
            </w:r>
            <w:r w:rsidR="007B138D">
              <w:rPr>
                <w:b/>
                <w:bCs/>
                <w:lang w:val="en-US"/>
              </w:rPr>
              <w:t>p</w:t>
            </w:r>
            <w:r w:rsidRPr="008616F9">
              <w:rPr>
                <w:b/>
                <w:bCs/>
                <w:lang w:val="en-US"/>
              </w:rPr>
              <w:t xml:space="preserve">opulation affected by </w:t>
            </w:r>
            <w:r w:rsidR="00C36BE1">
              <w:rPr>
                <w:b/>
                <w:bCs/>
                <w:lang w:val="en-US"/>
              </w:rPr>
              <w:t>water</w:t>
            </w:r>
            <w:r w:rsidR="00C36BE1" w:rsidRPr="008616F9">
              <w:rPr>
                <w:b/>
                <w:bCs/>
                <w:lang w:val="en-US"/>
              </w:rPr>
              <w:t xml:space="preserve"> </w:t>
            </w:r>
            <w:r w:rsidRPr="008616F9">
              <w:rPr>
                <w:b/>
                <w:bCs/>
                <w:lang w:val="en-US"/>
              </w:rPr>
              <w:t>restrictions</w:t>
            </w:r>
          </w:p>
        </w:tc>
        <w:tc>
          <w:tcPr>
            <w:tcW w:w="1052" w:type="dxa"/>
          </w:tcPr>
          <w:p w14:paraId="058D15BF" w14:textId="77777777" w:rsidR="00C15D93" w:rsidRPr="008616F9" w:rsidRDefault="00C15D93" w:rsidP="00D51317">
            <w:pPr>
              <w:pStyle w:val="Bodyromannumerals"/>
              <w:rPr>
                <w:b/>
                <w:bCs/>
                <w:lang w:val="en-US"/>
              </w:rPr>
            </w:pPr>
            <w:r w:rsidRPr="008616F9">
              <w:rPr>
                <w:b/>
                <w:bCs/>
                <w:lang w:val="en-US"/>
              </w:rPr>
              <w:t xml:space="preserve">% </w:t>
            </w:r>
          </w:p>
        </w:tc>
      </w:tr>
      <w:tr w:rsidR="00C15D93" w:rsidRPr="00E95AA0" w14:paraId="6A8DB17A" w14:textId="77777777" w:rsidTr="286C5C0D">
        <w:tc>
          <w:tcPr>
            <w:tcW w:w="2026" w:type="dxa"/>
            <w:gridSpan w:val="2"/>
            <w:tcBorders>
              <w:left w:val="single" w:sz="4" w:space="0" w:color="FFFFFF" w:themeColor="background2"/>
              <w:bottom w:val="single" w:sz="4" w:space="0" w:color="FFFFFF" w:themeColor="background2"/>
              <w:right w:val="single" w:sz="4" w:space="0" w:color="FFFFFF" w:themeColor="background2"/>
            </w:tcBorders>
          </w:tcPr>
          <w:p w14:paraId="4C1BC604" w14:textId="77777777" w:rsidR="00C15D93" w:rsidRPr="00E95AA0" w:rsidRDefault="00C15D93" w:rsidP="00D51317">
            <w:pPr>
              <w:pStyle w:val="Bodyromannumerals"/>
              <w:rPr>
                <w:i/>
                <w:lang w:val="en-US"/>
              </w:rPr>
            </w:pPr>
            <w:r w:rsidRPr="00E95AA0">
              <w:rPr>
                <w:i/>
                <w:lang w:val="en-US"/>
              </w:rPr>
              <w:t>Definition:</w:t>
            </w:r>
          </w:p>
        </w:tc>
        <w:tc>
          <w:tcPr>
            <w:tcW w:w="5532" w:type="dxa"/>
            <w:gridSpan w:val="2"/>
            <w:tcBorders>
              <w:left w:val="single" w:sz="4" w:space="0" w:color="FFFFFF" w:themeColor="background2"/>
              <w:bottom w:val="single" w:sz="4" w:space="0" w:color="FFFFFF" w:themeColor="background2"/>
              <w:right w:val="single" w:sz="4" w:space="0" w:color="FFFFFF" w:themeColor="background2"/>
            </w:tcBorders>
          </w:tcPr>
          <w:p w14:paraId="60885E12" w14:textId="5DB6DD7F" w:rsidR="00C15D93" w:rsidRPr="00AF4AEA" w:rsidRDefault="00C15D93" w:rsidP="00D51317">
            <w:pPr>
              <w:pStyle w:val="Bodyromannumerals"/>
              <w:rPr>
                <w:lang w:val="en-US"/>
              </w:rPr>
            </w:pPr>
            <w:r w:rsidRPr="00AF4AEA">
              <w:rPr>
                <w:lang w:val="en-US"/>
              </w:rPr>
              <w:t xml:space="preserve">The percentage of population affected by </w:t>
            </w:r>
            <w:r w:rsidR="00C36BE1">
              <w:rPr>
                <w:lang w:val="en-US"/>
              </w:rPr>
              <w:t>water restrictions</w:t>
            </w:r>
            <w:r w:rsidRPr="00AF4AEA">
              <w:rPr>
                <w:lang w:val="en-US"/>
              </w:rPr>
              <w:t xml:space="preserve"> for any reason</w:t>
            </w:r>
            <w:r w:rsidR="00176E71">
              <w:rPr>
                <w:lang w:val="en-US"/>
              </w:rPr>
              <w:t xml:space="preserve"> at any point in the year</w:t>
            </w:r>
            <w:r w:rsidR="00654D64">
              <w:rPr>
                <w:lang w:val="en-US"/>
              </w:rPr>
              <w:t xml:space="preserve">. </w:t>
            </w:r>
            <w:r w:rsidR="00654D64">
              <w:t>These include legally enforceable and non-legally enforceable (i.e. advisory) restrictions.</w:t>
            </w:r>
          </w:p>
        </w:tc>
      </w:tr>
      <w:tr w:rsidR="00C15D93" w:rsidRPr="00216F0E" w14:paraId="08ACBD11" w14:textId="77777777" w:rsidTr="286C5C0D">
        <w:tc>
          <w:tcPr>
            <w:tcW w:w="202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DE8676" w14:textId="77777777" w:rsidR="00C15D93" w:rsidRPr="00B72DDF" w:rsidRDefault="00C15D93" w:rsidP="00D51317">
            <w:pPr>
              <w:pStyle w:val="Bodyromannumerals"/>
              <w:rPr>
                <w:i/>
                <w:lang w:val="en-US"/>
              </w:rPr>
            </w:pPr>
            <w:r w:rsidRPr="00B72DDF">
              <w:rPr>
                <w:i/>
                <w:lang w:val="en-US"/>
              </w:rPr>
              <w:t>Processing Rules:</w:t>
            </w:r>
          </w:p>
        </w:tc>
        <w:tc>
          <w:tcPr>
            <w:tcW w:w="553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BD94158" w14:textId="77777777" w:rsidR="00C15D93" w:rsidRPr="00265A09" w:rsidRDefault="00C15D93" w:rsidP="00D51317">
            <w:pPr>
              <w:pStyle w:val="Bodyromannumerals"/>
              <w:rPr>
                <w:lang w:val="en-US"/>
              </w:rPr>
            </w:pPr>
            <w:r w:rsidRPr="00265A09">
              <w:rPr>
                <w:lang w:val="en-US"/>
              </w:rPr>
              <w:t>Input field</w:t>
            </w:r>
          </w:p>
        </w:tc>
      </w:tr>
      <w:tr w:rsidR="00C15D93" w:rsidRPr="00E95AA0" w14:paraId="065FA34A" w14:textId="77777777" w:rsidTr="286C5C0D">
        <w:tc>
          <w:tcPr>
            <w:tcW w:w="1050" w:type="dxa"/>
          </w:tcPr>
          <w:p w14:paraId="65DDDE76" w14:textId="4B12AF5A" w:rsidR="00C15D93" w:rsidRPr="008616F9" w:rsidRDefault="00C15D93" w:rsidP="00D51317">
            <w:pPr>
              <w:pStyle w:val="Bodyromannumerals"/>
              <w:rPr>
                <w:b/>
                <w:bCs/>
                <w:lang w:val="en-US"/>
              </w:rPr>
            </w:pPr>
            <w:r w:rsidRPr="008616F9">
              <w:rPr>
                <w:b/>
                <w:bCs/>
                <w:lang w:val="en-US"/>
              </w:rPr>
              <w:t>B1.</w:t>
            </w:r>
            <w:r w:rsidR="005111C3">
              <w:rPr>
                <w:b/>
                <w:bCs/>
                <w:lang w:val="en-US"/>
              </w:rPr>
              <w:t>8</w:t>
            </w:r>
          </w:p>
        </w:tc>
        <w:tc>
          <w:tcPr>
            <w:tcW w:w="5456" w:type="dxa"/>
            <w:gridSpan w:val="2"/>
          </w:tcPr>
          <w:p w14:paraId="0BAC31EF" w14:textId="5CE4A33C" w:rsidR="00C15D93" w:rsidRPr="008616F9" w:rsidRDefault="00C15D93" w:rsidP="00D51317">
            <w:pPr>
              <w:pStyle w:val="Bodyromannumerals"/>
              <w:rPr>
                <w:b/>
                <w:bCs/>
                <w:lang w:val="en-US"/>
              </w:rPr>
            </w:pPr>
            <w:r w:rsidRPr="008616F9">
              <w:rPr>
                <w:b/>
                <w:bCs/>
                <w:lang w:val="en-US"/>
              </w:rPr>
              <w:t xml:space="preserve">% </w:t>
            </w:r>
            <w:r w:rsidR="007B138D">
              <w:rPr>
                <w:b/>
                <w:bCs/>
                <w:lang w:val="en-US"/>
              </w:rPr>
              <w:t>p</w:t>
            </w:r>
            <w:r w:rsidRPr="008616F9">
              <w:rPr>
                <w:b/>
                <w:bCs/>
                <w:lang w:val="en-US"/>
              </w:rPr>
              <w:t xml:space="preserve">opulation affected by </w:t>
            </w:r>
            <w:r w:rsidR="00E7717A">
              <w:rPr>
                <w:b/>
                <w:bCs/>
                <w:lang w:val="en-US"/>
              </w:rPr>
              <w:t xml:space="preserve">water restriction </w:t>
            </w:r>
            <w:r w:rsidRPr="008616F9">
              <w:rPr>
                <w:b/>
                <w:bCs/>
                <w:lang w:val="en-US"/>
              </w:rPr>
              <w:t>orders</w:t>
            </w:r>
          </w:p>
        </w:tc>
        <w:tc>
          <w:tcPr>
            <w:tcW w:w="1052" w:type="dxa"/>
          </w:tcPr>
          <w:p w14:paraId="680441DD" w14:textId="77777777" w:rsidR="00C15D93" w:rsidRPr="008616F9" w:rsidRDefault="00C15D93" w:rsidP="00D51317">
            <w:pPr>
              <w:pStyle w:val="Bodyromannumerals"/>
              <w:rPr>
                <w:b/>
                <w:bCs/>
                <w:lang w:val="en-US"/>
              </w:rPr>
            </w:pPr>
            <w:r w:rsidRPr="008616F9">
              <w:rPr>
                <w:b/>
                <w:bCs/>
                <w:lang w:val="en-US"/>
              </w:rPr>
              <w:t xml:space="preserve">% </w:t>
            </w:r>
          </w:p>
        </w:tc>
      </w:tr>
      <w:tr w:rsidR="00C15D93" w:rsidRPr="00E95AA0" w14:paraId="7B435B8B" w14:textId="77777777" w:rsidTr="286C5C0D">
        <w:tc>
          <w:tcPr>
            <w:tcW w:w="2026" w:type="dxa"/>
            <w:gridSpan w:val="2"/>
            <w:tcBorders>
              <w:left w:val="single" w:sz="4" w:space="0" w:color="FFFFFF" w:themeColor="background2"/>
              <w:bottom w:val="single" w:sz="4" w:space="0" w:color="FFFFFF" w:themeColor="background2"/>
              <w:right w:val="single" w:sz="4" w:space="0" w:color="FFFFFF" w:themeColor="background2"/>
            </w:tcBorders>
          </w:tcPr>
          <w:p w14:paraId="1E0805DB" w14:textId="77777777" w:rsidR="00C15D93" w:rsidRPr="00E95AA0" w:rsidRDefault="00C15D93" w:rsidP="00D51317">
            <w:pPr>
              <w:pStyle w:val="Bodyromannumerals"/>
              <w:rPr>
                <w:i/>
                <w:lang w:val="en-US"/>
              </w:rPr>
            </w:pPr>
            <w:r w:rsidRPr="00E95AA0">
              <w:rPr>
                <w:i/>
                <w:lang w:val="en-US"/>
              </w:rPr>
              <w:t>Definition:</w:t>
            </w:r>
          </w:p>
        </w:tc>
        <w:tc>
          <w:tcPr>
            <w:tcW w:w="5532" w:type="dxa"/>
            <w:gridSpan w:val="2"/>
            <w:tcBorders>
              <w:left w:val="single" w:sz="4" w:space="0" w:color="FFFFFF" w:themeColor="background2"/>
              <w:bottom w:val="single" w:sz="4" w:space="0" w:color="FFFFFF" w:themeColor="background2"/>
              <w:right w:val="single" w:sz="4" w:space="0" w:color="FFFFFF" w:themeColor="background2"/>
            </w:tcBorders>
          </w:tcPr>
          <w:p w14:paraId="34D57056" w14:textId="371A256E" w:rsidR="00C15D93" w:rsidRPr="00AF4AEA" w:rsidRDefault="00C15D93" w:rsidP="00D51317">
            <w:pPr>
              <w:pStyle w:val="Bodyromannumerals"/>
              <w:rPr>
                <w:lang w:val="en-US"/>
              </w:rPr>
            </w:pPr>
            <w:r w:rsidRPr="00AF4AEA">
              <w:rPr>
                <w:lang w:val="en-US"/>
              </w:rPr>
              <w:t xml:space="preserve">The percentage of population affected by </w:t>
            </w:r>
            <w:r w:rsidR="00E7717A">
              <w:rPr>
                <w:lang w:val="en-US"/>
              </w:rPr>
              <w:t>water restriction</w:t>
            </w:r>
            <w:r w:rsidR="00E7717A" w:rsidRPr="00AF4AEA">
              <w:rPr>
                <w:lang w:val="en-US"/>
              </w:rPr>
              <w:t xml:space="preserve"> </w:t>
            </w:r>
            <w:r w:rsidR="00FF7D57">
              <w:rPr>
                <w:lang w:val="en-US"/>
              </w:rPr>
              <w:t xml:space="preserve">process / </w:t>
            </w:r>
            <w:r w:rsidRPr="00AF4AEA">
              <w:rPr>
                <w:lang w:val="en-US"/>
              </w:rPr>
              <w:t>orders.</w:t>
            </w:r>
            <w:r w:rsidR="00654D64">
              <w:rPr>
                <w:lang w:val="en-US"/>
              </w:rPr>
              <w:t xml:space="preserve"> </w:t>
            </w:r>
            <w:r w:rsidR="00654D64">
              <w:t xml:space="preserve">These include legally enforceable restrictions only. </w:t>
            </w:r>
          </w:p>
        </w:tc>
      </w:tr>
      <w:tr w:rsidR="00C15D93" w:rsidRPr="00216F0E" w14:paraId="4C447590" w14:textId="77777777" w:rsidTr="286C5C0D">
        <w:tc>
          <w:tcPr>
            <w:tcW w:w="202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1BEE90" w14:textId="77777777" w:rsidR="00C15D93" w:rsidRPr="00B72DDF" w:rsidRDefault="00C15D93" w:rsidP="00D51317">
            <w:pPr>
              <w:pStyle w:val="Bodyromannumerals"/>
              <w:rPr>
                <w:i/>
                <w:lang w:val="en-US"/>
              </w:rPr>
            </w:pPr>
            <w:r w:rsidRPr="00B72DDF">
              <w:rPr>
                <w:i/>
                <w:lang w:val="en-US"/>
              </w:rPr>
              <w:t>Processing Rules:</w:t>
            </w:r>
          </w:p>
        </w:tc>
        <w:tc>
          <w:tcPr>
            <w:tcW w:w="553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49BE8F2" w14:textId="77777777" w:rsidR="00C15D93" w:rsidRPr="00265A09" w:rsidRDefault="00C15D93" w:rsidP="00D51317">
            <w:pPr>
              <w:pStyle w:val="Bodyromannumerals"/>
              <w:rPr>
                <w:lang w:val="en-US"/>
              </w:rPr>
            </w:pPr>
            <w:r w:rsidRPr="00B72DDF">
              <w:rPr>
                <w:lang w:val="en-US"/>
              </w:rPr>
              <w:t>Input field</w:t>
            </w:r>
          </w:p>
        </w:tc>
      </w:tr>
    </w:tbl>
    <w:p w14:paraId="292C9FC9" w14:textId="5BE14036" w:rsidR="005570BA" w:rsidRDefault="005570BA" w:rsidP="00BE4543">
      <w:pPr>
        <w:pStyle w:val="Bodyromannumerals"/>
      </w:pPr>
      <w:r>
        <w:br w:type="page"/>
      </w:r>
    </w:p>
    <w:p w14:paraId="73EC912E" w14:textId="59E42B09" w:rsidR="007D16EF" w:rsidRDefault="007D16EF" w:rsidP="007D16EF">
      <w:pPr>
        <w:pStyle w:val="Title1"/>
      </w:pPr>
      <w:r>
        <w:lastRenderedPageBreak/>
        <w:t>TABLE B1a: WATER AVAILABILITY</w:t>
      </w:r>
    </w:p>
    <w:p w14:paraId="01447D43" w14:textId="77777777" w:rsidR="007D16EF" w:rsidRDefault="007D16EF" w:rsidP="00B97AE8">
      <w:pPr>
        <w:pStyle w:val="Bodynumbercopy"/>
        <w:numPr>
          <w:ilvl w:val="0"/>
          <w:numId w:val="44"/>
        </w:numPr>
      </w:pPr>
      <w:r w:rsidRPr="00B97AE8">
        <w:t>This table focuses on drinking water (wastewater and stormwater are covered in later sections). In particular, it is concerned with the availability of water within each water resource</w:t>
      </w:r>
      <w:r w:rsidRPr="005E4A6A">
        <w:t xml:space="preserve"> area. </w:t>
      </w:r>
    </w:p>
    <w:p w14:paraId="0F596571" w14:textId="246ADDFB" w:rsidR="00A0517A" w:rsidRPr="005E4A6A" w:rsidRDefault="00A0517A" w:rsidP="00971BDF">
      <w:pPr>
        <w:pStyle w:val="Bodynumbercopy"/>
        <w:numPr>
          <w:ilvl w:val="0"/>
          <w:numId w:val="44"/>
        </w:numPr>
      </w:pPr>
      <w:r>
        <w:t xml:space="preserve">This table </w:t>
      </w:r>
      <w:r w:rsidR="00F35B69">
        <w:t xml:space="preserve">differs from Table B1 in that it considers headroom with respect to peak daily demand </w:t>
      </w:r>
      <w:r w:rsidR="00FC256B">
        <w:t xml:space="preserve">in </w:t>
      </w:r>
      <w:r w:rsidR="00E20D07">
        <w:t xml:space="preserve">the </w:t>
      </w:r>
      <w:r w:rsidR="00FC256B">
        <w:t xml:space="preserve">summer </w:t>
      </w:r>
      <w:r w:rsidR="00F35B69">
        <w:t>rather than annual average demand</w:t>
      </w:r>
      <w:r w:rsidR="00791E1F">
        <w:t xml:space="preserve">. </w:t>
      </w:r>
    </w:p>
    <w:p w14:paraId="26607C85" w14:textId="7B24E2A0" w:rsidR="007D16EF" w:rsidRPr="00B97AE8" w:rsidRDefault="00854522" w:rsidP="007D16EF">
      <w:pPr>
        <w:pStyle w:val="Bodynumbercopy"/>
      </w:pPr>
      <w:r>
        <w:t>H</w:t>
      </w:r>
      <w:r w:rsidRPr="00B97AE8">
        <w:t xml:space="preserve">eadroom calculations are required </w:t>
      </w:r>
      <w:r>
        <w:t>i</w:t>
      </w:r>
      <w:r w:rsidR="007D16EF" w:rsidRPr="00B97AE8">
        <w:t>n lines B1a.2 to B1a.4 and B1a.</w:t>
      </w:r>
      <w:r w:rsidR="00B97AE8" w:rsidRPr="00B97AE8">
        <w:t>5</w:t>
      </w:r>
      <w:r w:rsidR="007D16EF" w:rsidRPr="00B97AE8">
        <w:t xml:space="preserve"> to B1a.</w:t>
      </w:r>
      <w:r w:rsidR="00B97AE8" w:rsidRPr="00B97AE8">
        <w:t>6</w:t>
      </w:r>
      <w:r w:rsidR="007D16EF" w:rsidRPr="00B97AE8">
        <w:t>.  The terms used in the line definitions are explained here:</w:t>
      </w:r>
    </w:p>
    <w:p w14:paraId="5E95CB9D" w14:textId="77777777" w:rsidR="007D16EF" w:rsidRDefault="007D16EF" w:rsidP="007D16EF">
      <w:pPr>
        <w:pStyle w:val="Sectionsub-heading"/>
      </w:pPr>
      <w:r>
        <w:t>Headroom</w:t>
      </w:r>
    </w:p>
    <w:p w14:paraId="47DAC016" w14:textId="71B9AFEA" w:rsidR="00B97AE8" w:rsidRPr="00971BDF" w:rsidRDefault="00A0517A" w:rsidP="00B97AE8">
      <w:pPr>
        <w:pStyle w:val="Bodynumbercopy"/>
        <w:rPr>
          <w:rFonts w:ascii="Segoe UI" w:hAnsi="Segoe UI" w:cs="Segoe UI"/>
          <w:b/>
          <w:bCs/>
          <w:color w:val="03B2C4"/>
        </w:rPr>
      </w:pPr>
      <w:r>
        <w:t>This is the d</w:t>
      </w:r>
      <w:r w:rsidR="007D16EF" w:rsidRPr="00B97AE8">
        <w:t xml:space="preserve">ifference between the water available for use and the </w:t>
      </w:r>
      <w:r w:rsidR="00B97AE8" w:rsidRPr="00B97AE8">
        <w:t>peak daily</w:t>
      </w:r>
      <w:r w:rsidR="007D16EF" w:rsidRPr="00B97AE8">
        <w:t xml:space="preserve"> demand. </w:t>
      </w:r>
    </w:p>
    <w:p w14:paraId="2E07E263" w14:textId="77777777" w:rsidR="00B97AE8" w:rsidRDefault="00B97AE8" w:rsidP="00B97AE8">
      <w:pPr>
        <w:pStyle w:val="Sectionsub-heading"/>
      </w:pPr>
      <w:r>
        <w:t>Water resource area</w:t>
      </w:r>
    </w:p>
    <w:p w14:paraId="7F84B3FF" w14:textId="77777777" w:rsidR="00B97AE8" w:rsidRDefault="00B97AE8" w:rsidP="00B97AE8">
      <w:pPr>
        <w:pStyle w:val="Bodynumbercopy"/>
      </w:pPr>
      <w:r>
        <w:t>The largest possible area in which all resources, including external transfers, can be shared and hence the area in which all customers experience the same degree of supply failure from a resource shortfall.</w:t>
      </w:r>
    </w:p>
    <w:p w14:paraId="73F32513" w14:textId="77777777" w:rsidR="00AA056C" w:rsidRPr="003B4ACA" w:rsidRDefault="00AA056C" w:rsidP="00AA056C">
      <w:pPr>
        <w:spacing w:after="160" w:line="259" w:lineRule="auto"/>
        <w:rPr>
          <w:rStyle w:val="Sectionsub-headingChar"/>
        </w:rPr>
      </w:pPr>
      <w:r>
        <w:rPr>
          <w:rStyle w:val="Sectionsub-headingChar"/>
        </w:rPr>
        <w:t>Headroom per r</w:t>
      </w:r>
      <w:r w:rsidRPr="003B4ACA">
        <w:rPr>
          <w:rStyle w:val="Sectionsub-headingChar"/>
        </w:rPr>
        <w:t>esource area</w:t>
      </w:r>
    </w:p>
    <w:p w14:paraId="51E25139" w14:textId="77777777" w:rsidR="00AA056C" w:rsidRDefault="00AA056C" w:rsidP="00971BDF">
      <w:pPr>
        <w:pStyle w:val="Bodynumbercopy"/>
      </w:pPr>
      <w:r>
        <w:t>This covers the headroom available per area. Headroom is expressed per 1,000 customers.</w:t>
      </w:r>
    </w:p>
    <w:p w14:paraId="7A326EA6" w14:textId="77777777" w:rsidR="005E4A6A" w:rsidRDefault="005E4A6A" w:rsidP="005E4A6A">
      <w:pPr>
        <w:pStyle w:val="Sectionsub-heading"/>
      </w:pPr>
      <w:r>
        <w:t>Water available for use</w:t>
      </w:r>
    </w:p>
    <w:p w14:paraId="7BCBDCB9" w14:textId="77777777" w:rsidR="005E4A6A" w:rsidRDefault="005E4A6A" w:rsidP="00971BDF">
      <w:pPr>
        <w:pStyle w:val="Bodynumbercopy"/>
      </w:pPr>
      <w:r w:rsidRPr="00D35279">
        <w:rPr>
          <w:b/>
        </w:rPr>
        <w:t>Water available for use</w:t>
      </w:r>
      <w:r>
        <w:t xml:space="preserve"> is defined as the deployable output less sustainability reductions, plus bulk supply imports, less bulk supply exports and less reductions related to the outage allowance.</w:t>
      </w:r>
    </w:p>
    <w:p w14:paraId="2FF4A199" w14:textId="77777777" w:rsidR="00640086" w:rsidRDefault="00640086" w:rsidP="00640086">
      <w:pPr>
        <w:pStyle w:val="Sectionsub-heading"/>
      </w:pPr>
      <w:r>
        <w:t>Deployable output</w:t>
      </w:r>
    </w:p>
    <w:p w14:paraId="56E8477D" w14:textId="77777777" w:rsidR="00640086" w:rsidRDefault="00640086" w:rsidP="00640086">
      <w:pPr>
        <w:pStyle w:val="Bodynumbercopy"/>
      </w:pPr>
      <w:r w:rsidRPr="00B60D09">
        <w:rPr>
          <w:b/>
          <w:bCs/>
        </w:rPr>
        <w:t>Deployable output</w:t>
      </w:r>
      <w:r>
        <w:t xml:space="preserve"> is the maximum amount of water the Local Authority could provide if required.</w:t>
      </w:r>
      <w:r w:rsidRPr="0085009C">
        <w:rPr>
          <w:rStyle w:val="CommentReference"/>
          <w:rFonts w:ascii="Arial" w:hAnsi="Arial" w:cstheme="minorBidi"/>
        </w:rPr>
        <w:t xml:space="preserve"> </w:t>
      </w:r>
      <w:r w:rsidRPr="00B60D09">
        <w:t>It</w:t>
      </w:r>
      <w:r>
        <w:t xml:space="preserve"> is the output of a source or group of sources or of bulk supply as constrained by:</w:t>
      </w:r>
    </w:p>
    <w:p w14:paraId="280B5845" w14:textId="77777777" w:rsidR="00640086" w:rsidRDefault="00640086" w:rsidP="00971BDF">
      <w:pPr>
        <w:pStyle w:val="Bodynumbercopy"/>
        <w:numPr>
          <w:ilvl w:val="0"/>
          <w:numId w:val="63"/>
        </w:numPr>
      </w:pPr>
      <w:r>
        <w:t>Environment</w:t>
      </w:r>
    </w:p>
    <w:p w14:paraId="564626BB" w14:textId="77777777" w:rsidR="00640086" w:rsidRDefault="00640086" w:rsidP="00971BDF">
      <w:pPr>
        <w:pStyle w:val="Bodynumbercopy"/>
        <w:numPr>
          <w:ilvl w:val="0"/>
          <w:numId w:val="63"/>
        </w:numPr>
      </w:pPr>
      <w:r>
        <w:t>An abstraction licence, if applicable</w:t>
      </w:r>
    </w:p>
    <w:p w14:paraId="5C48C1B4" w14:textId="77777777" w:rsidR="00640086" w:rsidRDefault="00640086" w:rsidP="00971BDF">
      <w:pPr>
        <w:pStyle w:val="Bodynumbercopy"/>
        <w:numPr>
          <w:ilvl w:val="0"/>
          <w:numId w:val="63"/>
        </w:numPr>
      </w:pPr>
      <w:r>
        <w:t>Pumping plant and/or well/aquifer properties</w:t>
      </w:r>
    </w:p>
    <w:p w14:paraId="6E3BF433" w14:textId="77777777" w:rsidR="00640086" w:rsidRDefault="00640086" w:rsidP="00971BDF">
      <w:pPr>
        <w:pStyle w:val="Bodynumbercopy"/>
        <w:numPr>
          <w:ilvl w:val="0"/>
          <w:numId w:val="63"/>
        </w:numPr>
      </w:pPr>
      <w:r>
        <w:t>Raw water mains and/or aquifers</w:t>
      </w:r>
    </w:p>
    <w:p w14:paraId="0D143241" w14:textId="77777777" w:rsidR="00640086" w:rsidRDefault="00640086" w:rsidP="00971BDF">
      <w:pPr>
        <w:pStyle w:val="Bodynumbercopy"/>
        <w:numPr>
          <w:ilvl w:val="0"/>
          <w:numId w:val="63"/>
        </w:numPr>
      </w:pPr>
      <w:r>
        <w:t>Transfer and/or output main</w:t>
      </w:r>
    </w:p>
    <w:p w14:paraId="5AD8A67A" w14:textId="77777777" w:rsidR="00640086" w:rsidRDefault="00640086" w:rsidP="00971BDF">
      <w:pPr>
        <w:pStyle w:val="Bodynumbercopy"/>
        <w:numPr>
          <w:ilvl w:val="0"/>
          <w:numId w:val="63"/>
        </w:numPr>
      </w:pPr>
      <w:r>
        <w:t>Water quality</w:t>
      </w:r>
    </w:p>
    <w:p w14:paraId="44777F5F" w14:textId="77777777" w:rsidR="00640086" w:rsidRDefault="00640086" w:rsidP="00640086">
      <w:pPr>
        <w:pStyle w:val="Bodynumbercopy"/>
        <w:numPr>
          <w:ilvl w:val="0"/>
          <w:numId w:val="0"/>
        </w:numPr>
        <w:ind w:left="780"/>
      </w:pPr>
    </w:p>
    <w:p w14:paraId="375E2C50" w14:textId="77777777" w:rsidR="00640086" w:rsidRDefault="00640086" w:rsidP="00640086">
      <w:pPr>
        <w:pStyle w:val="Bodynumbercopy"/>
      </w:pPr>
      <w:r>
        <w:t xml:space="preserve">For </w:t>
      </w:r>
      <w:r w:rsidRPr="008039A4">
        <w:rPr>
          <w:b/>
          <w:bCs/>
        </w:rPr>
        <w:t>groundwater sources</w:t>
      </w:r>
      <w:r>
        <w:t>, the deployable output is defined as the output for specified conditions and demands of a commissioned source or group of sources as constrained by licensed quantities (e.g. regional consents); water quantity; environment; treatment; raw water mains and/or output main; well construction; aquifer properties.</w:t>
      </w:r>
      <w:r w:rsidRPr="0085009C">
        <w:rPr>
          <w:rStyle w:val="CommentReference"/>
          <w:rFonts w:ascii="Arial" w:hAnsi="Arial" w:cstheme="minorBidi"/>
        </w:rPr>
        <w:t xml:space="preserve"> </w:t>
      </w:r>
    </w:p>
    <w:p w14:paraId="32D6D9DF" w14:textId="77777777" w:rsidR="00640086" w:rsidRDefault="00640086" w:rsidP="00640086">
      <w:pPr>
        <w:pStyle w:val="Bodynumbercopy"/>
      </w:pPr>
      <w:r>
        <w:lastRenderedPageBreak/>
        <w:t xml:space="preserve">For </w:t>
      </w:r>
      <w:r>
        <w:rPr>
          <w:b/>
          <w:bCs/>
        </w:rPr>
        <w:t>surface water</w:t>
      </w:r>
      <w:r w:rsidRPr="008039A4">
        <w:rPr>
          <w:b/>
          <w:bCs/>
        </w:rPr>
        <w:t xml:space="preserve"> </w:t>
      </w:r>
      <w:r>
        <w:rPr>
          <w:b/>
          <w:bCs/>
        </w:rPr>
        <w:t>sources</w:t>
      </w:r>
      <w:r>
        <w:t xml:space="preserve">, the deployable output is defined as the constant rate of supply that can be maintained from the water resources system except during periods of restriction within the following constraints: given </w:t>
      </w:r>
      <w:r w:rsidRPr="00F53F03">
        <w:t>level of service; the historic period for which data is available or could be derived; supply without storage entering the emergency storage zone; supply within the defined physical capacities of</w:t>
      </w:r>
      <w:r w:rsidRPr="00624B2B">
        <w:t xml:space="preserve"> the existing system adopted for the simulation; source operation in accordance with the licence, or, for specified scenarios, a Drought Order or Permit.</w:t>
      </w:r>
    </w:p>
    <w:p w14:paraId="77710D8F" w14:textId="77777777" w:rsidR="00640086" w:rsidRDefault="00640086" w:rsidP="00640086">
      <w:pPr>
        <w:pStyle w:val="Sectionsub-heading"/>
      </w:pPr>
      <w:r>
        <w:t>Outage Allowance</w:t>
      </w:r>
    </w:p>
    <w:p w14:paraId="47222714" w14:textId="77777777" w:rsidR="00640086" w:rsidRDefault="00640086" w:rsidP="00640086">
      <w:pPr>
        <w:pStyle w:val="Bodynumbercopy"/>
      </w:pPr>
      <w:r>
        <w:t>Outage is defined as temporary loss of deployable output due to planned or unplanned events. Allowable outages affect the water available for use. Planned events are those such as maintenance of source works; unplanned events are exclusively pollution, turbidity, nitrate, algae, power failure and system failure.</w:t>
      </w:r>
    </w:p>
    <w:p w14:paraId="1AB3AE4D" w14:textId="77777777" w:rsidR="005E4A6A" w:rsidRPr="001E7C7A" w:rsidRDefault="005E4A6A" w:rsidP="00971BDF">
      <w:pPr>
        <w:pStyle w:val="Bodynumbercopy"/>
        <w:numPr>
          <w:ilvl w:val="0"/>
          <w:numId w:val="0"/>
        </w:numPr>
        <w:ind w:left="780" w:hanging="420"/>
      </w:pPr>
    </w:p>
    <w:p w14:paraId="5869492E" w14:textId="77777777" w:rsidR="005E4A6A" w:rsidRPr="00971BDF" w:rsidRDefault="005E4A6A" w:rsidP="005E4A6A">
      <w:pPr>
        <w:pStyle w:val="Bodynumbercopy"/>
        <w:numPr>
          <w:ilvl w:val="0"/>
          <w:numId w:val="0"/>
        </w:numPr>
        <w:rPr>
          <w:b/>
          <w:color w:val="182B46"/>
          <w:sz w:val="26"/>
          <w:szCs w:val="22"/>
        </w:rPr>
      </w:pPr>
      <w:r w:rsidRPr="00971BDF">
        <w:rPr>
          <w:b/>
          <w:color w:val="182B46"/>
          <w:sz w:val="26"/>
          <w:szCs w:val="22"/>
        </w:rPr>
        <w:t>BLOCK 1: WATER AVAILABILITY</w:t>
      </w:r>
    </w:p>
    <w:tbl>
      <w:tblPr>
        <w:tblStyle w:val="TableGrid"/>
        <w:tblW w:w="0" w:type="auto"/>
        <w:tblLook w:val="04A0" w:firstRow="1" w:lastRow="0" w:firstColumn="1" w:lastColumn="0" w:noHBand="0" w:noVBand="1"/>
      </w:tblPr>
      <w:tblGrid>
        <w:gridCol w:w="968"/>
        <w:gridCol w:w="1027"/>
        <w:gridCol w:w="4649"/>
        <w:gridCol w:w="914"/>
      </w:tblGrid>
      <w:tr w:rsidR="005E4A6A" w:rsidRPr="00E95AA0" w14:paraId="4B1937CE" w14:textId="77777777" w:rsidTr="00807410">
        <w:tc>
          <w:tcPr>
            <w:tcW w:w="968" w:type="dxa"/>
          </w:tcPr>
          <w:p w14:paraId="5A294A5E" w14:textId="25EDF7A2" w:rsidR="005E4A6A" w:rsidRPr="008A4D36" w:rsidRDefault="005E4A6A" w:rsidP="00807410">
            <w:pPr>
              <w:pStyle w:val="Bodyromannumerals"/>
              <w:rPr>
                <w:b/>
                <w:bCs/>
                <w:lang w:val="en-US"/>
              </w:rPr>
            </w:pPr>
            <w:r w:rsidRPr="008A4D36">
              <w:rPr>
                <w:b/>
                <w:bCs/>
                <w:lang w:val="en-US"/>
              </w:rPr>
              <w:t>B1</w:t>
            </w:r>
            <w:r w:rsidR="003F6B10">
              <w:rPr>
                <w:b/>
                <w:bCs/>
                <w:lang w:val="en-US"/>
              </w:rPr>
              <w:t>a</w:t>
            </w:r>
            <w:r w:rsidRPr="008A4D36">
              <w:rPr>
                <w:b/>
                <w:bCs/>
                <w:lang w:val="en-US"/>
              </w:rPr>
              <w:t>.1</w:t>
            </w:r>
          </w:p>
        </w:tc>
        <w:tc>
          <w:tcPr>
            <w:tcW w:w="5676" w:type="dxa"/>
            <w:gridSpan w:val="2"/>
          </w:tcPr>
          <w:p w14:paraId="7D16DE1F" w14:textId="77777777" w:rsidR="005E4A6A" w:rsidRPr="008A4D36" w:rsidRDefault="005E4A6A" w:rsidP="00807410">
            <w:pPr>
              <w:pStyle w:val="Bodyromannumerals"/>
              <w:rPr>
                <w:b/>
                <w:bCs/>
                <w:lang w:val="en-US"/>
              </w:rPr>
            </w:pPr>
            <w:r w:rsidRPr="008A4D36">
              <w:rPr>
                <w:b/>
                <w:bCs/>
                <w:lang w:val="en-US"/>
              </w:rPr>
              <w:t xml:space="preserve">Number of water </w:t>
            </w:r>
            <w:r>
              <w:rPr>
                <w:b/>
                <w:bCs/>
                <w:lang w:val="en-US"/>
              </w:rPr>
              <w:t>resource</w:t>
            </w:r>
            <w:r w:rsidRPr="008A4D36">
              <w:rPr>
                <w:b/>
                <w:bCs/>
                <w:lang w:val="en-US"/>
              </w:rPr>
              <w:t xml:space="preserve"> areas</w:t>
            </w:r>
          </w:p>
        </w:tc>
        <w:tc>
          <w:tcPr>
            <w:tcW w:w="914" w:type="dxa"/>
          </w:tcPr>
          <w:p w14:paraId="715453A1" w14:textId="77777777" w:rsidR="005E4A6A" w:rsidRPr="008A4D36" w:rsidRDefault="005E4A6A" w:rsidP="00807410">
            <w:pPr>
              <w:pStyle w:val="Bodyromannumerals"/>
              <w:rPr>
                <w:b/>
                <w:bCs/>
                <w:lang w:val="en-US"/>
              </w:rPr>
            </w:pPr>
            <w:r w:rsidRPr="008A4D36">
              <w:rPr>
                <w:b/>
                <w:bCs/>
                <w:lang w:val="en-US"/>
              </w:rPr>
              <w:t>Nr.</w:t>
            </w:r>
          </w:p>
        </w:tc>
      </w:tr>
      <w:tr w:rsidR="005E4A6A" w:rsidRPr="00216F0E" w14:paraId="23A4E8F7" w14:textId="77777777" w:rsidTr="00807410">
        <w:tc>
          <w:tcPr>
            <w:tcW w:w="1995" w:type="dxa"/>
            <w:gridSpan w:val="2"/>
            <w:tcBorders>
              <w:left w:val="single" w:sz="4" w:space="0" w:color="FFFFFF"/>
              <w:bottom w:val="single" w:sz="4" w:space="0" w:color="FFFFFF"/>
              <w:right w:val="single" w:sz="4" w:space="0" w:color="FFFFFF"/>
            </w:tcBorders>
          </w:tcPr>
          <w:p w14:paraId="217EBE78" w14:textId="77777777" w:rsidR="005E4A6A" w:rsidRPr="00B72DDF" w:rsidRDefault="005E4A6A" w:rsidP="00807410">
            <w:pPr>
              <w:pStyle w:val="Bodyromannumerals"/>
              <w:rPr>
                <w:i/>
                <w:lang w:val="en-US"/>
              </w:rPr>
            </w:pPr>
            <w:r w:rsidRPr="00B72DDF">
              <w:rPr>
                <w:i/>
                <w:lang w:val="en-US"/>
              </w:rPr>
              <w:t>Definition:</w:t>
            </w:r>
          </w:p>
        </w:tc>
        <w:tc>
          <w:tcPr>
            <w:tcW w:w="5563" w:type="dxa"/>
            <w:gridSpan w:val="2"/>
            <w:tcBorders>
              <w:left w:val="single" w:sz="4" w:space="0" w:color="FFFFFF"/>
              <w:bottom w:val="single" w:sz="4" w:space="0" w:color="FFFFFF"/>
              <w:right w:val="single" w:sz="4" w:space="0" w:color="FFFFFF"/>
            </w:tcBorders>
          </w:tcPr>
          <w:p w14:paraId="165DB2E6" w14:textId="77777777" w:rsidR="005E4A6A" w:rsidRPr="00265A09" w:rsidRDefault="005E4A6A" w:rsidP="00807410">
            <w:pPr>
              <w:pStyle w:val="Bodyromannumerals"/>
              <w:rPr>
                <w:lang w:val="en-US"/>
              </w:rPr>
            </w:pPr>
            <w:r w:rsidRPr="00B72DDF">
              <w:rPr>
                <w:lang w:val="en-US"/>
              </w:rPr>
              <w:t xml:space="preserve">The total number of water resource areas </w:t>
            </w:r>
            <w:r w:rsidRPr="00265A09">
              <w:rPr>
                <w:lang w:val="en-US"/>
              </w:rPr>
              <w:t xml:space="preserve">within the </w:t>
            </w:r>
            <w:r>
              <w:rPr>
                <w:lang w:val="en-US"/>
              </w:rPr>
              <w:t>Local Authority</w:t>
            </w:r>
            <w:r w:rsidRPr="00265A09">
              <w:rPr>
                <w:lang w:val="en-US"/>
              </w:rPr>
              <w:t>’s area.</w:t>
            </w:r>
          </w:p>
        </w:tc>
      </w:tr>
      <w:tr w:rsidR="005E4A6A" w:rsidRPr="00216F0E" w14:paraId="31B6FAB2" w14:textId="77777777" w:rsidTr="00807410">
        <w:tc>
          <w:tcPr>
            <w:tcW w:w="1995" w:type="dxa"/>
            <w:gridSpan w:val="2"/>
            <w:tcBorders>
              <w:top w:val="single" w:sz="4" w:space="0" w:color="FFFFFF"/>
              <w:left w:val="single" w:sz="4" w:space="0" w:color="FFFFFF"/>
              <w:bottom w:val="single" w:sz="4" w:space="0" w:color="FFFFFF"/>
              <w:right w:val="single" w:sz="4" w:space="0" w:color="FFFFFF"/>
            </w:tcBorders>
          </w:tcPr>
          <w:p w14:paraId="088A032E" w14:textId="77777777" w:rsidR="005E4A6A" w:rsidRPr="00A80A3E" w:rsidRDefault="005E4A6A" w:rsidP="00807410">
            <w:pPr>
              <w:pStyle w:val="Bodyromannumerals"/>
              <w:rPr>
                <w:i/>
                <w:lang w:val="en-US"/>
              </w:rPr>
            </w:pPr>
            <w:r w:rsidRPr="00A80A3E">
              <w:rPr>
                <w:i/>
                <w:lang w:val="en-US"/>
              </w:rPr>
              <w:t>Processing Rules:</w:t>
            </w:r>
          </w:p>
        </w:tc>
        <w:tc>
          <w:tcPr>
            <w:tcW w:w="5563" w:type="dxa"/>
            <w:gridSpan w:val="2"/>
            <w:tcBorders>
              <w:top w:val="single" w:sz="4" w:space="0" w:color="FFFFFF"/>
              <w:left w:val="single" w:sz="4" w:space="0" w:color="FFFFFF"/>
              <w:bottom w:val="single" w:sz="4" w:space="0" w:color="FFFFFF"/>
              <w:right w:val="single" w:sz="4" w:space="0" w:color="FFFFFF"/>
            </w:tcBorders>
          </w:tcPr>
          <w:p w14:paraId="31A8BF13" w14:textId="12571D5C" w:rsidR="005E4A6A" w:rsidRPr="00216F0E" w:rsidRDefault="005E4A6A" w:rsidP="00807410">
            <w:pPr>
              <w:pStyle w:val="Bodyromannumerals"/>
              <w:rPr>
                <w:lang w:val="en-US"/>
              </w:rPr>
            </w:pPr>
            <w:r w:rsidRPr="00AF4AEA">
              <w:rPr>
                <w:lang w:val="en-US"/>
              </w:rPr>
              <w:t xml:space="preserve">Calculated field: </w:t>
            </w:r>
            <w:r w:rsidRPr="00055D4E">
              <w:t>SUM [</w:t>
            </w:r>
            <w:r w:rsidRPr="00AF4AEA">
              <w:t>B1</w:t>
            </w:r>
            <w:r w:rsidR="003F6B10">
              <w:t>a</w:t>
            </w:r>
            <w:r w:rsidRPr="00AF4AEA">
              <w:t>.2</w:t>
            </w:r>
            <w:r>
              <w:t>:</w:t>
            </w:r>
            <w:r w:rsidRPr="00AF4AEA">
              <w:t xml:space="preserve"> B1</w:t>
            </w:r>
            <w:r w:rsidR="003F6B10">
              <w:t>a</w:t>
            </w:r>
            <w:r w:rsidRPr="00AF4AEA">
              <w:t>.</w:t>
            </w:r>
            <w:r>
              <w:t>3</w:t>
            </w:r>
            <w:r w:rsidRPr="00AF4AEA">
              <w:t>]</w:t>
            </w:r>
          </w:p>
        </w:tc>
      </w:tr>
      <w:tr w:rsidR="005E4A6A" w:rsidRPr="00E95AA0" w14:paraId="6E7CCCAE" w14:textId="77777777" w:rsidTr="00807410">
        <w:tc>
          <w:tcPr>
            <w:tcW w:w="968" w:type="dxa"/>
          </w:tcPr>
          <w:p w14:paraId="53BC3A62" w14:textId="3541BDDF" w:rsidR="005E4A6A" w:rsidRPr="008A4D36" w:rsidRDefault="005E4A6A" w:rsidP="00807410">
            <w:pPr>
              <w:pStyle w:val="Bodyromannumerals"/>
              <w:rPr>
                <w:b/>
                <w:bCs/>
                <w:lang w:val="en-US"/>
              </w:rPr>
            </w:pPr>
            <w:r w:rsidRPr="008A4D36">
              <w:rPr>
                <w:b/>
                <w:bCs/>
                <w:lang w:val="en-US"/>
              </w:rPr>
              <w:t>B1</w:t>
            </w:r>
            <w:r w:rsidR="003F6B10">
              <w:rPr>
                <w:b/>
                <w:bCs/>
                <w:lang w:val="en-US"/>
              </w:rPr>
              <w:t>a</w:t>
            </w:r>
            <w:r w:rsidRPr="008A4D36">
              <w:rPr>
                <w:b/>
                <w:bCs/>
                <w:lang w:val="en-US"/>
              </w:rPr>
              <w:t>.</w:t>
            </w:r>
            <w:r>
              <w:rPr>
                <w:b/>
                <w:bCs/>
                <w:lang w:val="en-US"/>
              </w:rPr>
              <w:t>2</w:t>
            </w:r>
          </w:p>
        </w:tc>
        <w:tc>
          <w:tcPr>
            <w:tcW w:w="5676" w:type="dxa"/>
            <w:gridSpan w:val="2"/>
          </w:tcPr>
          <w:p w14:paraId="77189285" w14:textId="77777777" w:rsidR="005E4A6A" w:rsidRPr="008A4D36" w:rsidRDefault="005E4A6A" w:rsidP="00807410">
            <w:pPr>
              <w:pStyle w:val="Bodyromannumerals"/>
              <w:rPr>
                <w:b/>
                <w:bCs/>
                <w:lang w:val="en-US"/>
              </w:rPr>
            </w:pPr>
            <w:r w:rsidRPr="008A4D36">
              <w:rPr>
                <w:b/>
                <w:bCs/>
                <w:lang w:val="en-US"/>
              </w:rPr>
              <w:t xml:space="preserve">Number where headroom </w:t>
            </w:r>
            <w:r w:rsidRPr="00C247D5">
              <w:rPr>
                <w:b/>
                <w:bCs/>
                <w:lang w:val="en-US"/>
              </w:rPr>
              <w:t>≤</w:t>
            </w:r>
            <w:r w:rsidRPr="008A4D36">
              <w:rPr>
                <w:b/>
                <w:bCs/>
                <w:lang w:val="en-US"/>
              </w:rPr>
              <w:t>5%</w:t>
            </w:r>
          </w:p>
        </w:tc>
        <w:tc>
          <w:tcPr>
            <w:tcW w:w="914" w:type="dxa"/>
          </w:tcPr>
          <w:p w14:paraId="04B9FF1E" w14:textId="77777777" w:rsidR="005E4A6A" w:rsidRPr="008A4D36" w:rsidRDefault="005E4A6A" w:rsidP="00807410">
            <w:pPr>
              <w:pStyle w:val="Bodyromannumerals"/>
              <w:rPr>
                <w:b/>
                <w:bCs/>
                <w:lang w:val="en-US"/>
              </w:rPr>
            </w:pPr>
            <w:r w:rsidRPr="008A4D36">
              <w:rPr>
                <w:b/>
                <w:bCs/>
                <w:lang w:val="en-US"/>
              </w:rPr>
              <w:t>Nr.</w:t>
            </w:r>
          </w:p>
        </w:tc>
      </w:tr>
      <w:tr w:rsidR="005E4A6A" w:rsidRPr="00216F0E" w14:paraId="45C35F0D" w14:textId="77777777" w:rsidTr="00807410">
        <w:tc>
          <w:tcPr>
            <w:tcW w:w="1995" w:type="dxa"/>
            <w:gridSpan w:val="2"/>
            <w:tcBorders>
              <w:left w:val="single" w:sz="4" w:space="0" w:color="FFFFFF"/>
              <w:bottom w:val="single" w:sz="4" w:space="0" w:color="FFFFFF"/>
              <w:right w:val="single" w:sz="4" w:space="0" w:color="FFFFFF"/>
            </w:tcBorders>
          </w:tcPr>
          <w:p w14:paraId="44C5248C" w14:textId="77777777" w:rsidR="005E4A6A" w:rsidRPr="00B72DDF" w:rsidRDefault="005E4A6A" w:rsidP="00807410">
            <w:pPr>
              <w:pStyle w:val="Bodyromannumerals"/>
              <w:rPr>
                <w:i/>
                <w:lang w:val="en-US"/>
              </w:rPr>
            </w:pPr>
            <w:r w:rsidRPr="00B72DDF">
              <w:rPr>
                <w:i/>
                <w:lang w:val="en-US"/>
              </w:rPr>
              <w:t>Definition:</w:t>
            </w:r>
          </w:p>
        </w:tc>
        <w:tc>
          <w:tcPr>
            <w:tcW w:w="5563" w:type="dxa"/>
            <w:gridSpan w:val="2"/>
            <w:tcBorders>
              <w:left w:val="single" w:sz="4" w:space="0" w:color="FFFFFF"/>
              <w:bottom w:val="single" w:sz="4" w:space="0" w:color="FFFFFF"/>
              <w:right w:val="single" w:sz="4" w:space="0" w:color="FFFFFF"/>
            </w:tcBorders>
          </w:tcPr>
          <w:p w14:paraId="5A17FA15" w14:textId="2B222099" w:rsidR="005E4A6A" w:rsidRPr="00AF4AEA" w:rsidRDefault="005E4A6A" w:rsidP="00807410">
            <w:pPr>
              <w:pStyle w:val="Bodyromannumerals"/>
              <w:rPr>
                <w:lang w:val="en-US"/>
              </w:rPr>
            </w:pPr>
            <w:r w:rsidRPr="00AF4AEA">
              <w:rPr>
                <w:lang w:val="en-US"/>
              </w:rPr>
              <w:t xml:space="preserve">The total number of water supply areas where the difference between water available for use and the </w:t>
            </w:r>
            <w:r w:rsidR="003F6B10">
              <w:rPr>
                <w:lang w:val="en-US"/>
              </w:rPr>
              <w:t>peak daily demand</w:t>
            </w:r>
            <w:r w:rsidR="007E44E9">
              <w:rPr>
                <w:lang w:val="en-US"/>
              </w:rPr>
              <w:t xml:space="preserve"> </w:t>
            </w:r>
            <w:r w:rsidR="007E44E9">
              <w:t>in summer</w:t>
            </w:r>
            <w:r w:rsidR="003F6B10">
              <w:rPr>
                <w:lang w:val="en-US"/>
              </w:rPr>
              <w:t xml:space="preserve"> is </w:t>
            </w:r>
            <w:r w:rsidRPr="00C247D5">
              <w:rPr>
                <w:lang w:val="en-US"/>
              </w:rPr>
              <w:t>≤</w:t>
            </w:r>
            <w:r w:rsidRPr="00AF4AEA">
              <w:rPr>
                <w:lang w:val="en-US"/>
              </w:rPr>
              <w:t xml:space="preserve">5% of the </w:t>
            </w:r>
            <w:r w:rsidR="003F6B10">
              <w:rPr>
                <w:lang w:val="en-US"/>
              </w:rPr>
              <w:t xml:space="preserve">peak daily </w:t>
            </w:r>
            <w:r w:rsidRPr="00AF4AEA">
              <w:rPr>
                <w:lang w:val="en-US"/>
              </w:rPr>
              <w:t>demand.</w:t>
            </w:r>
          </w:p>
          <w:p w14:paraId="64E1CEB2" w14:textId="327D515C" w:rsidR="005E4A6A" w:rsidRPr="00AF4AEA" w:rsidRDefault="00741068" w:rsidP="00807410">
            <w:pPr>
              <w:pStyle w:val="Bodyromannumerals"/>
              <w:rPr>
                <w:lang w:val="en-US"/>
              </w:rPr>
            </w:pPr>
            <w:r w:rsidRPr="00AF4AEA">
              <w:rPr>
                <w:lang w:val="en-US"/>
              </w:rPr>
              <w:t xml:space="preserve">For all water supply areas included in this row please list the </w:t>
            </w:r>
            <w:r>
              <w:rPr>
                <w:lang w:val="en-US"/>
              </w:rPr>
              <w:t xml:space="preserve">peak daily demand and </w:t>
            </w:r>
            <w:r w:rsidRPr="00AF4AEA">
              <w:rPr>
                <w:lang w:val="en-US"/>
              </w:rPr>
              <w:t>water available for use in the commentary.</w:t>
            </w:r>
          </w:p>
        </w:tc>
      </w:tr>
      <w:tr w:rsidR="005E4A6A" w:rsidRPr="00216F0E" w14:paraId="0DB87918" w14:textId="77777777" w:rsidTr="00807410">
        <w:tc>
          <w:tcPr>
            <w:tcW w:w="1995" w:type="dxa"/>
            <w:gridSpan w:val="2"/>
            <w:tcBorders>
              <w:top w:val="single" w:sz="4" w:space="0" w:color="FFFFFF"/>
              <w:left w:val="single" w:sz="4" w:space="0" w:color="FFFFFF"/>
              <w:bottom w:val="single" w:sz="4" w:space="0" w:color="FFFFFF"/>
              <w:right w:val="single" w:sz="4" w:space="0" w:color="FFFFFF"/>
            </w:tcBorders>
          </w:tcPr>
          <w:p w14:paraId="73224E23" w14:textId="77777777" w:rsidR="005E4A6A" w:rsidRPr="00AF4AEA" w:rsidRDefault="005E4A6A" w:rsidP="00807410">
            <w:pPr>
              <w:pStyle w:val="Bodyromannumerals"/>
              <w:rPr>
                <w:i/>
                <w:lang w:val="en-US"/>
              </w:rPr>
            </w:pPr>
            <w:r w:rsidRPr="00A80A3E">
              <w:rPr>
                <w:i/>
                <w:lang w:val="en-US"/>
              </w:rPr>
              <w:t>Processing Rules:</w:t>
            </w:r>
          </w:p>
        </w:tc>
        <w:tc>
          <w:tcPr>
            <w:tcW w:w="5563" w:type="dxa"/>
            <w:gridSpan w:val="2"/>
            <w:tcBorders>
              <w:top w:val="single" w:sz="4" w:space="0" w:color="FFFFFF"/>
              <w:left w:val="single" w:sz="4" w:space="0" w:color="FFFFFF"/>
              <w:bottom w:val="single" w:sz="4" w:space="0" w:color="FFFFFF"/>
              <w:right w:val="single" w:sz="4" w:space="0" w:color="FFFFFF"/>
            </w:tcBorders>
          </w:tcPr>
          <w:p w14:paraId="061C7B72" w14:textId="77777777" w:rsidR="005E4A6A" w:rsidRPr="00AF4AEA" w:rsidRDefault="005E4A6A" w:rsidP="00807410">
            <w:pPr>
              <w:pStyle w:val="Bodyromannumerals"/>
              <w:rPr>
                <w:lang w:val="en-US"/>
              </w:rPr>
            </w:pPr>
            <w:r w:rsidRPr="00AF4AEA">
              <w:rPr>
                <w:lang w:val="en-US"/>
              </w:rPr>
              <w:t>Input field</w:t>
            </w:r>
          </w:p>
        </w:tc>
      </w:tr>
      <w:tr w:rsidR="005E4A6A" w:rsidRPr="00E95AA0" w14:paraId="44BB419D" w14:textId="77777777" w:rsidTr="00807410">
        <w:tc>
          <w:tcPr>
            <w:tcW w:w="968" w:type="dxa"/>
          </w:tcPr>
          <w:p w14:paraId="790A356D" w14:textId="361DDA72" w:rsidR="005E4A6A" w:rsidRPr="008A4D36" w:rsidRDefault="005E4A6A" w:rsidP="00807410">
            <w:pPr>
              <w:pStyle w:val="Bodyromannumerals"/>
              <w:rPr>
                <w:b/>
                <w:bCs/>
                <w:lang w:val="en-US"/>
              </w:rPr>
            </w:pPr>
            <w:r w:rsidRPr="008A4D36">
              <w:rPr>
                <w:b/>
                <w:bCs/>
                <w:lang w:val="en-US"/>
              </w:rPr>
              <w:t>B1</w:t>
            </w:r>
            <w:r w:rsidR="003F6B10">
              <w:rPr>
                <w:b/>
                <w:bCs/>
                <w:lang w:val="en-US"/>
              </w:rPr>
              <w:t>a</w:t>
            </w:r>
            <w:r w:rsidRPr="008A4D36">
              <w:rPr>
                <w:b/>
                <w:bCs/>
                <w:lang w:val="en-US"/>
              </w:rPr>
              <w:t>.</w:t>
            </w:r>
            <w:r>
              <w:rPr>
                <w:b/>
                <w:bCs/>
                <w:lang w:val="en-US"/>
              </w:rPr>
              <w:t>3</w:t>
            </w:r>
          </w:p>
        </w:tc>
        <w:tc>
          <w:tcPr>
            <w:tcW w:w="5676" w:type="dxa"/>
            <w:gridSpan w:val="2"/>
          </w:tcPr>
          <w:p w14:paraId="17B0A125" w14:textId="77777777" w:rsidR="005E4A6A" w:rsidRPr="008A4D36" w:rsidRDefault="005E4A6A" w:rsidP="00807410">
            <w:pPr>
              <w:pStyle w:val="Bodyromannumerals"/>
              <w:rPr>
                <w:b/>
                <w:bCs/>
                <w:lang w:val="en-US"/>
              </w:rPr>
            </w:pPr>
            <w:r w:rsidRPr="008A4D36">
              <w:rPr>
                <w:b/>
                <w:bCs/>
                <w:lang w:val="en-US"/>
              </w:rPr>
              <w:t>Number where headroom &gt;5%</w:t>
            </w:r>
          </w:p>
        </w:tc>
        <w:tc>
          <w:tcPr>
            <w:tcW w:w="914" w:type="dxa"/>
          </w:tcPr>
          <w:p w14:paraId="6E22B65F" w14:textId="77777777" w:rsidR="005E4A6A" w:rsidRPr="008A4D36" w:rsidRDefault="005E4A6A" w:rsidP="00807410">
            <w:pPr>
              <w:pStyle w:val="Bodyromannumerals"/>
              <w:rPr>
                <w:b/>
                <w:bCs/>
                <w:lang w:val="en-US"/>
              </w:rPr>
            </w:pPr>
            <w:r w:rsidRPr="008A4D36">
              <w:rPr>
                <w:b/>
                <w:bCs/>
                <w:lang w:val="en-US"/>
              </w:rPr>
              <w:t>Nr.</w:t>
            </w:r>
          </w:p>
        </w:tc>
      </w:tr>
      <w:tr w:rsidR="005E4A6A" w:rsidRPr="00216F0E" w14:paraId="4CAF2A7C" w14:textId="77777777" w:rsidTr="00807410">
        <w:tc>
          <w:tcPr>
            <w:tcW w:w="1995" w:type="dxa"/>
            <w:gridSpan w:val="2"/>
            <w:tcBorders>
              <w:left w:val="single" w:sz="4" w:space="0" w:color="FFFFFF"/>
              <w:bottom w:val="single" w:sz="4" w:space="0" w:color="FFFFFF"/>
              <w:right w:val="single" w:sz="4" w:space="0" w:color="FFFFFF"/>
            </w:tcBorders>
          </w:tcPr>
          <w:p w14:paraId="5ED0FB7A" w14:textId="77777777" w:rsidR="005E4A6A" w:rsidRPr="00B72DDF" w:rsidRDefault="005E4A6A" w:rsidP="00807410">
            <w:pPr>
              <w:pStyle w:val="Bodyromannumerals"/>
              <w:rPr>
                <w:i/>
                <w:lang w:val="en-US"/>
              </w:rPr>
            </w:pPr>
            <w:r w:rsidRPr="00B72DDF">
              <w:rPr>
                <w:i/>
                <w:lang w:val="en-US"/>
              </w:rPr>
              <w:t>Definition:</w:t>
            </w:r>
          </w:p>
        </w:tc>
        <w:tc>
          <w:tcPr>
            <w:tcW w:w="5563" w:type="dxa"/>
            <w:gridSpan w:val="2"/>
            <w:tcBorders>
              <w:left w:val="single" w:sz="4" w:space="0" w:color="FFFFFF"/>
              <w:bottom w:val="single" w:sz="4" w:space="0" w:color="FFFFFF"/>
              <w:right w:val="single" w:sz="4" w:space="0" w:color="FFFFFF"/>
            </w:tcBorders>
          </w:tcPr>
          <w:p w14:paraId="124C5030" w14:textId="51171BBF" w:rsidR="005E4A6A" w:rsidRPr="00AF4AEA" w:rsidRDefault="005E4A6A" w:rsidP="00807410">
            <w:pPr>
              <w:pStyle w:val="Bodyromannumerals"/>
              <w:rPr>
                <w:lang w:val="en-US"/>
              </w:rPr>
            </w:pPr>
            <w:r w:rsidRPr="00AF4AEA">
              <w:rPr>
                <w:lang w:val="en-US"/>
              </w:rPr>
              <w:t>The total number of water supply areas where the difference between water availab</w:t>
            </w:r>
            <w:r w:rsidR="006427B1" w:rsidRPr="00CE06C0">
              <w:rPr>
                <w:lang w:val="en-US"/>
              </w:rPr>
              <w:t>le</w:t>
            </w:r>
            <w:r w:rsidRPr="00AF4AEA">
              <w:rPr>
                <w:lang w:val="en-US"/>
              </w:rPr>
              <w:t xml:space="preserve"> for use and the </w:t>
            </w:r>
            <w:r w:rsidR="003F6B10">
              <w:rPr>
                <w:lang w:val="en-US"/>
              </w:rPr>
              <w:t>peak daily demand</w:t>
            </w:r>
            <w:r w:rsidRPr="00AF4AEA">
              <w:rPr>
                <w:lang w:val="en-US"/>
              </w:rPr>
              <w:t xml:space="preserve"> </w:t>
            </w:r>
            <w:r w:rsidR="00204B34">
              <w:t xml:space="preserve">in summer </w:t>
            </w:r>
            <w:r w:rsidRPr="00AF4AEA">
              <w:rPr>
                <w:lang w:val="en-US"/>
              </w:rPr>
              <w:t xml:space="preserve">is &gt;5% of the </w:t>
            </w:r>
            <w:r w:rsidR="003F6B10">
              <w:rPr>
                <w:lang w:val="en-US"/>
              </w:rPr>
              <w:t xml:space="preserve">peak daily </w:t>
            </w:r>
            <w:r w:rsidRPr="00AF4AEA">
              <w:rPr>
                <w:lang w:val="en-US"/>
              </w:rPr>
              <w:t>demand.</w:t>
            </w:r>
          </w:p>
          <w:p w14:paraId="14AD0540" w14:textId="40D0BCF5" w:rsidR="005E4A6A" w:rsidRPr="00AF4AEA" w:rsidRDefault="005E4A6A" w:rsidP="00807410">
            <w:pPr>
              <w:pStyle w:val="Bodyromannumerals"/>
              <w:rPr>
                <w:lang w:val="en-US"/>
              </w:rPr>
            </w:pPr>
            <w:r w:rsidRPr="00AF4AEA">
              <w:rPr>
                <w:lang w:val="en-US"/>
              </w:rPr>
              <w:t xml:space="preserve">For all water supply areas included in this row please list the </w:t>
            </w:r>
            <w:r w:rsidR="00741068">
              <w:rPr>
                <w:lang w:val="en-US"/>
              </w:rPr>
              <w:t xml:space="preserve">peak daily demand </w:t>
            </w:r>
            <w:r w:rsidR="00204B34">
              <w:t xml:space="preserve">in summer </w:t>
            </w:r>
            <w:r w:rsidR="00741068">
              <w:rPr>
                <w:lang w:val="en-US"/>
              </w:rPr>
              <w:t xml:space="preserve">and </w:t>
            </w:r>
            <w:r w:rsidRPr="00AF4AEA">
              <w:rPr>
                <w:lang w:val="en-US"/>
              </w:rPr>
              <w:t>water available for use in the commentary.</w:t>
            </w:r>
          </w:p>
        </w:tc>
      </w:tr>
      <w:tr w:rsidR="005E4A6A" w:rsidRPr="00216F0E" w14:paraId="3F49CE54" w14:textId="77777777" w:rsidTr="00807410">
        <w:tc>
          <w:tcPr>
            <w:tcW w:w="1995" w:type="dxa"/>
            <w:gridSpan w:val="2"/>
            <w:tcBorders>
              <w:top w:val="single" w:sz="4" w:space="0" w:color="FFFFFF"/>
              <w:left w:val="single" w:sz="4" w:space="0" w:color="FFFFFF"/>
              <w:bottom w:val="single" w:sz="4" w:space="0" w:color="FFFFFF"/>
              <w:right w:val="single" w:sz="4" w:space="0" w:color="FFFFFF"/>
            </w:tcBorders>
          </w:tcPr>
          <w:p w14:paraId="76FDC6C3" w14:textId="77777777" w:rsidR="005E4A6A" w:rsidRPr="00AF4AEA" w:rsidRDefault="005E4A6A" w:rsidP="00807410">
            <w:pPr>
              <w:pStyle w:val="Bodyromannumerals"/>
              <w:rPr>
                <w:i/>
                <w:lang w:val="en-US"/>
              </w:rPr>
            </w:pPr>
            <w:r w:rsidRPr="00A80A3E">
              <w:rPr>
                <w:i/>
                <w:lang w:val="en-US"/>
              </w:rPr>
              <w:t>Processing Rules:</w:t>
            </w:r>
          </w:p>
        </w:tc>
        <w:tc>
          <w:tcPr>
            <w:tcW w:w="5563" w:type="dxa"/>
            <w:gridSpan w:val="2"/>
            <w:tcBorders>
              <w:top w:val="single" w:sz="4" w:space="0" w:color="FFFFFF"/>
              <w:left w:val="single" w:sz="4" w:space="0" w:color="FFFFFF"/>
              <w:bottom w:val="single" w:sz="4" w:space="0" w:color="FFFFFF"/>
              <w:right w:val="single" w:sz="4" w:space="0" w:color="FFFFFF"/>
            </w:tcBorders>
          </w:tcPr>
          <w:p w14:paraId="00BF2061" w14:textId="77777777" w:rsidR="005E4A6A" w:rsidRPr="00AF4AEA" w:rsidRDefault="005E4A6A" w:rsidP="00807410">
            <w:pPr>
              <w:pStyle w:val="Bodyromannumerals"/>
              <w:rPr>
                <w:lang w:val="en-US"/>
              </w:rPr>
            </w:pPr>
            <w:r w:rsidRPr="00AF4AEA">
              <w:rPr>
                <w:lang w:val="en-US"/>
              </w:rPr>
              <w:t>Input field</w:t>
            </w:r>
          </w:p>
        </w:tc>
      </w:tr>
    </w:tbl>
    <w:p w14:paraId="0D7D42FD" w14:textId="77777777" w:rsidR="005E4A6A" w:rsidRDefault="005E4A6A" w:rsidP="00971BDF">
      <w:pPr>
        <w:pStyle w:val="Bodynumbercopy"/>
        <w:numPr>
          <w:ilvl w:val="0"/>
          <w:numId w:val="0"/>
        </w:numPr>
        <w:ind w:left="780"/>
      </w:pPr>
    </w:p>
    <w:p w14:paraId="197F9404" w14:textId="6C9EBEDD" w:rsidR="005E4A6A" w:rsidRDefault="005E4A6A" w:rsidP="00971BDF">
      <w:pPr>
        <w:pStyle w:val="Bodynumbercopy"/>
        <w:numPr>
          <w:ilvl w:val="0"/>
          <w:numId w:val="0"/>
        </w:numPr>
        <w:ind w:left="780"/>
      </w:pPr>
    </w:p>
    <w:p w14:paraId="210D1DAC" w14:textId="0F380CDB" w:rsidR="00D35279" w:rsidRDefault="00D35279" w:rsidP="00971BDF">
      <w:pPr>
        <w:pStyle w:val="Bodynumbercopy"/>
        <w:numPr>
          <w:ilvl w:val="0"/>
          <w:numId w:val="0"/>
        </w:numPr>
        <w:ind w:left="780"/>
      </w:pPr>
    </w:p>
    <w:p w14:paraId="7451D7F7" w14:textId="77777777" w:rsidR="00D35279" w:rsidRDefault="00D35279" w:rsidP="00971BDF">
      <w:pPr>
        <w:pStyle w:val="Bodynumbercopy"/>
        <w:numPr>
          <w:ilvl w:val="0"/>
          <w:numId w:val="0"/>
        </w:numPr>
        <w:ind w:left="780"/>
      </w:pPr>
    </w:p>
    <w:p w14:paraId="4E5E2875" w14:textId="77777777" w:rsidR="005E4A6A" w:rsidRPr="00971BDF" w:rsidRDefault="005E4A6A" w:rsidP="00971BDF">
      <w:pPr>
        <w:pStyle w:val="Bodynumbercopy"/>
        <w:numPr>
          <w:ilvl w:val="0"/>
          <w:numId w:val="0"/>
        </w:numPr>
        <w:rPr>
          <w:b/>
          <w:color w:val="182B46"/>
          <w:sz w:val="26"/>
          <w:szCs w:val="22"/>
        </w:rPr>
      </w:pPr>
      <w:r w:rsidRPr="00971BDF">
        <w:rPr>
          <w:b/>
          <w:color w:val="182B46"/>
          <w:sz w:val="26"/>
          <w:szCs w:val="22"/>
        </w:rPr>
        <w:lastRenderedPageBreak/>
        <w:t>BLOCK 2: HEADROOM</w:t>
      </w:r>
    </w:p>
    <w:tbl>
      <w:tblPr>
        <w:tblStyle w:val="TableGrid"/>
        <w:tblW w:w="0" w:type="auto"/>
        <w:tblLook w:val="04A0" w:firstRow="1" w:lastRow="0" w:firstColumn="1" w:lastColumn="0" w:noHBand="0" w:noVBand="1"/>
      </w:tblPr>
      <w:tblGrid>
        <w:gridCol w:w="965"/>
        <w:gridCol w:w="1039"/>
        <w:gridCol w:w="4489"/>
        <w:gridCol w:w="1065"/>
      </w:tblGrid>
      <w:tr w:rsidR="005E4A6A" w:rsidRPr="00E95AA0" w14:paraId="79F80CDD" w14:textId="77777777" w:rsidTr="00807410">
        <w:tc>
          <w:tcPr>
            <w:tcW w:w="965" w:type="dxa"/>
          </w:tcPr>
          <w:p w14:paraId="0D42E387" w14:textId="649C4656" w:rsidR="005E4A6A" w:rsidRPr="008A4D36" w:rsidRDefault="005E4A6A" w:rsidP="00807410">
            <w:pPr>
              <w:pStyle w:val="Bodyromannumerals"/>
              <w:rPr>
                <w:b/>
                <w:bCs/>
                <w:lang w:val="en-US"/>
              </w:rPr>
            </w:pPr>
            <w:r w:rsidRPr="008A4D36">
              <w:rPr>
                <w:b/>
                <w:bCs/>
                <w:lang w:val="en-US"/>
              </w:rPr>
              <w:t>B1</w:t>
            </w:r>
            <w:r>
              <w:rPr>
                <w:b/>
                <w:bCs/>
                <w:lang w:val="en-US"/>
              </w:rPr>
              <w:t>a</w:t>
            </w:r>
            <w:r w:rsidRPr="008A4D36">
              <w:rPr>
                <w:b/>
                <w:bCs/>
                <w:lang w:val="en-US"/>
              </w:rPr>
              <w:t>.</w:t>
            </w:r>
            <w:r>
              <w:rPr>
                <w:b/>
                <w:bCs/>
                <w:lang w:val="en-US"/>
              </w:rPr>
              <w:t>4</w:t>
            </w:r>
          </w:p>
        </w:tc>
        <w:tc>
          <w:tcPr>
            <w:tcW w:w="5528" w:type="dxa"/>
            <w:gridSpan w:val="2"/>
          </w:tcPr>
          <w:p w14:paraId="5A1F6F68" w14:textId="77777777" w:rsidR="005E4A6A" w:rsidRPr="008A4D36" w:rsidRDefault="005E4A6A" w:rsidP="00807410">
            <w:pPr>
              <w:pStyle w:val="Bodyromannumerals"/>
              <w:rPr>
                <w:b/>
                <w:bCs/>
                <w:lang w:val="en-US"/>
              </w:rPr>
            </w:pPr>
            <w:r w:rsidRPr="008A4D36">
              <w:rPr>
                <w:b/>
                <w:bCs/>
                <w:lang w:val="en-US"/>
              </w:rPr>
              <w:t xml:space="preserve">Total </w:t>
            </w:r>
            <w:r>
              <w:rPr>
                <w:b/>
                <w:bCs/>
                <w:lang w:val="en-US"/>
              </w:rPr>
              <w:t xml:space="preserve">winter </w:t>
            </w:r>
            <w:r w:rsidRPr="008A4D36">
              <w:rPr>
                <w:b/>
                <w:bCs/>
                <w:lang w:val="en-US"/>
              </w:rPr>
              <w:t>population</w:t>
            </w:r>
          </w:p>
        </w:tc>
        <w:tc>
          <w:tcPr>
            <w:tcW w:w="1065" w:type="dxa"/>
          </w:tcPr>
          <w:p w14:paraId="0301DFEC" w14:textId="77777777" w:rsidR="005E4A6A" w:rsidRPr="008A4D36" w:rsidRDefault="005E4A6A" w:rsidP="00807410">
            <w:pPr>
              <w:pStyle w:val="Bodyromannumerals"/>
              <w:rPr>
                <w:b/>
                <w:bCs/>
                <w:lang w:val="en-US"/>
              </w:rPr>
            </w:pPr>
            <w:r w:rsidRPr="008A4D36">
              <w:rPr>
                <w:b/>
                <w:bCs/>
                <w:lang w:val="en-US"/>
              </w:rPr>
              <w:t xml:space="preserve">000 </w:t>
            </w:r>
          </w:p>
        </w:tc>
      </w:tr>
      <w:tr w:rsidR="005E4A6A" w:rsidRPr="00216F0E" w14:paraId="58E37CF2" w14:textId="77777777" w:rsidTr="00807410">
        <w:tc>
          <w:tcPr>
            <w:tcW w:w="2004" w:type="dxa"/>
            <w:gridSpan w:val="2"/>
            <w:tcBorders>
              <w:left w:val="single" w:sz="4" w:space="0" w:color="FFFFFF"/>
              <w:bottom w:val="single" w:sz="4" w:space="0" w:color="FFFFFF"/>
              <w:right w:val="single" w:sz="4" w:space="0" w:color="FFFFFF"/>
            </w:tcBorders>
          </w:tcPr>
          <w:p w14:paraId="3C1279F7" w14:textId="77777777" w:rsidR="005E4A6A" w:rsidRPr="00B72DDF" w:rsidRDefault="005E4A6A" w:rsidP="00807410">
            <w:pPr>
              <w:pStyle w:val="Bodyromannumerals"/>
              <w:rPr>
                <w:i/>
                <w:lang w:val="en-US"/>
              </w:rPr>
            </w:pPr>
            <w:r w:rsidRPr="00B72DDF">
              <w:rPr>
                <w:i/>
                <w:lang w:val="en-US"/>
              </w:rPr>
              <w:t>Definition:</w:t>
            </w:r>
          </w:p>
        </w:tc>
        <w:tc>
          <w:tcPr>
            <w:tcW w:w="5554" w:type="dxa"/>
            <w:gridSpan w:val="2"/>
            <w:tcBorders>
              <w:left w:val="single" w:sz="4" w:space="0" w:color="FFFFFF"/>
              <w:bottom w:val="single" w:sz="4" w:space="0" w:color="FFFFFF"/>
              <w:right w:val="single" w:sz="4" w:space="0" w:color="FFFFFF"/>
            </w:tcBorders>
          </w:tcPr>
          <w:p w14:paraId="2BDDD711" w14:textId="77777777" w:rsidR="005E4A6A" w:rsidRDefault="005E4A6A" w:rsidP="00807410">
            <w:pPr>
              <w:pStyle w:val="Bodyromannumerals"/>
              <w:rPr>
                <w:lang w:val="en-US"/>
              </w:rPr>
            </w:pPr>
            <w:r>
              <w:rPr>
                <w:lang w:val="en-US"/>
              </w:rPr>
              <w:t>Total winter p</w:t>
            </w:r>
            <w:r w:rsidRPr="009A191E">
              <w:rPr>
                <w:lang w:val="en-US"/>
              </w:rPr>
              <w:t xml:space="preserve">opulation supplied </w:t>
            </w:r>
            <w:r>
              <w:rPr>
                <w:lang w:val="en-US"/>
              </w:rPr>
              <w:t>at the financial year end (30 June)</w:t>
            </w:r>
            <w:r w:rsidRPr="009A191E">
              <w:rPr>
                <w:lang w:val="en-US"/>
              </w:rPr>
              <w:t xml:space="preserve"> in the </w:t>
            </w:r>
            <w:r>
              <w:rPr>
                <w:lang w:val="en-US"/>
              </w:rPr>
              <w:t>Local</w:t>
            </w:r>
            <w:r w:rsidRPr="00B47509">
              <w:rPr>
                <w:lang w:val="en-US"/>
              </w:rPr>
              <w:t xml:space="preserve"> Authority</w:t>
            </w:r>
            <w:r w:rsidRPr="009A191E">
              <w:rPr>
                <w:lang w:val="en-US"/>
              </w:rPr>
              <w:t>’s area of supply.</w:t>
            </w:r>
            <w:r>
              <w:rPr>
                <w:lang w:val="en-US"/>
              </w:rPr>
              <w:t xml:space="preserve"> This should include billed customers supplied with unmeasured and measured water.</w:t>
            </w:r>
          </w:p>
          <w:p w14:paraId="789074F3" w14:textId="77777777" w:rsidR="005E4A6A" w:rsidRPr="00E95AA0" w:rsidRDefault="005E4A6A" w:rsidP="00807410">
            <w:pPr>
              <w:pStyle w:val="Bodyromannumerals"/>
              <w:rPr>
                <w:lang w:val="en-US"/>
              </w:rPr>
            </w:pPr>
            <w:r w:rsidRPr="009A191E">
              <w:rPr>
                <w:lang w:val="en-US"/>
              </w:rPr>
              <w:t>Include population served by bulk supplies received.</w:t>
            </w:r>
          </w:p>
        </w:tc>
      </w:tr>
      <w:tr w:rsidR="005E4A6A" w:rsidRPr="00216F0E" w14:paraId="77D53671" w14:textId="77777777" w:rsidTr="00807410">
        <w:tc>
          <w:tcPr>
            <w:tcW w:w="2004" w:type="dxa"/>
            <w:gridSpan w:val="2"/>
            <w:tcBorders>
              <w:top w:val="single" w:sz="4" w:space="0" w:color="FFFFFF"/>
              <w:left w:val="single" w:sz="4" w:space="0" w:color="FFFFFF"/>
              <w:bottom w:val="single" w:sz="4" w:space="0" w:color="FFFFFF"/>
              <w:right w:val="single" w:sz="4" w:space="0" w:color="FFFFFF"/>
            </w:tcBorders>
          </w:tcPr>
          <w:p w14:paraId="2A3D34B2" w14:textId="77777777" w:rsidR="005E4A6A" w:rsidRPr="00AF4AEA" w:rsidRDefault="005E4A6A" w:rsidP="00807410">
            <w:pPr>
              <w:pStyle w:val="Bodyromannumerals"/>
              <w:rPr>
                <w:i/>
                <w:lang w:val="en-US"/>
              </w:rPr>
            </w:pPr>
            <w:r w:rsidRPr="00A80A3E">
              <w:rPr>
                <w:i/>
                <w:lang w:val="en-US"/>
              </w:rPr>
              <w:t>Processing Rules:</w:t>
            </w:r>
          </w:p>
        </w:tc>
        <w:tc>
          <w:tcPr>
            <w:tcW w:w="5554" w:type="dxa"/>
            <w:gridSpan w:val="2"/>
            <w:tcBorders>
              <w:top w:val="single" w:sz="4" w:space="0" w:color="FFFFFF"/>
              <w:left w:val="single" w:sz="4" w:space="0" w:color="FFFFFF"/>
              <w:bottom w:val="single" w:sz="4" w:space="0" w:color="FFFFFF"/>
              <w:right w:val="single" w:sz="4" w:space="0" w:color="FFFFFF"/>
            </w:tcBorders>
          </w:tcPr>
          <w:p w14:paraId="091B4FE8" w14:textId="77777777" w:rsidR="005E4A6A" w:rsidRPr="00AF4AEA" w:rsidRDefault="005E4A6A" w:rsidP="00807410">
            <w:pPr>
              <w:pStyle w:val="Bodyromannumerals"/>
              <w:rPr>
                <w:lang w:val="en-US"/>
              </w:rPr>
            </w:pPr>
            <w:r w:rsidRPr="00AF4AEA">
              <w:rPr>
                <w:lang w:val="en-US"/>
              </w:rPr>
              <w:t>Brought forward field: A1.</w:t>
            </w:r>
            <w:r>
              <w:rPr>
                <w:lang w:val="en-US"/>
              </w:rPr>
              <w:t>43</w:t>
            </w:r>
          </w:p>
        </w:tc>
      </w:tr>
      <w:tr w:rsidR="005E4A6A" w:rsidRPr="00E95AA0" w14:paraId="0960566E" w14:textId="77777777" w:rsidTr="00807410">
        <w:tc>
          <w:tcPr>
            <w:tcW w:w="965" w:type="dxa"/>
          </w:tcPr>
          <w:p w14:paraId="499691F9" w14:textId="5A433DD0" w:rsidR="005E4A6A" w:rsidRPr="008A4D36" w:rsidRDefault="005E4A6A" w:rsidP="00807410">
            <w:pPr>
              <w:pStyle w:val="Bodyromannumerals"/>
              <w:rPr>
                <w:b/>
                <w:bCs/>
                <w:lang w:val="en-US"/>
              </w:rPr>
            </w:pPr>
            <w:r w:rsidRPr="008A4D36">
              <w:rPr>
                <w:b/>
                <w:bCs/>
                <w:lang w:val="en-US"/>
              </w:rPr>
              <w:t>B1</w:t>
            </w:r>
            <w:r>
              <w:rPr>
                <w:b/>
                <w:bCs/>
                <w:lang w:val="en-US"/>
              </w:rPr>
              <w:t>a</w:t>
            </w:r>
            <w:r w:rsidRPr="008A4D36">
              <w:rPr>
                <w:b/>
                <w:bCs/>
                <w:lang w:val="en-US"/>
              </w:rPr>
              <w:t>.</w:t>
            </w:r>
            <w:r>
              <w:rPr>
                <w:b/>
                <w:bCs/>
                <w:lang w:val="en-US"/>
              </w:rPr>
              <w:t>5</w:t>
            </w:r>
          </w:p>
        </w:tc>
        <w:tc>
          <w:tcPr>
            <w:tcW w:w="5528" w:type="dxa"/>
            <w:gridSpan w:val="2"/>
          </w:tcPr>
          <w:p w14:paraId="306AE04A" w14:textId="77777777" w:rsidR="005E4A6A" w:rsidRPr="008A4D36" w:rsidRDefault="005E4A6A" w:rsidP="00807410">
            <w:pPr>
              <w:pStyle w:val="Bodyromannumerals"/>
              <w:rPr>
                <w:b/>
                <w:bCs/>
                <w:lang w:val="en-US"/>
              </w:rPr>
            </w:pPr>
            <w:r w:rsidRPr="008A4D36">
              <w:rPr>
                <w:b/>
                <w:bCs/>
                <w:lang w:val="en-US"/>
              </w:rPr>
              <w:t xml:space="preserve">Population in areas where headroom </w:t>
            </w:r>
            <w:r w:rsidRPr="00C247D5">
              <w:rPr>
                <w:lang w:val="en-US"/>
              </w:rPr>
              <w:t>≤</w:t>
            </w:r>
            <w:r w:rsidRPr="008A4D36">
              <w:rPr>
                <w:b/>
                <w:bCs/>
                <w:lang w:val="en-US"/>
              </w:rPr>
              <w:t>5%</w:t>
            </w:r>
          </w:p>
        </w:tc>
        <w:tc>
          <w:tcPr>
            <w:tcW w:w="1065" w:type="dxa"/>
          </w:tcPr>
          <w:p w14:paraId="0F2B40C4" w14:textId="77777777" w:rsidR="005E4A6A" w:rsidRPr="008A4D36" w:rsidRDefault="005E4A6A" w:rsidP="00807410">
            <w:pPr>
              <w:pStyle w:val="Bodyromannumerals"/>
              <w:rPr>
                <w:b/>
                <w:bCs/>
                <w:lang w:val="en-US"/>
              </w:rPr>
            </w:pPr>
            <w:r w:rsidRPr="008A4D36">
              <w:rPr>
                <w:b/>
                <w:bCs/>
                <w:lang w:val="en-US"/>
              </w:rPr>
              <w:t xml:space="preserve">000 </w:t>
            </w:r>
          </w:p>
        </w:tc>
      </w:tr>
      <w:tr w:rsidR="005E4A6A" w:rsidRPr="00216F0E" w14:paraId="37F87323" w14:textId="77777777" w:rsidTr="00807410">
        <w:tc>
          <w:tcPr>
            <w:tcW w:w="2004" w:type="dxa"/>
            <w:gridSpan w:val="2"/>
            <w:tcBorders>
              <w:left w:val="single" w:sz="4" w:space="0" w:color="FFFFFF"/>
              <w:bottom w:val="single" w:sz="4" w:space="0" w:color="FFFFFF"/>
              <w:right w:val="single" w:sz="4" w:space="0" w:color="FFFFFF"/>
            </w:tcBorders>
          </w:tcPr>
          <w:p w14:paraId="4FE0686A" w14:textId="77777777" w:rsidR="005E4A6A" w:rsidRPr="00E95AA0" w:rsidRDefault="005E4A6A" w:rsidP="00807410">
            <w:pPr>
              <w:pStyle w:val="Bodyromannumerals"/>
              <w:rPr>
                <w:i/>
                <w:lang w:val="en-US"/>
              </w:rPr>
            </w:pPr>
            <w:r w:rsidRPr="00E95AA0">
              <w:rPr>
                <w:i/>
                <w:lang w:val="en-US"/>
              </w:rPr>
              <w:t>Definition:</w:t>
            </w:r>
          </w:p>
        </w:tc>
        <w:tc>
          <w:tcPr>
            <w:tcW w:w="5554" w:type="dxa"/>
            <w:gridSpan w:val="2"/>
            <w:tcBorders>
              <w:left w:val="single" w:sz="4" w:space="0" w:color="FFFFFF"/>
              <w:bottom w:val="single" w:sz="4" w:space="0" w:color="FFFFFF"/>
              <w:right w:val="single" w:sz="4" w:space="0" w:color="FFFFFF"/>
            </w:tcBorders>
          </w:tcPr>
          <w:p w14:paraId="6F129C06" w14:textId="1BFBA819" w:rsidR="005E4A6A" w:rsidRPr="00AF4AEA" w:rsidRDefault="005E4A6A" w:rsidP="00807410">
            <w:pPr>
              <w:pStyle w:val="Bodyromannumerals"/>
              <w:rPr>
                <w:lang w:val="en-US"/>
              </w:rPr>
            </w:pPr>
            <w:r w:rsidRPr="00AF4AEA">
              <w:rPr>
                <w:lang w:val="en-US"/>
              </w:rPr>
              <w:t xml:space="preserve">Total population being supplied water where the difference between water available for use and the </w:t>
            </w:r>
            <w:r>
              <w:rPr>
                <w:lang w:val="en-US"/>
              </w:rPr>
              <w:t>peak daily demand</w:t>
            </w:r>
            <w:r w:rsidR="00204B34">
              <w:rPr>
                <w:lang w:val="en-US"/>
              </w:rPr>
              <w:t xml:space="preserve"> </w:t>
            </w:r>
            <w:r w:rsidR="00204B34">
              <w:t>in summer</w:t>
            </w:r>
            <w:r>
              <w:rPr>
                <w:lang w:val="en-US"/>
              </w:rPr>
              <w:t xml:space="preserve"> </w:t>
            </w:r>
            <w:r w:rsidRPr="00AF4AEA">
              <w:rPr>
                <w:lang w:val="en-US"/>
              </w:rPr>
              <w:t xml:space="preserve">is </w:t>
            </w:r>
            <w:r w:rsidRPr="00C247D5">
              <w:rPr>
                <w:lang w:val="en-US"/>
              </w:rPr>
              <w:t>≤</w:t>
            </w:r>
            <w:r w:rsidRPr="00AF4AEA">
              <w:rPr>
                <w:lang w:val="en-US"/>
              </w:rPr>
              <w:t xml:space="preserve">5% of the </w:t>
            </w:r>
            <w:r>
              <w:rPr>
                <w:lang w:val="en-US"/>
              </w:rPr>
              <w:t>peak daily demand</w:t>
            </w:r>
            <w:r w:rsidRPr="00AF4AEA">
              <w:rPr>
                <w:lang w:val="en-US"/>
              </w:rPr>
              <w:t>.</w:t>
            </w:r>
          </w:p>
        </w:tc>
      </w:tr>
      <w:tr w:rsidR="005E4A6A" w:rsidRPr="00216F0E" w14:paraId="5C68D6BE" w14:textId="77777777" w:rsidTr="00807410">
        <w:tc>
          <w:tcPr>
            <w:tcW w:w="2004" w:type="dxa"/>
            <w:gridSpan w:val="2"/>
            <w:tcBorders>
              <w:top w:val="single" w:sz="4" w:space="0" w:color="FFFFFF"/>
              <w:left w:val="single" w:sz="4" w:space="0" w:color="FFFFFF"/>
              <w:bottom w:val="single" w:sz="4" w:space="0" w:color="FFFFFF"/>
              <w:right w:val="single" w:sz="4" w:space="0" w:color="FFFFFF"/>
            </w:tcBorders>
          </w:tcPr>
          <w:p w14:paraId="5165E15A" w14:textId="77777777" w:rsidR="005E4A6A" w:rsidRPr="00AF4AEA" w:rsidRDefault="005E4A6A" w:rsidP="00807410">
            <w:pPr>
              <w:pStyle w:val="Bodyromannumerals"/>
              <w:rPr>
                <w:i/>
                <w:lang w:val="en-US"/>
              </w:rPr>
            </w:pPr>
            <w:r w:rsidRPr="00A80A3E">
              <w:rPr>
                <w:i/>
                <w:lang w:val="en-US"/>
              </w:rPr>
              <w:t>Processing Rules:</w:t>
            </w:r>
          </w:p>
        </w:tc>
        <w:tc>
          <w:tcPr>
            <w:tcW w:w="5554" w:type="dxa"/>
            <w:gridSpan w:val="2"/>
            <w:tcBorders>
              <w:top w:val="single" w:sz="4" w:space="0" w:color="FFFFFF"/>
              <w:left w:val="single" w:sz="4" w:space="0" w:color="FFFFFF"/>
              <w:bottom w:val="single" w:sz="4" w:space="0" w:color="FFFFFF"/>
              <w:right w:val="single" w:sz="4" w:space="0" w:color="FFFFFF"/>
            </w:tcBorders>
          </w:tcPr>
          <w:p w14:paraId="4C831927" w14:textId="77777777" w:rsidR="005E4A6A" w:rsidRPr="00AF4AEA" w:rsidRDefault="005E4A6A" w:rsidP="00807410">
            <w:pPr>
              <w:pStyle w:val="Bodyromannumerals"/>
              <w:rPr>
                <w:lang w:val="en-US"/>
              </w:rPr>
            </w:pPr>
            <w:r w:rsidRPr="00AF4AEA">
              <w:rPr>
                <w:lang w:val="en-US"/>
              </w:rPr>
              <w:t>Input field</w:t>
            </w:r>
          </w:p>
        </w:tc>
      </w:tr>
      <w:tr w:rsidR="005E4A6A" w:rsidRPr="00E95AA0" w14:paraId="3B2140D2" w14:textId="77777777" w:rsidTr="00807410">
        <w:tc>
          <w:tcPr>
            <w:tcW w:w="965" w:type="dxa"/>
          </w:tcPr>
          <w:p w14:paraId="3D030E3E" w14:textId="60A735F8" w:rsidR="005E4A6A" w:rsidRPr="008A4D36" w:rsidRDefault="005E4A6A" w:rsidP="00807410">
            <w:pPr>
              <w:pStyle w:val="Bodyromannumerals"/>
              <w:rPr>
                <w:b/>
                <w:bCs/>
                <w:lang w:val="en-US"/>
              </w:rPr>
            </w:pPr>
            <w:r w:rsidRPr="008A4D36">
              <w:rPr>
                <w:b/>
                <w:bCs/>
                <w:lang w:val="en-US"/>
              </w:rPr>
              <w:t>B1</w:t>
            </w:r>
            <w:r>
              <w:rPr>
                <w:b/>
                <w:bCs/>
                <w:lang w:val="en-US"/>
              </w:rPr>
              <w:t>a</w:t>
            </w:r>
            <w:r w:rsidRPr="008A4D36">
              <w:rPr>
                <w:b/>
                <w:bCs/>
                <w:lang w:val="en-US"/>
              </w:rPr>
              <w:t>.</w:t>
            </w:r>
            <w:r>
              <w:rPr>
                <w:b/>
                <w:bCs/>
                <w:lang w:val="en-US"/>
              </w:rPr>
              <w:t>6</w:t>
            </w:r>
          </w:p>
        </w:tc>
        <w:tc>
          <w:tcPr>
            <w:tcW w:w="5528" w:type="dxa"/>
            <w:gridSpan w:val="2"/>
          </w:tcPr>
          <w:p w14:paraId="3946247C" w14:textId="77777777" w:rsidR="005E4A6A" w:rsidRPr="008A4D36" w:rsidRDefault="005E4A6A" w:rsidP="00807410">
            <w:pPr>
              <w:pStyle w:val="Bodyromannumerals"/>
              <w:rPr>
                <w:b/>
                <w:bCs/>
                <w:lang w:val="en-US"/>
              </w:rPr>
            </w:pPr>
            <w:r w:rsidRPr="008A4D36">
              <w:rPr>
                <w:b/>
                <w:bCs/>
                <w:lang w:val="en-US"/>
              </w:rPr>
              <w:t>Population in areas where headroom &gt;5%</w:t>
            </w:r>
          </w:p>
        </w:tc>
        <w:tc>
          <w:tcPr>
            <w:tcW w:w="1065" w:type="dxa"/>
          </w:tcPr>
          <w:p w14:paraId="52F27938" w14:textId="77777777" w:rsidR="005E4A6A" w:rsidRPr="008A4D36" w:rsidRDefault="005E4A6A" w:rsidP="00807410">
            <w:pPr>
              <w:pStyle w:val="Bodyromannumerals"/>
              <w:rPr>
                <w:b/>
                <w:bCs/>
                <w:lang w:val="en-US"/>
              </w:rPr>
            </w:pPr>
            <w:r w:rsidRPr="008A4D36">
              <w:rPr>
                <w:b/>
                <w:bCs/>
                <w:lang w:val="en-US"/>
              </w:rPr>
              <w:t xml:space="preserve">000 </w:t>
            </w:r>
          </w:p>
        </w:tc>
      </w:tr>
      <w:tr w:rsidR="005E4A6A" w:rsidRPr="00216F0E" w14:paraId="29CDF86C" w14:textId="77777777" w:rsidTr="00807410">
        <w:tc>
          <w:tcPr>
            <w:tcW w:w="2004" w:type="dxa"/>
            <w:gridSpan w:val="2"/>
            <w:tcBorders>
              <w:left w:val="single" w:sz="4" w:space="0" w:color="FFFFFF"/>
              <w:bottom w:val="single" w:sz="4" w:space="0" w:color="FFFFFF"/>
              <w:right w:val="single" w:sz="4" w:space="0" w:color="FFFFFF"/>
            </w:tcBorders>
          </w:tcPr>
          <w:p w14:paraId="05C08C36" w14:textId="77777777" w:rsidR="005E4A6A" w:rsidRPr="00E95AA0" w:rsidRDefault="005E4A6A" w:rsidP="00807410">
            <w:pPr>
              <w:pStyle w:val="Bodyromannumerals"/>
              <w:rPr>
                <w:i/>
                <w:lang w:val="en-US"/>
              </w:rPr>
            </w:pPr>
            <w:r w:rsidRPr="00E95AA0">
              <w:rPr>
                <w:i/>
                <w:lang w:val="en-US"/>
              </w:rPr>
              <w:t>Definition:</w:t>
            </w:r>
          </w:p>
        </w:tc>
        <w:tc>
          <w:tcPr>
            <w:tcW w:w="5554" w:type="dxa"/>
            <w:gridSpan w:val="2"/>
            <w:tcBorders>
              <w:left w:val="single" w:sz="4" w:space="0" w:color="FFFFFF"/>
              <w:bottom w:val="single" w:sz="4" w:space="0" w:color="FFFFFF"/>
              <w:right w:val="single" w:sz="4" w:space="0" w:color="FFFFFF"/>
            </w:tcBorders>
          </w:tcPr>
          <w:p w14:paraId="46CFB7E0" w14:textId="7E97DB3F" w:rsidR="005E4A6A" w:rsidRPr="00E95AA0" w:rsidRDefault="005E4A6A" w:rsidP="00807410">
            <w:pPr>
              <w:pStyle w:val="Bodyromannumerals"/>
              <w:rPr>
                <w:lang w:val="en-US"/>
              </w:rPr>
            </w:pPr>
            <w:r w:rsidRPr="00AF4AEA">
              <w:rPr>
                <w:lang w:val="en-US"/>
              </w:rPr>
              <w:t xml:space="preserve">Total population being supplied water where the difference between water available for use and the </w:t>
            </w:r>
            <w:r>
              <w:rPr>
                <w:lang w:val="en-US"/>
              </w:rPr>
              <w:t>peak daily</w:t>
            </w:r>
            <w:r w:rsidRPr="00AF4AEA">
              <w:rPr>
                <w:lang w:val="en-US"/>
              </w:rPr>
              <w:t xml:space="preserve"> demand</w:t>
            </w:r>
            <w:r w:rsidR="00204B34">
              <w:rPr>
                <w:lang w:val="en-US"/>
              </w:rPr>
              <w:t xml:space="preserve"> </w:t>
            </w:r>
            <w:r w:rsidR="00204B34">
              <w:t>in summer</w:t>
            </w:r>
            <w:r>
              <w:rPr>
                <w:lang w:val="en-US"/>
              </w:rPr>
              <w:t xml:space="preserve"> </w:t>
            </w:r>
            <w:r w:rsidRPr="00AF4AEA">
              <w:rPr>
                <w:lang w:val="en-US"/>
              </w:rPr>
              <w:t xml:space="preserve">is &gt;5% of the </w:t>
            </w:r>
            <w:r>
              <w:rPr>
                <w:lang w:val="en-US"/>
              </w:rPr>
              <w:t>peak daily demand</w:t>
            </w:r>
            <w:r w:rsidRPr="00AF4AEA">
              <w:rPr>
                <w:lang w:val="en-US"/>
              </w:rPr>
              <w:t>.</w:t>
            </w:r>
          </w:p>
        </w:tc>
      </w:tr>
      <w:tr w:rsidR="005E4A6A" w:rsidRPr="00216F0E" w14:paraId="77D2D3F2" w14:textId="77777777" w:rsidTr="00807410">
        <w:tc>
          <w:tcPr>
            <w:tcW w:w="2004" w:type="dxa"/>
            <w:gridSpan w:val="2"/>
            <w:tcBorders>
              <w:top w:val="single" w:sz="4" w:space="0" w:color="FFFFFF"/>
              <w:left w:val="single" w:sz="4" w:space="0" w:color="FFFFFF"/>
              <w:bottom w:val="single" w:sz="4" w:space="0" w:color="FFFFFF"/>
              <w:right w:val="single" w:sz="4" w:space="0" w:color="FFFFFF"/>
            </w:tcBorders>
          </w:tcPr>
          <w:p w14:paraId="5DC01E3A" w14:textId="77777777" w:rsidR="005E4A6A" w:rsidRPr="00AF4AEA" w:rsidRDefault="005E4A6A" w:rsidP="00807410">
            <w:pPr>
              <w:pStyle w:val="Bodyromannumerals"/>
              <w:rPr>
                <w:i/>
                <w:lang w:val="en-US"/>
              </w:rPr>
            </w:pPr>
            <w:r w:rsidRPr="00A80A3E">
              <w:rPr>
                <w:i/>
                <w:lang w:val="en-US"/>
              </w:rPr>
              <w:t>Processing Rules:</w:t>
            </w:r>
          </w:p>
        </w:tc>
        <w:tc>
          <w:tcPr>
            <w:tcW w:w="5554" w:type="dxa"/>
            <w:gridSpan w:val="2"/>
            <w:tcBorders>
              <w:top w:val="single" w:sz="4" w:space="0" w:color="FFFFFF"/>
              <w:left w:val="single" w:sz="4" w:space="0" w:color="FFFFFF"/>
              <w:bottom w:val="single" w:sz="4" w:space="0" w:color="FFFFFF"/>
              <w:right w:val="single" w:sz="4" w:space="0" w:color="FFFFFF"/>
            </w:tcBorders>
          </w:tcPr>
          <w:p w14:paraId="2E546C7D" w14:textId="77777777" w:rsidR="005E4A6A" w:rsidRPr="00AF4AEA" w:rsidRDefault="005E4A6A" w:rsidP="00807410">
            <w:pPr>
              <w:pStyle w:val="Bodyromannumerals"/>
              <w:rPr>
                <w:lang w:val="en-US"/>
              </w:rPr>
            </w:pPr>
            <w:r w:rsidRPr="00AF4AEA">
              <w:rPr>
                <w:lang w:val="en-US"/>
              </w:rPr>
              <w:t>Input field</w:t>
            </w:r>
          </w:p>
        </w:tc>
      </w:tr>
    </w:tbl>
    <w:p w14:paraId="210B4294" w14:textId="1283081B" w:rsidR="0003265A" w:rsidRPr="00971BDF" w:rsidRDefault="0003265A" w:rsidP="0007555F">
      <w:pPr>
        <w:pStyle w:val="Bodynumbercopy"/>
        <w:rPr>
          <w:rFonts w:ascii="Segoe UI" w:hAnsi="Segoe UI" w:cs="Segoe UI"/>
          <w:b/>
          <w:bCs/>
          <w:color w:val="03B2C4"/>
        </w:rPr>
      </w:pPr>
      <w:r w:rsidRPr="00B97AE8">
        <w:br w:type="page"/>
      </w:r>
    </w:p>
    <w:p w14:paraId="106D2B0C" w14:textId="67E39656" w:rsidR="00BE4543" w:rsidRDefault="00BE4543" w:rsidP="00C15D93">
      <w:pPr>
        <w:pStyle w:val="Title1"/>
      </w:pPr>
      <w:r>
        <w:lastRenderedPageBreak/>
        <w:t>TABLE B2: PRESSURE AND INTERRUPTIONS</w:t>
      </w:r>
    </w:p>
    <w:p w14:paraId="7F0528E0" w14:textId="124044AB" w:rsidR="00C97A5A" w:rsidRDefault="00C97A5A" w:rsidP="00C15D93">
      <w:pPr>
        <w:pStyle w:val="Sectionsub-heading"/>
      </w:pPr>
      <w:r>
        <w:t>Overall guidance</w:t>
      </w:r>
    </w:p>
    <w:p w14:paraId="004B7303" w14:textId="5090D53D" w:rsidR="00C97A5A" w:rsidRDefault="00C97A5A" w:rsidP="00911155">
      <w:pPr>
        <w:pStyle w:val="Bodynumbercopy"/>
        <w:numPr>
          <w:ilvl w:val="0"/>
          <w:numId w:val="51"/>
        </w:numPr>
      </w:pPr>
      <w:r>
        <w:t xml:space="preserve">If the information is not available </w:t>
      </w:r>
      <w:r w:rsidR="00967874">
        <w:t>for the measure requested</w:t>
      </w:r>
      <w:r>
        <w:t xml:space="preserve">, Local Authorities should provide their </w:t>
      </w:r>
      <w:r w:rsidR="00B60D09">
        <w:t>best-informed</w:t>
      </w:r>
      <w:r w:rsidR="00967874">
        <w:t xml:space="preserve"> guess</w:t>
      </w:r>
      <w:r>
        <w:t xml:space="preserve"> </w:t>
      </w:r>
      <w:r w:rsidR="00967874">
        <w:t xml:space="preserve">based on the information available </w:t>
      </w:r>
      <w:r>
        <w:t>and reflect the uncertainty in selecting the appropriate confidence grade.</w:t>
      </w:r>
    </w:p>
    <w:p w14:paraId="38353BF8" w14:textId="3255722A" w:rsidR="00F61BD1" w:rsidRPr="00B60D09" w:rsidRDefault="008C2DB2" w:rsidP="00491F19">
      <w:pPr>
        <w:pStyle w:val="Bodynumbercopy"/>
        <w:rPr>
          <w:rStyle w:val="CommentReference"/>
          <w:sz w:val="21"/>
          <w:szCs w:val="21"/>
        </w:rPr>
      </w:pPr>
      <w:r w:rsidRPr="00A12D8A">
        <w:t>Using unplanned interruptions</w:t>
      </w:r>
      <w:r>
        <w:t xml:space="preserve"> </w:t>
      </w:r>
      <w:r w:rsidR="00076058">
        <w:t>in Table B2</w:t>
      </w:r>
      <w:r w:rsidRPr="00A12D8A">
        <w:t xml:space="preserve"> as</w:t>
      </w:r>
      <w:r w:rsidR="000B364D" w:rsidRPr="00A12D8A">
        <w:t xml:space="preserve"> an example, if the Local Authority </w:t>
      </w:r>
      <w:r w:rsidR="009F3284" w:rsidRPr="00A12D8A">
        <w:t>has collected</w:t>
      </w:r>
      <w:r w:rsidR="00C87993" w:rsidRPr="00A12D8A">
        <w:t xml:space="preserve"> information </w:t>
      </w:r>
      <w:r w:rsidR="00D100DB" w:rsidRPr="00A12D8A">
        <w:t xml:space="preserve">which shows that </w:t>
      </w:r>
      <w:r w:rsidR="00D6447F" w:rsidRPr="00A12D8A">
        <w:t>150</w:t>
      </w:r>
      <w:r w:rsidRPr="00A12D8A">
        <w:t xml:space="preserve"> properties</w:t>
      </w:r>
      <w:r w:rsidR="00741B46" w:rsidRPr="00A12D8A">
        <w:t xml:space="preserve"> </w:t>
      </w:r>
      <w:r w:rsidR="00EF38E2" w:rsidRPr="00A12D8A">
        <w:t>were</w:t>
      </w:r>
      <w:r w:rsidR="00741B46" w:rsidRPr="00A12D8A">
        <w:t xml:space="preserve"> </w:t>
      </w:r>
      <w:r w:rsidR="00FC0F8C" w:rsidRPr="00A12D8A">
        <w:t xml:space="preserve">restored within </w:t>
      </w:r>
      <w:r w:rsidR="007957DB" w:rsidRPr="00A12D8A">
        <w:t xml:space="preserve">8 hours </w:t>
      </w:r>
      <w:r w:rsidR="001136BA" w:rsidRPr="00A12D8A">
        <w:t xml:space="preserve">then this would serve as a </w:t>
      </w:r>
      <w:r w:rsidR="0035758A" w:rsidRPr="00A12D8A">
        <w:t>maximum</w:t>
      </w:r>
      <w:r w:rsidR="00AE3EBC" w:rsidRPr="00A12D8A">
        <w:t xml:space="preserve"> </w:t>
      </w:r>
      <w:r w:rsidR="00284FD9" w:rsidRPr="00A12D8A">
        <w:t>for</w:t>
      </w:r>
      <w:r w:rsidR="00AE3EBC" w:rsidRPr="00A12D8A">
        <w:t xml:space="preserve"> the number of properties restored </w:t>
      </w:r>
      <w:r w:rsidR="00C143BB" w:rsidRPr="00A12D8A">
        <w:t>within six hours</w:t>
      </w:r>
      <w:r w:rsidR="000A03DF" w:rsidRPr="00A12D8A">
        <w:t xml:space="preserve"> in line </w:t>
      </w:r>
      <w:r w:rsidR="00D100DB" w:rsidRPr="00A12D8A">
        <w:t>B</w:t>
      </w:r>
      <w:r w:rsidR="00076058" w:rsidRPr="00A12D8A">
        <w:t>2</w:t>
      </w:r>
      <w:r w:rsidR="00D100DB" w:rsidRPr="00A12D8A">
        <w:t>.43</w:t>
      </w:r>
      <w:r w:rsidR="00C143BB" w:rsidRPr="00A12D8A">
        <w:t xml:space="preserve">. </w:t>
      </w:r>
      <w:r w:rsidR="00D012DA" w:rsidRPr="00A12D8A">
        <w:t>A</w:t>
      </w:r>
      <w:r w:rsidR="00EC552C" w:rsidRPr="00A12D8A">
        <w:t xml:space="preserve"> </w:t>
      </w:r>
      <w:r w:rsidR="00270DA3" w:rsidRPr="00A12D8A">
        <w:t xml:space="preserve">Local Authority could </w:t>
      </w:r>
      <w:r w:rsidR="00D012DA" w:rsidRPr="00A12D8A">
        <w:t xml:space="preserve">therefore </w:t>
      </w:r>
      <w:r w:rsidR="00263FED" w:rsidRPr="00A12D8A">
        <w:t xml:space="preserve">make an informed </w:t>
      </w:r>
      <w:r w:rsidR="00270DA3" w:rsidRPr="00A12D8A">
        <w:t xml:space="preserve">guess </w:t>
      </w:r>
      <w:r w:rsidR="00D012DA" w:rsidRPr="00A12D8A">
        <w:t xml:space="preserve">that </w:t>
      </w:r>
      <w:r w:rsidR="00C27096" w:rsidRPr="00A12D8A">
        <w:t>100</w:t>
      </w:r>
      <w:r w:rsidR="00D012DA" w:rsidRPr="00A12D8A">
        <w:t xml:space="preserve"> properties </w:t>
      </w:r>
      <w:r w:rsidR="00263FED" w:rsidRPr="00A12D8A">
        <w:t xml:space="preserve">were restored within </w:t>
      </w:r>
      <w:r w:rsidR="003862AC" w:rsidRPr="00A12D8A">
        <w:t xml:space="preserve">6 hours and apply a confidence grade of D5 which would suggest </w:t>
      </w:r>
      <w:r w:rsidR="008E18EB" w:rsidRPr="00A12D8A">
        <w:t xml:space="preserve">that the </w:t>
      </w:r>
      <w:r w:rsidR="00C70093" w:rsidRPr="00A12D8A">
        <w:t>reported</w:t>
      </w:r>
      <w:r w:rsidR="003862AC" w:rsidRPr="00A12D8A">
        <w:t xml:space="preserve"> performance is within +/-50% of the </w:t>
      </w:r>
      <w:r w:rsidR="008E18EB" w:rsidRPr="00A12D8A">
        <w:t xml:space="preserve">actual performance in the year. </w:t>
      </w:r>
      <w:r w:rsidR="005A164C" w:rsidRPr="00A12D8A">
        <w:t xml:space="preserve"> </w:t>
      </w:r>
      <w:r w:rsidR="00267ABD" w:rsidRPr="00A12D8A">
        <w:t>This would result in a maximum</w:t>
      </w:r>
      <w:r w:rsidR="00FC2196" w:rsidRPr="00A12D8A">
        <w:t xml:space="preserve"> of 150 properties (100 </w:t>
      </w:r>
      <w:r w:rsidR="001E7A7F" w:rsidRPr="00A12D8A">
        <w:t>+</w:t>
      </w:r>
      <w:r w:rsidR="007957DB" w:rsidRPr="00A12D8A">
        <w:t xml:space="preserve"> </w:t>
      </w:r>
      <w:r w:rsidR="00C65530" w:rsidRPr="00A12D8A">
        <w:t>(100 * 50%))</w:t>
      </w:r>
      <w:r w:rsidR="00A17078" w:rsidRPr="00A12D8A">
        <w:t xml:space="preserve"> in line with the </w:t>
      </w:r>
      <w:r w:rsidR="00E122CF">
        <w:t xml:space="preserve">known </w:t>
      </w:r>
      <w:r w:rsidR="00A17078" w:rsidRPr="00A12D8A">
        <w:t xml:space="preserve">properties restored </w:t>
      </w:r>
      <w:r w:rsidR="009011E3" w:rsidRPr="00A12D8A">
        <w:t>wi</w:t>
      </w:r>
      <w:r w:rsidR="00225363" w:rsidRPr="00A12D8A">
        <w:t>thin 8 hours.</w:t>
      </w:r>
      <w:r w:rsidR="00633A01" w:rsidRPr="00633A01">
        <w:rPr>
          <w:rStyle w:val="CommentReference"/>
          <w:rFonts w:ascii="Arial" w:hAnsi="Arial" w:cstheme="minorBidi"/>
        </w:rPr>
        <w:t xml:space="preserve"> </w:t>
      </w:r>
    </w:p>
    <w:p w14:paraId="13098489" w14:textId="685560B7" w:rsidR="00373CDB" w:rsidRPr="00A12D8A" w:rsidRDefault="00373CDB" w:rsidP="00491F19">
      <w:pPr>
        <w:pStyle w:val="Bodynumbercopy"/>
      </w:pPr>
      <w:r w:rsidRPr="00B60D09">
        <w:t xml:space="preserve">For the avoidance of doubt, this covers on-demand and rural supplies provided by Local Authorities. </w:t>
      </w:r>
    </w:p>
    <w:p w14:paraId="2C6BA614" w14:textId="34FD9335" w:rsidR="00BE4543" w:rsidRDefault="00BE4543" w:rsidP="00C15D93">
      <w:pPr>
        <w:pStyle w:val="Sectionsub-heading"/>
      </w:pPr>
      <w:r>
        <w:t>Aim</w:t>
      </w:r>
    </w:p>
    <w:p w14:paraId="38CF23CF" w14:textId="77777777" w:rsidR="00BE4543" w:rsidRPr="00C10211" w:rsidRDefault="00BE4543" w:rsidP="00491F19">
      <w:pPr>
        <w:pStyle w:val="Bodynumbercopy"/>
        <w:rPr>
          <w:rFonts w:asciiTheme="minorHAnsi" w:eastAsiaTheme="minorEastAsia" w:hAnsiTheme="minorHAnsi" w:cstheme="minorBidi"/>
        </w:rPr>
      </w:pPr>
      <w:r>
        <w:t>To identify the number of properties which have received and are likely to continue to receive pressure below the reference level when demand is not abnormal.</w:t>
      </w:r>
    </w:p>
    <w:p w14:paraId="36E94E48" w14:textId="4365039F" w:rsidR="00BE4543" w:rsidRDefault="00BE4543" w:rsidP="00087137">
      <w:pPr>
        <w:pStyle w:val="Sectionsub-heading"/>
      </w:pPr>
      <w:r>
        <w:t xml:space="preserve">Common </w:t>
      </w:r>
      <w:r w:rsidR="00547C78">
        <w:t>d</w:t>
      </w:r>
      <w:r>
        <w:t>efinitions</w:t>
      </w:r>
    </w:p>
    <w:p w14:paraId="6BE17B5D" w14:textId="63F3FC05" w:rsidR="00DD6CB3" w:rsidRPr="00DD6CB3" w:rsidRDefault="00BE4543" w:rsidP="00DD6CB3">
      <w:pPr>
        <w:pStyle w:val="Bodynumbercopy"/>
      </w:pPr>
      <w:r w:rsidRPr="286C5C0D">
        <w:rPr>
          <w:b/>
          <w:bCs/>
        </w:rPr>
        <w:t>Reference level</w:t>
      </w:r>
      <w:r>
        <w:t xml:space="preserve">: The reference level of service is a flow of </w:t>
      </w:r>
      <w:r w:rsidRPr="00D41135">
        <w:rPr>
          <w:b/>
        </w:rPr>
        <w:t>9l/min</w:t>
      </w:r>
      <w:r>
        <w:t xml:space="preserve"> at a pressure of </w:t>
      </w:r>
      <w:r w:rsidRPr="00D41135">
        <w:rPr>
          <w:b/>
        </w:rPr>
        <w:t>10m</w:t>
      </w:r>
      <w:r>
        <w:t xml:space="preserve"> head on the customer's side of the main stop tap (m.s.t).</w:t>
      </w:r>
      <w:r w:rsidR="00DD6CB3">
        <w:t xml:space="preserve"> The reference level of service must be applied on the customer's side of a meter or any other fittings which are on the customer's side of the </w:t>
      </w:r>
      <w:proofErr w:type="spellStart"/>
      <w:r w:rsidR="00DD6CB3">
        <w:t>m.s.t.</w:t>
      </w:r>
      <w:proofErr w:type="spellEnd"/>
      <w:r w:rsidR="00DD6CB3">
        <w:t xml:space="preserve"> The reference level applies to a single property. Where more than one property is served by a common service pipe, the flow assumed in the reference level must be appropriately increased to take account of the total number of properties served. For two properties, a flow of </w:t>
      </w:r>
      <w:r w:rsidR="00DD6CB3" w:rsidRPr="00D41135">
        <w:rPr>
          <w:b/>
        </w:rPr>
        <w:t>18l/min</w:t>
      </w:r>
      <w:r w:rsidR="00DD6CB3">
        <w:t xml:space="preserve"> at a pressure of </w:t>
      </w:r>
      <w:r w:rsidR="00DD6CB3" w:rsidRPr="00D41135">
        <w:rPr>
          <w:b/>
        </w:rPr>
        <w:t>10m</w:t>
      </w:r>
      <w:r w:rsidR="00DD6CB3">
        <w:t xml:space="preserve"> head on the customers' side of the </w:t>
      </w:r>
      <w:proofErr w:type="spellStart"/>
      <w:r w:rsidR="00DD6CB3">
        <w:t>m.s.t.</w:t>
      </w:r>
      <w:proofErr w:type="spellEnd"/>
      <w:r w:rsidR="00DD6CB3">
        <w:t xml:space="preserve"> is appropriate. </w:t>
      </w:r>
    </w:p>
    <w:p w14:paraId="1DCFA875" w14:textId="36DAEE7F" w:rsidR="00DD6CB3" w:rsidRDefault="00BE4543" w:rsidP="00DD6CB3">
      <w:pPr>
        <w:pStyle w:val="Bodynumbercopy"/>
      </w:pPr>
      <w:r w:rsidRPr="286C5C0D">
        <w:rPr>
          <w:b/>
          <w:bCs/>
        </w:rPr>
        <w:t>Allowable exclusions</w:t>
      </w:r>
      <w:r>
        <w:t>: There are a number of circumstances under which properties identified as receiving low pressure should be excluded from the reported figure. The aim of these exclusions is to exclude properties which receive a low pressure as a result of a one-off event and which, under normal circumstances (including normal peaks in demand), will not receive pressure or flow below the reference level.</w:t>
      </w:r>
      <w:r w:rsidR="00DD6CB3">
        <w:t xml:space="preserve"> All properties identified as having received pressure or flow below the reference level must be reported, unless it can be confirmed that they are covered by one of these exclusions.</w:t>
      </w:r>
    </w:p>
    <w:p w14:paraId="1AB94F3C" w14:textId="6492E7F9" w:rsidR="00BE4543" w:rsidRDefault="00DD6CB3" w:rsidP="00C10211">
      <w:pPr>
        <w:pStyle w:val="Bodynumbercopy"/>
        <w:numPr>
          <w:ilvl w:val="1"/>
          <w:numId w:val="3"/>
        </w:numPr>
      </w:pPr>
      <w:r w:rsidRPr="286C5C0D">
        <w:rPr>
          <w:b/>
          <w:bCs/>
        </w:rPr>
        <w:t>A</w:t>
      </w:r>
      <w:r w:rsidR="00BE4543" w:rsidRPr="286C5C0D">
        <w:rPr>
          <w:b/>
          <w:bCs/>
        </w:rPr>
        <w:t>bnormal demand</w:t>
      </w:r>
      <w:r w:rsidR="00BE4543">
        <w:t xml:space="preserve">: This exclusion is intended to cover abnormal peaks in demand and not the daily, weekly or monthly peaks in demand which are normally expected. </w:t>
      </w:r>
      <w:r w:rsidR="00390EAC">
        <w:t>T</w:t>
      </w:r>
      <w:r w:rsidR="00BE4543">
        <w:t xml:space="preserve">he </w:t>
      </w:r>
      <w:r w:rsidR="00906346">
        <w:t>Local</w:t>
      </w:r>
      <w:r w:rsidR="002E0E38">
        <w:t xml:space="preserve"> Authority</w:t>
      </w:r>
      <w:r w:rsidR="00390EAC">
        <w:t xml:space="preserve"> </w:t>
      </w:r>
      <w:r w:rsidR="00BE4543">
        <w:t xml:space="preserve">should </w:t>
      </w:r>
      <w:r w:rsidR="00BE4543">
        <w:lastRenderedPageBreak/>
        <w:t xml:space="preserve">exclude from the reported figures properties which are affected by low pressure only on those days with the highest peak demands. During the report year the </w:t>
      </w:r>
      <w:r w:rsidR="00906346">
        <w:t>Local</w:t>
      </w:r>
      <w:r w:rsidR="002E0E38">
        <w:t xml:space="preserve"> Authority</w:t>
      </w:r>
      <w:r w:rsidR="008E0B71">
        <w:t xml:space="preserve"> </w:t>
      </w:r>
      <w:r w:rsidR="00BE4543">
        <w:t>may exclude, for each property, up to five days of low pressure caused by peak demand.</w:t>
      </w:r>
    </w:p>
    <w:p w14:paraId="52216971" w14:textId="774C24D1" w:rsidR="00BE4543" w:rsidRPr="00F16162" w:rsidRDefault="00BE4543" w:rsidP="00C10211">
      <w:pPr>
        <w:pStyle w:val="Bodynumbercopy"/>
        <w:numPr>
          <w:ilvl w:val="1"/>
          <w:numId w:val="3"/>
        </w:numPr>
        <w:rPr>
          <w:b/>
          <w:bCs/>
        </w:rPr>
      </w:pPr>
      <w:r w:rsidRPr="286C5C0D">
        <w:rPr>
          <w:b/>
          <w:bCs/>
        </w:rPr>
        <w:t xml:space="preserve">Planned maintenance: </w:t>
      </w:r>
      <w:r w:rsidR="00735B38">
        <w:t>T</w:t>
      </w:r>
      <w:r>
        <w:t xml:space="preserve">he </w:t>
      </w:r>
      <w:r w:rsidR="00906346">
        <w:t>Local</w:t>
      </w:r>
      <w:r w:rsidR="002E0E38">
        <w:t xml:space="preserve"> Authority</w:t>
      </w:r>
      <w:r w:rsidR="00390EAC">
        <w:t xml:space="preserve"> </w:t>
      </w:r>
      <w:r>
        <w:t xml:space="preserve">should not report under low pressures caused by planned maintenance. It is not intended that the </w:t>
      </w:r>
      <w:r w:rsidR="00906346">
        <w:t>Local</w:t>
      </w:r>
      <w:r w:rsidR="002E0E38">
        <w:t xml:space="preserve"> Authority</w:t>
      </w:r>
      <w:r w:rsidR="00390EAC">
        <w:t xml:space="preserve"> </w:t>
      </w:r>
      <w:r>
        <w:t xml:space="preserve">identify the number of properties affected in each instance. However, the </w:t>
      </w:r>
      <w:r w:rsidR="00906346">
        <w:t>Local</w:t>
      </w:r>
      <w:r w:rsidR="002E0E38">
        <w:t xml:space="preserve"> Authority</w:t>
      </w:r>
      <w:r w:rsidR="00A91C29">
        <w:t xml:space="preserve"> </w:t>
      </w:r>
      <w:r>
        <w:t>must maintain sufficiently accurate records to verify that low pressure incidents which are excluded because of planned maintenance are actually caused by maintenance.</w:t>
      </w:r>
    </w:p>
    <w:p w14:paraId="66D6FA2D" w14:textId="4743EEA7" w:rsidR="00BE4543" w:rsidRPr="00087137" w:rsidRDefault="00BE4543" w:rsidP="00C10211">
      <w:pPr>
        <w:pStyle w:val="Bodynumbercopy"/>
        <w:numPr>
          <w:ilvl w:val="1"/>
          <w:numId w:val="3"/>
        </w:numPr>
        <w:rPr>
          <w:b/>
          <w:bCs/>
        </w:rPr>
      </w:pPr>
      <w:r w:rsidRPr="286C5C0D">
        <w:rPr>
          <w:b/>
          <w:bCs/>
        </w:rPr>
        <w:t xml:space="preserve">One-off incidents: </w:t>
      </w:r>
      <w:r>
        <w:t>This exclusion covers a number of causes of low pressure:</w:t>
      </w:r>
    </w:p>
    <w:p w14:paraId="6048804A" w14:textId="788D24CF" w:rsidR="00BE4543" w:rsidRPr="002C613D" w:rsidRDefault="00BE4543" w:rsidP="00911155">
      <w:pPr>
        <w:pStyle w:val="Bodynumbercopy"/>
        <w:numPr>
          <w:ilvl w:val="2"/>
          <w:numId w:val="40"/>
        </w:numPr>
      </w:pPr>
      <w:r w:rsidRPr="002C613D">
        <w:t>mains bursts;</w:t>
      </w:r>
    </w:p>
    <w:p w14:paraId="586E7EF5" w14:textId="4CA546DF" w:rsidR="00BE4543" w:rsidRPr="002C613D" w:rsidRDefault="00BE4543" w:rsidP="00911155">
      <w:pPr>
        <w:pStyle w:val="Bodynumbercopy"/>
        <w:numPr>
          <w:ilvl w:val="2"/>
          <w:numId w:val="40"/>
        </w:numPr>
      </w:pPr>
      <w:r w:rsidRPr="002C613D">
        <w:t xml:space="preserve">failures of the </w:t>
      </w:r>
      <w:r w:rsidR="00906346">
        <w:t>Local</w:t>
      </w:r>
      <w:r w:rsidR="00FE3538">
        <w:t xml:space="preserve"> Aut</w:t>
      </w:r>
      <w:r w:rsidR="0022733E">
        <w:t>hority</w:t>
      </w:r>
      <w:r w:rsidR="00FE3538" w:rsidRPr="002C613D">
        <w:t xml:space="preserve"> </w:t>
      </w:r>
      <w:r w:rsidRPr="002C613D">
        <w:t>equipment (such as PRVs or booster pumps);</w:t>
      </w:r>
    </w:p>
    <w:p w14:paraId="2209624F" w14:textId="382699B7" w:rsidR="00BE4543" w:rsidRPr="002C613D" w:rsidRDefault="00BE4543" w:rsidP="00911155">
      <w:pPr>
        <w:pStyle w:val="Bodynumbercopy"/>
        <w:numPr>
          <w:ilvl w:val="2"/>
          <w:numId w:val="40"/>
        </w:numPr>
      </w:pPr>
      <w:r w:rsidRPr="002C613D">
        <w:t>firefighting; and</w:t>
      </w:r>
    </w:p>
    <w:p w14:paraId="6031D3AD" w14:textId="77777777" w:rsidR="002C613D" w:rsidRDefault="00BE4543" w:rsidP="00911155">
      <w:pPr>
        <w:pStyle w:val="Bodynumbercopy"/>
        <w:numPr>
          <w:ilvl w:val="2"/>
          <w:numId w:val="40"/>
        </w:numPr>
      </w:pPr>
      <w:r w:rsidRPr="002C613D">
        <w:t>action by a third party.</w:t>
      </w:r>
    </w:p>
    <w:p w14:paraId="5F847DBD" w14:textId="308101E1" w:rsidR="00BE4543" w:rsidRDefault="00BE4543" w:rsidP="001E7C7A">
      <w:pPr>
        <w:pStyle w:val="Bodynumbercopy"/>
        <w:numPr>
          <w:ilvl w:val="0"/>
          <w:numId w:val="0"/>
        </w:numPr>
        <w:ind w:left="1560"/>
      </w:pPr>
      <w:r>
        <w:t>However, if problems of this type affect a property frequently, they cannot be classed as one-off events and further investigation will be required before they can be excluded.</w:t>
      </w:r>
    </w:p>
    <w:p w14:paraId="78D89CD7" w14:textId="66094474" w:rsidR="00BE4543" w:rsidRPr="00087137" w:rsidRDefault="00BE4543" w:rsidP="00C10211">
      <w:pPr>
        <w:pStyle w:val="Bodynumbercopy"/>
        <w:numPr>
          <w:ilvl w:val="1"/>
          <w:numId w:val="3"/>
        </w:numPr>
        <w:rPr>
          <w:b/>
          <w:bCs/>
        </w:rPr>
      </w:pPr>
      <w:r w:rsidRPr="286C5C0D">
        <w:rPr>
          <w:b/>
          <w:bCs/>
        </w:rPr>
        <w:t xml:space="preserve">Low pressure incidents of short duration: </w:t>
      </w:r>
      <w:r>
        <w:t>Properties affected by low pressures which only occur for a short period, and for which there is evidence that incidents of a longer duration would not occur during the course of the year, may be excluded from the reported figures.</w:t>
      </w:r>
    </w:p>
    <w:p w14:paraId="2905D480" w14:textId="7EEE26E9" w:rsidR="00BE4543" w:rsidRDefault="00BE4543" w:rsidP="00087137">
      <w:pPr>
        <w:pStyle w:val="Sectionsub-heading"/>
      </w:pPr>
      <w:r>
        <w:t>Guidance</w:t>
      </w:r>
    </w:p>
    <w:p w14:paraId="3DA0357B" w14:textId="3BC997B5" w:rsidR="00BE4543" w:rsidRDefault="00BE4543" w:rsidP="001E7C7A">
      <w:pPr>
        <w:pStyle w:val="Bodynumbercopy"/>
      </w:pPr>
      <w:r w:rsidRPr="286C5C0D">
        <w:rPr>
          <w:b/>
          <w:bCs/>
        </w:rPr>
        <w:t>Incidents of short duration</w:t>
      </w:r>
      <w:r>
        <w:t xml:space="preserve">: In locations where the </w:t>
      </w:r>
      <w:r w:rsidR="00906346">
        <w:t>Local</w:t>
      </w:r>
      <w:r w:rsidR="002E0E38">
        <w:t xml:space="preserve"> Authority</w:t>
      </w:r>
      <w:r w:rsidR="00E11310">
        <w:t xml:space="preserve"> </w:t>
      </w:r>
      <w:r>
        <w:t>carries out continuous pressure logging year-round, low pressure incidents of less than one hour may be excluded.</w:t>
      </w:r>
    </w:p>
    <w:p w14:paraId="463093CA" w14:textId="77777777" w:rsidR="00BE4543" w:rsidRDefault="00BE4543" w:rsidP="001E7C7A">
      <w:pPr>
        <w:pStyle w:val="Bodynumbercopy"/>
      </w:pPr>
      <w:r>
        <w:t>Where short term or intermittent logging is used, if all low-pressure incidents lasting less than one hour are excluded there is a danger that properties which are actually below the reference level will be missed from the poor pressure figures.</w:t>
      </w:r>
    </w:p>
    <w:p w14:paraId="50A279A2" w14:textId="77777777" w:rsidR="00BE4543" w:rsidRDefault="00BE4543" w:rsidP="001E7C7A">
      <w:pPr>
        <w:pStyle w:val="Bodynumbercopy"/>
      </w:pPr>
      <w:r>
        <w:t>In this case a suitable minimum duration depends on the exact methodology used but may be 30 or even 15 minutes. If logging is carried out at times when low pressures are unlikely to be detected because demand is low, the results cannot be used to confirm zero returns.</w:t>
      </w:r>
    </w:p>
    <w:p w14:paraId="2426D0DC" w14:textId="26DDFCCB" w:rsidR="00BE4543" w:rsidRDefault="00BE4543" w:rsidP="00087137">
      <w:pPr>
        <w:pStyle w:val="Sectionsub-heading"/>
      </w:pPr>
      <w:r>
        <w:t xml:space="preserve">Lines 11 to </w:t>
      </w:r>
      <w:r w:rsidR="00AF4357">
        <w:t>32</w:t>
      </w:r>
      <w:r>
        <w:t>: Properties affected by</w:t>
      </w:r>
      <w:r w:rsidR="00A64E61">
        <w:t xml:space="preserve"> unplanned</w:t>
      </w:r>
      <w:r>
        <w:t xml:space="preserve"> supply interruptions</w:t>
      </w:r>
      <w:r w:rsidR="00E51ED2">
        <w:t xml:space="preserve"> </w:t>
      </w:r>
    </w:p>
    <w:p w14:paraId="00275F98" w14:textId="77777777" w:rsidR="00BE4543" w:rsidRDefault="00BE4543" w:rsidP="00087137">
      <w:pPr>
        <w:pStyle w:val="Sectionsub-heading"/>
      </w:pPr>
      <w:r>
        <w:t>Aim</w:t>
      </w:r>
    </w:p>
    <w:p w14:paraId="018AEB44" w14:textId="2D37BD35" w:rsidR="00BE4543" w:rsidRPr="00F51C93" w:rsidRDefault="00BE4543" w:rsidP="00F51C93">
      <w:pPr>
        <w:pStyle w:val="Bodynumbercopy"/>
      </w:pPr>
      <w:r>
        <w:t xml:space="preserve">To identify the number of properties affected by unplanned supply interruptions. </w:t>
      </w:r>
    </w:p>
    <w:p w14:paraId="49704727" w14:textId="4A449378" w:rsidR="00BE4543" w:rsidRDefault="00BE4543" w:rsidP="00087137">
      <w:pPr>
        <w:pStyle w:val="Sectionsub-heading"/>
      </w:pPr>
      <w:r>
        <w:lastRenderedPageBreak/>
        <w:t xml:space="preserve">Common </w:t>
      </w:r>
      <w:r w:rsidR="00182EBD">
        <w:t>d</w:t>
      </w:r>
      <w:r>
        <w:t>efinitions</w:t>
      </w:r>
    </w:p>
    <w:p w14:paraId="736674E6" w14:textId="77777777" w:rsidR="00BE4543" w:rsidRDefault="00BE4543" w:rsidP="001E7C7A">
      <w:pPr>
        <w:pStyle w:val="Bodynumbercopy"/>
      </w:pPr>
      <w:r>
        <w:t>To ensure consistency of information returns the following regularly used terms are defined below:</w:t>
      </w:r>
    </w:p>
    <w:p w14:paraId="3C9F96E3" w14:textId="77777777" w:rsidR="00BE4543" w:rsidRDefault="00BE4543" w:rsidP="001E7C7A">
      <w:pPr>
        <w:pStyle w:val="Bodynumbercopy"/>
      </w:pPr>
      <w:r w:rsidRPr="00D35279">
        <w:rPr>
          <w:b/>
        </w:rPr>
        <w:t>Duration</w:t>
      </w:r>
      <w:r>
        <w:t xml:space="preserve"> is defined as the length of time for which customers are without a continuous supply of water. An interruption starts when water is unavailable from the first cold tap in a property and finishes when the supply is restored.</w:t>
      </w:r>
    </w:p>
    <w:p w14:paraId="516C5BB4" w14:textId="6630C563" w:rsidR="00BE4543" w:rsidRDefault="00BE4543" w:rsidP="001E7C7A">
      <w:pPr>
        <w:pStyle w:val="Bodynumbercopy"/>
      </w:pPr>
      <w:r w:rsidRPr="286C5C0D">
        <w:rPr>
          <w:b/>
          <w:bCs/>
        </w:rPr>
        <w:t>Start time of incident</w:t>
      </w:r>
      <w:r>
        <w:t xml:space="preserve">: An interruption to supply is defined as starting as soon as water is no longer available from the first cold tap in the property. It does not necessarily commence when the </w:t>
      </w:r>
      <w:r w:rsidR="00906346">
        <w:t>Local</w:t>
      </w:r>
      <w:r w:rsidR="002E0E38">
        <w:t xml:space="preserve"> Authority</w:t>
      </w:r>
      <w:r w:rsidR="00E11310">
        <w:t xml:space="preserve"> </w:t>
      </w:r>
      <w:r>
        <w:t xml:space="preserve">first </w:t>
      </w:r>
      <w:proofErr w:type="gramStart"/>
      <w:r>
        <w:t>takes action</w:t>
      </w:r>
      <w:proofErr w:type="gramEnd"/>
      <w:r>
        <w:t xml:space="preserve">, for example, by closing a valve (the interruptions may have started some time earlier). </w:t>
      </w:r>
      <w:r w:rsidR="00082EFF">
        <w:t>T</w:t>
      </w:r>
      <w:r>
        <w:t xml:space="preserve">he </w:t>
      </w:r>
      <w:r w:rsidR="00906346">
        <w:t>Local</w:t>
      </w:r>
      <w:r w:rsidR="002E0E38">
        <w:t xml:space="preserve"> Authority</w:t>
      </w:r>
      <w:r w:rsidR="00E11310">
        <w:t xml:space="preserve"> </w:t>
      </w:r>
      <w:r>
        <w:t>is expected to ascertain the approximate time when customers first lose their supply.</w:t>
      </w:r>
    </w:p>
    <w:p w14:paraId="4506EF0B" w14:textId="32C4ADD1" w:rsidR="00BE4543" w:rsidRDefault="00BE4543" w:rsidP="001E7C7A">
      <w:pPr>
        <w:pStyle w:val="Bodynumbercopy"/>
      </w:pPr>
      <w:r>
        <w:t xml:space="preserve">In practice, it may not always be possible to determine when supply was first lost, and the </w:t>
      </w:r>
      <w:r w:rsidR="00906346">
        <w:t>Local</w:t>
      </w:r>
      <w:r w:rsidR="002E0E38">
        <w:t xml:space="preserve"> Authority</w:t>
      </w:r>
      <w:r w:rsidR="00E11310">
        <w:t xml:space="preserve"> </w:t>
      </w:r>
      <w:r>
        <w:t xml:space="preserve">may have to use the time when customers first noticed the loss of supply. If this cannot be established, the </w:t>
      </w:r>
      <w:r w:rsidR="00906346">
        <w:t>Local</w:t>
      </w:r>
      <w:r w:rsidR="002E0E38">
        <w:t xml:space="preserve"> Authority</w:t>
      </w:r>
      <w:r w:rsidR="00E11310">
        <w:t xml:space="preserve"> </w:t>
      </w:r>
      <w:r>
        <w:t>should use the time at which they were first notified of the interruption.</w:t>
      </w:r>
    </w:p>
    <w:p w14:paraId="360D4CFE" w14:textId="77777777" w:rsidR="00BE4543" w:rsidRDefault="00BE4543" w:rsidP="001E7C7A">
      <w:pPr>
        <w:pStyle w:val="Bodynumbercopy"/>
      </w:pPr>
      <w:r w:rsidRPr="00D35279">
        <w:rPr>
          <w:b/>
        </w:rPr>
        <w:t>Properties affected by more than one interruption during the report year:</w:t>
      </w:r>
      <w:r>
        <w:t xml:space="preserve"> Properties which are affected by more than one interruption during the report year should be reported separately for each interruption. This means, for example, that a property affected by three supply interruptions would be reported three times, once for each interruption.</w:t>
      </w:r>
    </w:p>
    <w:p w14:paraId="374F7781" w14:textId="2C915B4E" w:rsidR="00BE4543" w:rsidRDefault="00BE4543" w:rsidP="001E7C7A">
      <w:pPr>
        <w:pStyle w:val="Bodynumbercopy"/>
      </w:pPr>
      <w:r w:rsidRPr="286C5C0D">
        <w:rPr>
          <w:b/>
          <w:bCs/>
        </w:rPr>
        <w:t>Major incidents:</w:t>
      </w:r>
      <w:r>
        <w:t xml:space="preserve"> </w:t>
      </w:r>
      <w:r w:rsidR="00A61B6C">
        <w:t>T</w:t>
      </w:r>
      <w:r>
        <w:t xml:space="preserve">he </w:t>
      </w:r>
      <w:r w:rsidR="00906346">
        <w:t>Local</w:t>
      </w:r>
      <w:r w:rsidR="002E0E38">
        <w:t xml:space="preserve"> Authority</w:t>
      </w:r>
      <w:r w:rsidR="00E11310">
        <w:t xml:space="preserve"> </w:t>
      </w:r>
      <w:r>
        <w:t xml:space="preserve">may report in their commentary any major incidents during the report year which they believe adversely affected their performance. </w:t>
      </w:r>
    </w:p>
    <w:p w14:paraId="7EA8516C" w14:textId="77777777" w:rsidR="00BE4543" w:rsidRDefault="00BE4543" w:rsidP="001E7C7A">
      <w:pPr>
        <w:pStyle w:val="Bodynumbercopy"/>
      </w:pPr>
      <w:r>
        <w:t xml:space="preserve">Information on the number of incidents which causes interruptions is not required. </w:t>
      </w:r>
    </w:p>
    <w:p w14:paraId="6E476AC6" w14:textId="34A0258A" w:rsidR="00BE4543" w:rsidRDefault="00BE4543" w:rsidP="001E7C7A">
      <w:pPr>
        <w:pStyle w:val="Bodynumbercopy"/>
      </w:pPr>
      <w:r w:rsidRPr="286C5C0D">
        <w:rPr>
          <w:b/>
          <w:bCs/>
        </w:rPr>
        <w:t>Unplanned/</w:t>
      </w:r>
      <w:proofErr w:type="spellStart"/>
      <w:r w:rsidRPr="286C5C0D">
        <w:rPr>
          <w:b/>
          <w:bCs/>
        </w:rPr>
        <w:t>unwarned</w:t>
      </w:r>
      <w:proofErr w:type="spellEnd"/>
      <w:r w:rsidRPr="286C5C0D">
        <w:rPr>
          <w:b/>
          <w:bCs/>
        </w:rPr>
        <w:t xml:space="preserve"> interruptions:</w:t>
      </w:r>
      <w:r>
        <w:t xml:space="preserve"> Number of properties affected by unplanned, </w:t>
      </w:r>
      <w:proofErr w:type="spellStart"/>
      <w:r>
        <w:t>unwarned</w:t>
      </w:r>
      <w:proofErr w:type="spellEnd"/>
      <w:r>
        <w:t xml:space="preserve"> water supply interruptions EXCEPT those caused directly by third parties</w:t>
      </w:r>
      <w:r w:rsidR="00A61B6C">
        <w:t>.</w:t>
      </w:r>
    </w:p>
    <w:p w14:paraId="44D82A29" w14:textId="7ECCF5AC" w:rsidR="00BE4543" w:rsidRDefault="00BE4543" w:rsidP="001E7C7A">
      <w:pPr>
        <w:pStyle w:val="Bodynumbercopy"/>
      </w:pPr>
      <w:r w:rsidRPr="286C5C0D">
        <w:rPr>
          <w:b/>
          <w:bCs/>
        </w:rPr>
        <w:t>Unplanned but caused by third parties</w:t>
      </w:r>
      <w:r>
        <w:t xml:space="preserve">: Number of properties affected by unplanned interruptions caused by the action of a third party. </w:t>
      </w:r>
    </w:p>
    <w:p w14:paraId="33D64707" w14:textId="77777777" w:rsidR="00BE4543" w:rsidRDefault="00BE4543" w:rsidP="001E7C7A">
      <w:pPr>
        <w:pStyle w:val="Bodynumbercopy"/>
      </w:pPr>
      <w:r w:rsidRPr="286C5C0D">
        <w:rPr>
          <w:b/>
          <w:bCs/>
        </w:rPr>
        <w:t>Unplanned due to overruns of planned and warned interruptions:</w:t>
      </w:r>
      <w:r>
        <w:t xml:space="preserve">  Number of properties affected by interruptions to water supplies caused by a planned and warned interruption exceeding the warned time.  Overruns caused by third parties should be excluded and reported under the appropriate third-party line. The qualifying time includes the warned time plus the overrun time.  Includes planned but </w:t>
      </w:r>
      <w:proofErr w:type="spellStart"/>
      <w:r>
        <w:t>unwarned</w:t>
      </w:r>
      <w:proofErr w:type="spellEnd"/>
      <w:r>
        <w:t>.</w:t>
      </w:r>
    </w:p>
    <w:p w14:paraId="0839D38E" w14:textId="77777777" w:rsidR="009F1ADE" w:rsidRDefault="009F1ADE" w:rsidP="00087137">
      <w:pPr>
        <w:pStyle w:val="Sectionsub-heading"/>
      </w:pPr>
    </w:p>
    <w:p w14:paraId="3E6FB31B" w14:textId="74CA194F" w:rsidR="00BE4543" w:rsidRPr="00087137" w:rsidRDefault="00BE4543" w:rsidP="00087137">
      <w:pPr>
        <w:pStyle w:val="Sectionsub-heading"/>
      </w:pPr>
      <w:r w:rsidRPr="00087137">
        <w:t>Commentaries</w:t>
      </w:r>
    </w:p>
    <w:p w14:paraId="7BEDB04D" w14:textId="1D832390" w:rsidR="00BE4543" w:rsidRDefault="00BE4543" w:rsidP="001E7C7A">
      <w:pPr>
        <w:pStyle w:val="Bodynumbercopy"/>
      </w:pPr>
      <w:r>
        <w:t xml:space="preserve">To ensure comparability of information, the </w:t>
      </w:r>
      <w:r w:rsidR="00906346">
        <w:t>Local</w:t>
      </w:r>
      <w:r w:rsidR="002E0E38">
        <w:t xml:space="preserve"> Authority</w:t>
      </w:r>
      <w:r w:rsidR="00E11310">
        <w:t xml:space="preserve"> </w:t>
      </w:r>
      <w:r>
        <w:t xml:space="preserve">must report in the </w:t>
      </w:r>
      <w:r w:rsidR="00393A5E">
        <w:t xml:space="preserve">Request for Information </w:t>
      </w:r>
      <w:r>
        <w:t xml:space="preserve">tables against the specified definitions, not the </w:t>
      </w:r>
      <w:r w:rsidR="00906346">
        <w:t>Local</w:t>
      </w:r>
      <w:r w:rsidR="002E0E38">
        <w:t xml:space="preserve"> Authority</w:t>
      </w:r>
      <w:r>
        <w:t xml:space="preserve">’s own internal standards. However, if the </w:t>
      </w:r>
      <w:r w:rsidR="00906346">
        <w:t>Local</w:t>
      </w:r>
      <w:r w:rsidR="002E0E38">
        <w:t xml:space="preserve"> Authority</w:t>
      </w:r>
      <w:r w:rsidR="00E11310">
        <w:t xml:space="preserve"> </w:t>
      </w:r>
      <w:r>
        <w:lastRenderedPageBreak/>
        <w:t>wishes to report additional information on performance against alternative standards this may be included in the commentary, but the alternative basis must be clearly stated. Any figures relating to the alternative standard must be clearly identified as such to avoid confusion.</w:t>
      </w:r>
    </w:p>
    <w:p w14:paraId="6891772D" w14:textId="33FDD833" w:rsidR="00BE4543" w:rsidRDefault="00C51C4D" w:rsidP="001E7C7A">
      <w:pPr>
        <w:pStyle w:val="Bodynumbercopy"/>
      </w:pPr>
      <w:r>
        <w:t>T</w:t>
      </w:r>
      <w:r w:rsidR="00BE4543">
        <w:t xml:space="preserve">he </w:t>
      </w:r>
      <w:r w:rsidR="00906346">
        <w:t>Local</w:t>
      </w:r>
      <w:r w:rsidR="002E0E38">
        <w:t xml:space="preserve"> Authority</w:t>
      </w:r>
      <w:r w:rsidR="00E11310">
        <w:t xml:space="preserve"> </w:t>
      </w:r>
      <w:r w:rsidR="00BE4543">
        <w:t xml:space="preserve">may also identify in their commentary any properties which suffered an interruption to supply where the </w:t>
      </w:r>
      <w:r w:rsidR="00906346">
        <w:t>Local</w:t>
      </w:r>
      <w:r w:rsidR="002E0E38">
        <w:t xml:space="preserve"> Authority</w:t>
      </w:r>
      <w:r w:rsidR="00E11310">
        <w:t xml:space="preserve"> </w:t>
      </w:r>
      <w:r w:rsidR="00BE4543">
        <w:t>considers that customers would not notice the loss of service, for example because it occurred at night.</w:t>
      </w:r>
    </w:p>
    <w:p w14:paraId="3B8A6D17" w14:textId="4C11759C" w:rsidR="00BE4543" w:rsidRDefault="00BE4543" w:rsidP="009C61F9">
      <w:pPr>
        <w:pStyle w:val="Sectionsub-heading"/>
      </w:pPr>
      <w:r w:rsidRPr="00B529DC">
        <w:t xml:space="preserve">BLOCK 1: </w:t>
      </w:r>
      <w:r w:rsidR="005403DC" w:rsidRPr="00B529DC">
        <w:t>PROPERTIES RECEIVING PRESSURE / FLOW BELOW REFERENCE LEVEL</w:t>
      </w:r>
    </w:p>
    <w:tbl>
      <w:tblPr>
        <w:tblStyle w:val="TableGrid"/>
        <w:tblW w:w="0" w:type="auto"/>
        <w:tblLook w:val="04A0" w:firstRow="1" w:lastRow="0" w:firstColumn="1" w:lastColumn="0" w:noHBand="0" w:noVBand="1"/>
      </w:tblPr>
      <w:tblGrid>
        <w:gridCol w:w="967"/>
        <w:gridCol w:w="1022"/>
        <w:gridCol w:w="4347"/>
        <w:gridCol w:w="1222"/>
      </w:tblGrid>
      <w:tr w:rsidR="009C61F9" w:rsidRPr="00216F0E" w14:paraId="27AB17DB" w14:textId="77777777" w:rsidTr="00182EBD">
        <w:tc>
          <w:tcPr>
            <w:tcW w:w="967" w:type="dxa"/>
          </w:tcPr>
          <w:p w14:paraId="7847EE19" w14:textId="77777777" w:rsidR="009C61F9" w:rsidRPr="002A6542" w:rsidRDefault="009C61F9" w:rsidP="009C61F9">
            <w:pPr>
              <w:pStyle w:val="Bodyromannumerals"/>
              <w:rPr>
                <w:b/>
                <w:bCs/>
                <w:lang w:val="en-US"/>
              </w:rPr>
            </w:pPr>
            <w:r w:rsidRPr="002A6542">
              <w:rPr>
                <w:b/>
                <w:bCs/>
                <w:lang w:val="en-US"/>
              </w:rPr>
              <w:t>B2.1</w:t>
            </w:r>
          </w:p>
        </w:tc>
        <w:tc>
          <w:tcPr>
            <w:tcW w:w="5369" w:type="dxa"/>
            <w:gridSpan w:val="2"/>
          </w:tcPr>
          <w:p w14:paraId="7A8632BC" w14:textId="5F51764D" w:rsidR="009C61F9" w:rsidRPr="002A6542" w:rsidRDefault="009C61F9" w:rsidP="009C61F9">
            <w:pPr>
              <w:pStyle w:val="Bodyromannumerals"/>
              <w:rPr>
                <w:b/>
                <w:bCs/>
                <w:lang w:val="en-US"/>
              </w:rPr>
            </w:pPr>
            <w:r w:rsidRPr="002A6542">
              <w:rPr>
                <w:b/>
                <w:bCs/>
                <w:lang w:val="en-US"/>
              </w:rPr>
              <w:t xml:space="preserve">Total connected properties at </w:t>
            </w:r>
            <w:r w:rsidR="001770DE">
              <w:rPr>
                <w:b/>
                <w:bCs/>
                <w:lang w:val="en-US"/>
              </w:rPr>
              <w:t>year end</w:t>
            </w:r>
          </w:p>
        </w:tc>
        <w:tc>
          <w:tcPr>
            <w:tcW w:w="1222" w:type="dxa"/>
          </w:tcPr>
          <w:p w14:paraId="095547AB" w14:textId="77777777" w:rsidR="009C61F9" w:rsidRPr="002A6542" w:rsidRDefault="009C61F9" w:rsidP="009C61F9">
            <w:pPr>
              <w:pStyle w:val="Bodyromannumerals"/>
              <w:rPr>
                <w:b/>
                <w:bCs/>
                <w:lang w:val="en-US"/>
              </w:rPr>
            </w:pPr>
            <w:r w:rsidRPr="002A6542">
              <w:rPr>
                <w:b/>
                <w:bCs/>
                <w:lang w:val="en-US"/>
              </w:rPr>
              <w:t xml:space="preserve">000 </w:t>
            </w:r>
          </w:p>
        </w:tc>
      </w:tr>
      <w:tr w:rsidR="009C61F9" w:rsidRPr="00216F0E" w14:paraId="7F6C2165" w14:textId="77777777" w:rsidTr="00182EBD">
        <w:tc>
          <w:tcPr>
            <w:tcW w:w="1989" w:type="dxa"/>
            <w:gridSpan w:val="2"/>
            <w:tcBorders>
              <w:left w:val="single" w:sz="4" w:space="0" w:color="FFFFFF"/>
              <w:bottom w:val="single" w:sz="4" w:space="0" w:color="FFFFFF"/>
              <w:right w:val="single" w:sz="4" w:space="0" w:color="FFFFFF"/>
            </w:tcBorders>
          </w:tcPr>
          <w:p w14:paraId="69BEF0E4" w14:textId="77777777" w:rsidR="009C61F9" w:rsidRPr="00AF4AEA" w:rsidRDefault="009C61F9" w:rsidP="009C61F9">
            <w:pPr>
              <w:pStyle w:val="Bodyromannumerals"/>
              <w:rPr>
                <w:i/>
                <w:lang w:val="en-US"/>
              </w:rPr>
            </w:pPr>
            <w:r w:rsidRPr="00A80A3E">
              <w:rPr>
                <w:i/>
                <w:lang w:val="en-US"/>
              </w:rPr>
              <w:t>Definition:</w:t>
            </w:r>
          </w:p>
        </w:tc>
        <w:tc>
          <w:tcPr>
            <w:tcW w:w="5569" w:type="dxa"/>
            <w:gridSpan w:val="2"/>
            <w:tcBorders>
              <w:left w:val="single" w:sz="4" w:space="0" w:color="FFFFFF"/>
              <w:bottom w:val="single" w:sz="4" w:space="0" w:color="FFFFFF"/>
              <w:right w:val="single" w:sz="4" w:space="0" w:color="FFFFFF"/>
            </w:tcBorders>
          </w:tcPr>
          <w:p w14:paraId="07B32A58" w14:textId="285A5F5E" w:rsidR="009C61F9" w:rsidRPr="00A80A3E" w:rsidRDefault="007C0932" w:rsidP="009C61F9">
            <w:pPr>
              <w:pStyle w:val="Bodyromannumerals"/>
              <w:rPr>
                <w:lang w:val="en-US"/>
              </w:rPr>
            </w:pPr>
            <w:r w:rsidRPr="009A191E">
              <w:rPr>
                <w:lang w:val="en-US"/>
              </w:rPr>
              <w:t xml:space="preserve">Number of </w:t>
            </w:r>
            <w:r w:rsidR="00004647">
              <w:rPr>
                <w:lang w:val="en-US"/>
              </w:rPr>
              <w:t>household</w:t>
            </w:r>
            <w:r w:rsidR="00004647" w:rsidRPr="009A191E">
              <w:rPr>
                <w:lang w:val="en-US"/>
              </w:rPr>
              <w:t xml:space="preserve"> </w:t>
            </w:r>
            <w:r w:rsidRPr="009A191E">
              <w:rPr>
                <w:lang w:val="en-US"/>
              </w:rPr>
              <w:t>and non-</w:t>
            </w:r>
            <w:r w:rsidR="00004647">
              <w:rPr>
                <w:lang w:val="en-US"/>
              </w:rPr>
              <w:t>household</w:t>
            </w:r>
            <w:r w:rsidRPr="009A191E">
              <w:rPr>
                <w:lang w:val="en-US"/>
              </w:rPr>
              <w:t xml:space="preserve"> properties within the supply area as at </w:t>
            </w:r>
            <w:r w:rsidR="00A87B99">
              <w:rPr>
                <w:lang w:val="en-US"/>
              </w:rPr>
              <w:t>30 June</w:t>
            </w:r>
            <w:r w:rsidRPr="009A191E">
              <w:rPr>
                <w:lang w:val="en-US"/>
              </w:rPr>
              <w:t xml:space="preserve"> of the reporting year.</w:t>
            </w:r>
          </w:p>
        </w:tc>
      </w:tr>
      <w:tr w:rsidR="009C61F9" w:rsidRPr="00216F0E" w14:paraId="53681BF4" w14:textId="77777777" w:rsidTr="00182EBD">
        <w:tc>
          <w:tcPr>
            <w:tcW w:w="1989" w:type="dxa"/>
            <w:gridSpan w:val="2"/>
            <w:tcBorders>
              <w:top w:val="single" w:sz="4" w:space="0" w:color="FFFFFF"/>
              <w:left w:val="single" w:sz="4" w:space="0" w:color="FFFFFF"/>
              <w:bottom w:val="single" w:sz="4" w:space="0" w:color="FFFFFF"/>
              <w:right w:val="single" w:sz="4" w:space="0" w:color="FFFFFF"/>
            </w:tcBorders>
          </w:tcPr>
          <w:p w14:paraId="724A1F11" w14:textId="77777777" w:rsidR="009C61F9" w:rsidRPr="00AF4AEA" w:rsidRDefault="009C61F9" w:rsidP="009C61F9">
            <w:pPr>
              <w:pStyle w:val="Bodyromannumerals"/>
              <w:rPr>
                <w:i/>
                <w:lang w:val="en-US"/>
              </w:rPr>
            </w:pPr>
            <w:r w:rsidRPr="00A80A3E">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2096C74A" w14:textId="77777777" w:rsidR="009C61F9" w:rsidRPr="00AF4AEA" w:rsidRDefault="009C61F9" w:rsidP="009C61F9">
            <w:pPr>
              <w:pStyle w:val="Bodyromannumerals"/>
              <w:rPr>
                <w:lang w:val="en-US"/>
              </w:rPr>
            </w:pPr>
            <w:r w:rsidRPr="00AF4AEA">
              <w:rPr>
                <w:lang w:val="en-US"/>
              </w:rPr>
              <w:t>Brought forward field from A1.39</w:t>
            </w:r>
          </w:p>
        </w:tc>
      </w:tr>
      <w:tr w:rsidR="009C61F9" w:rsidRPr="00216F0E" w14:paraId="247E5326" w14:textId="77777777" w:rsidTr="00182EBD">
        <w:tc>
          <w:tcPr>
            <w:tcW w:w="967" w:type="dxa"/>
          </w:tcPr>
          <w:p w14:paraId="17830B1D" w14:textId="77777777" w:rsidR="009C61F9" w:rsidRPr="002A6542" w:rsidRDefault="009C61F9" w:rsidP="009C61F9">
            <w:pPr>
              <w:pStyle w:val="Bodyromannumerals"/>
              <w:rPr>
                <w:b/>
                <w:bCs/>
                <w:lang w:val="en-US"/>
              </w:rPr>
            </w:pPr>
            <w:r w:rsidRPr="002A6542">
              <w:rPr>
                <w:b/>
                <w:bCs/>
                <w:lang w:val="en-US"/>
              </w:rPr>
              <w:t>B2.9</w:t>
            </w:r>
          </w:p>
        </w:tc>
        <w:tc>
          <w:tcPr>
            <w:tcW w:w="5369" w:type="dxa"/>
            <w:gridSpan w:val="2"/>
          </w:tcPr>
          <w:p w14:paraId="194E02D9" w14:textId="77777777" w:rsidR="009C61F9" w:rsidRPr="002A6542" w:rsidRDefault="009C61F9" w:rsidP="009C61F9">
            <w:pPr>
              <w:pStyle w:val="Bodyromannumerals"/>
              <w:rPr>
                <w:b/>
                <w:bCs/>
                <w:lang w:val="en-US"/>
              </w:rPr>
            </w:pPr>
            <w:r w:rsidRPr="002A6542">
              <w:rPr>
                <w:b/>
                <w:bCs/>
                <w:lang w:val="en-US"/>
              </w:rPr>
              <w:t>Properties below reference level at end of year</w:t>
            </w:r>
          </w:p>
        </w:tc>
        <w:tc>
          <w:tcPr>
            <w:tcW w:w="1222" w:type="dxa"/>
          </w:tcPr>
          <w:p w14:paraId="60CFF1DB" w14:textId="32A75913" w:rsidR="009C61F9" w:rsidRPr="002A6542" w:rsidRDefault="009C61F9" w:rsidP="009C61F9">
            <w:pPr>
              <w:pStyle w:val="Bodyromannumerals"/>
              <w:rPr>
                <w:b/>
                <w:bCs/>
                <w:lang w:val="en-US"/>
              </w:rPr>
            </w:pPr>
            <w:r w:rsidRPr="002A6542">
              <w:rPr>
                <w:b/>
                <w:bCs/>
                <w:lang w:val="en-US"/>
              </w:rPr>
              <w:t>Nr</w:t>
            </w:r>
            <w:r w:rsidR="002A6542" w:rsidRPr="002A6542">
              <w:rPr>
                <w:b/>
                <w:bCs/>
                <w:lang w:val="en-US"/>
              </w:rPr>
              <w:t>.</w:t>
            </w:r>
          </w:p>
        </w:tc>
      </w:tr>
      <w:tr w:rsidR="009C61F9" w:rsidRPr="00216F0E" w14:paraId="0631DDFC" w14:textId="77777777" w:rsidTr="00182EBD">
        <w:tc>
          <w:tcPr>
            <w:tcW w:w="1989" w:type="dxa"/>
            <w:gridSpan w:val="2"/>
            <w:tcBorders>
              <w:left w:val="single" w:sz="4" w:space="0" w:color="FFFFFF"/>
              <w:bottom w:val="single" w:sz="4" w:space="0" w:color="FFFFFF"/>
              <w:right w:val="single" w:sz="4" w:space="0" w:color="FFFFFF"/>
            </w:tcBorders>
          </w:tcPr>
          <w:p w14:paraId="1D48A48F" w14:textId="77777777" w:rsidR="009C61F9" w:rsidRPr="00AF4AEA" w:rsidRDefault="009C61F9" w:rsidP="009C61F9">
            <w:pPr>
              <w:pStyle w:val="Bodyromannumerals"/>
              <w:rPr>
                <w:i/>
                <w:lang w:val="en-US"/>
              </w:rPr>
            </w:pPr>
            <w:r w:rsidRPr="00A80A3E">
              <w:rPr>
                <w:i/>
                <w:lang w:val="en-US"/>
              </w:rPr>
              <w:t>Definition:</w:t>
            </w:r>
          </w:p>
        </w:tc>
        <w:tc>
          <w:tcPr>
            <w:tcW w:w="5569" w:type="dxa"/>
            <w:gridSpan w:val="2"/>
            <w:tcBorders>
              <w:left w:val="single" w:sz="4" w:space="0" w:color="FFFFFF"/>
              <w:bottom w:val="single" w:sz="4" w:space="0" w:color="FFFFFF"/>
              <w:right w:val="single" w:sz="4" w:space="0" w:color="FFFFFF"/>
            </w:tcBorders>
          </w:tcPr>
          <w:p w14:paraId="143670B7" w14:textId="5D7F3FF0" w:rsidR="00D41135" w:rsidRDefault="009C61F9" w:rsidP="009C61F9">
            <w:pPr>
              <w:pStyle w:val="Bodyromannumerals"/>
              <w:rPr>
                <w:color w:val="000000" w:themeColor="text1"/>
                <w:lang w:val="en-US"/>
              </w:rPr>
            </w:pPr>
            <w:r w:rsidRPr="00AF4AEA">
              <w:rPr>
                <w:color w:val="000000" w:themeColor="text1"/>
                <w:lang w:val="en-US"/>
              </w:rPr>
              <w:t>The total number of properties in the undertaker's</w:t>
            </w:r>
            <w:r w:rsidR="00A91493">
              <w:rPr>
                <w:color w:val="000000" w:themeColor="text1"/>
                <w:lang w:val="en-US"/>
              </w:rPr>
              <w:t>/responsible party’s</w:t>
            </w:r>
            <w:r w:rsidRPr="00AF4AEA">
              <w:rPr>
                <w:color w:val="000000" w:themeColor="text1"/>
                <w:lang w:val="en-US"/>
              </w:rPr>
              <w:t xml:space="preserve"> area of water supply which, at the end of the year, have received and are likely to continue to receive a pressure or flow below the reference level.</w:t>
            </w:r>
            <w:r w:rsidR="00D41135">
              <w:rPr>
                <w:color w:val="000000" w:themeColor="text1"/>
                <w:lang w:val="en-US"/>
              </w:rPr>
              <w:t xml:space="preserve"> </w:t>
            </w:r>
            <w:r w:rsidR="00C16DEF">
              <w:rPr>
                <w:color w:val="000000" w:themeColor="text1"/>
                <w:lang w:val="en-US"/>
              </w:rPr>
              <w:t xml:space="preserve">As outlined above, the reference level is </w:t>
            </w:r>
            <w:r w:rsidR="00C16DEF" w:rsidRPr="002C17E3">
              <w:rPr>
                <w:b/>
                <w:bCs/>
                <w:color w:val="000000" w:themeColor="text1"/>
                <w:u w:val="single"/>
                <w:lang w:val="en-US"/>
              </w:rPr>
              <w:t xml:space="preserve">10 </w:t>
            </w:r>
            <w:proofErr w:type="spellStart"/>
            <w:r w:rsidR="00D41135" w:rsidRPr="002C17E3">
              <w:rPr>
                <w:b/>
                <w:bCs/>
                <w:color w:val="000000" w:themeColor="text1"/>
                <w:u w:val="single"/>
                <w:lang w:val="en-US"/>
              </w:rPr>
              <w:t>metre</w:t>
            </w:r>
            <w:proofErr w:type="spellEnd"/>
            <w:r w:rsidR="00D41135" w:rsidRPr="002C17E3">
              <w:rPr>
                <w:b/>
                <w:bCs/>
                <w:color w:val="000000" w:themeColor="text1"/>
                <w:u w:val="single"/>
                <w:lang w:val="en-US"/>
              </w:rPr>
              <w:t xml:space="preserve"> head</w:t>
            </w:r>
            <w:r w:rsidR="00D41135">
              <w:rPr>
                <w:color w:val="000000" w:themeColor="text1"/>
                <w:lang w:val="en-US"/>
              </w:rPr>
              <w:t xml:space="preserve"> at a flow of </w:t>
            </w:r>
            <w:r w:rsidR="00D41135" w:rsidRPr="002C17E3">
              <w:rPr>
                <w:b/>
                <w:bCs/>
                <w:color w:val="000000" w:themeColor="text1"/>
                <w:u w:val="single"/>
                <w:lang w:val="en-US"/>
              </w:rPr>
              <w:t xml:space="preserve">9 </w:t>
            </w:r>
            <w:proofErr w:type="spellStart"/>
            <w:r w:rsidR="00D41135" w:rsidRPr="002C17E3">
              <w:rPr>
                <w:b/>
                <w:bCs/>
                <w:color w:val="000000" w:themeColor="text1"/>
                <w:u w:val="single"/>
                <w:lang w:val="en-US"/>
              </w:rPr>
              <w:t>litres</w:t>
            </w:r>
            <w:proofErr w:type="spellEnd"/>
            <w:r w:rsidR="00D41135" w:rsidRPr="002C17E3">
              <w:rPr>
                <w:b/>
                <w:bCs/>
                <w:color w:val="000000" w:themeColor="text1"/>
                <w:u w:val="single"/>
                <w:lang w:val="en-US"/>
              </w:rPr>
              <w:t xml:space="preserve"> per minute</w:t>
            </w:r>
            <w:r w:rsidR="00D41135">
              <w:rPr>
                <w:color w:val="000000" w:themeColor="text1"/>
                <w:lang w:val="en-US"/>
              </w:rPr>
              <w:t>.</w:t>
            </w:r>
          </w:p>
          <w:p w14:paraId="06DDCDEE" w14:textId="386B4CB1" w:rsidR="00C16DEF" w:rsidRPr="002C17E3" w:rsidRDefault="00D41135" w:rsidP="002C17E3">
            <w:pPr>
              <w:pStyle w:val="Bodynumbercopy"/>
              <w:numPr>
                <w:ilvl w:val="0"/>
                <w:numId w:val="0"/>
              </w:numPr>
            </w:pPr>
            <w:r w:rsidRPr="00B60D09">
              <w:t xml:space="preserve">For the avoidance of doubt, this covers on-demand and rural supplies provided by Local Authorities. </w:t>
            </w:r>
          </w:p>
        </w:tc>
      </w:tr>
      <w:tr w:rsidR="009C61F9" w:rsidRPr="00216F0E" w14:paraId="02E7615A" w14:textId="77777777" w:rsidTr="00182EBD">
        <w:trPr>
          <w:trHeight w:val="231"/>
        </w:trPr>
        <w:tc>
          <w:tcPr>
            <w:tcW w:w="1989" w:type="dxa"/>
            <w:gridSpan w:val="2"/>
            <w:tcBorders>
              <w:top w:val="single" w:sz="4" w:space="0" w:color="FFFFFF"/>
              <w:left w:val="single" w:sz="4" w:space="0" w:color="FFFFFF"/>
              <w:bottom w:val="single" w:sz="4" w:space="0" w:color="FFFFFF"/>
              <w:right w:val="single" w:sz="4" w:space="0" w:color="FFFFFF"/>
            </w:tcBorders>
          </w:tcPr>
          <w:p w14:paraId="421DBAB4" w14:textId="77777777" w:rsidR="009C61F9" w:rsidRPr="00AF4AEA" w:rsidRDefault="009C61F9" w:rsidP="009C61F9">
            <w:pPr>
              <w:pStyle w:val="Bodyromannumerals"/>
              <w:rPr>
                <w:i/>
                <w:lang w:val="en-US"/>
              </w:rPr>
            </w:pPr>
            <w:r w:rsidRPr="00A80A3E">
              <w:rPr>
                <w:i/>
                <w:lang w:val="en-US"/>
              </w:rPr>
              <w:t>Processing Rules:</w:t>
            </w:r>
          </w:p>
        </w:tc>
        <w:tc>
          <w:tcPr>
            <w:tcW w:w="5569" w:type="dxa"/>
            <w:gridSpan w:val="2"/>
            <w:tcBorders>
              <w:top w:val="single" w:sz="4" w:space="0" w:color="FFFFFF"/>
              <w:left w:val="single" w:sz="4" w:space="0" w:color="FFFFFF"/>
              <w:bottom w:val="single" w:sz="4" w:space="0" w:color="FFFFFF"/>
              <w:right w:val="single" w:sz="4" w:space="0" w:color="FFFFFF"/>
            </w:tcBorders>
          </w:tcPr>
          <w:p w14:paraId="0990610A" w14:textId="2E593AB2" w:rsidR="009C61F9" w:rsidRPr="00AF4AEA" w:rsidRDefault="00D40B52" w:rsidP="009C61F9">
            <w:pPr>
              <w:pStyle w:val="Bodyromannumerals"/>
              <w:rPr>
                <w:color w:val="000000" w:themeColor="text1"/>
                <w:lang w:val="en-US"/>
              </w:rPr>
            </w:pPr>
            <w:r w:rsidRPr="00AF4AEA">
              <w:rPr>
                <w:lang w:val="en-US"/>
              </w:rPr>
              <w:t>Input field</w:t>
            </w:r>
          </w:p>
        </w:tc>
      </w:tr>
    </w:tbl>
    <w:p w14:paraId="6F61DB8A" w14:textId="77777777" w:rsidR="00BE4543" w:rsidRDefault="00BE4543" w:rsidP="00BE4543">
      <w:pPr>
        <w:pStyle w:val="Bodyromannumerals"/>
      </w:pPr>
    </w:p>
    <w:p w14:paraId="64010CD6" w14:textId="666A4006" w:rsidR="00BE4543" w:rsidRDefault="00BE4543" w:rsidP="009C61F9">
      <w:pPr>
        <w:pStyle w:val="Sectionsub-heading"/>
      </w:pPr>
      <w:r>
        <w:t xml:space="preserve">BLOCK </w:t>
      </w:r>
      <w:r w:rsidR="00896FB5">
        <w:t>2</w:t>
      </w:r>
      <w:r>
        <w:t>: PROPERTIES AFFECTED BY UNPLANNED INTERRUPTIONS</w:t>
      </w:r>
    </w:p>
    <w:tbl>
      <w:tblPr>
        <w:tblStyle w:val="TableGrid"/>
        <w:tblW w:w="7558" w:type="dxa"/>
        <w:tblLook w:val="04A0" w:firstRow="1" w:lastRow="0" w:firstColumn="1" w:lastColumn="0" w:noHBand="0" w:noVBand="1"/>
      </w:tblPr>
      <w:tblGrid>
        <w:gridCol w:w="1080"/>
        <w:gridCol w:w="906"/>
        <w:gridCol w:w="4366"/>
        <w:gridCol w:w="1206"/>
      </w:tblGrid>
      <w:tr w:rsidR="009C61F9" w:rsidRPr="00216F0E" w14:paraId="61411BD3" w14:textId="77777777" w:rsidTr="286C5C0D">
        <w:tc>
          <w:tcPr>
            <w:tcW w:w="1080" w:type="dxa"/>
          </w:tcPr>
          <w:p w14:paraId="6D781E20" w14:textId="77777777" w:rsidR="009C61F9" w:rsidRPr="006B58C6" w:rsidRDefault="009C61F9" w:rsidP="009C61F9">
            <w:pPr>
              <w:pStyle w:val="Bodyromannumerals"/>
              <w:rPr>
                <w:b/>
                <w:bCs/>
                <w:lang w:val="en-US"/>
              </w:rPr>
            </w:pPr>
            <w:r w:rsidRPr="006B58C6">
              <w:rPr>
                <w:b/>
                <w:bCs/>
                <w:lang w:val="en-US"/>
              </w:rPr>
              <w:t>B2.17</w:t>
            </w:r>
          </w:p>
        </w:tc>
        <w:tc>
          <w:tcPr>
            <w:tcW w:w="5272" w:type="dxa"/>
            <w:gridSpan w:val="2"/>
          </w:tcPr>
          <w:p w14:paraId="3428B4D3" w14:textId="77777777" w:rsidR="009C61F9" w:rsidRPr="006B58C6" w:rsidRDefault="009C61F9" w:rsidP="009C61F9">
            <w:pPr>
              <w:pStyle w:val="Bodyromannumerals"/>
              <w:rPr>
                <w:b/>
                <w:bCs/>
                <w:lang w:val="en-US"/>
              </w:rPr>
            </w:pPr>
            <w:r w:rsidRPr="006B58C6">
              <w:rPr>
                <w:b/>
                <w:bCs/>
                <w:lang w:val="en-US"/>
              </w:rPr>
              <w:t>Unplanned interruptions</w:t>
            </w:r>
          </w:p>
        </w:tc>
        <w:tc>
          <w:tcPr>
            <w:tcW w:w="1206" w:type="dxa"/>
          </w:tcPr>
          <w:p w14:paraId="18ADDE98" w14:textId="5B0D1972"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125391E6"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19D546BF"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2607BFBE" w14:textId="77777777" w:rsidR="009C61F9" w:rsidRPr="00AF4AEA" w:rsidRDefault="009C61F9" w:rsidP="009C61F9">
            <w:pPr>
              <w:pStyle w:val="Bodyromannumerals"/>
              <w:rPr>
                <w:color w:val="000000" w:themeColor="text1"/>
                <w:lang w:val="en-US"/>
              </w:rPr>
            </w:pPr>
            <w:r w:rsidRPr="00AF4AEA">
              <w:rPr>
                <w:color w:val="000000" w:themeColor="text1"/>
                <w:lang w:val="en-US"/>
              </w:rPr>
              <w:t>The number of unplanned interruptions excluding those due to third parties, planned but unwarned or planned but overrunning interruptions.</w:t>
            </w:r>
          </w:p>
        </w:tc>
      </w:tr>
      <w:tr w:rsidR="009C61F9" w:rsidRPr="00216F0E" w14:paraId="29F50F97"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B10EF09"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3AEF4E0" w14:textId="77777777" w:rsidR="009C61F9" w:rsidRPr="00AF4AEA" w:rsidRDefault="009C61F9" w:rsidP="009C61F9">
            <w:pPr>
              <w:pStyle w:val="Bodyromannumerals"/>
              <w:rPr>
                <w:lang w:val="en-US"/>
              </w:rPr>
            </w:pPr>
            <w:r w:rsidRPr="00AF4AEA">
              <w:rPr>
                <w:lang w:val="en-US"/>
              </w:rPr>
              <w:t>Input field</w:t>
            </w:r>
          </w:p>
        </w:tc>
      </w:tr>
      <w:tr w:rsidR="009C61F9" w:rsidRPr="00216F0E" w14:paraId="46091072" w14:textId="77777777" w:rsidTr="286C5C0D">
        <w:tc>
          <w:tcPr>
            <w:tcW w:w="1080" w:type="dxa"/>
          </w:tcPr>
          <w:p w14:paraId="3963E202" w14:textId="77777777" w:rsidR="009C61F9" w:rsidRPr="006B58C6" w:rsidRDefault="009C61F9" w:rsidP="009C61F9">
            <w:pPr>
              <w:pStyle w:val="Bodyromannumerals"/>
              <w:rPr>
                <w:b/>
                <w:bCs/>
                <w:lang w:val="en-US"/>
              </w:rPr>
            </w:pPr>
            <w:r w:rsidRPr="006B58C6">
              <w:rPr>
                <w:b/>
                <w:bCs/>
                <w:lang w:val="en-US"/>
              </w:rPr>
              <w:t>B2.18</w:t>
            </w:r>
          </w:p>
        </w:tc>
        <w:tc>
          <w:tcPr>
            <w:tcW w:w="5272" w:type="dxa"/>
            <w:gridSpan w:val="2"/>
          </w:tcPr>
          <w:p w14:paraId="47E22B83" w14:textId="77777777" w:rsidR="009C61F9" w:rsidRPr="006B58C6" w:rsidRDefault="009C61F9" w:rsidP="009C61F9">
            <w:pPr>
              <w:pStyle w:val="Bodyromannumerals"/>
              <w:rPr>
                <w:b/>
                <w:bCs/>
                <w:lang w:val="en-US"/>
              </w:rPr>
            </w:pPr>
            <w:r w:rsidRPr="006B58C6">
              <w:rPr>
                <w:b/>
                <w:bCs/>
                <w:lang w:val="en-US"/>
              </w:rPr>
              <w:t>Unplanned but caused by third party</w:t>
            </w:r>
          </w:p>
        </w:tc>
        <w:tc>
          <w:tcPr>
            <w:tcW w:w="1206" w:type="dxa"/>
          </w:tcPr>
          <w:p w14:paraId="4AAC10B0" w14:textId="20961065"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4C8AC688"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64C8BD74"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0418F565" w14:textId="2565781D" w:rsidR="009C61F9" w:rsidRPr="00AF4AEA" w:rsidRDefault="009C61F9" w:rsidP="009C61F9">
            <w:pPr>
              <w:pStyle w:val="Bodyromannumerals"/>
              <w:rPr>
                <w:lang w:val="en-US"/>
              </w:rPr>
            </w:pPr>
            <w:r w:rsidRPr="00AF4AEA">
              <w:rPr>
                <w:lang w:val="en-US"/>
              </w:rPr>
              <w:t xml:space="preserve">The number of unplanned interruptions caused by </w:t>
            </w:r>
            <w:r w:rsidR="00B970C1">
              <w:rPr>
                <w:lang w:val="en-US"/>
              </w:rPr>
              <w:t xml:space="preserve">a </w:t>
            </w:r>
            <w:r w:rsidRPr="00AF4AEA">
              <w:rPr>
                <w:lang w:val="en-US"/>
              </w:rPr>
              <w:t>third party.</w:t>
            </w:r>
          </w:p>
        </w:tc>
      </w:tr>
      <w:tr w:rsidR="009C61F9" w:rsidRPr="00216F0E" w14:paraId="4D407A6D"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2EF3B02"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EB768E9" w14:textId="77777777" w:rsidR="009C61F9" w:rsidRPr="00AF4AEA" w:rsidRDefault="009C61F9" w:rsidP="009C61F9">
            <w:pPr>
              <w:pStyle w:val="Bodyromannumerals"/>
              <w:rPr>
                <w:lang w:val="en-US"/>
              </w:rPr>
            </w:pPr>
            <w:r w:rsidRPr="00AF4AEA">
              <w:rPr>
                <w:lang w:val="en-US"/>
              </w:rPr>
              <w:t>Input field</w:t>
            </w:r>
          </w:p>
        </w:tc>
      </w:tr>
    </w:tbl>
    <w:p w14:paraId="1589D2E8" w14:textId="77777777" w:rsidR="00295F96" w:rsidRDefault="00295F96">
      <w:r>
        <w:br w:type="page"/>
      </w:r>
    </w:p>
    <w:tbl>
      <w:tblPr>
        <w:tblStyle w:val="TableGrid"/>
        <w:tblW w:w="7558" w:type="dxa"/>
        <w:tblLook w:val="04A0" w:firstRow="1" w:lastRow="0" w:firstColumn="1" w:lastColumn="0" w:noHBand="0" w:noVBand="1"/>
      </w:tblPr>
      <w:tblGrid>
        <w:gridCol w:w="1080"/>
        <w:gridCol w:w="906"/>
        <w:gridCol w:w="4366"/>
        <w:gridCol w:w="1206"/>
      </w:tblGrid>
      <w:tr w:rsidR="009C61F9" w:rsidRPr="00216F0E" w14:paraId="4F265241" w14:textId="77777777" w:rsidTr="286C5C0D">
        <w:tc>
          <w:tcPr>
            <w:tcW w:w="1080" w:type="dxa"/>
          </w:tcPr>
          <w:p w14:paraId="3DA598E4" w14:textId="010E1D61" w:rsidR="009C61F9" w:rsidRPr="006B58C6" w:rsidRDefault="009C61F9" w:rsidP="009C61F9">
            <w:pPr>
              <w:pStyle w:val="Bodyromannumerals"/>
              <w:rPr>
                <w:b/>
                <w:bCs/>
                <w:lang w:val="en-US"/>
              </w:rPr>
            </w:pPr>
            <w:r w:rsidRPr="006B58C6">
              <w:rPr>
                <w:b/>
                <w:bCs/>
                <w:lang w:val="en-US"/>
              </w:rPr>
              <w:lastRenderedPageBreak/>
              <w:t>B2.19</w:t>
            </w:r>
          </w:p>
        </w:tc>
        <w:tc>
          <w:tcPr>
            <w:tcW w:w="5272" w:type="dxa"/>
            <w:gridSpan w:val="2"/>
          </w:tcPr>
          <w:p w14:paraId="14E72EE2" w14:textId="77777777" w:rsidR="009C61F9" w:rsidRPr="006B58C6" w:rsidRDefault="009C61F9" w:rsidP="009C61F9">
            <w:pPr>
              <w:pStyle w:val="Bodyromannumerals"/>
              <w:rPr>
                <w:b/>
                <w:bCs/>
                <w:lang w:val="en-US"/>
              </w:rPr>
            </w:pPr>
            <w:r w:rsidRPr="006B58C6">
              <w:rPr>
                <w:b/>
                <w:bCs/>
                <w:lang w:val="en-US"/>
              </w:rPr>
              <w:t>Unplanned overruns and unwarned</w:t>
            </w:r>
          </w:p>
        </w:tc>
        <w:tc>
          <w:tcPr>
            <w:tcW w:w="1206" w:type="dxa"/>
          </w:tcPr>
          <w:p w14:paraId="03FE5598" w14:textId="37FFAE56"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25B69C88"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0C2E5DA2"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69CAD768" w14:textId="77777777" w:rsidR="009C61F9" w:rsidRPr="00AF4AEA" w:rsidRDefault="009C61F9" w:rsidP="009C61F9">
            <w:pPr>
              <w:pStyle w:val="Bodyromannumerals"/>
              <w:rPr>
                <w:lang w:val="en-US"/>
              </w:rPr>
            </w:pPr>
            <w:r w:rsidRPr="00AF4AEA">
              <w:rPr>
                <w:lang w:val="en-US"/>
              </w:rPr>
              <w:t>The number of unplanned interruptions due to unwarned planned interruptions or planned interruption overruns.</w:t>
            </w:r>
          </w:p>
        </w:tc>
      </w:tr>
      <w:tr w:rsidR="009C61F9" w:rsidRPr="00216F0E" w14:paraId="7856092A"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99FC886"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1DCA295" w14:textId="77777777" w:rsidR="009C61F9" w:rsidRPr="00AF4AEA" w:rsidRDefault="009C61F9" w:rsidP="009C61F9">
            <w:pPr>
              <w:pStyle w:val="Bodyromannumerals"/>
              <w:rPr>
                <w:lang w:val="en-US"/>
              </w:rPr>
            </w:pPr>
            <w:r w:rsidRPr="00AF4AEA">
              <w:rPr>
                <w:lang w:val="en-US"/>
              </w:rPr>
              <w:t>Input field</w:t>
            </w:r>
          </w:p>
        </w:tc>
      </w:tr>
      <w:tr w:rsidR="009C61F9" w:rsidRPr="00216F0E" w14:paraId="7D5FE1D9" w14:textId="77777777" w:rsidTr="286C5C0D">
        <w:tc>
          <w:tcPr>
            <w:tcW w:w="1080" w:type="dxa"/>
          </w:tcPr>
          <w:p w14:paraId="17AA84B3" w14:textId="77777777" w:rsidR="009C61F9" w:rsidRPr="006B58C6" w:rsidRDefault="009C61F9" w:rsidP="009C61F9">
            <w:pPr>
              <w:pStyle w:val="Bodyromannumerals"/>
              <w:rPr>
                <w:b/>
                <w:bCs/>
                <w:lang w:val="en-US"/>
              </w:rPr>
            </w:pPr>
            <w:r w:rsidRPr="006B58C6">
              <w:rPr>
                <w:b/>
                <w:bCs/>
                <w:lang w:val="en-US"/>
              </w:rPr>
              <w:t>B2.20</w:t>
            </w:r>
          </w:p>
        </w:tc>
        <w:tc>
          <w:tcPr>
            <w:tcW w:w="5272" w:type="dxa"/>
            <w:gridSpan w:val="2"/>
          </w:tcPr>
          <w:p w14:paraId="03B184FF" w14:textId="77777777" w:rsidR="009C61F9" w:rsidRPr="006B58C6" w:rsidRDefault="009C61F9" w:rsidP="009C61F9">
            <w:pPr>
              <w:pStyle w:val="Bodyromannumerals"/>
              <w:rPr>
                <w:b/>
                <w:bCs/>
                <w:lang w:val="en-US"/>
              </w:rPr>
            </w:pPr>
            <w:r w:rsidRPr="006B58C6">
              <w:rPr>
                <w:b/>
                <w:bCs/>
                <w:lang w:val="en-US"/>
              </w:rPr>
              <w:t>Total unplanned interruptions</w:t>
            </w:r>
          </w:p>
        </w:tc>
        <w:tc>
          <w:tcPr>
            <w:tcW w:w="1206" w:type="dxa"/>
          </w:tcPr>
          <w:p w14:paraId="4C47E66E" w14:textId="66CFE332"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3B3BB155"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62684481"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551900AC" w14:textId="77777777" w:rsidR="009C61F9" w:rsidRPr="00AF4AEA" w:rsidRDefault="009C61F9" w:rsidP="009C61F9">
            <w:pPr>
              <w:pStyle w:val="Bodyromannumerals"/>
              <w:rPr>
                <w:lang w:val="en-US"/>
              </w:rPr>
            </w:pPr>
            <w:r w:rsidRPr="00AF4AEA">
              <w:rPr>
                <w:lang w:val="en-US"/>
              </w:rPr>
              <w:t>The total number of unplanned interruptions.</w:t>
            </w:r>
          </w:p>
        </w:tc>
      </w:tr>
      <w:tr w:rsidR="009C61F9" w:rsidRPr="00216F0E" w14:paraId="08AC5341"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C0EE477"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5F9A38" w14:textId="77777777" w:rsidR="009C61F9" w:rsidRPr="00AF4AEA" w:rsidRDefault="009C61F9" w:rsidP="009C61F9">
            <w:pPr>
              <w:pStyle w:val="Bodyromannumerals"/>
              <w:rPr>
                <w:lang w:val="en-US"/>
              </w:rPr>
            </w:pPr>
            <w:r w:rsidRPr="00AF4AEA">
              <w:rPr>
                <w:lang w:val="en-US"/>
              </w:rPr>
              <w:t>Calculated field.  Sum of B2.17 to B2.19</w:t>
            </w:r>
          </w:p>
        </w:tc>
      </w:tr>
      <w:tr w:rsidR="009C61F9" w:rsidRPr="00216F0E" w14:paraId="1FB446C3" w14:textId="77777777" w:rsidTr="286C5C0D">
        <w:tc>
          <w:tcPr>
            <w:tcW w:w="1080" w:type="dxa"/>
          </w:tcPr>
          <w:p w14:paraId="56029038" w14:textId="77777777" w:rsidR="009C61F9" w:rsidRPr="006B58C6" w:rsidRDefault="009C61F9" w:rsidP="009C61F9">
            <w:pPr>
              <w:pStyle w:val="Bodyromannumerals"/>
              <w:rPr>
                <w:b/>
                <w:bCs/>
                <w:lang w:val="en-US"/>
              </w:rPr>
            </w:pPr>
            <w:r w:rsidRPr="006B58C6">
              <w:rPr>
                <w:b/>
                <w:bCs/>
                <w:lang w:val="en-US"/>
              </w:rPr>
              <w:t>B2.21</w:t>
            </w:r>
          </w:p>
        </w:tc>
        <w:tc>
          <w:tcPr>
            <w:tcW w:w="5272" w:type="dxa"/>
            <w:gridSpan w:val="2"/>
          </w:tcPr>
          <w:p w14:paraId="3B63A99B" w14:textId="77777777" w:rsidR="009C61F9" w:rsidRPr="006B58C6" w:rsidRDefault="009C61F9" w:rsidP="009C61F9">
            <w:pPr>
              <w:pStyle w:val="Bodyromannumerals"/>
              <w:rPr>
                <w:b/>
                <w:bCs/>
                <w:lang w:val="en-US"/>
              </w:rPr>
            </w:pPr>
            <w:r w:rsidRPr="006B58C6">
              <w:rPr>
                <w:b/>
                <w:bCs/>
                <w:lang w:val="en-US"/>
              </w:rPr>
              <w:t>Properties affected by unplanned interruptions (include each incident)</w:t>
            </w:r>
          </w:p>
        </w:tc>
        <w:tc>
          <w:tcPr>
            <w:tcW w:w="1206" w:type="dxa"/>
          </w:tcPr>
          <w:p w14:paraId="796E8369" w14:textId="504BD9B8"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29742392"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620B64CE"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6A2714FD" w14:textId="77777777" w:rsidR="009C61F9" w:rsidRPr="00AF4AEA" w:rsidRDefault="009C61F9" w:rsidP="009C61F9">
            <w:pPr>
              <w:pStyle w:val="Bodyromannumerals"/>
              <w:rPr>
                <w:color w:val="000000" w:themeColor="text1"/>
                <w:lang w:val="en-US"/>
              </w:rPr>
            </w:pPr>
            <w:r w:rsidRPr="00AF4AEA">
              <w:rPr>
                <w:color w:val="000000" w:themeColor="text1"/>
                <w:lang w:val="en-US"/>
              </w:rPr>
              <w:t xml:space="preserve">The number of properties affected by unplanned interruptions to water supplies, excluding those due to third parties or planned interruptions unwarned or overrunning.  </w:t>
            </w:r>
          </w:p>
          <w:p w14:paraId="785D2C29" w14:textId="77777777" w:rsidR="009C61F9" w:rsidRPr="00AF4AEA" w:rsidRDefault="009C61F9" w:rsidP="009C61F9">
            <w:pPr>
              <w:pStyle w:val="Bodyromannumerals"/>
              <w:rPr>
                <w:color w:val="000000" w:themeColor="text1"/>
                <w:lang w:val="en-US"/>
              </w:rPr>
            </w:pPr>
            <w:r w:rsidRPr="00AF4AEA">
              <w:rPr>
                <w:color w:val="000000" w:themeColor="text1"/>
                <w:lang w:val="en-US"/>
              </w:rPr>
              <w:t>A property should be counted each time it is affected by an unplanned interruption.  Therefore, if it is affected 3 times in one year it should be counted 3 times.</w:t>
            </w:r>
          </w:p>
        </w:tc>
      </w:tr>
      <w:tr w:rsidR="009C61F9" w:rsidRPr="00216F0E" w14:paraId="3FBEBFC8"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85697C"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42CA4E6" w14:textId="77777777" w:rsidR="009C61F9" w:rsidRPr="00AF4AEA" w:rsidRDefault="009C61F9" w:rsidP="009C61F9">
            <w:pPr>
              <w:pStyle w:val="Bodyromannumerals"/>
              <w:rPr>
                <w:lang w:val="en-US"/>
              </w:rPr>
            </w:pPr>
            <w:r w:rsidRPr="00AF4AEA">
              <w:rPr>
                <w:lang w:val="en-US"/>
              </w:rPr>
              <w:t>Input field</w:t>
            </w:r>
          </w:p>
        </w:tc>
      </w:tr>
      <w:tr w:rsidR="009C61F9" w:rsidRPr="00216F0E" w14:paraId="5132E5EB" w14:textId="77777777" w:rsidTr="286C5C0D">
        <w:tc>
          <w:tcPr>
            <w:tcW w:w="1080" w:type="dxa"/>
          </w:tcPr>
          <w:p w14:paraId="13D0264A" w14:textId="77777777" w:rsidR="009C61F9" w:rsidRPr="006B58C6" w:rsidRDefault="009C61F9" w:rsidP="009C61F9">
            <w:pPr>
              <w:pStyle w:val="Bodyromannumerals"/>
              <w:rPr>
                <w:b/>
                <w:bCs/>
                <w:lang w:val="en-US"/>
              </w:rPr>
            </w:pPr>
            <w:r w:rsidRPr="006B58C6">
              <w:rPr>
                <w:b/>
                <w:bCs/>
                <w:lang w:val="en-US"/>
              </w:rPr>
              <w:t>B2.22</w:t>
            </w:r>
          </w:p>
        </w:tc>
        <w:tc>
          <w:tcPr>
            <w:tcW w:w="5272" w:type="dxa"/>
            <w:gridSpan w:val="2"/>
          </w:tcPr>
          <w:p w14:paraId="33599510" w14:textId="77777777" w:rsidR="009C61F9" w:rsidRPr="006B58C6" w:rsidRDefault="009C61F9" w:rsidP="009C61F9">
            <w:pPr>
              <w:pStyle w:val="Bodyromannumerals"/>
              <w:rPr>
                <w:b/>
                <w:bCs/>
                <w:lang w:val="en-US"/>
              </w:rPr>
            </w:pPr>
            <w:r w:rsidRPr="006B58C6">
              <w:rPr>
                <w:b/>
                <w:bCs/>
                <w:lang w:val="en-US"/>
              </w:rPr>
              <w:t>Properties affected by unplanned interruptions caused by 3rd party (include each incident)</w:t>
            </w:r>
          </w:p>
        </w:tc>
        <w:tc>
          <w:tcPr>
            <w:tcW w:w="1206" w:type="dxa"/>
          </w:tcPr>
          <w:p w14:paraId="0EB858CA" w14:textId="08EC388C"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4B98A26F"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28AB4C7A"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4EA1B192" w14:textId="402D99AB" w:rsidR="009C61F9" w:rsidRPr="00AF4AEA" w:rsidRDefault="009C61F9" w:rsidP="009C61F9">
            <w:pPr>
              <w:pStyle w:val="Bodyromannumerals"/>
              <w:rPr>
                <w:color w:val="000000" w:themeColor="text1"/>
                <w:lang w:val="en-US"/>
              </w:rPr>
            </w:pPr>
            <w:r w:rsidRPr="00AF4AEA">
              <w:rPr>
                <w:color w:val="000000" w:themeColor="text1"/>
                <w:lang w:val="en-US"/>
              </w:rPr>
              <w:t xml:space="preserve">The number of properties affected by unplanned interruptions to water supplies caused by </w:t>
            </w:r>
            <w:r w:rsidR="00A34A55">
              <w:rPr>
                <w:color w:val="000000" w:themeColor="text1"/>
                <w:lang w:val="en-US"/>
              </w:rPr>
              <w:t xml:space="preserve">a </w:t>
            </w:r>
            <w:r w:rsidRPr="00AF4AEA">
              <w:rPr>
                <w:color w:val="000000" w:themeColor="text1"/>
                <w:lang w:val="en-US"/>
              </w:rPr>
              <w:t>third party.</w:t>
            </w:r>
          </w:p>
          <w:p w14:paraId="2C26124B" w14:textId="77777777" w:rsidR="009C61F9" w:rsidRPr="00AF4AEA" w:rsidRDefault="009C61F9" w:rsidP="009C61F9">
            <w:pPr>
              <w:pStyle w:val="Bodyromannumerals"/>
              <w:rPr>
                <w:color w:val="000000" w:themeColor="text1"/>
                <w:lang w:val="en-US"/>
              </w:rPr>
            </w:pPr>
            <w:r w:rsidRPr="00AF4AEA">
              <w:rPr>
                <w:color w:val="000000" w:themeColor="text1"/>
                <w:lang w:val="en-US"/>
              </w:rPr>
              <w:t>A property should be counted each time it is affected by an unplanned interruption. Therefore, if it is affected 3 times in one year it should be counted 3 times.</w:t>
            </w:r>
          </w:p>
        </w:tc>
      </w:tr>
      <w:tr w:rsidR="009C61F9" w:rsidRPr="00216F0E" w14:paraId="168134AF"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99C5856"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DF5B72E" w14:textId="77777777" w:rsidR="009C61F9" w:rsidRPr="00AF4AEA" w:rsidRDefault="009C61F9" w:rsidP="009C61F9">
            <w:pPr>
              <w:pStyle w:val="Bodyromannumerals"/>
              <w:rPr>
                <w:lang w:val="en-US"/>
              </w:rPr>
            </w:pPr>
            <w:r w:rsidRPr="00AF4AEA">
              <w:rPr>
                <w:lang w:val="en-US"/>
              </w:rPr>
              <w:t>Input field</w:t>
            </w:r>
          </w:p>
        </w:tc>
      </w:tr>
      <w:tr w:rsidR="009C61F9" w:rsidRPr="00216F0E" w14:paraId="7F4556D3" w14:textId="77777777" w:rsidTr="286C5C0D">
        <w:tc>
          <w:tcPr>
            <w:tcW w:w="1080" w:type="dxa"/>
          </w:tcPr>
          <w:p w14:paraId="75CED04C" w14:textId="77777777" w:rsidR="009C61F9" w:rsidRPr="006B58C6" w:rsidRDefault="009C61F9" w:rsidP="009C61F9">
            <w:pPr>
              <w:pStyle w:val="Bodyromannumerals"/>
              <w:rPr>
                <w:b/>
                <w:bCs/>
                <w:lang w:val="en-US"/>
              </w:rPr>
            </w:pPr>
            <w:r w:rsidRPr="006B58C6">
              <w:rPr>
                <w:b/>
                <w:bCs/>
                <w:lang w:val="en-US"/>
              </w:rPr>
              <w:t>B2.23</w:t>
            </w:r>
          </w:p>
        </w:tc>
        <w:tc>
          <w:tcPr>
            <w:tcW w:w="5272" w:type="dxa"/>
            <w:gridSpan w:val="2"/>
          </w:tcPr>
          <w:p w14:paraId="1A19F2B1" w14:textId="77777777" w:rsidR="009C61F9" w:rsidRPr="006B58C6" w:rsidRDefault="009C61F9" w:rsidP="009C61F9">
            <w:pPr>
              <w:pStyle w:val="Bodyromannumerals"/>
              <w:rPr>
                <w:b/>
                <w:bCs/>
                <w:lang w:val="en-US"/>
              </w:rPr>
            </w:pPr>
            <w:r w:rsidRPr="006B58C6">
              <w:rPr>
                <w:b/>
                <w:bCs/>
                <w:lang w:val="en-US"/>
              </w:rPr>
              <w:t>Properties affected by unplanned overruns and unwarned (include each incident)</w:t>
            </w:r>
          </w:p>
        </w:tc>
        <w:tc>
          <w:tcPr>
            <w:tcW w:w="1206" w:type="dxa"/>
          </w:tcPr>
          <w:p w14:paraId="7080262C" w14:textId="46859CDE"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782C9F89"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2220CBC6"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5F362CCA" w14:textId="77777777" w:rsidR="009C61F9" w:rsidRPr="00AF4AEA" w:rsidRDefault="009C61F9" w:rsidP="009C61F9">
            <w:pPr>
              <w:pStyle w:val="Bodyromannumerals"/>
              <w:rPr>
                <w:color w:val="000000" w:themeColor="text1"/>
                <w:lang w:val="en-US"/>
              </w:rPr>
            </w:pPr>
            <w:r w:rsidRPr="00AF4AEA">
              <w:rPr>
                <w:color w:val="000000" w:themeColor="text1"/>
                <w:lang w:val="en-US"/>
              </w:rPr>
              <w:t>The number of properties affected by planned interruptions to water supplies overrunning or unwarned.</w:t>
            </w:r>
          </w:p>
          <w:p w14:paraId="3C6134A0" w14:textId="77777777" w:rsidR="009C61F9" w:rsidRPr="00AF4AEA" w:rsidRDefault="009C61F9" w:rsidP="009C61F9">
            <w:pPr>
              <w:pStyle w:val="Bodyromannumerals"/>
              <w:rPr>
                <w:color w:val="000000" w:themeColor="text1"/>
                <w:lang w:val="en-US"/>
              </w:rPr>
            </w:pPr>
            <w:r w:rsidRPr="00AF4AEA">
              <w:rPr>
                <w:color w:val="000000" w:themeColor="text1"/>
                <w:lang w:val="en-US"/>
              </w:rPr>
              <w:t>A property should be counted each time it is affected by an unplanned interruption.  Therefore, if it is affected 3 times in one year it should be counted 3 times.</w:t>
            </w:r>
          </w:p>
        </w:tc>
      </w:tr>
      <w:tr w:rsidR="009C61F9" w:rsidRPr="00216F0E" w14:paraId="202CA953"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F13A90"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B608073" w14:textId="77777777" w:rsidR="009C61F9" w:rsidRPr="00AF4AEA" w:rsidRDefault="009C61F9" w:rsidP="009C61F9">
            <w:pPr>
              <w:pStyle w:val="Bodyromannumerals"/>
              <w:rPr>
                <w:lang w:val="en-US"/>
              </w:rPr>
            </w:pPr>
            <w:r w:rsidRPr="00AF4AEA">
              <w:rPr>
                <w:lang w:val="en-US"/>
              </w:rPr>
              <w:t>Input field</w:t>
            </w:r>
          </w:p>
        </w:tc>
      </w:tr>
    </w:tbl>
    <w:p w14:paraId="5CEABCD0" w14:textId="77777777" w:rsidR="00295F96" w:rsidRDefault="00295F96">
      <w:r>
        <w:br w:type="page"/>
      </w:r>
    </w:p>
    <w:tbl>
      <w:tblPr>
        <w:tblStyle w:val="TableGrid"/>
        <w:tblW w:w="7558" w:type="dxa"/>
        <w:tblLook w:val="04A0" w:firstRow="1" w:lastRow="0" w:firstColumn="1" w:lastColumn="0" w:noHBand="0" w:noVBand="1"/>
      </w:tblPr>
      <w:tblGrid>
        <w:gridCol w:w="1080"/>
        <w:gridCol w:w="906"/>
        <w:gridCol w:w="4366"/>
        <w:gridCol w:w="1206"/>
      </w:tblGrid>
      <w:tr w:rsidR="009C61F9" w:rsidRPr="00216F0E" w14:paraId="76EA48BC" w14:textId="77777777" w:rsidTr="286C5C0D">
        <w:tc>
          <w:tcPr>
            <w:tcW w:w="1080" w:type="dxa"/>
          </w:tcPr>
          <w:p w14:paraId="6C689E0E" w14:textId="636CB864" w:rsidR="009C61F9" w:rsidRPr="006B58C6" w:rsidRDefault="009C61F9" w:rsidP="009C61F9">
            <w:pPr>
              <w:pStyle w:val="Bodyromannumerals"/>
              <w:rPr>
                <w:b/>
                <w:bCs/>
                <w:lang w:val="en-US"/>
              </w:rPr>
            </w:pPr>
            <w:r w:rsidRPr="006B58C6">
              <w:rPr>
                <w:b/>
                <w:bCs/>
                <w:lang w:val="en-US"/>
              </w:rPr>
              <w:lastRenderedPageBreak/>
              <w:t>B2.24</w:t>
            </w:r>
          </w:p>
        </w:tc>
        <w:tc>
          <w:tcPr>
            <w:tcW w:w="5272" w:type="dxa"/>
            <w:gridSpan w:val="2"/>
          </w:tcPr>
          <w:p w14:paraId="0484752D" w14:textId="77777777" w:rsidR="009C61F9" w:rsidRPr="006B58C6" w:rsidRDefault="009C61F9" w:rsidP="009C61F9">
            <w:pPr>
              <w:pStyle w:val="Bodyromannumerals"/>
              <w:rPr>
                <w:b/>
                <w:bCs/>
                <w:lang w:val="en-US"/>
              </w:rPr>
            </w:pPr>
            <w:r w:rsidRPr="006B58C6">
              <w:rPr>
                <w:b/>
                <w:bCs/>
                <w:lang w:val="en-US"/>
              </w:rPr>
              <w:t>Total properties affected (include each incident)</w:t>
            </w:r>
          </w:p>
        </w:tc>
        <w:tc>
          <w:tcPr>
            <w:tcW w:w="1206" w:type="dxa"/>
          </w:tcPr>
          <w:p w14:paraId="688FFD03" w14:textId="6C4B0F7D"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63F6AB82"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14F53CAD"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1F256D60" w14:textId="77777777" w:rsidR="009C61F9" w:rsidRPr="00AF4AEA" w:rsidRDefault="009C61F9" w:rsidP="009C61F9">
            <w:pPr>
              <w:pStyle w:val="Bodyromannumerals"/>
              <w:rPr>
                <w:color w:val="000000" w:themeColor="text1"/>
                <w:lang w:val="en-US"/>
              </w:rPr>
            </w:pPr>
            <w:r w:rsidRPr="00AF4AEA">
              <w:rPr>
                <w:color w:val="000000" w:themeColor="text1"/>
                <w:lang w:val="en-US"/>
              </w:rPr>
              <w:t>The total number of properties affected by unplanned interruptions to water supplies.</w:t>
            </w:r>
          </w:p>
          <w:p w14:paraId="79E1BC03" w14:textId="77777777" w:rsidR="009C61F9" w:rsidRPr="00AF4AEA" w:rsidRDefault="009C61F9" w:rsidP="009C61F9">
            <w:pPr>
              <w:pStyle w:val="Bodyromannumerals"/>
              <w:rPr>
                <w:color w:val="000000" w:themeColor="text1"/>
                <w:lang w:val="en-US"/>
              </w:rPr>
            </w:pPr>
            <w:r w:rsidRPr="00AF4AEA">
              <w:rPr>
                <w:color w:val="000000" w:themeColor="text1"/>
                <w:lang w:val="en-US"/>
              </w:rPr>
              <w:t>A property should be counted each time it is affected by an unplanned interruption. Therefore, if it is affected 3 times in one year it should be counted 3 times.</w:t>
            </w:r>
          </w:p>
        </w:tc>
      </w:tr>
      <w:tr w:rsidR="009C61F9" w:rsidRPr="00216F0E" w14:paraId="45D6446D"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1E9423"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525CA7E" w14:textId="77777777" w:rsidR="009C61F9" w:rsidRPr="00AF4AEA" w:rsidRDefault="009C61F9" w:rsidP="009C61F9">
            <w:pPr>
              <w:pStyle w:val="Bodyromannumerals"/>
              <w:rPr>
                <w:lang w:val="en-US"/>
              </w:rPr>
            </w:pPr>
            <w:r w:rsidRPr="00AF4AEA">
              <w:rPr>
                <w:lang w:val="en-US"/>
              </w:rPr>
              <w:t>Calculated field.  Sum of B2.21 to B2.23.</w:t>
            </w:r>
          </w:p>
        </w:tc>
      </w:tr>
      <w:tr w:rsidR="009C61F9" w:rsidRPr="00216F0E" w14:paraId="70ECC037" w14:textId="77777777" w:rsidTr="286C5C0D">
        <w:tc>
          <w:tcPr>
            <w:tcW w:w="1080" w:type="dxa"/>
          </w:tcPr>
          <w:p w14:paraId="480BDECA" w14:textId="77777777" w:rsidR="009C61F9" w:rsidRPr="006B58C6" w:rsidRDefault="009C61F9" w:rsidP="009C61F9">
            <w:pPr>
              <w:pStyle w:val="Bodyromannumerals"/>
              <w:rPr>
                <w:b/>
                <w:bCs/>
                <w:lang w:val="en-US"/>
              </w:rPr>
            </w:pPr>
            <w:r w:rsidRPr="006B58C6">
              <w:rPr>
                <w:b/>
                <w:bCs/>
                <w:lang w:val="en-US"/>
              </w:rPr>
              <w:t>B2.25</w:t>
            </w:r>
          </w:p>
        </w:tc>
        <w:tc>
          <w:tcPr>
            <w:tcW w:w="5272" w:type="dxa"/>
            <w:gridSpan w:val="2"/>
          </w:tcPr>
          <w:p w14:paraId="0A6ED962" w14:textId="77777777" w:rsidR="009C61F9" w:rsidRPr="006B58C6" w:rsidRDefault="009C61F9" w:rsidP="009C61F9">
            <w:pPr>
              <w:pStyle w:val="Bodyromannumerals"/>
              <w:rPr>
                <w:b/>
                <w:bCs/>
                <w:lang w:val="en-US"/>
              </w:rPr>
            </w:pPr>
            <w:r w:rsidRPr="006B58C6">
              <w:rPr>
                <w:b/>
                <w:bCs/>
                <w:lang w:val="en-US"/>
              </w:rPr>
              <w:t>Unplanned interruptions per 1000 properties</w:t>
            </w:r>
          </w:p>
        </w:tc>
        <w:tc>
          <w:tcPr>
            <w:tcW w:w="1206" w:type="dxa"/>
          </w:tcPr>
          <w:p w14:paraId="59962A97" w14:textId="3387656F"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77F39479"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4596E442"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48BF8F91" w14:textId="77777777" w:rsidR="009C61F9" w:rsidRPr="00AF4AEA" w:rsidRDefault="009C61F9" w:rsidP="009C61F9">
            <w:pPr>
              <w:pStyle w:val="Bodyromannumerals"/>
              <w:rPr>
                <w:color w:val="000000" w:themeColor="text1"/>
                <w:lang w:val="en-US"/>
              </w:rPr>
            </w:pPr>
            <w:r w:rsidRPr="00AF4AEA">
              <w:rPr>
                <w:color w:val="000000" w:themeColor="text1"/>
                <w:lang w:val="en-US"/>
              </w:rPr>
              <w:t>The number of unplanned interruptions per 1000 properties.</w:t>
            </w:r>
          </w:p>
        </w:tc>
      </w:tr>
      <w:tr w:rsidR="009C61F9" w:rsidRPr="00216F0E" w14:paraId="0C2F1422"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693EE40"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427F6AE" w14:textId="77777777" w:rsidR="009C61F9" w:rsidRPr="00AF4AEA" w:rsidRDefault="009C61F9" w:rsidP="009C61F9">
            <w:pPr>
              <w:pStyle w:val="Bodyromannumerals"/>
              <w:rPr>
                <w:lang w:val="en-US"/>
              </w:rPr>
            </w:pPr>
            <w:r w:rsidRPr="00AF4AEA">
              <w:rPr>
                <w:lang w:val="en-US"/>
              </w:rPr>
              <w:t>Calculated field: the product of line B2.20 / B2.1</w:t>
            </w:r>
          </w:p>
        </w:tc>
      </w:tr>
      <w:tr w:rsidR="009C61F9" w:rsidRPr="00216F0E" w14:paraId="3FBA25D6" w14:textId="77777777" w:rsidTr="286C5C0D">
        <w:tc>
          <w:tcPr>
            <w:tcW w:w="1080" w:type="dxa"/>
          </w:tcPr>
          <w:p w14:paraId="05240232" w14:textId="77777777" w:rsidR="009C61F9" w:rsidRPr="006B58C6" w:rsidRDefault="009C61F9" w:rsidP="009C61F9">
            <w:pPr>
              <w:pStyle w:val="Bodyromannumerals"/>
              <w:rPr>
                <w:b/>
                <w:bCs/>
                <w:lang w:val="en-US"/>
              </w:rPr>
            </w:pPr>
            <w:r w:rsidRPr="006B58C6">
              <w:rPr>
                <w:b/>
                <w:bCs/>
                <w:lang w:val="en-US"/>
              </w:rPr>
              <w:t>B2.26</w:t>
            </w:r>
          </w:p>
        </w:tc>
        <w:tc>
          <w:tcPr>
            <w:tcW w:w="5272" w:type="dxa"/>
            <w:gridSpan w:val="2"/>
          </w:tcPr>
          <w:p w14:paraId="5174E139" w14:textId="77777777" w:rsidR="009C61F9" w:rsidRPr="006B58C6" w:rsidRDefault="009C61F9" w:rsidP="009C61F9">
            <w:pPr>
              <w:pStyle w:val="Bodyromannumerals"/>
              <w:rPr>
                <w:b/>
                <w:bCs/>
                <w:lang w:val="en-US"/>
              </w:rPr>
            </w:pPr>
            <w:r w:rsidRPr="006B58C6">
              <w:rPr>
                <w:b/>
                <w:bCs/>
                <w:lang w:val="en-US"/>
              </w:rPr>
              <w:t>Unplanned interruptions per 100 km of water main</w:t>
            </w:r>
          </w:p>
        </w:tc>
        <w:tc>
          <w:tcPr>
            <w:tcW w:w="1206" w:type="dxa"/>
          </w:tcPr>
          <w:p w14:paraId="0BF1363B" w14:textId="0EDFC1A6" w:rsidR="009C61F9" w:rsidRPr="006B58C6" w:rsidRDefault="009C61F9" w:rsidP="009C61F9">
            <w:pPr>
              <w:pStyle w:val="Bodyromannumerals"/>
              <w:rPr>
                <w:b/>
                <w:bCs/>
                <w:lang w:val="en-US"/>
              </w:rPr>
            </w:pPr>
            <w:r w:rsidRPr="006B58C6">
              <w:rPr>
                <w:b/>
                <w:bCs/>
                <w:lang w:val="en-US"/>
              </w:rPr>
              <w:t>Nr</w:t>
            </w:r>
            <w:r w:rsidR="006B58C6" w:rsidRPr="006B58C6">
              <w:rPr>
                <w:b/>
                <w:bCs/>
                <w:lang w:val="en-US"/>
              </w:rPr>
              <w:t>.</w:t>
            </w:r>
          </w:p>
        </w:tc>
      </w:tr>
      <w:tr w:rsidR="009C61F9" w:rsidRPr="00216F0E" w14:paraId="67A2F5CA"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634A699E"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38C2BB4C" w14:textId="77777777" w:rsidR="009C61F9" w:rsidRPr="00AF4AEA" w:rsidRDefault="009C61F9" w:rsidP="009C61F9">
            <w:pPr>
              <w:pStyle w:val="Bodyromannumerals"/>
              <w:rPr>
                <w:color w:val="000000" w:themeColor="text1"/>
                <w:lang w:val="en-US"/>
              </w:rPr>
            </w:pPr>
            <w:r w:rsidRPr="00AF4AEA">
              <w:rPr>
                <w:color w:val="000000" w:themeColor="text1"/>
                <w:lang w:val="en-US"/>
              </w:rPr>
              <w:t>The number of unplanned interruptions per 100 km of water mains.</w:t>
            </w:r>
          </w:p>
          <w:p w14:paraId="219837D7" w14:textId="5095D29A" w:rsidR="009C61F9" w:rsidRPr="00AF4AEA" w:rsidRDefault="009C61F9" w:rsidP="009C61F9">
            <w:pPr>
              <w:pStyle w:val="Bodyromannumerals"/>
              <w:rPr>
                <w:color w:val="000000" w:themeColor="text1"/>
                <w:lang w:val="en-US"/>
              </w:rPr>
            </w:pPr>
          </w:p>
        </w:tc>
      </w:tr>
      <w:tr w:rsidR="009C61F9" w:rsidRPr="00216F0E" w14:paraId="46D2BDAC"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1BC398B"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CF890AA" w14:textId="77777777" w:rsidR="009C61F9" w:rsidRPr="00AF4AEA" w:rsidRDefault="009C61F9" w:rsidP="009C61F9">
            <w:pPr>
              <w:pStyle w:val="Bodyromannumerals"/>
              <w:rPr>
                <w:lang w:val="en-US"/>
              </w:rPr>
            </w:pPr>
            <w:r w:rsidRPr="00AF4AEA">
              <w:rPr>
                <w:lang w:val="en-US"/>
              </w:rPr>
              <w:t>Input field</w:t>
            </w:r>
          </w:p>
        </w:tc>
      </w:tr>
    </w:tbl>
    <w:p w14:paraId="2BE2ADAE" w14:textId="77777777" w:rsidR="00BE4543" w:rsidRDefault="00BE4543" w:rsidP="00BE4543">
      <w:pPr>
        <w:pStyle w:val="Bodyromannumerals"/>
      </w:pPr>
    </w:p>
    <w:p w14:paraId="61964413" w14:textId="164E04CA" w:rsidR="009C61F9" w:rsidRPr="00552D9B" w:rsidRDefault="009C61F9" w:rsidP="009C61F9">
      <w:pPr>
        <w:pStyle w:val="Sectionsub-heading"/>
      </w:pPr>
      <w:r w:rsidRPr="00552D9B">
        <w:rPr>
          <w:lang w:val="en-GB"/>
        </w:rPr>
        <w:t xml:space="preserve">BLOCK </w:t>
      </w:r>
      <w:r w:rsidR="00F62B98">
        <w:rPr>
          <w:lang w:val="en-GB"/>
        </w:rPr>
        <w:t>3</w:t>
      </w:r>
      <w:r w:rsidRPr="00552D9B">
        <w:rPr>
          <w:lang w:val="en-GB"/>
        </w:rPr>
        <w:t>: UNPLANNED INTERRUPTIONS – RESTORATION TIME</w:t>
      </w:r>
    </w:p>
    <w:tbl>
      <w:tblPr>
        <w:tblStyle w:val="TableGrid"/>
        <w:tblW w:w="7558" w:type="dxa"/>
        <w:tblLook w:val="04A0" w:firstRow="1" w:lastRow="0" w:firstColumn="1" w:lastColumn="0" w:noHBand="0" w:noVBand="1"/>
      </w:tblPr>
      <w:tblGrid>
        <w:gridCol w:w="1050"/>
        <w:gridCol w:w="936"/>
        <w:gridCol w:w="4366"/>
        <w:gridCol w:w="1206"/>
      </w:tblGrid>
      <w:tr w:rsidR="009C61F9" w:rsidRPr="00216F0E" w14:paraId="357538AB" w14:textId="77777777" w:rsidTr="286C5C0D">
        <w:tc>
          <w:tcPr>
            <w:tcW w:w="1050" w:type="dxa"/>
          </w:tcPr>
          <w:p w14:paraId="5CBE6AF0" w14:textId="4A1A8A01" w:rsidR="009C61F9" w:rsidRPr="008E5F2D" w:rsidRDefault="009C61F9" w:rsidP="009C61F9">
            <w:pPr>
              <w:pStyle w:val="Bodyromannumerals"/>
              <w:rPr>
                <w:b/>
                <w:bCs/>
                <w:lang w:val="en-US"/>
              </w:rPr>
            </w:pPr>
            <w:r w:rsidRPr="008E5F2D">
              <w:rPr>
                <w:b/>
                <w:bCs/>
                <w:lang w:val="en-US"/>
              </w:rPr>
              <w:t>B2.</w:t>
            </w:r>
            <w:r w:rsidR="00E61A28">
              <w:rPr>
                <w:b/>
                <w:bCs/>
                <w:lang w:val="en-US"/>
              </w:rPr>
              <w:t>27</w:t>
            </w:r>
          </w:p>
        </w:tc>
        <w:tc>
          <w:tcPr>
            <w:tcW w:w="5302" w:type="dxa"/>
            <w:gridSpan w:val="2"/>
          </w:tcPr>
          <w:p w14:paraId="10195175" w14:textId="77777777" w:rsidR="009C61F9" w:rsidRPr="008E5F2D" w:rsidRDefault="009C61F9" w:rsidP="009C61F9">
            <w:pPr>
              <w:pStyle w:val="Bodyromannumerals"/>
              <w:rPr>
                <w:b/>
                <w:bCs/>
                <w:lang w:val="en-US"/>
              </w:rPr>
            </w:pPr>
            <w:r w:rsidRPr="008E5F2D">
              <w:rPr>
                <w:b/>
                <w:bCs/>
                <w:lang w:val="en-US"/>
              </w:rPr>
              <w:t>Total number of unplanned mains interruptions</w:t>
            </w:r>
          </w:p>
        </w:tc>
        <w:tc>
          <w:tcPr>
            <w:tcW w:w="1206" w:type="dxa"/>
          </w:tcPr>
          <w:p w14:paraId="3656A7EE" w14:textId="71C35ACA" w:rsidR="009C61F9" w:rsidRPr="008E5F2D" w:rsidRDefault="009C61F9" w:rsidP="009C61F9">
            <w:pPr>
              <w:pStyle w:val="Bodyromannumerals"/>
              <w:rPr>
                <w:b/>
                <w:bCs/>
                <w:lang w:val="en-US"/>
              </w:rPr>
            </w:pPr>
            <w:r w:rsidRPr="008E5F2D">
              <w:rPr>
                <w:b/>
                <w:bCs/>
                <w:lang w:val="en-US"/>
              </w:rPr>
              <w:t>Nr</w:t>
            </w:r>
            <w:r w:rsidR="0003488C" w:rsidRPr="008E5F2D">
              <w:rPr>
                <w:b/>
                <w:bCs/>
                <w:lang w:val="en-US"/>
              </w:rPr>
              <w:t>.</w:t>
            </w:r>
          </w:p>
        </w:tc>
      </w:tr>
      <w:tr w:rsidR="009C61F9" w:rsidRPr="00216F0E" w14:paraId="2325799A"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6D0BBE7A"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76973DA9" w14:textId="555DB189" w:rsidR="00304F6F" w:rsidRPr="00AF4AEA" w:rsidRDefault="009C61F9" w:rsidP="009C61F9">
            <w:pPr>
              <w:pStyle w:val="Bodyromannumerals"/>
              <w:rPr>
                <w:lang w:val="en-US"/>
              </w:rPr>
            </w:pPr>
            <w:r w:rsidRPr="00AF4AEA">
              <w:rPr>
                <w:lang w:val="en-US"/>
              </w:rPr>
              <w:t xml:space="preserve">Total number of unplanned interruptions to supply which have affected </w:t>
            </w:r>
            <w:r w:rsidR="001E0627">
              <w:rPr>
                <w:lang w:val="en-US"/>
              </w:rPr>
              <w:t>water</w:t>
            </w:r>
            <w:r w:rsidRPr="00AF4AEA">
              <w:rPr>
                <w:lang w:val="en-US"/>
              </w:rPr>
              <w:t xml:space="preserve"> mains.  </w:t>
            </w:r>
          </w:p>
        </w:tc>
      </w:tr>
      <w:tr w:rsidR="009C61F9" w:rsidRPr="00216F0E" w14:paraId="17B51485"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B6D080"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369AA3F" w14:textId="77777777" w:rsidR="009C61F9" w:rsidRPr="00AF4AEA" w:rsidRDefault="009C61F9" w:rsidP="009C61F9">
            <w:pPr>
              <w:pStyle w:val="Bodyromannumerals"/>
              <w:rPr>
                <w:lang w:val="en-US"/>
              </w:rPr>
            </w:pPr>
            <w:r w:rsidRPr="00AF4AEA">
              <w:rPr>
                <w:lang w:val="en-US"/>
              </w:rPr>
              <w:t>Input field</w:t>
            </w:r>
          </w:p>
        </w:tc>
      </w:tr>
      <w:tr w:rsidR="009C61F9" w:rsidRPr="00216F0E" w14:paraId="68DA06EC" w14:textId="77777777" w:rsidTr="286C5C0D">
        <w:tc>
          <w:tcPr>
            <w:tcW w:w="1050" w:type="dxa"/>
          </w:tcPr>
          <w:p w14:paraId="18E0FFCC" w14:textId="772D3348" w:rsidR="009C61F9" w:rsidRPr="008E797B" w:rsidRDefault="009C61F9" w:rsidP="009C61F9">
            <w:pPr>
              <w:pStyle w:val="Bodyromannumerals"/>
              <w:rPr>
                <w:b/>
                <w:bCs/>
                <w:lang w:val="en-US"/>
              </w:rPr>
            </w:pPr>
            <w:r w:rsidRPr="008E797B">
              <w:rPr>
                <w:b/>
                <w:bCs/>
                <w:lang w:val="en-US"/>
              </w:rPr>
              <w:t>B2.</w:t>
            </w:r>
            <w:r w:rsidR="00E61A28">
              <w:rPr>
                <w:b/>
                <w:bCs/>
                <w:lang w:val="en-US"/>
              </w:rPr>
              <w:t>28</w:t>
            </w:r>
          </w:p>
        </w:tc>
        <w:tc>
          <w:tcPr>
            <w:tcW w:w="5302" w:type="dxa"/>
            <w:gridSpan w:val="2"/>
          </w:tcPr>
          <w:p w14:paraId="0AC1E18C" w14:textId="77777777" w:rsidR="009C61F9" w:rsidRPr="008E797B" w:rsidRDefault="009C61F9" w:rsidP="009C61F9">
            <w:pPr>
              <w:pStyle w:val="Bodyromannumerals"/>
              <w:rPr>
                <w:b/>
                <w:bCs/>
                <w:lang w:val="en-US"/>
              </w:rPr>
            </w:pPr>
            <w:r w:rsidRPr="008E797B">
              <w:rPr>
                <w:b/>
                <w:bCs/>
                <w:lang w:val="en-US"/>
              </w:rPr>
              <w:t>Total number of properties affected by unplanned mains interruptions</w:t>
            </w:r>
          </w:p>
        </w:tc>
        <w:tc>
          <w:tcPr>
            <w:tcW w:w="1206" w:type="dxa"/>
          </w:tcPr>
          <w:p w14:paraId="4AF66052" w14:textId="6E7EE394" w:rsidR="009C61F9" w:rsidRPr="008E797B" w:rsidRDefault="009C61F9" w:rsidP="009C61F9">
            <w:pPr>
              <w:pStyle w:val="Bodyromannumerals"/>
              <w:rPr>
                <w:b/>
                <w:bCs/>
                <w:lang w:val="en-US"/>
              </w:rPr>
            </w:pPr>
            <w:r w:rsidRPr="008E797B">
              <w:rPr>
                <w:b/>
                <w:bCs/>
                <w:lang w:val="en-US"/>
              </w:rPr>
              <w:t>Nr</w:t>
            </w:r>
            <w:r w:rsidR="0003488C" w:rsidRPr="008E797B">
              <w:rPr>
                <w:b/>
                <w:bCs/>
                <w:lang w:val="en-US"/>
              </w:rPr>
              <w:t>.</w:t>
            </w:r>
          </w:p>
        </w:tc>
      </w:tr>
      <w:tr w:rsidR="009C61F9" w:rsidRPr="00216F0E" w14:paraId="5015DEAA"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0F488379"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6BE87679" w14:textId="5F22A862" w:rsidR="009C61F9" w:rsidRPr="00AF4AEA" w:rsidRDefault="009C61F9" w:rsidP="009C61F9">
            <w:pPr>
              <w:pStyle w:val="Bodyromannumerals"/>
              <w:rPr>
                <w:color w:val="000000" w:themeColor="text1"/>
                <w:lang w:val="en-US"/>
              </w:rPr>
            </w:pPr>
            <w:r w:rsidRPr="00AF4AEA">
              <w:rPr>
                <w:color w:val="000000" w:themeColor="text1"/>
                <w:lang w:val="en-US"/>
              </w:rPr>
              <w:t>Total number of properties affected by an</w:t>
            </w:r>
            <w:r w:rsidR="00C9637D">
              <w:rPr>
                <w:color w:val="000000" w:themeColor="text1"/>
                <w:lang w:val="en-US"/>
              </w:rPr>
              <w:t xml:space="preserve"> unplanned</w:t>
            </w:r>
            <w:r w:rsidRPr="00AF4AEA">
              <w:rPr>
                <w:color w:val="000000" w:themeColor="text1"/>
                <w:lang w:val="en-US"/>
              </w:rPr>
              <w:t xml:space="preserve"> interruption to supply</w:t>
            </w:r>
            <w:r w:rsidR="0027211A">
              <w:rPr>
                <w:color w:val="000000" w:themeColor="text1"/>
                <w:lang w:val="en-US"/>
              </w:rPr>
              <w:t>.</w:t>
            </w:r>
          </w:p>
        </w:tc>
      </w:tr>
      <w:tr w:rsidR="009C61F9" w:rsidRPr="00216F0E" w14:paraId="624639EA"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0C105F"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3DD0CF0" w14:textId="77777777" w:rsidR="009C61F9" w:rsidRPr="00AF4AEA" w:rsidRDefault="009C61F9" w:rsidP="009C61F9">
            <w:pPr>
              <w:pStyle w:val="Bodyromannumerals"/>
              <w:rPr>
                <w:lang w:val="en-US"/>
              </w:rPr>
            </w:pPr>
            <w:r w:rsidRPr="00AF4AEA">
              <w:rPr>
                <w:lang w:val="en-US"/>
              </w:rPr>
              <w:t>Input field</w:t>
            </w:r>
          </w:p>
        </w:tc>
      </w:tr>
      <w:tr w:rsidR="009C61F9" w:rsidRPr="00216F0E" w14:paraId="582D95E1" w14:textId="77777777" w:rsidTr="286C5C0D">
        <w:tc>
          <w:tcPr>
            <w:tcW w:w="1050" w:type="dxa"/>
          </w:tcPr>
          <w:p w14:paraId="3B28A0F9" w14:textId="1C155914" w:rsidR="009C61F9" w:rsidRPr="008E797B" w:rsidRDefault="009C61F9" w:rsidP="009C61F9">
            <w:pPr>
              <w:pStyle w:val="Bodyromannumerals"/>
              <w:rPr>
                <w:b/>
                <w:bCs/>
                <w:lang w:val="en-US"/>
              </w:rPr>
            </w:pPr>
            <w:r w:rsidRPr="008E797B">
              <w:rPr>
                <w:b/>
                <w:bCs/>
                <w:lang w:val="en-US"/>
              </w:rPr>
              <w:t>B2.</w:t>
            </w:r>
            <w:r w:rsidR="00E61A28">
              <w:rPr>
                <w:b/>
                <w:bCs/>
                <w:lang w:val="en-US"/>
              </w:rPr>
              <w:t>29</w:t>
            </w:r>
          </w:p>
        </w:tc>
        <w:tc>
          <w:tcPr>
            <w:tcW w:w="5302" w:type="dxa"/>
            <w:gridSpan w:val="2"/>
          </w:tcPr>
          <w:p w14:paraId="20B43791" w14:textId="77777777" w:rsidR="009C61F9" w:rsidRPr="008E797B" w:rsidRDefault="009C61F9" w:rsidP="009C61F9">
            <w:pPr>
              <w:pStyle w:val="Bodyromannumerals"/>
              <w:rPr>
                <w:b/>
                <w:bCs/>
                <w:lang w:val="en-US"/>
              </w:rPr>
            </w:pPr>
            <w:r w:rsidRPr="008E797B">
              <w:rPr>
                <w:b/>
                <w:bCs/>
                <w:lang w:val="en-US"/>
              </w:rPr>
              <w:t>Total number of properties restored &gt; 6 hours</w:t>
            </w:r>
          </w:p>
        </w:tc>
        <w:tc>
          <w:tcPr>
            <w:tcW w:w="1206" w:type="dxa"/>
          </w:tcPr>
          <w:p w14:paraId="3CC4779D" w14:textId="14ED89B2" w:rsidR="009C61F9" w:rsidRPr="008E797B" w:rsidRDefault="009C61F9" w:rsidP="009C61F9">
            <w:pPr>
              <w:pStyle w:val="Bodyromannumerals"/>
              <w:rPr>
                <w:b/>
                <w:bCs/>
                <w:lang w:val="en-US"/>
              </w:rPr>
            </w:pPr>
            <w:r w:rsidRPr="008E797B">
              <w:rPr>
                <w:b/>
                <w:bCs/>
                <w:lang w:val="en-US"/>
              </w:rPr>
              <w:t>Nr</w:t>
            </w:r>
            <w:r w:rsidR="0003488C" w:rsidRPr="008E797B">
              <w:rPr>
                <w:b/>
                <w:bCs/>
                <w:lang w:val="en-US"/>
              </w:rPr>
              <w:t>.</w:t>
            </w:r>
          </w:p>
        </w:tc>
      </w:tr>
      <w:tr w:rsidR="009C61F9" w:rsidRPr="00216F0E" w14:paraId="229F36C2"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67DBBC64"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73D7387E" w14:textId="0205745A" w:rsidR="009C61F9" w:rsidRPr="00AF4AEA" w:rsidRDefault="009C61F9" w:rsidP="009C61F9">
            <w:pPr>
              <w:pStyle w:val="Bodyromannumerals"/>
              <w:rPr>
                <w:color w:val="000000" w:themeColor="text1"/>
                <w:lang w:val="en-US"/>
              </w:rPr>
            </w:pPr>
            <w:r w:rsidRPr="00AF4AEA">
              <w:rPr>
                <w:color w:val="000000" w:themeColor="text1"/>
                <w:lang w:val="en-US"/>
              </w:rPr>
              <w:t xml:space="preserve">The total number of properties affected by an </w:t>
            </w:r>
            <w:r w:rsidR="0056604F">
              <w:rPr>
                <w:color w:val="000000" w:themeColor="text1"/>
                <w:lang w:val="en-US"/>
              </w:rPr>
              <w:t xml:space="preserve">unplanned </w:t>
            </w:r>
            <w:r w:rsidRPr="00AF4AEA">
              <w:rPr>
                <w:color w:val="000000" w:themeColor="text1"/>
                <w:lang w:val="en-US"/>
              </w:rPr>
              <w:t xml:space="preserve">interruption </w:t>
            </w:r>
            <w:r w:rsidR="0058076A">
              <w:rPr>
                <w:color w:val="000000" w:themeColor="text1"/>
                <w:lang w:val="en-US"/>
              </w:rPr>
              <w:t xml:space="preserve">to supply </w:t>
            </w:r>
            <w:r w:rsidRPr="00AF4AEA">
              <w:rPr>
                <w:color w:val="000000" w:themeColor="text1"/>
                <w:lang w:val="en-US"/>
              </w:rPr>
              <w:t xml:space="preserve">of greater than 6 hours duration. </w:t>
            </w:r>
            <w:r w:rsidR="0027211A">
              <w:rPr>
                <w:color w:val="000000" w:themeColor="text1"/>
                <w:lang w:val="en-US"/>
              </w:rPr>
              <w:t xml:space="preserve">This should </w:t>
            </w:r>
            <w:r w:rsidR="00A1544A">
              <w:rPr>
                <w:color w:val="000000" w:themeColor="text1"/>
                <w:lang w:val="en-US"/>
              </w:rPr>
              <w:t xml:space="preserve">be included within the incidents reported in line B2.41 and the properties reported in line B2.42. </w:t>
            </w:r>
          </w:p>
        </w:tc>
      </w:tr>
      <w:tr w:rsidR="009C61F9" w:rsidRPr="00216F0E" w14:paraId="5BD134C3"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04630D"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058DADE" w14:textId="77777777" w:rsidR="009C61F9" w:rsidRPr="00AF4AEA" w:rsidRDefault="009C61F9" w:rsidP="009C61F9">
            <w:pPr>
              <w:pStyle w:val="Bodyromannumerals"/>
              <w:rPr>
                <w:lang w:val="en-US"/>
              </w:rPr>
            </w:pPr>
            <w:r w:rsidRPr="00AF4AEA">
              <w:rPr>
                <w:lang w:val="en-US"/>
              </w:rPr>
              <w:t>Input field</w:t>
            </w:r>
          </w:p>
        </w:tc>
      </w:tr>
      <w:tr w:rsidR="009C61F9" w:rsidRPr="00216F0E" w14:paraId="3F420938" w14:textId="77777777" w:rsidTr="286C5C0D">
        <w:tc>
          <w:tcPr>
            <w:tcW w:w="1050" w:type="dxa"/>
          </w:tcPr>
          <w:p w14:paraId="03E20CF0" w14:textId="7A071AEB" w:rsidR="009C61F9" w:rsidRPr="008E797B" w:rsidRDefault="009C61F9" w:rsidP="009C61F9">
            <w:pPr>
              <w:pStyle w:val="Bodyromannumerals"/>
              <w:rPr>
                <w:b/>
                <w:bCs/>
                <w:lang w:val="en-US"/>
              </w:rPr>
            </w:pPr>
            <w:r w:rsidRPr="008E797B">
              <w:rPr>
                <w:b/>
                <w:bCs/>
                <w:lang w:val="en-US"/>
              </w:rPr>
              <w:t>B2.</w:t>
            </w:r>
            <w:r w:rsidR="00E61A28">
              <w:rPr>
                <w:b/>
                <w:bCs/>
                <w:lang w:val="en-US"/>
              </w:rPr>
              <w:t>30</w:t>
            </w:r>
          </w:p>
        </w:tc>
        <w:tc>
          <w:tcPr>
            <w:tcW w:w="5302" w:type="dxa"/>
            <w:gridSpan w:val="2"/>
          </w:tcPr>
          <w:p w14:paraId="1216FC7A" w14:textId="77777777" w:rsidR="009C61F9" w:rsidRPr="008E797B" w:rsidRDefault="009C61F9" w:rsidP="009C61F9">
            <w:pPr>
              <w:pStyle w:val="Bodyromannumerals"/>
              <w:rPr>
                <w:b/>
                <w:bCs/>
                <w:lang w:val="en-US"/>
              </w:rPr>
            </w:pPr>
            <w:r w:rsidRPr="008E797B">
              <w:rPr>
                <w:b/>
                <w:bCs/>
                <w:lang w:val="en-US"/>
              </w:rPr>
              <w:t>Total number of properties restored &gt; 12 hours</w:t>
            </w:r>
          </w:p>
        </w:tc>
        <w:tc>
          <w:tcPr>
            <w:tcW w:w="1206" w:type="dxa"/>
          </w:tcPr>
          <w:p w14:paraId="16E08B05" w14:textId="2BAEF03B" w:rsidR="009C61F9" w:rsidRPr="008E797B" w:rsidRDefault="009C61F9" w:rsidP="009C61F9">
            <w:pPr>
              <w:pStyle w:val="Bodyromannumerals"/>
              <w:rPr>
                <w:b/>
                <w:bCs/>
                <w:lang w:val="en-US"/>
              </w:rPr>
            </w:pPr>
            <w:r w:rsidRPr="008E797B">
              <w:rPr>
                <w:b/>
                <w:bCs/>
                <w:lang w:val="en-US"/>
              </w:rPr>
              <w:t>Nr</w:t>
            </w:r>
            <w:r w:rsidR="008E797B" w:rsidRPr="008E797B">
              <w:rPr>
                <w:b/>
                <w:bCs/>
                <w:lang w:val="en-US"/>
              </w:rPr>
              <w:t>.</w:t>
            </w:r>
          </w:p>
        </w:tc>
      </w:tr>
      <w:tr w:rsidR="009C61F9" w:rsidRPr="00216F0E" w14:paraId="40CA6D1D"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63689158"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3D9CBB4E" w14:textId="47F1F4B9" w:rsidR="009C61F9" w:rsidRPr="00AF4AEA" w:rsidRDefault="009C61F9" w:rsidP="009C61F9">
            <w:pPr>
              <w:pStyle w:val="Bodyromannumerals"/>
              <w:rPr>
                <w:color w:val="000000" w:themeColor="text1"/>
                <w:lang w:val="en-US"/>
              </w:rPr>
            </w:pPr>
            <w:r w:rsidRPr="00AF4AEA">
              <w:rPr>
                <w:color w:val="000000" w:themeColor="text1"/>
                <w:lang w:val="en-US"/>
              </w:rPr>
              <w:t>The total number of properties affected by an</w:t>
            </w:r>
            <w:r w:rsidR="0056604F">
              <w:rPr>
                <w:color w:val="000000" w:themeColor="text1"/>
                <w:lang w:val="en-US"/>
              </w:rPr>
              <w:t xml:space="preserve"> unplanned</w:t>
            </w:r>
            <w:r w:rsidRPr="00AF4AEA">
              <w:rPr>
                <w:color w:val="000000" w:themeColor="text1"/>
                <w:lang w:val="en-US"/>
              </w:rPr>
              <w:t xml:space="preserve"> interruption </w:t>
            </w:r>
            <w:r w:rsidR="0056604F">
              <w:rPr>
                <w:color w:val="000000" w:themeColor="text1"/>
                <w:lang w:val="en-US"/>
              </w:rPr>
              <w:t xml:space="preserve">to supply </w:t>
            </w:r>
            <w:r w:rsidRPr="00AF4AEA">
              <w:rPr>
                <w:color w:val="000000" w:themeColor="text1"/>
                <w:lang w:val="en-US"/>
              </w:rPr>
              <w:t xml:space="preserve">of greater than 12 hours duration. </w:t>
            </w:r>
            <w:r w:rsidR="00A1544A">
              <w:rPr>
                <w:color w:val="000000" w:themeColor="text1"/>
                <w:lang w:val="en-US"/>
              </w:rPr>
              <w:lastRenderedPageBreak/>
              <w:t xml:space="preserve">This should be included within the incidents reported in line B2.41 and the properties reported in line B2.42. </w:t>
            </w:r>
          </w:p>
        </w:tc>
      </w:tr>
      <w:tr w:rsidR="009C61F9" w:rsidRPr="00216F0E" w14:paraId="31E550D6"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0C8B9D8" w14:textId="77777777" w:rsidR="009C61F9" w:rsidRPr="00AF4AEA" w:rsidRDefault="009C61F9" w:rsidP="009C61F9">
            <w:pPr>
              <w:pStyle w:val="Bodyromannumerals"/>
              <w:rPr>
                <w:i/>
                <w:lang w:val="en-US"/>
              </w:rPr>
            </w:pPr>
            <w:r w:rsidRPr="00A80A3E">
              <w:rPr>
                <w:i/>
                <w:lang w:val="en-US"/>
              </w:rPr>
              <w:lastRenderedPageBreak/>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F8E51D0" w14:textId="77777777" w:rsidR="009C61F9" w:rsidRPr="00AF4AEA" w:rsidRDefault="009C61F9" w:rsidP="009C61F9">
            <w:pPr>
              <w:pStyle w:val="Bodyromannumerals"/>
              <w:rPr>
                <w:lang w:val="en-US"/>
              </w:rPr>
            </w:pPr>
            <w:r w:rsidRPr="00AF4AEA">
              <w:rPr>
                <w:lang w:val="en-US"/>
              </w:rPr>
              <w:t>Input field</w:t>
            </w:r>
          </w:p>
        </w:tc>
      </w:tr>
    </w:tbl>
    <w:p w14:paraId="4F23DA18" w14:textId="7DA0B496" w:rsidR="00295F96" w:rsidRDefault="00295F96"/>
    <w:tbl>
      <w:tblPr>
        <w:tblStyle w:val="TableGrid"/>
        <w:tblW w:w="7558" w:type="dxa"/>
        <w:tblLook w:val="04A0" w:firstRow="1" w:lastRow="0" w:firstColumn="1" w:lastColumn="0" w:noHBand="0" w:noVBand="1"/>
      </w:tblPr>
      <w:tblGrid>
        <w:gridCol w:w="1050"/>
        <w:gridCol w:w="936"/>
        <w:gridCol w:w="4366"/>
        <w:gridCol w:w="1206"/>
      </w:tblGrid>
      <w:tr w:rsidR="009C61F9" w:rsidRPr="00216F0E" w14:paraId="3C95407A" w14:textId="77777777" w:rsidTr="286C5C0D">
        <w:tc>
          <w:tcPr>
            <w:tcW w:w="1050" w:type="dxa"/>
          </w:tcPr>
          <w:p w14:paraId="455AE507" w14:textId="193CCB37" w:rsidR="009C61F9" w:rsidRPr="008E797B" w:rsidRDefault="009C61F9" w:rsidP="009C61F9">
            <w:pPr>
              <w:pStyle w:val="Bodyromannumerals"/>
              <w:rPr>
                <w:b/>
                <w:bCs/>
                <w:lang w:val="en-US"/>
              </w:rPr>
            </w:pPr>
            <w:r w:rsidRPr="008E797B">
              <w:rPr>
                <w:b/>
                <w:bCs/>
                <w:lang w:val="en-US"/>
              </w:rPr>
              <w:t>B2.</w:t>
            </w:r>
            <w:r w:rsidR="00E61A28">
              <w:rPr>
                <w:b/>
                <w:bCs/>
                <w:lang w:val="en-US"/>
              </w:rPr>
              <w:t>31</w:t>
            </w:r>
          </w:p>
        </w:tc>
        <w:tc>
          <w:tcPr>
            <w:tcW w:w="5302" w:type="dxa"/>
            <w:gridSpan w:val="2"/>
          </w:tcPr>
          <w:p w14:paraId="4B111BBA" w14:textId="77777777" w:rsidR="009C61F9" w:rsidRPr="008E797B" w:rsidRDefault="009C61F9" w:rsidP="009C61F9">
            <w:pPr>
              <w:pStyle w:val="Bodyromannumerals"/>
              <w:rPr>
                <w:b/>
                <w:bCs/>
                <w:lang w:val="en-US"/>
              </w:rPr>
            </w:pPr>
            <w:r w:rsidRPr="008E797B">
              <w:rPr>
                <w:b/>
                <w:bCs/>
                <w:lang w:val="en-US"/>
              </w:rPr>
              <w:t>Total number of properties restored &gt; 24 hours</w:t>
            </w:r>
          </w:p>
        </w:tc>
        <w:tc>
          <w:tcPr>
            <w:tcW w:w="1206" w:type="dxa"/>
          </w:tcPr>
          <w:p w14:paraId="6A6194C5" w14:textId="7142D116" w:rsidR="009C61F9" w:rsidRPr="008E797B" w:rsidRDefault="009C61F9" w:rsidP="009C61F9">
            <w:pPr>
              <w:pStyle w:val="Bodyromannumerals"/>
              <w:rPr>
                <w:b/>
                <w:bCs/>
                <w:lang w:val="en-US"/>
              </w:rPr>
            </w:pPr>
            <w:r w:rsidRPr="008E797B">
              <w:rPr>
                <w:b/>
                <w:bCs/>
                <w:lang w:val="en-US"/>
              </w:rPr>
              <w:t>Nr</w:t>
            </w:r>
            <w:r w:rsidR="008E797B" w:rsidRPr="008E797B">
              <w:rPr>
                <w:b/>
                <w:bCs/>
                <w:lang w:val="en-US"/>
              </w:rPr>
              <w:t>.</w:t>
            </w:r>
          </w:p>
        </w:tc>
      </w:tr>
      <w:tr w:rsidR="009C61F9" w:rsidRPr="00216F0E" w14:paraId="1721BB4F"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44D76C46"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190697B0" w14:textId="2C5EDB90" w:rsidR="00A1544A" w:rsidRDefault="009C61F9" w:rsidP="009C61F9">
            <w:pPr>
              <w:pStyle w:val="Bodyromannumerals"/>
              <w:rPr>
                <w:color w:val="000000" w:themeColor="text1"/>
                <w:lang w:val="en-US"/>
              </w:rPr>
            </w:pPr>
            <w:r w:rsidRPr="00AF4AEA">
              <w:rPr>
                <w:color w:val="000000" w:themeColor="text1"/>
                <w:lang w:val="en-US"/>
              </w:rPr>
              <w:t>The total number of properties affected by an</w:t>
            </w:r>
            <w:r w:rsidR="0056604F">
              <w:rPr>
                <w:color w:val="000000" w:themeColor="text1"/>
                <w:lang w:val="en-US"/>
              </w:rPr>
              <w:t xml:space="preserve"> unplanned</w:t>
            </w:r>
            <w:r w:rsidRPr="00AF4AEA">
              <w:rPr>
                <w:color w:val="000000" w:themeColor="text1"/>
                <w:lang w:val="en-US"/>
              </w:rPr>
              <w:t xml:space="preserve"> interruption </w:t>
            </w:r>
            <w:r w:rsidR="0056604F">
              <w:rPr>
                <w:color w:val="000000" w:themeColor="text1"/>
                <w:lang w:val="en-US"/>
              </w:rPr>
              <w:t xml:space="preserve">to supply </w:t>
            </w:r>
            <w:r w:rsidRPr="00AF4AEA">
              <w:rPr>
                <w:color w:val="000000" w:themeColor="text1"/>
                <w:lang w:val="en-US"/>
              </w:rPr>
              <w:t xml:space="preserve">of greater than 24 hours duration. </w:t>
            </w:r>
          </w:p>
          <w:p w14:paraId="7551A170" w14:textId="62319A78" w:rsidR="00A1544A" w:rsidRDefault="00A1544A" w:rsidP="009C61F9">
            <w:pPr>
              <w:pStyle w:val="Bodyromannumerals"/>
              <w:rPr>
                <w:color w:val="000000" w:themeColor="text1"/>
                <w:lang w:val="en-US"/>
              </w:rPr>
            </w:pPr>
            <w:r>
              <w:rPr>
                <w:color w:val="000000" w:themeColor="text1"/>
                <w:lang w:val="en-US"/>
              </w:rPr>
              <w:t>This should be included within the incidents reported in line B2.41 and the properties reported in line B2.42.</w:t>
            </w:r>
          </w:p>
          <w:p w14:paraId="17619F1C" w14:textId="6BABF8E3" w:rsidR="009C61F9" w:rsidRPr="00AF4AEA" w:rsidRDefault="009C61F9" w:rsidP="009C61F9">
            <w:pPr>
              <w:pStyle w:val="Bodyromannumerals"/>
              <w:rPr>
                <w:color w:val="000000" w:themeColor="text1"/>
                <w:lang w:val="en-US"/>
              </w:rPr>
            </w:pPr>
          </w:p>
        </w:tc>
      </w:tr>
      <w:tr w:rsidR="009C61F9" w:rsidRPr="00216F0E" w14:paraId="13A33956"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41B79C7"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D1B83FD" w14:textId="77777777" w:rsidR="009C61F9" w:rsidRPr="00AF4AEA" w:rsidRDefault="009C61F9" w:rsidP="009C61F9">
            <w:pPr>
              <w:pStyle w:val="Bodyromannumerals"/>
              <w:rPr>
                <w:lang w:val="en-US"/>
              </w:rPr>
            </w:pPr>
            <w:r w:rsidRPr="00AF4AEA">
              <w:rPr>
                <w:lang w:val="en-US"/>
              </w:rPr>
              <w:t>Input field</w:t>
            </w:r>
          </w:p>
        </w:tc>
      </w:tr>
      <w:tr w:rsidR="009C61F9" w:rsidRPr="00216F0E" w14:paraId="0E004EC0" w14:textId="77777777" w:rsidTr="286C5C0D">
        <w:tc>
          <w:tcPr>
            <w:tcW w:w="1050" w:type="dxa"/>
          </w:tcPr>
          <w:p w14:paraId="77DB4319" w14:textId="4C4CC609" w:rsidR="009C61F9" w:rsidRPr="008E797B" w:rsidRDefault="009C61F9" w:rsidP="009C61F9">
            <w:pPr>
              <w:pStyle w:val="Bodyromannumerals"/>
              <w:rPr>
                <w:b/>
                <w:bCs/>
                <w:lang w:val="en-US"/>
              </w:rPr>
            </w:pPr>
            <w:r w:rsidRPr="008E797B">
              <w:rPr>
                <w:b/>
                <w:bCs/>
                <w:lang w:val="en-US"/>
              </w:rPr>
              <w:t>B2.</w:t>
            </w:r>
            <w:r w:rsidR="00E61A28">
              <w:rPr>
                <w:b/>
                <w:bCs/>
                <w:lang w:val="en-US"/>
              </w:rPr>
              <w:t>32</w:t>
            </w:r>
          </w:p>
        </w:tc>
        <w:tc>
          <w:tcPr>
            <w:tcW w:w="5302" w:type="dxa"/>
            <w:gridSpan w:val="2"/>
          </w:tcPr>
          <w:p w14:paraId="31AA1264" w14:textId="77777777" w:rsidR="009C61F9" w:rsidRPr="008E797B" w:rsidRDefault="009C61F9" w:rsidP="009C61F9">
            <w:pPr>
              <w:pStyle w:val="Bodyromannumerals"/>
              <w:rPr>
                <w:b/>
                <w:bCs/>
                <w:lang w:val="en-US"/>
              </w:rPr>
            </w:pPr>
            <w:r w:rsidRPr="008E797B">
              <w:rPr>
                <w:b/>
                <w:bCs/>
                <w:lang w:val="en-US"/>
              </w:rPr>
              <w:t>Total number of properties restored &gt; 48 hours</w:t>
            </w:r>
          </w:p>
        </w:tc>
        <w:tc>
          <w:tcPr>
            <w:tcW w:w="1206" w:type="dxa"/>
          </w:tcPr>
          <w:p w14:paraId="649046FD" w14:textId="2B5C280A" w:rsidR="009C61F9" w:rsidRPr="008E797B" w:rsidRDefault="009C61F9" w:rsidP="009C61F9">
            <w:pPr>
              <w:pStyle w:val="Bodyromannumerals"/>
              <w:rPr>
                <w:b/>
                <w:bCs/>
                <w:lang w:val="en-US"/>
              </w:rPr>
            </w:pPr>
            <w:r w:rsidRPr="008E797B">
              <w:rPr>
                <w:b/>
                <w:bCs/>
                <w:lang w:val="en-US"/>
              </w:rPr>
              <w:t>Nr</w:t>
            </w:r>
            <w:r w:rsidR="008E797B" w:rsidRPr="008E797B">
              <w:rPr>
                <w:b/>
                <w:bCs/>
                <w:lang w:val="en-US"/>
              </w:rPr>
              <w:t>.</w:t>
            </w:r>
          </w:p>
        </w:tc>
      </w:tr>
      <w:tr w:rsidR="009C61F9" w:rsidRPr="00216F0E" w14:paraId="40A972D2" w14:textId="77777777" w:rsidTr="286C5C0D">
        <w:tc>
          <w:tcPr>
            <w:tcW w:w="1986" w:type="dxa"/>
            <w:gridSpan w:val="2"/>
            <w:tcBorders>
              <w:left w:val="single" w:sz="4" w:space="0" w:color="FFFFFF" w:themeColor="background2"/>
              <w:bottom w:val="single" w:sz="4" w:space="0" w:color="FFFFFF" w:themeColor="background2"/>
              <w:right w:val="single" w:sz="4" w:space="0" w:color="FFFFFF" w:themeColor="background2"/>
            </w:tcBorders>
          </w:tcPr>
          <w:p w14:paraId="3CD9D260" w14:textId="77777777" w:rsidR="009C61F9" w:rsidRPr="00AF4AEA" w:rsidRDefault="009C61F9" w:rsidP="009C61F9">
            <w:pPr>
              <w:pStyle w:val="Bodyromannumerals"/>
              <w:rPr>
                <w:i/>
                <w:lang w:val="en-US"/>
              </w:rPr>
            </w:pPr>
            <w:r w:rsidRPr="00A80A3E">
              <w:rPr>
                <w:i/>
                <w:lang w:val="en-US"/>
              </w:rPr>
              <w:t>Definition:</w:t>
            </w:r>
          </w:p>
        </w:tc>
        <w:tc>
          <w:tcPr>
            <w:tcW w:w="5572" w:type="dxa"/>
            <w:gridSpan w:val="2"/>
            <w:tcBorders>
              <w:left w:val="single" w:sz="4" w:space="0" w:color="FFFFFF" w:themeColor="background2"/>
              <w:bottom w:val="single" w:sz="4" w:space="0" w:color="FFFFFF" w:themeColor="background2"/>
              <w:right w:val="single" w:sz="4" w:space="0" w:color="FFFFFF" w:themeColor="background2"/>
            </w:tcBorders>
          </w:tcPr>
          <w:p w14:paraId="2927E141" w14:textId="6C5A0C05" w:rsidR="00A1544A" w:rsidRDefault="009C61F9" w:rsidP="009C61F9">
            <w:pPr>
              <w:pStyle w:val="Bodyromannumerals"/>
              <w:rPr>
                <w:color w:val="000000" w:themeColor="text1"/>
                <w:lang w:val="en-US"/>
              </w:rPr>
            </w:pPr>
            <w:r w:rsidRPr="00AF4AEA">
              <w:rPr>
                <w:color w:val="000000" w:themeColor="text1"/>
                <w:lang w:val="en-US"/>
              </w:rPr>
              <w:t xml:space="preserve">The total number of properties affected by an </w:t>
            </w:r>
            <w:r w:rsidR="0056604F">
              <w:rPr>
                <w:color w:val="000000" w:themeColor="text1"/>
                <w:lang w:val="en-US"/>
              </w:rPr>
              <w:t xml:space="preserve">unplanned </w:t>
            </w:r>
            <w:r w:rsidRPr="00AF4AEA">
              <w:rPr>
                <w:color w:val="000000" w:themeColor="text1"/>
                <w:lang w:val="en-US"/>
              </w:rPr>
              <w:t xml:space="preserve">interruption </w:t>
            </w:r>
            <w:r w:rsidR="0056604F">
              <w:rPr>
                <w:color w:val="000000" w:themeColor="text1"/>
                <w:lang w:val="en-US"/>
              </w:rPr>
              <w:t xml:space="preserve">to supply </w:t>
            </w:r>
            <w:r w:rsidRPr="00AF4AEA">
              <w:rPr>
                <w:color w:val="000000" w:themeColor="text1"/>
                <w:lang w:val="en-US"/>
              </w:rPr>
              <w:t xml:space="preserve">of greater than 48 hours duration. </w:t>
            </w:r>
          </w:p>
          <w:p w14:paraId="0B687050" w14:textId="18D34251" w:rsidR="009C61F9" w:rsidRPr="00AF4AEA" w:rsidRDefault="00A1544A" w:rsidP="009C61F9">
            <w:pPr>
              <w:pStyle w:val="Bodyromannumerals"/>
              <w:rPr>
                <w:color w:val="000000" w:themeColor="text1"/>
                <w:lang w:val="en-US"/>
              </w:rPr>
            </w:pPr>
            <w:r>
              <w:rPr>
                <w:color w:val="000000" w:themeColor="text1"/>
                <w:lang w:val="en-US"/>
              </w:rPr>
              <w:t>This should be included within the incidents reported in line B2.41 and the properties reported in line B2.42.</w:t>
            </w:r>
          </w:p>
        </w:tc>
      </w:tr>
      <w:tr w:rsidR="009C61F9" w:rsidRPr="00216F0E" w14:paraId="1B625FC6" w14:textId="77777777" w:rsidTr="286C5C0D">
        <w:tc>
          <w:tcPr>
            <w:tcW w:w="198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FA6C040" w14:textId="77777777" w:rsidR="009C61F9" w:rsidRPr="00AF4AEA" w:rsidRDefault="009C61F9" w:rsidP="009C61F9">
            <w:pPr>
              <w:pStyle w:val="Bodyromannumerals"/>
              <w:rPr>
                <w:i/>
                <w:lang w:val="en-US"/>
              </w:rPr>
            </w:pPr>
            <w:r w:rsidRPr="00A80A3E">
              <w:rPr>
                <w:i/>
                <w:lang w:val="en-US"/>
              </w:rPr>
              <w:t>Processing Rules:</w:t>
            </w:r>
          </w:p>
        </w:tc>
        <w:tc>
          <w:tcPr>
            <w:tcW w:w="557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B2A288B" w14:textId="77777777" w:rsidR="009C61F9" w:rsidRPr="00AF4AEA" w:rsidRDefault="009C61F9" w:rsidP="009C61F9">
            <w:pPr>
              <w:pStyle w:val="Bodyromannumerals"/>
              <w:rPr>
                <w:lang w:val="en-US"/>
              </w:rPr>
            </w:pPr>
            <w:r w:rsidRPr="00AF4AEA">
              <w:rPr>
                <w:lang w:val="en-US"/>
              </w:rPr>
              <w:t>Input field</w:t>
            </w:r>
          </w:p>
        </w:tc>
      </w:tr>
    </w:tbl>
    <w:p w14:paraId="2800EB66" w14:textId="77777777" w:rsidR="009C61F9" w:rsidRPr="00AF4AEA" w:rsidRDefault="009C61F9" w:rsidP="009C61F9">
      <w:pPr>
        <w:rPr>
          <w:rFonts w:cs="Calibri"/>
        </w:rPr>
      </w:pPr>
    </w:p>
    <w:p w14:paraId="0B62FE1A" w14:textId="77777777" w:rsidR="00C02A8B" w:rsidRDefault="00C02A8B">
      <w:pPr>
        <w:spacing w:after="160" w:line="259" w:lineRule="auto"/>
        <w:rPr>
          <w:rFonts w:ascii="Calibri" w:hAnsi="Calibri" w:cs="Calibri"/>
          <w:sz w:val="21"/>
          <w:szCs w:val="21"/>
        </w:rPr>
      </w:pPr>
      <w:r>
        <w:br w:type="page"/>
      </w:r>
    </w:p>
    <w:p w14:paraId="75718BF7" w14:textId="07E779BD" w:rsidR="00BE4543" w:rsidRDefault="00BE4543" w:rsidP="00C02A8B">
      <w:pPr>
        <w:pStyle w:val="Title1"/>
      </w:pPr>
      <w:r>
        <w:lastRenderedPageBreak/>
        <w:t xml:space="preserve">TABLE B3: </w:t>
      </w:r>
      <w:r w:rsidR="007765EF">
        <w:t xml:space="preserve">WASTEWATER </w:t>
      </w:r>
      <w:r>
        <w:t>FLOODING</w:t>
      </w:r>
      <w:r w:rsidR="0085053F">
        <w:t xml:space="preserve"> </w:t>
      </w:r>
      <w:r w:rsidR="00C10A67">
        <w:t>INSIDE</w:t>
      </w:r>
      <w:r w:rsidR="003738F5">
        <w:t xml:space="preserve"> A </w:t>
      </w:r>
      <w:r w:rsidR="00C10A67">
        <w:t>PROPERTY</w:t>
      </w:r>
      <w:r w:rsidR="003738F5">
        <w:t xml:space="preserve"> </w:t>
      </w:r>
    </w:p>
    <w:p w14:paraId="6BAE9248" w14:textId="132800A9" w:rsidR="00BD1F1B" w:rsidRDefault="00BD1F1B" w:rsidP="00BD1F1B">
      <w:pPr>
        <w:pStyle w:val="Sectionsub-heading"/>
      </w:pPr>
      <w:r>
        <w:t>Overall guidance</w:t>
      </w:r>
    </w:p>
    <w:p w14:paraId="18913ED5" w14:textId="77777777" w:rsidR="00512AE8" w:rsidRDefault="00512AE8" w:rsidP="00911155">
      <w:pPr>
        <w:pStyle w:val="Bodynumbercopy"/>
        <w:numPr>
          <w:ilvl w:val="0"/>
          <w:numId w:val="45"/>
        </w:numPr>
      </w:pPr>
      <w:r>
        <w:t xml:space="preserve">If the information is not available for the measure requested, Local Authorities should provide their </w:t>
      </w:r>
      <w:proofErr w:type="gramStart"/>
      <w:r>
        <w:t>best informed</w:t>
      </w:r>
      <w:proofErr w:type="gramEnd"/>
      <w:r>
        <w:t xml:space="preserve"> guess based on the information available and reflect the uncertainty in selecting the appropriate confidence grade.</w:t>
      </w:r>
    </w:p>
    <w:p w14:paraId="77DB325A" w14:textId="77777777" w:rsidR="00E122CF" w:rsidRDefault="00E122CF" w:rsidP="00512AE8">
      <w:pPr>
        <w:pStyle w:val="Bodynumbercopy"/>
      </w:pPr>
      <w:r w:rsidRPr="009D4FE0">
        <w:t>Using unplanned interruptions</w:t>
      </w:r>
      <w:r>
        <w:t xml:space="preserve"> in Table B2</w:t>
      </w:r>
      <w:r w:rsidRPr="009D4FE0">
        <w:t xml:space="preserve"> as an example, if the Local Authority has collected information which shows that 150 properties were restored within 8 hours then this would serve as a maximum for the number of properties restored within six hours in line B2.43. A Local Authority could therefore make an informed guess that 100 properties were restored within 6 hours and apply a confidence grade of D5 which would suggest that the reported performance is within +/-50% of the actual performance in the year.  This would result in a maximum of 150 properties (100 + (100 * 50%)) in line with the </w:t>
      </w:r>
      <w:r>
        <w:t xml:space="preserve">known </w:t>
      </w:r>
      <w:r w:rsidRPr="009D4FE0">
        <w:t>properties restored within 8 hours.</w:t>
      </w:r>
    </w:p>
    <w:p w14:paraId="6C935D2F" w14:textId="31E83394" w:rsidR="000F6063" w:rsidRDefault="000F6063" w:rsidP="00512AE8">
      <w:pPr>
        <w:pStyle w:val="Bodynumbercopy"/>
      </w:pPr>
      <w:r w:rsidRPr="00A601C6">
        <w:t>For forecast performance in 2020/21, Local Authorities are suggested to provide an estimate based on historic performance (e.g. average performance over the previous 5 years).</w:t>
      </w:r>
    </w:p>
    <w:p w14:paraId="53298A21" w14:textId="5BD39A3F" w:rsidR="008B2F58" w:rsidRDefault="0016066F" w:rsidP="008B2F58">
      <w:pPr>
        <w:pStyle w:val="Bodynumbercopy"/>
      </w:pPr>
      <w:r>
        <w:t>F</w:t>
      </w:r>
      <w:r w:rsidR="008B2F58">
        <w:t>looding</w:t>
      </w:r>
      <w:r>
        <w:t xml:space="preserve"> of habitable floors</w:t>
      </w:r>
      <w:r w:rsidR="008B2F58">
        <w:t xml:space="preserve"> from stormwater systems is dealt with in Table B3b.</w:t>
      </w:r>
    </w:p>
    <w:p w14:paraId="62902112" w14:textId="65CF3D75" w:rsidR="00544CDB" w:rsidRDefault="00544CDB" w:rsidP="00544CDB">
      <w:pPr>
        <w:pStyle w:val="Sectionsub-heading"/>
      </w:pPr>
      <w:r>
        <w:t>Purpose of the table</w:t>
      </w:r>
    </w:p>
    <w:p w14:paraId="20138123" w14:textId="21144063" w:rsidR="00BE4543" w:rsidRPr="00C10211" w:rsidRDefault="00544CDB" w:rsidP="00911155">
      <w:pPr>
        <w:pStyle w:val="Bodynumbercopy"/>
        <w:rPr>
          <w:rFonts w:asciiTheme="minorHAnsi" w:eastAsiaTheme="minorEastAsia" w:hAnsiTheme="minorHAnsi" w:cstheme="minorBidi"/>
        </w:rPr>
      </w:pPr>
      <w:r>
        <w:t xml:space="preserve">To measure the frequency of actual flooding of properties from the public </w:t>
      </w:r>
      <w:r w:rsidR="009D138F">
        <w:t>wastewater</w:t>
      </w:r>
      <w:r>
        <w:t xml:space="preserve"> system.</w:t>
      </w:r>
      <w:r w:rsidR="00A56165">
        <w:t xml:space="preserve"> </w:t>
      </w:r>
      <w:r w:rsidR="00BE4543">
        <w:t>This table includes:</w:t>
      </w:r>
    </w:p>
    <w:p w14:paraId="274DDFAD" w14:textId="34732AC4" w:rsidR="00BE4543" w:rsidRPr="00A12D8A" w:rsidRDefault="00BE4543" w:rsidP="00C10211">
      <w:pPr>
        <w:pStyle w:val="Bodynumbercopy"/>
        <w:rPr>
          <w:rFonts w:asciiTheme="minorHAnsi" w:eastAsiaTheme="minorEastAsia" w:hAnsiTheme="minorHAnsi" w:cstheme="minorBidi"/>
          <w:b/>
          <w:bCs/>
        </w:rPr>
      </w:pPr>
      <w:r w:rsidRPr="00A12D8A">
        <w:rPr>
          <w:b/>
          <w:bCs/>
        </w:rPr>
        <w:t xml:space="preserve">Annual Flooding </w:t>
      </w:r>
      <w:r w:rsidR="00D704CA">
        <w:rPr>
          <w:b/>
          <w:bCs/>
        </w:rPr>
        <w:t>of Habitable Floors</w:t>
      </w:r>
      <w:r w:rsidR="008C2119">
        <w:rPr>
          <w:b/>
          <w:bCs/>
        </w:rPr>
        <w:t xml:space="preserve"> </w:t>
      </w:r>
      <w:r w:rsidR="008C2119" w:rsidRPr="286C5C0D">
        <w:rPr>
          <w:b/>
          <w:bCs/>
        </w:rPr>
        <w:t>–</w:t>
      </w:r>
      <w:r w:rsidRPr="00A12D8A">
        <w:rPr>
          <w:b/>
          <w:bCs/>
        </w:rPr>
        <w:t xml:space="preserve"> Overloaded </w:t>
      </w:r>
      <w:r w:rsidR="007765EF" w:rsidRPr="00A12D8A">
        <w:rPr>
          <w:b/>
          <w:bCs/>
        </w:rPr>
        <w:t xml:space="preserve">Wastewater </w:t>
      </w:r>
      <w:r w:rsidR="0085053F" w:rsidRPr="00A12D8A">
        <w:rPr>
          <w:b/>
          <w:bCs/>
        </w:rPr>
        <w:t>Systems</w:t>
      </w:r>
      <w:bookmarkStart w:id="3" w:name="_Hlk52881497"/>
      <w:bookmarkEnd w:id="3"/>
    </w:p>
    <w:p w14:paraId="718AC005" w14:textId="14754424" w:rsidR="00BE4543" w:rsidRPr="00544CDB" w:rsidRDefault="00BE4543" w:rsidP="00544CDB">
      <w:pPr>
        <w:pStyle w:val="Bodynumbercopy"/>
      </w:pPr>
      <w:r w:rsidRPr="286C5C0D">
        <w:rPr>
          <w:b/>
          <w:bCs/>
        </w:rPr>
        <w:t xml:space="preserve">Annual Flooding </w:t>
      </w:r>
      <w:r w:rsidR="00D704CA">
        <w:rPr>
          <w:b/>
          <w:bCs/>
        </w:rPr>
        <w:t>of Habitable Floors</w:t>
      </w:r>
      <w:r w:rsidR="008C2119">
        <w:rPr>
          <w:b/>
          <w:bCs/>
        </w:rPr>
        <w:t xml:space="preserve"> </w:t>
      </w:r>
      <w:r w:rsidRPr="286C5C0D">
        <w:rPr>
          <w:b/>
          <w:bCs/>
        </w:rPr>
        <w:t>– Other Causes</w:t>
      </w:r>
    </w:p>
    <w:p w14:paraId="72F5674A" w14:textId="1ACB653A" w:rsidR="00BE4543" w:rsidRDefault="00BE4543" w:rsidP="00544CDB">
      <w:pPr>
        <w:pStyle w:val="Bodynumbercopy"/>
        <w:numPr>
          <w:ilvl w:val="0"/>
          <w:numId w:val="0"/>
        </w:numPr>
        <w:ind w:left="780"/>
      </w:pPr>
      <w:r>
        <w:t xml:space="preserve">These lines include properties </w:t>
      </w:r>
      <w:r w:rsidR="007D0F22">
        <w:t xml:space="preserve">with habitable floors </w:t>
      </w:r>
      <w:r>
        <w:t xml:space="preserve">flooded from the </w:t>
      </w:r>
      <w:r w:rsidR="007765EF">
        <w:t xml:space="preserve">wastewater </w:t>
      </w:r>
      <w:r w:rsidR="00037B09">
        <w:t>s</w:t>
      </w:r>
      <w:r w:rsidR="00EE769A" w:rsidRPr="00EE769A">
        <w:t>ystems</w:t>
      </w:r>
      <w:r>
        <w:t xml:space="preserve"> for any reason and a breakdown of flooding incidents by cause.</w:t>
      </w:r>
      <w:r w:rsidR="00A90A9D">
        <w:t xml:space="preserve"> </w:t>
      </w:r>
    </w:p>
    <w:p w14:paraId="4F058A8C" w14:textId="2CE39853" w:rsidR="00BE4543" w:rsidRPr="00544CDB" w:rsidRDefault="00BE4543" w:rsidP="286C5C0D">
      <w:pPr>
        <w:pStyle w:val="Bodynumbercopy"/>
        <w:rPr>
          <w:rFonts w:asciiTheme="minorHAnsi" w:eastAsiaTheme="minorEastAsia" w:hAnsiTheme="minorHAnsi" w:cstheme="minorBidi"/>
        </w:rPr>
      </w:pPr>
      <w:r w:rsidRPr="286C5C0D">
        <w:rPr>
          <w:b/>
          <w:bCs/>
        </w:rPr>
        <w:t xml:space="preserve">Properties at </w:t>
      </w:r>
      <w:r w:rsidR="00F74C67" w:rsidRPr="286C5C0D">
        <w:rPr>
          <w:b/>
          <w:bCs/>
        </w:rPr>
        <w:t>r</w:t>
      </w:r>
      <w:r w:rsidRPr="286C5C0D">
        <w:rPr>
          <w:b/>
          <w:bCs/>
        </w:rPr>
        <w:t xml:space="preserve">isk of </w:t>
      </w:r>
      <w:r w:rsidR="00F74C67" w:rsidRPr="286C5C0D">
        <w:rPr>
          <w:b/>
          <w:bCs/>
        </w:rPr>
        <w:t>f</w:t>
      </w:r>
      <w:r w:rsidRPr="286C5C0D">
        <w:rPr>
          <w:b/>
          <w:bCs/>
        </w:rPr>
        <w:t>looding</w:t>
      </w:r>
    </w:p>
    <w:p w14:paraId="22A0F01B" w14:textId="7FF25CC1" w:rsidR="00BE4543" w:rsidRDefault="00BE4543" w:rsidP="286C5C0D">
      <w:pPr>
        <w:pStyle w:val="Bodynumbercopy"/>
        <w:numPr>
          <w:ilvl w:val="0"/>
          <w:numId w:val="0"/>
        </w:numPr>
        <w:ind w:left="780"/>
      </w:pPr>
      <w:r>
        <w:t xml:space="preserve">These lines cover properties at risk of </w:t>
      </w:r>
      <w:r w:rsidR="00B85ED7">
        <w:t xml:space="preserve">habitable floor </w:t>
      </w:r>
      <w:r>
        <w:t>flooding more frequently than once or twice in ten years.</w:t>
      </w:r>
    </w:p>
    <w:p w14:paraId="1B6884C0" w14:textId="77777777" w:rsidR="006522AE" w:rsidRDefault="006522AE" w:rsidP="00C02A8B">
      <w:pPr>
        <w:pStyle w:val="Sectionsub-heading"/>
      </w:pPr>
      <w:r>
        <w:br w:type="page"/>
      </w:r>
    </w:p>
    <w:p w14:paraId="5B5B5340" w14:textId="668BC745" w:rsidR="00BE4543" w:rsidRDefault="00BE4543" w:rsidP="00C02A8B">
      <w:pPr>
        <w:pStyle w:val="Sectionsub-heading"/>
      </w:pPr>
      <w:r>
        <w:lastRenderedPageBreak/>
        <w:t xml:space="preserve">Common </w:t>
      </w:r>
      <w:r w:rsidR="00544CDB">
        <w:t>d</w:t>
      </w:r>
      <w:r>
        <w:t>efinitions</w:t>
      </w:r>
    </w:p>
    <w:p w14:paraId="4D9C8550" w14:textId="59681203" w:rsidR="003A27D8" w:rsidRDefault="00D90AA6" w:rsidP="001E7C7A">
      <w:pPr>
        <w:pStyle w:val="Bodynumbercopy"/>
      </w:pPr>
      <w:r w:rsidRPr="0007555F">
        <w:rPr>
          <w:b/>
          <w:bCs/>
        </w:rPr>
        <w:t>Flooding of habitable floors</w:t>
      </w:r>
      <w:r w:rsidR="00BE4543" w:rsidRPr="0007555F">
        <w:rPr>
          <w:b/>
          <w:bCs/>
        </w:rPr>
        <w:t>:</w:t>
      </w:r>
      <w:r w:rsidR="008B2569" w:rsidRPr="00A12D8A">
        <w:t xml:space="preserve"> </w:t>
      </w:r>
      <w:r w:rsidR="00AB5C40">
        <w:t xml:space="preserve">This </w:t>
      </w:r>
      <w:r w:rsidR="008D790A" w:rsidRPr="00A12D8A">
        <w:t>refers to a floor of a building including a basement (but does not include ancillary structures such as stand-alone garden sheds and garages).</w:t>
      </w:r>
      <w:r w:rsidR="00BE4543">
        <w:t xml:space="preserve"> For the purposes of this table,</w:t>
      </w:r>
      <w:r w:rsidR="005464D2">
        <w:t xml:space="preserve"> flooding of</w:t>
      </w:r>
      <w:r w:rsidR="00BE4543">
        <w:t xml:space="preserve"> </w:t>
      </w:r>
      <w:r w:rsidR="00033C79">
        <w:t>habitable floor</w:t>
      </w:r>
      <w:r w:rsidR="005464D2">
        <w:t>s</w:t>
      </w:r>
      <w:r w:rsidR="00033C79">
        <w:t xml:space="preserve"> </w:t>
      </w:r>
      <w:r w:rsidR="00BE4543">
        <w:t xml:space="preserve">is defined as flooding which enters a building or passes below a suspended floor. </w:t>
      </w:r>
      <w:r w:rsidR="004B117D">
        <w:t>For the avoidance of doubt, i</w:t>
      </w:r>
      <w:r w:rsidR="002C293B">
        <w:t xml:space="preserve">t is </w:t>
      </w:r>
      <w:r w:rsidR="00E53379">
        <w:t>an</w:t>
      </w:r>
      <w:r w:rsidR="002C293B">
        <w:t xml:space="preserve"> event when </w:t>
      </w:r>
      <w:r w:rsidR="00AB6F76">
        <w:t xml:space="preserve">any </w:t>
      </w:r>
      <w:r w:rsidR="00B81D66">
        <w:t>waste</w:t>
      </w:r>
      <w:r w:rsidR="002C293B">
        <w:t>water</w:t>
      </w:r>
      <w:r w:rsidR="00B81D66">
        <w:t xml:space="preserve"> </w:t>
      </w:r>
      <w:r w:rsidR="002C293B">
        <w:t xml:space="preserve">enters the building. </w:t>
      </w:r>
    </w:p>
    <w:p w14:paraId="5995B35D" w14:textId="463D93AA" w:rsidR="00BE4543" w:rsidRDefault="00BE4543" w:rsidP="001E7C7A">
      <w:pPr>
        <w:pStyle w:val="Bodynumbercopy"/>
      </w:pPr>
      <w:r>
        <w:t xml:space="preserve">For reporting purposes, buildings are restricted to those normally occupied and used for residential, public, commercial, business or industrial purposes. </w:t>
      </w:r>
    </w:p>
    <w:p w14:paraId="5F0EE3F4" w14:textId="77777777" w:rsidR="00BE4543" w:rsidRDefault="00BE4543" w:rsidP="0081462E">
      <w:pPr>
        <w:pStyle w:val="Bodynumbercopy"/>
        <w:numPr>
          <w:ilvl w:val="0"/>
          <w:numId w:val="0"/>
        </w:numPr>
        <w:ind w:left="780"/>
      </w:pPr>
      <w:r>
        <w:t>Buildings whose prime purpose is storage or installation of domestic appliances are excluded. This exclusion encompasses both:</w:t>
      </w:r>
    </w:p>
    <w:p w14:paraId="594BFA6E" w14:textId="0E1D8202" w:rsidR="00BE4543" w:rsidRDefault="00BE4543" w:rsidP="00C10211">
      <w:pPr>
        <w:pStyle w:val="Bodyromannumerals"/>
        <w:numPr>
          <w:ilvl w:val="0"/>
          <w:numId w:val="23"/>
        </w:numPr>
      </w:pPr>
      <w:r>
        <w:t>detached garages (whether situated inside the boundary of the property and separated from the main building or outside the boundary but with common access as in a garage block); and</w:t>
      </w:r>
    </w:p>
    <w:p w14:paraId="52D3324A" w14:textId="1D114F09" w:rsidR="00BE4543" w:rsidRDefault="00BE4543" w:rsidP="00C10211">
      <w:pPr>
        <w:pStyle w:val="Bodyromannumerals"/>
        <w:numPr>
          <w:ilvl w:val="0"/>
          <w:numId w:val="23"/>
        </w:numPr>
      </w:pPr>
      <w:r>
        <w:t xml:space="preserve">linked detached garages (i.e. garages which are attached to a property but separated from it by an external passageway). </w:t>
      </w:r>
    </w:p>
    <w:p w14:paraId="0B3D230B" w14:textId="13FEA30C" w:rsidR="00BE4543" w:rsidRDefault="00BE4543" w:rsidP="0081462E">
      <w:pPr>
        <w:pStyle w:val="Bodynumbercopy"/>
        <w:numPr>
          <w:ilvl w:val="0"/>
          <w:numId w:val="0"/>
        </w:numPr>
        <w:ind w:left="780"/>
      </w:pPr>
      <w:r>
        <w:t>However, garages forming an integral part of a property are classed as part of the building and are included, even if their prime purpose is storage, etc.</w:t>
      </w:r>
    </w:p>
    <w:p w14:paraId="231806FE" w14:textId="2AC1D123" w:rsidR="00BE4543" w:rsidRDefault="00BE4543" w:rsidP="001E7C7A">
      <w:pPr>
        <w:pStyle w:val="Bodynumbercopy"/>
      </w:pPr>
      <w:r w:rsidRPr="286C5C0D">
        <w:rPr>
          <w:b/>
          <w:bCs/>
        </w:rPr>
        <w:t>Flooding Incidents:</w:t>
      </w:r>
      <w:r>
        <w:t xml:space="preserve"> For the purpose of the </w:t>
      </w:r>
      <w:r w:rsidR="00054111">
        <w:t>request for information</w:t>
      </w:r>
      <w:r>
        <w:t>, a flooding incident is defined as an incident of flooding</w:t>
      </w:r>
      <w:r w:rsidR="000E2232">
        <w:t xml:space="preserve"> of a habitable floor</w:t>
      </w:r>
      <w:r>
        <w:t xml:space="preserve"> (as defined above) from a public </w:t>
      </w:r>
      <w:r w:rsidR="0094793D">
        <w:t xml:space="preserve">wastewater </w:t>
      </w:r>
      <w:r w:rsidR="003F0A19">
        <w:t>system</w:t>
      </w:r>
      <w:r w:rsidR="002D3A02">
        <w:t>.</w:t>
      </w:r>
      <w:r w:rsidR="00AD76C2">
        <w:t xml:space="preserve"> </w:t>
      </w:r>
    </w:p>
    <w:p w14:paraId="6BD10FB8" w14:textId="6880F405" w:rsidR="00BE4543" w:rsidRDefault="00BE4543" w:rsidP="001E7C7A">
      <w:pPr>
        <w:pStyle w:val="Bodynumbercopy"/>
      </w:pPr>
      <w:r w:rsidRPr="286C5C0D">
        <w:rPr>
          <w:b/>
          <w:bCs/>
        </w:rPr>
        <w:t xml:space="preserve">Overloaded </w:t>
      </w:r>
      <w:r w:rsidR="0094793D">
        <w:rPr>
          <w:b/>
          <w:bCs/>
        </w:rPr>
        <w:t>Wastewater</w:t>
      </w:r>
      <w:r w:rsidR="0094793D" w:rsidRPr="286C5C0D">
        <w:rPr>
          <w:b/>
          <w:bCs/>
        </w:rPr>
        <w:t xml:space="preserve"> </w:t>
      </w:r>
      <w:r w:rsidR="002C293B" w:rsidRPr="286C5C0D">
        <w:rPr>
          <w:b/>
          <w:bCs/>
        </w:rPr>
        <w:t>System</w:t>
      </w:r>
      <w:r w:rsidRPr="286C5C0D">
        <w:rPr>
          <w:b/>
          <w:bCs/>
        </w:rPr>
        <w:t>:</w:t>
      </w:r>
      <w:r>
        <w:t xml:space="preserve"> A </w:t>
      </w:r>
      <w:r w:rsidR="0094793D">
        <w:t xml:space="preserve">wastewater </w:t>
      </w:r>
      <w:r w:rsidR="002C293B">
        <w:t xml:space="preserve">system </w:t>
      </w:r>
      <w:r>
        <w:t xml:space="preserve">is overloaded when the flow is unable to pass through it due to a permanent problem (e.g. flat gradient, small diameter). Temporary problems such as blockages, siltation, collapses and equipment or operational failures are excluded. No account should be taken of the severity of the </w:t>
      </w:r>
      <w:r w:rsidR="00606130">
        <w:t xml:space="preserve">weather event </w:t>
      </w:r>
      <w:r>
        <w:t>causing the incident.</w:t>
      </w:r>
    </w:p>
    <w:p w14:paraId="4E54F0B1" w14:textId="408A8EE7" w:rsidR="00BE4543" w:rsidRDefault="00BE4543" w:rsidP="001E7C7A">
      <w:pPr>
        <w:pStyle w:val="Bodynumbercopy"/>
      </w:pPr>
      <w:r w:rsidRPr="286C5C0D">
        <w:rPr>
          <w:b/>
          <w:bCs/>
        </w:rPr>
        <w:t>Third party Causes:</w:t>
      </w:r>
      <w:r>
        <w:t xml:space="preserve"> A third party incident is one where the </w:t>
      </w:r>
      <w:r w:rsidR="00906346">
        <w:t>Local</w:t>
      </w:r>
      <w:r w:rsidR="002E0E38">
        <w:t xml:space="preserve"> Authority</w:t>
      </w:r>
      <w:r>
        <w:t xml:space="preserve"> could take action to recover costs from those responsible. Incidents due to third party actions should be included in the appropriate category (i.e. equipment failure, blockages or collapses). The </w:t>
      </w:r>
      <w:r w:rsidR="00906346">
        <w:t>Local</w:t>
      </w:r>
      <w:r w:rsidR="002E0E38">
        <w:t xml:space="preserve"> Authority</w:t>
      </w:r>
      <w:r>
        <w:t xml:space="preserve"> may report the total number of these in the Commentary.</w:t>
      </w:r>
    </w:p>
    <w:p w14:paraId="2BA2910A" w14:textId="77777777" w:rsidR="00BE4543" w:rsidRDefault="00BE4543" w:rsidP="00C02A8B">
      <w:pPr>
        <w:pStyle w:val="Sectionsub-heading"/>
      </w:pPr>
      <w:r>
        <w:t>Guidance</w:t>
      </w:r>
    </w:p>
    <w:p w14:paraId="16A30533" w14:textId="361E4885" w:rsidR="00BE4543" w:rsidRDefault="00BE4543" w:rsidP="001E7C7A">
      <w:pPr>
        <w:pStyle w:val="Bodynumbercopy"/>
      </w:pPr>
      <w:r w:rsidRPr="286C5C0D">
        <w:rPr>
          <w:b/>
          <w:bCs/>
        </w:rPr>
        <w:t>Flooding Incidents:</w:t>
      </w:r>
      <w:r>
        <w:t xml:space="preserve"> All incidents of flooding of </w:t>
      </w:r>
      <w:r w:rsidR="00887894">
        <w:t xml:space="preserve">a habitable floor in </w:t>
      </w:r>
      <w:r>
        <w:t xml:space="preserve">properties should be reported in the table under the appropriate category. For properties which are flooded more than once during the report year, each incident should be reported in the appropriate category (lines B3.2 to B3.13). The structure of the table requires that a property affected by </w:t>
      </w:r>
      <w:r w:rsidR="00FC11DB">
        <w:t xml:space="preserve">habitable floor </w:t>
      </w:r>
      <w:r>
        <w:t xml:space="preserve">flooding from overloaded </w:t>
      </w:r>
      <w:r w:rsidR="00E7094C">
        <w:t xml:space="preserve">wastewater </w:t>
      </w:r>
      <w:r w:rsidR="00B77E84">
        <w:t>system</w:t>
      </w:r>
      <w:r>
        <w:t xml:space="preserve"> is categorised by frequency. </w:t>
      </w:r>
    </w:p>
    <w:p w14:paraId="070B43D5" w14:textId="42D0F4F3" w:rsidR="00BE4543" w:rsidRDefault="0081462E" w:rsidP="0081462E">
      <w:pPr>
        <w:pStyle w:val="Bodynumbercopy"/>
      </w:pPr>
      <w:r>
        <w:t>F</w:t>
      </w:r>
      <w:r w:rsidR="00BE4543">
        <w:t xml:space="preserve">or the purpose of the </w:t>
      </w:r>
      <w:proofErr w:type="spellStart"/>
      <w:r>
        <w:t>RfI</w:t>
      </w:r>
      <w:proofErr w:type="spellEnd"/>
      <w:r w:rsidR="00BE4543">
        <w:t xml:space="preserve">, all flooding incidents caused by the overloading of </w:t>
      </w:r>
      <w:r w:rsidR="00E7094C">
        <w:t xml:space="preserve">wastewater </w:t>
      </w:r>
      <w:r w:rsidR="00B77E84">
        <w:t>systems</w:t>
      </w:r>
      <w:r w:rsidR="00BE4543">
        <w:t xml:space="preserve"> (which cannot be attributed to other causes, such as blockages or collapse) must be reported under the heading of overloaded </w:t>
      </w:r>
      <w:r w:rsidR="00E7094C">
        <w:t xml:space="preserve">wastewater </w:t>
      </w:r>
      <w:r w:rsidR="00653EB8">
        <w:t>systems</w:t>
      </w:r>
      <w:r w:rsidR="00BE4543">
        <w:t xml:space="preserve">. This includes flooding incidents caused by severe </w:t>
      </w:r>
      <w:r w:rsidR="00A26A98">
        <w:t xml:space="preserve">weather events </w:t>
      </w:r>
      <w:r w:rsidR="00BE4543">
        <w:t xml:space="preserve">which may be outside the </w:t>
      </w:r>
      <w:r w:rsidR="00906346">
        <w:t>Local</w:t>
      </w:r>
      <w:r w:rsidR="002E0E38">
        <w:t xml:space="preserve"> Authority</w:t>
      </w:r>
      <w:r w:rsidR="00E11310">
        <w:t xml:space="preserve"> </w:t>
      </w:r>
      <w:r w:rsidR="00BE4543">
        <w:t xml:space="preserve">'s design standard for a particular </w:t>
      </w:r>
      <w:r w:rsidR="00DB55B5">
        <w:t xml:space="preserve">wastewater </w:t>
      </w:r>
      <w:r w:rsidR="00653EB8">
        <w:t>system</w:t>
      </w:r>
      <w:r w:rsidR="00BE4543">
        <w:t xml:space="preserve">. Properties affected by a flooding incident should be placed into an appropriate risk category under incidents </w:t>
      </w:r>
      <w:r w:rsidR="00BE4543">
        <w:lastRenderedPageBreak/>
        <w:t xml:space="preserve">due to overloaded </w:t>
      </w:r>
      <w:r w:rsidR="00DB55B5">
        <w:t xml:space="preserve">wastewater </w:t>
      </w:r>
      <w:r w:rsidR="00653EB8">
        <w:t xml:space="preserve">systems </w:t>
      </w:r>
      <w:r w:rsidR="00BE4543">
        <w:t xml:space="preserve">unless there is positive identification that the finding was due to blockage, collapse or equipment failure. The commentary should state the number of 'unknown cause' properties affected by flooding incidents which have been placed in the overloaded </w:t>
      </w:r>
      <w:r w:rsidR="00DB55B5">
        <w:t xml:space="preserve">wastewater </w:t>
      </w:r>
      <w:r w:rsidR="00F87012">
        <w:t>system</w:t>
      </w:r>
      <w:r w:rsidR="00BE4543">
        <w:t xml:space="preserve"> category.</w:t>
      </w:r>
    </w:p>
    <w:p w14:paraId="5635EEBC" w14:textId="23EA3D0F" w:rsidR="00BE4543" w:rsidRDefault="00BE4543" w:rsidP="001E7C7A">
      <w:pPr>
        <w:pStyle w:val="Bodynumbercopy"/>
      </w:pPr>
      <w:r w:rsidRPr="286C5C0D">
        <w:rPr>
          <w:b/>
          <w:bCs/>
        </w:rPr>
        <w:t>Relationship Between Flooding Incidents and Properties 'At Risk':</w:t>
      </w:r>
      <w:r>
        <w:t xml:space="preserve"> The aim of the breakdown of flooding incidents caused by overloaded </w:t>
      </w:r>
      <w:r w:rsidR="00DB55B5">
        <w:t xml:space="preserve">wastewater </w:t>
      </w:r>
      <w:r w:rsidR="00F87012">
        <w:t>systems</w:t>
      </w:r>
      <w:r>
        <w:t xml:space="preserve"> is to enable a comparison between actual incidents and properties reported as being at risk of flooding more than once in ten years and more than twice in ten years.</w:t>
      </w:r>
    </w:p>
    <w:p w14:paraId="6E149084" w14:textId="6551F7ED" w:rsidR="00BE4543" w:rsidRDefault="00BE4543" w:rsidP="001E7C7A">
      <w:pPr>
        <w:pStyle w:val="Bodynumbercopy"/>
      </w:pPr>
      <w:r w:rsidRPr="286C5C0D">
        <w:rPr>
          <w:b/>
          <w:bCs/>
        </w:rPr>
        <w:t>Severe Weather:</w:t>
      </w:r>
      <w:r>
        <w:t xml:space="preserve"> All flooding incidents should be reported in the appropriate category, irrespective of the severity of the </w:t>
      </w:r>
      <w:r w:rsidR="00D80BDA">
        <w:t>event</w:t>
      </w:r>
      <w:r>
        <w:t xml:space="preserve">. The </w:t>
      </w:r>
      <w:r w:rsidR="00906346">
        <w:t>Local</w:t>
      </w:r>
      <w:r w:rsidR="002E0E38">
        <w:t xml:space="preserve"> Authority</w:t>
      </w:r>
      <w:r>
        <w:t xml:space="preserve"> may indicate in the commentaries when flooding incidents have been due to exceptionally severe rainfall.  This should be supported by appropriate meteorological data.  Where “Severe Weather” is used we will require an explanation in the Commentary of the weather situation, why it is so unusual and its impact</w:t>
      </w:r>
      <w:r w:rsidR="002806E7">
        <w:t>.</w:t>
      </w:r>
    </w:p>
    <w:p w14:paraId="25F8F936" w14:textId="77777777" w:rsidR="00BE4543" w:rsidRDefault="00BE4543" w:rsidP="00C02A8B">
      <w:pPr>
        <w:pStyle w:val="Sectionsub-heading"/>
      </w:pPr>
      <w:r>
        <w:t>Commentaries</w:t>
      </w:r>
    </w:p>
    <w:p w14:paraId="5B7D5DC3" w14:textId="1C8A881B" w:rsidR="00BE4543" w:rsidRDefault="00BE4543" w:rsidP="001E7C7A">
      <w:pPr>
        <w:pStyle w:val="Bodynumbercopy"/>
      </w:pPr>
      <w:r>
        <w:t xml:space="preserve">No specific guidance is given for the </w:t>
      </w:r>
      <w:r w:rsidR="0081462E">
        <w:t>c</w:t>
      </w:r>
      <w:r>
        <w:t xml:space="preserve">ommentary by the </w:t>
      </w:r>
      <w:r w:rsidR="00906346">
        <w:t>Local</w:t>
      </w:r>
      <w:r w:rsidR="002E0E38">
        <w:t xml:space="preserve"> Authority</w:t>
      </w:r>
      <w:r>
        <w:t>, but they are expected to:</w:t>
      </w:r>
    </w:p>
    <w:p w14:paraId="7382F72D" w14:textId="00208E24" w:rsidR="00BE4543" w:rsidRDefault="00D35FF0" w:rsidP="00C10211">
      <w:pPr>
        <w:pStyle w:val="Bodyromannumerals"/>
        <w:numPr>
          <w:ilvl w:val="0"/>
          <w:numId w:val="23"/>
        </w:numPr>
      </w:pPr>
      <w:r>
        <w:t>C</w:t>
      </w:r>
      <w:r w:rsidR="00BE4543">
        <w:t>omment on significant year on year changes in reported figures; and</w:t>
      </w:r>
    </w:p>
    <w:p w14:paraId="0251646D" w14:textId="14A11D49" w:rsidR="00BE4543" w:rsidRDefault="00D35FF0" w:rsidP="00C10211">
      <w:pPr>
        <w:pStyle w:val="Bodyromannumerals"/>
        <w:numPr>
          <w:ilvl w:val="0"/>
          <w:numId w:val="23"/>
        </w:numPr>
      </w:pPr>
      <w:r>
        <w:t>C</w:t>
      </w:r>
      <w:r w:rsidR="00BE4543">
        <w:t>omment on the number of properties reported under flooding</w:t>
      </w:r>
      <w:r w:rsidR="00AA509F">
        <w:t xml:space="preserve"> of habitable floors</w:t>
      </w:r>
      <w:r w:rsidR="00BE4543">
        <w:t xml:space="preserve"> due to overloaded </w:t>
      </w:r>
      <w:r w:rsidR="002F4A29">
        <w:t xml:space="preserve">wastewater systems </w:t>
      </w:r>
      <w:r w:rsidR="00BE4543">
        <w:t>because no other cause has been positively identified for flooding incidents at those properties.</w:t>
      </w:r>
    </w:p>
    <w:p w14:paraId="07864C71" w14:textId="33DF8073" w:rsidR="00BE4543" w:rsidRDefault="00D35FF0" w:rsidP="00C10211">
      <w:pPr>
        <w:pStyle w:val="Bodyromannumerals"/>
        <w:numPr>
          <w:ilvl w:val="0"/>
          <w:numId w:val="23"/>
        </w:numPr>
      </w:pPr>
      <w:r>
        <w:t>S</w:t>
      </w:r>
      <w:r w:rsidR="00BE4543">
        <w:t>tate whether any allowance has been made for problems as yet undiscovered.</w:t>
      </w:r>
    </w:p>
    <w:p w14:paraId="462F5049" w14:textId="77777777" w:rsidR="00BE4543" w:rsidRDefault="00BE4543" w:rsidP="00C02A8B">
      <w:pPr>
        <w:pStyle w:val="Sectionsub-heading"/>
      </w:pPr>
      <w:r>
        <w:t>Properties at risk of flooding</w:t>
      </w:r>
    </w:p>
    <w:p w14:paraId="2027EB0F" w14:textId="77777777" w:rsidR="00BE4543" w:rsidRDefault="00BE4543" w:rsidP="00C02A8B">
      <w:pPr>
        <w:pStyle w:val="Sectionsub-heading"/>
      </w:pPr>
      <w:r>
        <w:t>Aim</w:t>
      </w:r>
    </w:p>
    <w:p w14:paraId="3671743E" w14:textId="53990545" w:rsidR="00BE4543" w:rsidRDefault="00BE4543" w:rsidP="286C5C0D">
      <w:pPr>
        <w:pStyle w:val="Bodynumbercopy"/>
      </w:pPr>
      <w:r>
        <w:t xml:space="preserve">To measure the risk of flooding of properties from the public </w:t>
      </w:r>
      <w:r w:rsidR="009D138F">
        <w:t>wastewater</w:t>
      </w:r>
      <w:r>
        <w:t xml:space="preserve"> system by</w:t>
      </w:r>
      <w:r w:rsidR="00DE417C">
        <w:t xml:space="preserve"> wastewater</w:t>
      </w:r>
      <w:r w:rsidR="00E53379">
        <w:t>.</w:t>
      </w:r>
      <w:r w:rsidR="00ED0D22">
        <w:t xml:space="preserve"> In the United Kingdom, water companies keep a record of properties at risk of experiencing flooding from the </w:t>
      </w:r>
      <w:r w:rsidR="00EB049C">
        <w:t xml:space="preserve">wastewater </w:t>
      </w:r>
      <w:r w:rsidR="00ED0D22">
        <w:t xml:space="preserve">system. While we understand that this may not be a requirement in New Zealand, </w:t>
      </w:r>
      <w:r w:rsidR="00906346">
        <w:t>Local</w:t>
      </w:r>
      <w:r w:rsidR="00ED0D22">
        <w:t xml:space="preserve"> Authorities are asked to estimate the number of properties that may be at risk of </w:t>
      </w:r>
      <w:r w:rsidR="00EB049C">
        <w:t xml:space="preserve">wastewater </w:t>
      </w:r>
      <w:r w:rsidR="00ED0D22">
        <w:t>system flooding once or twice in ten years on average.</w:t>
      </w:r>
    </w:p>
    <w:p w14:paraId="3985478A" w14:textId="77777777" w:rsidR="00BE4543" w:rsidRDefault="00BE4543" w:rsidP="00C02A8B">
      <w:pPr>
        <w:pStyle w:val="Sectionsub-heading"/>
      </w:pPr>
      <w:r>
        <w:t>Common definitions</w:t>
      </w:r>
    </w:p>
    <w:p w14:paraId="49164AE1" w14:textId="306BFC83" w:rsidR="00BE4543" w:rsidRDefault="00BE4543" w:rsidP="001E7C7A">
      <w:pPr>
        <w:pStyle w:val="Bodynumbercopy"/>
      </w:pPr>
      <w:r w:rsidRPr="286C5C0D">
        <w:rPr>
          <w:b/>
          <w:bCs/>
        </w:rPr>
        <w:t>Properties at risk</w:t>
      </w:r>
      <w:r>
        <w:t>: These are defined as properties that have suffered or are likely to suffer flooding</w:t>
      </w:r>
      <w:r w:rsidR="00367B76">
        <w:t xml:space="preserve"> to habitable floor</w:t>
      </w:r>
      <w:r w:rsidR="00BE324F">
        <w:t>s</w:t>
      </w:r>
      <w:r>
        <w:t xml:space="preserve"> from </w:t>
      </w:r>
      <w:r w:rsidR="00943FFF">
        <w:t>wastewater</w:t>
      </w:r>
      <w:r w:rsidR="00663F1C">
        <w:t xml:space="preserve"> systems </w:t>
      </w:r>
      <w:r>
        <w:t xml:space="preserve">due to overloading of the </w:t>
      </w:r>
      <w:r w:rsidR="009D138F">
        <w:t>wastewater</w:t>
      </w:r>
      <w:r>
        <w:t xml:space="preserve"> system</w:t>
      </w:r>
      <w:r w:rsidR="00955577">
        <w:t>s</w:t>
      </w:r>
      <w:r>
        <w:t xml:space="preserve"> more frequently than the relevant period (either once or twice in ten years).</w:t>
      </w:r>
    </w:p>
    <w:p w14:paraId="77437A18" w14:textId="77777777" w:rsidR="00BE4543" w:rsidRDefault="00BE4543" w:rsidP="00C02A8B">
      <w:pPr>
        <w:pStyle w:val="Sectionsub-heading"/>
      </w:pPr>
      <w:r>
        <w:t>Guidance</w:t>
      </w:r>
    </w:p>
    <w:p w14:paraId="5F788CA3" w14:textId="77777777" w:rsidR="00BE4543" w:rsidRDefault="00BE4543" w:rsidP="001E7C7A">
      <w:pPr>
        <w:pStyle w:val="Bodynumbercopy"/>
      </w:pPr>
      <w:r>
        <w:lastRenderedPageBreak/>
        <w:t>Properties at risk of flooding will be identified by a number of methods:</w:t>
      </w:r>
    </w:p>
    <w:p w14:paraId="2EB83F14" w14:textId="22B114BA" w:rsidR="00BE4543" w:rsidRDefault="00566FB8" w:rsidP="00C10211">
      <w:pPr>
        <w:pStyle w:val="Bodyromannumerals"/>
        <w:numPr>
          <w:ilvl w:val="0"/>
          <w:numId w:val="23"/>
        </w:numPr>
      </w:pPr>
      <w:r>
        <w:t>H</w:t>
      </w:r>
      <w:r w:rsidR="00BE4543">
        <w:t>istorical information on actual flooding incidents; or</w:t>
      </w:r>
    </w:p>
    <w:p w14:paraId="6D58B163" w14:textId="67502C27" w:rsidR="00BE4543" w:rsidRDefault="00566FB8" w:rsidP="00C10211">
      <w:pPr>
        <w:pStyle w:val="Bodyromannumerals"/>
        <w:numPr>
          <w:ilvl w:val="0"/>
          <w:numId w:val="23"/>
        </w:numPr>
      </w:pPr>
      <w:r>
        <w:t>A</w:t>
      </w:r>
      <w:r w:rsidR="00BE4543">
        <w:t xml:space="preserve"> verified hydraulic model. (Verified means that properties indicated as at risk are known to have flooded, or there is good reason to believe that unreported flooding has occurred, or changes in the network or properties draining to the system clearly put the property in the at risk category although insufficient time has elapsed for actual flooding to have arisen.)</w:t>
      </w:r>
    </w:p>
    <w:p w14:paraId="7E9A1BF8" w14:textId="77777777" w:rsidR="00BE4543" w:rsidRDefault="00BE4543" w:rsidP="001E7C7A">
      <w:pPr>
        <w:pStyle w:val="Bodynumbercopy"/>
      </w:pPr>
      <w:r w:rsidRPr="286C5C0D">
        <w:rPr>
          <w:rStyle w:val="BodynumbercopyChar"/>
        </w:rPr>
        <w:t>When a previously unreported property is flooded, it should normally be at risk and added to the 1 in 10 categories unless</w:t>
      </w:r>
      <w:r>
        <w:t>:</w:t>
      </w:r>
    </w:p>
    <w:p w14:paraId="793006C8" w14:textId="5DCE6510" w:rsidR="00BE4543" w:rsidRDefault="00566FB8" w:rsidP="00C10211">
      <w:pPr>
        <w:pStyle w:val="Bodyromannumerals"/>
        <w:numPr>
          <w:ilvl w:val="0"/>
          <w:numId w:val="24"/>
        </w:numPr>
      </w:pPr>
      <w:r>
        <w:t>I</w:t>
      </w:r>
      <w:r w:rsidR="00BE4543">
        <w:t>nvestigation clearly shows that it is at risk of flooding more frequently than twice in ten years, when it should be included in the twice in ten-year category;</w:t>
      </w:r>
    </w:p>
    <w:p w14:paraId="42811314" w14:textId="679DACC7" w:rsidR="00BE4543" w:rsidRDefault="00566FB8" w:rsidP="00C10211">
      <w:pPr>
        <w:pStyle w:val="Bodyromannumerals"/>
        <w:numPr>
          <w:ilvl w:val="0"/>
          <w:numId w:val="24"/>
        </w:numPr>
      </w:pPr>
      <w:r>
        <w:t>T</w:t>
      </w:r>
      <w:r w:rsidR="00BE4543">
        <w:t xml:space="preserve">he </w:t>
      </w:r>
      <w:r w:rsidR="00FA5029">
        <w:t xml:space="preserve">event </w:t>
      </w:r>
      <w:r w:rsidR="00BE4543">
        <w:t>was exceptionally severe, and investigation shows that it is clearly not at risk of flooding as frequently as once in ten years and the severity can be verified; or</w:t>
      </w:r>
    </w:p>
    <w:p w14:paraId="6CC5B9CF" w14:textId="40882C9D" w:rsidR="00BE4543" w:rsidRDefault="00566FB8" w:rsidP="00C10211">
      <w:pPr>
        <w:pStyle w:val="Bodyromannumerals"/>
        <w:numPr>
          <w:ilvl w:val="0"/>
          <w:numId w:val="24"/>
        </w:numPr>
      </w:pPr>
      <w:r>
        <w:t>T</w:t>
      </w:r>
      <w:r w:rsidR="00BE4543">
        <w:t>he cause was a blockage etc.</w:t>
      </w:r>
    </w:p>
    <w:p w14:paraId="78762857" w14:textId="77777777" w:rsidR="00BE4543" w:rsidRDefault="00BE4543" w:rsidP="001E7C7A">
      <w:pPr>
        <w:pStyle w:val="Bodynumbercopy"/>
      </w:pPr>
      <w:r>
        <w:t>In all cases, the decision as to whether a property is to be reported as being at risk should be taken in the context of the aim of the indicator, as set out above.</w:t>
      </w:r>
    </w:p>
    <w:p w14:paraId="795B82E9" w14:textId="77777777" w:rsidR="00BE4543" w:rsidRDefault="00BE4543" w:rsidP="001E7C7A">
      <w:pPr>
        <w:pStyle w:val="Bodynumbercopy"/>
      </w:pPr>
      <w:r>
        <w:t>All properties which have flooded must be entered in the “At Risk” register, although those meeting the defined exclusion criteria are not reported as being at risk.  Properties should not be removed just because they have not flooded for some time. The status should be confirmed by other means, e.g. modelling.</w:t>
      </w:r>
    </w:p>
    <w:p w14:paraId="46BA0A66" w14:textId="4C63C300" w:rsidR="00BE4543" w:rsidRDefault="00BE4543" w:rsidP="001E7C7A">
      <w:pPr>
        <w:pStyle w:val="Bodynumbercopy"/>
      </w:pPr>
      <w:r w:rsidRPr="286C5C0D">
        <w:rPr>
          <w:b/>
          <w:bCs/>
        </w:rPr>
        <w:t>Flap valves:</w:t>
      </w:r>
      <w:r>
        <w:t xml:space="preserve"> Where a flap valve is installed to protect a property that is at risk of flooding, as defined above, it should still be reported as being at risk. A flap valve is not considered to represent a permanent solution to</w:t>
      </w:r>
      <w:r w:rsidR="00850EC3">
        <w:t xml:space="preserve"> </w:t>
      </w:r>
      <w:r>
        <w:t xml:space="preserve">alleviating the flooding risk. A property should not be transferred to a lower risk category solely on the basis that installation of a flap valve has reduced the risk of flooding. If the number of such properties is significant the </w:t>
      </w:r>
      <w:r w:rsidR="00906346">
        <w:t>Local</w:t>
      </w:r>
      <w:r w:rsidR="002E0E38">
        <w:t xml:space="preserve"> Authority</w:t>
      </w:r>
      <w:r>
        <w:t xml:space="preserve"> should include details in the commentary.</w:t>
      </w:r>
    </w:p>
    <w:p w14:paraId="2FAB50FF" w14:textId="77777777" w:rsidR="009F1ADE" w:rsidRDefault="009F1ADE" w:rsidP="000F3BFA">
      <w:pPr>
        <w:pStyle w:val="Sectionsub-heading"/>
      </w:pPr>
      <w:r>
        <w:br w:type="page"/>
      </w:r>
    </w:p>
    <w:p w14:paraId="16006F40" w14:textId="1372A186" w:rsidR="00BE4543" w:rsidRDefault="00BE4543" w:rsidP="000F3BFA">
      <w:pPr>
        <w:pStyle w:val="Sectionsub-heading"/>
      </w:pPr>
      <w:r>
        <w:lastRenderedPageBreak/>
        <w:t xml:space="preserve">BLOCK 1: </w:t>
      </w:r>
      <w:r w:rsidR="0073327D">
        <w:t>ANNUAL</w:t>
      </w:r>
      <w:r w:rsidR="00D859F3">
        <w:t xml:space="preserve"> </w:t>
      </w:r>
      <w:r w:rsidR="0073327D">
        <w:t xml:space="preserve">FLOODING </w:t>
      </w:r>
      <w:r w:rsidR="00CB36FF">
        <w:t xml:space="preserve">OF HABITABLE FLOORS </w:t>
      </w:r>
      <w:r w:rsidR="0073327D">
        <w:t xml:space="preserve">– OVERLOADED </w:t>
      </w:r>
      <w:r w:rsidR="00F27779">
        <w:t xml:space="preserve">WASTEWATER </w:t>
      </w:r>
      <w:r w:rsidR="0073327D">
        <w:t>SYSTEMS</w:t>
      </w:r>
    </w:p>
    <w:tbl>
      <w:tblPr>
        <w:tblStyle w:val="TableGrid"/>
        <w:tblW w:w="0" w:type="auto"/>
        <w:tblLook w:val="04A0" w:firstRow="1" w:lastRow="0" w:firstColumn="1" w:lastColumn="0" w:noHBand="0" w:noVBand="1"/>
      </w:tblPr>
      <w:tblGrid>
        <w:gridCol w:w="968"/>
        <w:gridCol w:w="1020"/>
        <w:gridCol w:w="4655"/>
        <w:gridCol w:w="915"/>
      </w:tblGrid>
      <w:tr w:rsidR="000F3BFA" w:rsidRPr="00216F0E" w14:paraId="061D227A" w14:textId="77777777" w:rsidTr="00CA65F4">
        <w:tc>
          <w:tcPr>
            <w:tcW w:w="968" w:type="dxa"/>
          </w:tcPr>
          <w:p w14:paraId="57B71E6A" w14:textId="77777777" w:rsidR="000F3BFA" w:rsidRPr="00116B91" w:rsidRDefault="000F3BFA" w:rsidP="000F3BFA">
            <w:pPr>
              <w:pStyle w:val="Bodyromannumerals"/>
              <w:rPr>
                <w:b/>
                <w:bCs/>
                <w:lang w:val="en-US"/>
              </w:rPr>
            </w:pPr>
            <w:r w:rsidRPr="00116B91">
              <w:rPr>
                <w:b/>
                <w:bCs/>
                <w:lang w:val="en-US"/>
              </w:rPr>
              <w:t>B3.1</w:t>
            </w:r>
          </w:p>
        </w:tc>
        <w:tc>
          <w:tcPr>
            <w:tcW w:w="5675" w:type="dxa"/>
            <w:gridSpan w:val="2"/>
          </w:tcPr>
          <w:p w14:paraId="2716A499" w14:textId="2C017DA0" w:rsidR="000F3BFA" w:rsidRPr="00116B91" w:rsidRDefault="00717AD1" w:rsidP="000F3BFA">
            <w:pPr>
              <w:pStyle w:val="Bodyromannumerals"/>
              <w:rPr>
                <w:b/>
                <w:bCs/>
                <w:lang w:val="en-US"/>
              </w:rPr>
            </w:pPr>
            <w:r w:rsidRPr="00717AD1">
              <w:rPr>
                <w:b/>
                <w:bCs/>
                <w:lang w:val="en-US"/>
              </w:rPr>
              <w:t>Number of properties with habitable floor(s) flooded in the year</w:t>
            </w:r>
          </w:p>
        </w:tc>
        <w:tc>
          <w:tcPr>
            <w:tcW w:w="915" w:type="dxa"/>
          </w:tcPr>
          <w:p w14:paraId="2AB53E20" w14:textId="77777777" w:rsidR="000F3BFA" w:rsidRPr="00116B91" w:rsidRDefault="000F3BFA" w:rsidP="000F3BFA">
            <w:pPr>
              <w:pStyle w:val="Bodyromannumerals"/>
              <w:rPr>
                <w:b/>
                <w:bCs/>
                <w:lang w:val="en-US"/>
              </w:rPr>
            </w:pPr>
            <w:r w:rsidRPr="00116B91">
              <w:rPr>
                <w:b/>
                <w:bCs/>
                <w:lang w:val="en-US"/>
              </w:rPr>
              <w:t>Nr.</w:t>
            </w:r>
          </w:p>
        </w:tc>
      </w:tr>
      <w:tr w:rsidR="000F3BFA" w:rsidRPr="00216F0E" w14:paraId="1A037498" w14:textId="77777777" w:rsidTr="00CA65F4">
        <w:tc>
          <w:tcPr>
            <w:tcW w:w="1988" w:type="dxa"/>
            <w:gridSpan w:val="2"/>
            <w:tcBorders>
              <w:left w:val="single" w:sz="4" w:space="0" w:color="FFFFFF"/>
              <w:bottom w:val="single" w:sz="4" w:space="0" w:color="FFFFFF"/>
              <w:right w:val="single" w:sz="4" w:space="0" w:color="FFFFFF"/>
            </w:tcBorders>
          </w:tcPr>
          <w:p w14:paraId="26C0556C" w14:textId="77777777" w:rsidR="000F3BFA" w:rsidRPr="00A80A3E" w:rsidRDefault="000F3BFA" w:rsidP="000F3BFA">
            <w:pPr>
              <w:pStyle w:val="Bodyromannumerals"/>
              <w:rPr>
                <w:i/>
                <w:lang w:val="en-US"/>
              </w:rPr>
            </w:pPr>
            <w:r w:rsidRPr="00A80A3E">
              <w:rPr>
                <w:i/>
                <w:lang w:val="en-US"/>
              </w:rPr>
              <w:t>Definition:</w:t>
            </w:r>
          </w:p>
        </w:tc>
        <w:tc>
          <w:tcPr>
            <w:tcW w:w="5570" w:type="dxa"/>
            <w:gridSpan w:val="2"/>
            <w:tcBorders>
              <w:left w:val="single" w:sz="4" w:space="0" w:color="FFFFFF"/>
              <w:bottom w:val="single" w:sz="4" w:space="0" w:color="FFFFFF"/>
              <w:right w:val="single" w:sz="4" w:space="0" w:color="FFFFFF"/>
            </w:tcBorders>
          </w:tcPr>
          <w:p w14:paraId="3B99E56E" w14:textId="320E42B4" w:rsidR="000F3BFA" w:rsidRPr="00AF4AEA" w:rsidRDefault="000F3BFA" w:rsidP="000F3BFA">
            <w:pPr>
              <w:pStyle w:val="Bodyromannumerals"/>
              <w:rPr>
                <w:lang w:val="en-US"/>
              </w:rPr>
            </w:pPr>
            <w:r w:rsidRPr="00AF4AEA">
              <w:rPr>
                <w:lang w:val="en-US"/>
              </w:rPr>
              <w:t xml:space="preserve">Number of properties affected by </w:t>
            </w:r>
            <w:r w:rsidR="00717AD1">
              <w:rPr>
                <w:lang w:val="en-US"/>
              </w:rPr>
              <w:t>habitable floor</w:t>
            </w:r>
            <w:r w:rsidR="00717AD1" w:rsidRPr="00AF4AEA">
              <w:rPr>
                <w:lang w:val="en-US"/>
              </w:rPr>
              <w:t xml:space="preserve"> </w:t>
            </w:r>
            <w:r w:rsidRPr="00AF4AEA">
              <w:rPr>
                <w:lang w:val="en-US"/>
              </w:rPr>
              <w:t xml:space="preserve">flooding incidents due to overloading </w:t>
            </w:r>
            <w:r w:rsidR="00F27779">
              <w:rPr>
                <w:lang w:val="en-US"/>
              </w:rPr>
              <w:t xml:space="preserve">wastewater </w:t>
            </w:r>
            <w:r w:rsidR="008C4186" w:rsidRPr="000810B7">
              <w:t>systems</w:t>
            </w:r>
            <w:r w:rsidRPr="00AF4AEA">
              <w:rPr>
                <w:lang w:val="en-US"/>
              </w:rPr>
              <w:t>. This should include all such events, whether or not attributable to severe/extreme weather. The commentary should identify in tabular form the number of cases where the cause was severe weather, blockage, collapse or other.</w:t>
            </w:r>
          </w:p>
        </w:tc>
      </w:tr>
      <w:tr w:rsidR="000F3BFA" w:rsidRPr="00216F0E" w14:paraId="2F15E455" w14:textId="77777777" w:rsidTr="00CA65F4">
        <w:tc>
          <w:tcPr>
            <w:tcW w:w="1988" w:type="dxa"/>
            <w:gridSpan w:val="2"/>
            <w:tcBorders>
              <w:top w:val="single" w:sz="4" w:space="0" w:color="FFFFFF"/>
              <w:left w:val="single" w:sz="4" w:space="0" w:color="FFFFFF"/>
              <w:bottom w:val="single" w:sz="4" w:space="0" w:color="FFFFFF"/>
              <w:right w:val="single" w:sz="4" w:space="0" w:color="FFFFFF"/>
            </w:tcBorders>
          </w:tcPr>
          <w:p w14:paraId="119CB793" w14:textId="77777777" w:rsidR="000F3BFA" w:rsidRPr="00A80A3E" w:rsidRDefault="000F3BFA" w:rsidP="000F3BFA">
            <w:pPr>
              <w:pStyle w:val="Bodyromannumerals"/>
              <w:rPr>
                <w:i/>
                <w:lang w:val="en-US"/>
              </w:rPr>
            </w:pPr>
            <w:r w:rsidRPr="00A80A3E">
              <w:rPr>
                <w:i/>
                <w:lang w:val="en-US"/>
              </w:rPr>
              <w:t>Processing Rules:</w:t>
            </w:r>
          </w:p>
        </w:tc>
        <w:tc>
          <w:tcPr>
            <w:tcW w:w="5570" w:type="dxa"/>
            <w:gridSpan w:val="2"/>
            <w:tcBorders>
              <w:top w:val="single" w:sz="4" w:space="0" w:color="FFFFFF"/>
              <w:left w:val="single" w:sz="4" w:space="0" w:color="FFFFFF"/>
              <w:bottom w:val="single" w:sz="4" w:space="0" w:color="FFFFFF"/>
              <w:right w:val="single" w:sz="4" w:space="0" w:color="FFFFFF"/>
            </w:tcBorders>
          </w:tcPr>
          <w:p w14:paraId="443B3966" w14:textId="77777777" w:rsidR="000F3BFA" w:rsidRPr="00AF4AEA" w:rsidRDefault="000F3BFA" w:rsidP="000F3BFA">
            <w:pPr>
              <w:pStyle w:val="Bodyromannumerals"/>
              <w:rPr>
                <w:lang w:val="en-US"/>
              </w:rPr>
            </w:pPr>
            <w:r w:rsidRPr="00AF4AEA">
              <w:rPr>
                <w:lang w:val="en-US"/>
              </w:rPr>
              <w:t>Input field</w:t>
            </w:r>
          </w:p>
        </w:tc>
      </w:tr>
    </w:tbl>
    <w:p w14:paraId="2302E968" w14:textId="034C5DD0" w:rsidR="00295F96" w:rsidRDefault="00295F96"/>
    <w:tbl>
      <w:tblPr>
        <w:tblStyle w:val="TableGrid"/>
        <w:tblW w:w="0" w:type="auto"/>
        <w:tblLook w:val="04A0" w:firstRow="1" w:lastRow="0" w:firstColumn="1" w:lastColumn="0" w:noHBand="0" w:noVBand="1"/>
      </w:tblPr>
      <w:tblGrid>
        <w:gridCol w:w="968"/>
        <w:gridCol w:w="1020"/>
        <w:gridCol w:w="4655"/>
        <w:gridCol w:w="915"/>
      </w:tblGrid>
      <w:tr w:rsidR="000F3BFA" w:rsidRPr="00216F0E" w14:paraId="0E753ADB" w14:textId="77777777" w:rsidTr="00CA65F4">
        <w:tc>
          <w:tcPr>
            <w:tcW w:w="968" w:type="dxa"/>
          </w:tcPr>
          <w:p w14:paraId="75E56864" w14:textId="2D72AA7B" w:rsidR="000F3BFA" w:rsidRPr="00116B91" w:rsidRDefault="000F3BFA" w:rsidP="000F3BFA">
            <w:pPr>
              <w:pStyle w:val="Bodyromannumerals"/>
              <w:rPr>
                <w:b/>
                <w:bCs/>
                <w:lang w:val="en-US"/>
              </w:rPr>
            </w:pPr>
            <w:r w:rsidRPr="00116B91">
              <w:rPr>
                <w:b/>
                <w:bCs/>
                <w:lang w:val="en-US"/>
              </w:rPr>
              <w:t>B3.2</w:t>
            </w:r>
          </w:p>
        </w:tc>
        <w:tc>
          <w:tcPr>
            <w:tcW w:w="5675" w:type="dxa"/>
            <w:gridSpan w:val="2"/>
          </w:tcPr>
          <w:p w14:paraId="7CE2CA85" w14:textId="0ECF3724" w:rsidR="000F3BFA" w:rsidRPr="00116B91" w:rsidRDefault="000F3BFA" w:rsidP="000F3BFA">
            <w:pPr>
              <w:pStyle w:val="Bodyromannumerals"/>
              <w:rPr>
                <w:b/>
                <w:bCs/>
                <w:lang w:val="en-US"/>
              </w:rPr>
            </w:pPr>
            <w:r w:rsidRPr="00116B91">
              <w:rPr>
                <w:b/>
                <w:bCs/>
                <w:lang w:val="en-US"/>
              </w:rPr>
              <w:t xml:space="preserve">Number of </w:t>
            </w:r>
            <w:r w:rsidR="009611FB">
              <w:rPr>
                <w:b/>
                <w:bCs/>
                <w:lang w:val="en-US"/>
              </w:rPr>
              <w:t xml:space="preserve">incidents of </w:t>
            </w:r>
            <w:r w:rsidR="00717AD1">
              <w:rPr>
                <w:b/>
                <w:bCs/>
                <w:lang w:val="en-US"/>
              </w:rPr>
              <w:t xml:space="preserve">habitable floor </w:t>
            </w:r>
            <w:r w:rsidRPr="00116B91">
              <w:rPr>
                <w:b/>
                <w:bCs/>
                <w:lang w:val="en-US"/>
              </w:rPr>
              <w:t>flooding in the year</w:t>
            </w:r>
          </w:p>
        </w:tc>
        <w:tc>
          <w:tcPr>
            <w:tcW w:w="915" w:type="dxa"/>
          </w:tcPr>
          <w:p w14:paraId="23805CCF" w14:textId="77777777" w:rsidR="000F3BFA" w:rsidRPr="00116B91" w:rsidRDefault="000F3BFA" w:rsidP="000F3BFA">
            <w:pPr>
              <w:pStyle w:val="Bodyromannumerals"/>
              <w:rPr>
                <w:b/>
                <w:bCs/>
                <w:lang w:val="en-US"/>
              </w:rPr>
            </w:pPr>
            <w:r w:rsidRPr="00116B91">
              <w:rPr>
                <w:b/>
                <w:bCs/>
                <w:lang w:val="en-US"/>
              </w:rPr>
              <w:t>Nr.</w:t>
            </w:r>
          </w:p>
        </w:tc>
      </w:tr>
      <w:tr w:rsidR="000F3BFA" w:rsidRPr="00216F0E" w14:paraId="49F1D6FF" w14:textId="77777777" w:rsidTr="00CA65F4">
        <w:tc>
          <w:tcPr>
            <w:tcW w:w="1988" w:type="dxa"/>
            <w:gridSpan w:val="2"/>
            <w:tcBorders>
              <w:left w:val="single" w:sz="4" w:space="0" w:color="FFFFFF"/>
              <w:bottom w:val="single" w:sz="4" w:space="0" w:color="FFFFFF"/>
              <w:right w:val="single" w:sz="4" w:space="0" w:color="FFFFFF"/>
            </w:tcBorders>
          </w:tcPr>
          <w:p w14:paraId="425FAC3D" w14:textId="77777777" w:rsidR="000F3BFA" w:rsidRPr="00A80A3E" w:rsidRDefault="000F3BFA" w:rsidP="000F3BFA">
            <w:pPr>
              <w:pStyle w:val="Bodyromannumerals"/>
              <w:rPr>
                <w:i/>
                <w:lang w:val="en-US"/>
              </w:rPr>
            </w:pPr>
            <w:r w:rsidRPr="00A80A3E">
              <w:rPr>
                <w:i/>
                <w:lang w:val="en-US"/>
              </w:rPr>
              <w:t>Definition:</w:t>
            </w:r>
          </w:p>
        </w:tc>
        <w:tc>
          <w:tcPr>
            <w:tcW w:w="5570" w:type="dxa"/>
            <w:gridSpan w:val="2"/>
            <w:tcBorders>
              <w:left w:val="single" w:sz="4" w:space="0" w:color="FFFFFF"/>
              <w:bottom w:val="single" w:sz="4" w:space="0" w:color="FFFFFF"/>
              <w:right w:val="single" w:sz="4" w:space="0" w:color="FFFFFF"/>
            </w:tcBorders>
          </w:tcPr>
          <w:p w14:paraId="6B5F8157" w14:textId="6FD46FC1" w:rsidR="000F3BFA" w:rsidRPr="00AF4AEA" w:rsidRDefault="000F3BFA" w:rsidP="000F3BFA">
            <w:pPr>
              <w:pStyle w:val="Bodyromannumerals"/>
              <w:rPr>
                <w:lang w:val="en-US"/>
              </w:rPr>
            </w:pPr>
            <w:r w:rsidRPr="00AF4AEA">
              <w:rPr>
                <w:lang w:val="en-US"/>
              </w:rPr>
              <w:t xml:space="preserve">Number of flooding incidents causing </w:t>
            </w:r>
            <w:r w:rsidR="00717AD1">
              <w:rPr>
                <w:lang w:val="en-US"/>
              </w:rPr>
              <w:t>habitable floor</w:t>
            </w:r>
            <w:r w:rsidR="00717AD1" w:rsidRPr="00AF4AEA">
              <w:rPr>
                <w:lang w:val="en-US"/>
              </w:rPr>
              <w:t xml:space="preserve"> </w:t>
            </w:r>
            <w:r w:rsidRPr="00AF4AEA">
              <w:rPr>
                <w:lang w:val="en-US"/>
              </w:rPr>
              <w:t xml:space="preserve">flooding to properties due to overloading </w:t>
            </w:r>
            <w:r w:rsidR="00113B3E">
              <w:rPr>
                <w:lang w:val="en-US"/>
              </w:rPr>
              <w:t>wastewater</w:t>
            </w:r>
            <w:r w:rsidR="003D5393" w:rsidRPr="000810B7">
              <w:t xml:space="preserve"> systems</w:t>
            </w:r>
            <w:r w:rsidRPr="00AF4AEA">
              <w:rPr>
                <w:lang w:val="en-US"/>
              </w:rPr>
              <w:t xml:space="preserve">. An incident should be counted from each ‘source’ of flooding e.g. one manhole floods 3 properties = 1 incident, and not each reason for flooding where one event such as heavy rain causes a large number of flooding incidents. This should include all such events, whether or not attributable to severe/extreme weather. </w:t>
            </w:r>
          </w:p>
        </w:tc>
      </w:tr>
      <w:tr w:rsidR="000F3BFA" w:rsidRPr="00216F0E" w14:paraId="7CEF5ADB" w14:textId="77777777" w:rsidTr="00CA65F4">
        <w:tc>
          <w:tcPr>
            <w:tcW w:w="1988" w:type="dxa"/>
            <w:gridSpan w:val="2"/>
            <w:tcBorders>
              <w:top w:val="single" w:sz="4" w:space="0" w:color="FFFFFF"/>
              <w:left w:val="single" w:sz="4" w:space="0" w:color="FFFFFF"/>
              <w:bottom w:val="single" w:sz="4" w:space="0" w:color="FFFFFF"/>
              <w:right w:val="single" w:sz="4" w:space="0" w:color="FFFFFF"/>
            </w:tcBorders>
          </w:tcPr>
          <w:p w14:paraId="5DD1E028" w14:textId="77777777" w:rsidR="000F3BFA" w:rsidRPr="00A80A3E" w:rsidRDefault="000F3BFA" w:rsidP="000F3BFA">
            <w:pPr>
              <w:pStyle w:val="Bodyromannumerals"/>
              <w:rPr>
                <w:i/>
                <w:lang w:val="en-US"/>
              </w:rPr>
            </w:pPr>
            <w:r w:rsidRPr="00A80A3E">
              <w:rPr>
                <w:i/>
                <w:lang w:val="en-US"/>
              </w:rPr>
              <w:t>Processing Rules:</w:t>
            </w:r>
          </w:p>
        </w:tc>
        <w:tc>
          <w:tcPr>
            <w:tcW w:w="5570" w:type="dxa"/>
            <w:gridSpan w:val="2"/>
            <w:tcBorders>
              <w:top w:val="single" w:sz="4" w:space="0" w:color="FFFFFF"/>
              <w:left w:val="single" w:sz="4" w:space="0" w:color="FFFFFF"/>
              <w:bottom w:val="single" w:sz="4" w:space="0" w:color="FFFFFF"/>
              <w:right w:val="single" w:sz="4" w:space="0" w:color="FFFFFF"/>
            </w:tcBorders>
          </w:tcPr>
          <w:p w14:paraId="57915178" w14:textId="77777777" w:rsidR="000F3BFA" w:rsidRPr="00AF4AEA" w:rsidRDefault="000F3BFA" w:rsidP="000F3BFA">
            <w:pPr>
              <w:pStyle w:val="Bodyromannumerals"/>
              <w:rPr>
                <w:lang w:val="en-US"/>
              </w:rPr>
            </w:pPr>
            <w:r w:rsidRPr="00AF4AEA">
              <w:rPr>
                <w:lang w:val="en-US"/>
              </w:rPr>
              <w:t>Input field</w:t>
            </w:r>
          </w:p>
        </w:tc>
      </w:tr>
      <w:tr w:rsidR="000F3BFA" w:rsidRPr="00216F0E" w14:paraId="4196769D" w14:textId="77777777" w:rsidTr="00CA65F4">
        <w:tc>
          <w:tcPr>
            <w:tcW w:w="968" w:type="dxa"/>
          </w:tcPr>
          <w:p w14:paraId="057D83D7" w14:textId="77777777" w:rsidR="000F3BFA" w:rsidRPr="00116B91" w:rsidRDefault="000F3BFA" w:rsidP="000F3BFA">
            <w:pPr>
              <w:pStyle w:val="Bodyromannumerals"/>
              <w:rPr>
                <w:b/>
                <w:bCs/>
                <w:lang w:val="en-US"/>
              </w:rPr>
            </w:pPr>
            <w:r w:rsidRPr="00116B91">
              <w:rPr>
                <w:b/>
                <w:bCs/>
                <w:lang w:val="en-US"/>
              </w:rPr>
              <w:t>B3.3</w:t>
            </w:r>
          </w:p>
        </w:tc>
        <w:tc>
          <w:tcPr>
            <w:tcW w:w="5675" w:type="dxa"/>
            <w:gridSpan w:val="2"/>
          </w:tcPr>
          <w:p w14:paraId="3B378162" w14:textId="43953726" w:rsidR="000F3BFA" w:rsidRPr="00116B91" w:rsidRDefault="000F3BFA" w:rsidP="000F3BFA">
            <w:pPr>
              <w:pStyle w:val="Bodyromannumerals"/>
              <w:rPr>
                <w:b/>
                <w:bCs/>
                <w:lang w:val="en-US"/>
              </w:rPr>
            </w:pPr>
            <w:r w:rsidRPr="00116B91">
              <w:rPr>
                <w:b/>
                <w:bCs/>
                <w:lang w:val="en-US"/>
              </w:rPr>
              <w:t xml:space="preserve">Number of </w:t>
            </w:r>
            <w:r w:rsidR="009611FB">
              <w:rPr>
                <w:b/>
                <w:bCs/>
                <w:lang w:val="en-US"/>
              </w:rPr>
              <w:t xml:space="preserve">incidents of </w:t>
            </w:r>
            <w:r w:rsidR="00717AD1">
              <w:rPr>
                <w:b/>
                <w:bCs/>
                <w:lang w:val="en-US"/>
              </w:rPr>
              <w:t xml:space="preserve">habitable floor </w:t>
            </w:r>
            <w:r w:rsidRPr="00116B91">
              <w:rPr>
                <w:b/>
                <w:bCs/>
                <w:lang w:val="en-US"/>
              </w:rPr>
              <w:t>flooding</w:t>
            </w:r>
            <w:r w:rsidR="002C17E3">
              <w:rPr>
                <w:b/>
                <w:bCs/>
                <w:lang w:val="en-US"/>
              </w:rPr>
              <w:t xml:space="preserve"> </w:t>
            </w:r>
            <w:r w:rsidRPr="00116B91">
              <w:rPr>
                <w:b/>
                <w:bCs/>
                <w:lang w:val="en-US"/>
              </w:rPr>
              <w:t>attributed to severe weather</w:t>
            </w:r>
          </w:p>
        </w:tc>
        <w:tc>
          <w:tcPr>
            <w:tcW w:w="915" w:type="dxa"/>
          </w:tcPr>
          <w:p w14:paraId="5B6B61DE" w14:textId="77777777" w:rsidR="000F3BFA" w:rsidRPr="00116B91" w:rsidRDefault="000F3BFA" w:rsidP="000F3BFA">
            <w:pPr>
              <w:pStyle w:val="Bodyromannumerals"/>
              <w:rPr>
                <w:b/>
                <w:bCs/>
                <w:lang w:val="en-US"/>
              </w:rPr>
            </w:pPr>
            <w:r w:rsidRPr="00116B91">
              <w:rPr>
                <w:b/>
                <w:bCs/>
                <w:lang w:val="en-US"/>
              </w:rPr>
              <w:t>Nr.</w:t>
            </w:r>
          </w:p>
        </w:tc>
      </w:tr>
      <w:tr w:rsidR="000F3BFA" w:rsidRPr="00216F0E" w14:paraId="03871672" w14:textId="77777777" w:rsidTr="00CA65F4">
        <w:tc>
          <w:tcPr>
            <w:tcW w:w="1988" w:type="dxa"/>
            <w:gridSpan w:val="2"/>
            <w:tcBorders>
              <w:left w:val="single" w:sz="4" w:space="0" w:color="FFFFFF"/>
              <w:bottom w:val="single" w:sz="4" w:space="0" w:color="FFFFFF"/>
              <w:right w:val="single" w:sz="4" w:space="0" w:color="FFFFFF"/>
            </w:tcBorders>
          </w:tcPr>
          <w:p w14:paraId="44512D44" w14:textId="77777777" w:rsidR="000F3BFA" w:rsidRPr="00A80A3E" w:rsidRDefault="000F3BFA" w:rsidP="000F3BFA">
            <w:pPr>
              <w:pStyle w:val="Bodyromannumerals"/>
              <w:rPr>
                <w:i/>
                <w:lang w:val="en-US"/>
              </w:rPr>
            </w:pPr>
            <w:r w:rsidRPr="00A80A3E">
              <w:rPr>
                <w:i/>
                <w:lang w:val="en-US"/>
              </w:rPr>
              <w:t>Definition:</w:t>
            </w:r>
          </w:p>
        </w:tc>
        <w:tc>
          <w:tcPr>
            <w:tcW w:w="5570" w:type="dxa"/>
            <w:gridSpan w:val="2"/>
            <w:tcBorders>
              <w:left w:val="single" w:sz="4" w:space="0" w:color="FFFFFF"/>
              <w:bottom w:val="single" w:sz="4" w:space="0" w:color="FFFFFF"/>
              <w:right w:val="single" w:sz="4" w:space="0" w:color="FFFFFF"/>
            </w:tcBorders>
          </w:tcPr>
          <w:p w14:paraId="7942676F" w14:textId="77777777" w:rsidR="000F3BFA" w:rsidRPr="00AF4AEA" w:rsidRDefault="000F3BFA" w:rsidP="000F3BFA">
            <w:pPr>
              <w:pStyle w:val="Bodyromannumerals"/>
              <w:rPr>
                <w:lang w:val="en-US"/>
              </w:rPr>
            </w:pPr>
            <w:r w:rsidRPr="00AF4AEA">
              <w:rPr>
                <w:lang w:val="en-US"/>
              </w:rPr>
              <w:t>Number of flooding incidents to properties attributable to severe/extreme weather. This should include properties where a domestic cellar is the only part affected by the flooding.</w:t>
            </w:r>
          </w:p>
        </w:tc>
      </w:tr>
      <w:tr w:rsidR="000F3BFA" w:rsidRPr="00216F0E" w14:paraId="49AD134C" w14:textId="77777777" w:rsidTr="00CA65F4">
        <w:tc>
          <w:tcPr>
            <w:tcW w:w="1988" w:type="dxa"/>
            <w:gridSpan w:val="2"/>
            <w:tcBorders>
              <w:top w:val="single" w:sz="4" w:space="0" w:color="FFFFFF"/>
              <w:left w:val="single" w:sz="4" w:space="0" w:color="FFFFFF"/>
              <w:bottom w:val="single" w:sz="4" w:space="0" w:color="FFFFFF"/>
              <w:right w:val="single" w:sz="4" w:space="0" w:color="FFFFFF"/>
            </w:tcBorders>
          </w:tcPr>
          <w:p w14:paraId="7074D679" w14:textId="77777777" w:rsidR="000F3BFA" w:rsidRPr="00A80A3E" w:rsidRDefault="000F3BFA" w:rsidP="000F3BFA">
            <w:pPr>
              <w:pStyle w:val="Bodyromannumerals"/>
              <w:rPr>
                <w:i/>
                <w:lang w:val="en-US"/>
              </w:rPr>
            </w:pPr>
            <w:r w:rsidRPr="00A80A3E">
              <w:rPr>
                <w:i/>
                <w:lang w:val="en-US"/>
              </w:rPr>
              <w:t>Processing Rules:</w:t>
            </w:r>
          </w:p>
        </w:tc>
        <w:tc>
          <w:tcPr>
            <w:tcW w:w="5570" w:type="dxa"/>
            <w:gridSpan w:val="2"/>
            <w:tcBorders>
              <w:top w:val="single" w:sz="4" w:space="0" w:color="FFFFFF"/>
              <w:left w:val="single" w:sz="4" w:space="0" w:color="FFFFFF"/>
              <w:bottom w:val="single" w:sz="4" w:space="0" w:color="FFFFFF"/>
              <w:right w:val="single" w:sz="4" w:space="0" w:color="FFFFFF"/>
            </w:tcBorders>
          </w:tcPr>
          <w:p w14:paraId="4D54CF9A" w14:textId="77777777" w:rsidR="000F3BFA" w:rsidRPr="00AF4AEA" w:rsidRDefault="000F3BFA" w:rsidP="000F3BFA">
            <w:pPr>
              <w:pStyle w:val="Bodyromannumerals"/>
              <w:rPr>
                <w:lang w:val="en-US"/>
              </w:rPr>
            </w:pPr>
            <w:r w:rsidRPr="00AF4AEA">
              <w:rPr>
                <w:lang w:val="en-US"/>
              </w:rPr>
              <w:t>Input field</w:t>
            </w:r>
          </w:p>
        </w:tc>
      </w:tr>
    </w:tbl>
    <w:p w14:paraId="715CBE3E" w14:textId="77777777" w:rsidR="00BE4543" w:rsidRDefault="00BE4543" w:rsidP="00BE4543">
      <w:pPr>
        <w:pStyle w:val="Bodyromannumerals"/>
      </w:pPr>
    </w:p>
    <w:p w14:paraId="0DFB55F9" w14:textId="4BB0E90D" w:rsidR="00BE4543" w:rsidRDefault="00BE4543" w:rsidP="000F3BFA">
      <w:pPr>
        <w:pStyle w:val="Sectionsub-heading"/>
      </w:pPr>
      <w:r>
        <w:t xml:space="preserve">BLOCK 2: ANNUAL FLOODING </w:t>
      </w:r>
      <w:r w:rsidR="00D4414C">
        <w:t xml:space="preserve">OF HABITABLE FLOORS </w:t>
      </w:r>
      <w:r>
        <w:t>– OTHER CAUSES</w:t>
      </w:r>
    </w:p>
    <w:tbl>
      <w:tblPr>
        <w:tblStyle w:val="TableGrid"/>
        <w:tblW w:w="0" w:type="auto"/>
        <w:tblLook w:val="04A0" w:firstRow="1" w:lastRow="0" w:firstColumn="1" w:lastColumn="0" w:noHBand="0" w:noVBand="1"/>
      </w:tblPr>
      <w:tblGrid>
        <w:gridCol w:w="968"/>
        <w:gridCol w:w="1008"/>
        <w:gridCol w:w="4660"/>
        <w:gridCol w:w="922"/>
      </w:tblGrid>
      <w:tr w:rsidR="000F3BFA" w:rsidRPr="00216F0E" w14:paraId="7E301962" w14:textId="77777777" w:rsidTr="0065783B">
        <w:tc>
          <w:tcPr>
            <w:tcW w:w="968" w:type="dxa"/>
          </w:tcPr>
          <w:p w14:paraId="39A56426" w14:textId="77777777" w:rsidR="000F3BFA" w:rsidRPr="00A1786E" w:rsidRDefault="000F3BFA" w:rsidP="000F3BFA">
            <w:pPr>
              <w:pStyle w:val="Bodyromannumerals"/>
              <w:rPr>
                <w:b/>
                <w:bCs/>
                <w:lang w:val="en-US"/>
              </w:rPr>
            </w:pPr>
            <w:r w:rsidRPr="00A1786E">
              <w:rPr>
                <w:b/>
                <w:bCs/>
                <w:lang w:val="en-US"/>
              </w:rPr>
              <w:t>B3.6</w:t>
            </w:r>
          </w:p>
        </w:tc>
        <w:tc>
          <w:tcPr>
            <w:tcW w:w="5668" w:type="dxa"/>
            <w:gridSpan w:val="2"/>
          </w:tcPr>
          <w:p w14:paraId="18FFCFE9" w14:textId="69C9EB0D" w:rsidR="000F3BFA" w:rsidRPr="00A1786E" w:rsidRDefault="009119F0" w:rsidP="000F3BFA">
            <w:pPr>
              <w:pStyle w:val="Bodyromannumerals"/>
              <w:rPr>
                <w:b/>
                <w:bCs/>
                <w:lang w:val="en-US"/>
              </w:rPr>
            </w:pPr>
            <w:r w:rsidRPr="009119F0">
              <w:rPr>
                <w:b/>
                <w:bCs/>
                <w:lang w:val="en-US"/>
              </w:rPr>
              <w:t>Number of properties with habitable floor(s) flooded in the year</w:t>
            </w:r>
          </w:p>
        </w:tc>
        <w:tc>
          <w:tcPr>
            <w:tcW w:w="922" w:type="dxa"/>
          </w:tcPr>
          <w:p w14:paraId="28D7E9C6" w14:textId="77777777" w:rsidR="000F3BFA" w:rsidRPr="00A1786E" w:rsidRDefault="000F3BFA" w:rsidP="000F3BFA">
            <w:pPr>
              <w:pStyle w:val="Bodyromannumerals"/>
              <w:rPr>
                <w:b/>
                <w:bCs/>
                <w:lang w:val="en-US"/>
              </w:rPr>
            </w:pPr>
            <w:r w:rsidRPr="00A1786E">
              <w:rPr>
                <w:b/>
                <w:bCs/>
                <w:lang w:val="en-US"/>
              </w:rPr>
              <w:t>Nr.</w:t>
            </w:r>
          </w:p>
        </w:tc>
      </w:tr>
      <w:tr w:rsidR="000F3BFA" w:rsidRPr="00216F0E" w14:paraId="6DC40A25" w14:textId="77777777" w:rsidTr="0065783B">
        <w:tc>
          <w:tcPr>
            <w:tcW w:w="1976" w:type="dxa"/>
            <w:gridSpan w:val="2"/>
            <w:tcBorders>
              <w:left w:val="single" w:sz="4" w:space="0" w:color="FFFFFF"/>
              <w:bottom w:val="single" w:sz="4" w:space="0" w:color="FFFFFF"/>
              <w:right w:val="single" w:sz="4" w:space="0" w:color="FFFFFF"/>
            </w:tcBorders>
          </w:tcPr>
          <w:p w14:paraId="164AB73F" w14:textId="77777777" w:rsidR="000F3BFA" w:rsidRPr="00AF4AEA" w:rsidRDefault="000F3BFA" w:rsidP="000F3BFA">
            <w:pPr>
              <w:pStyle w:val="Bodyromannumerals"/>
              <w:rPr>
                <w:i/>
                <w:lang w:val="en-US"/>
              </w:rPr>
            </w:pPr>
            <w:r w:rsidRPr="00A80A3E">
              <w:rPr>
                <w:i/>
                <w:lang w:val="en-US"/>
              </w:rPr>
              <w:t>Definition:</w:t>
            </w:r>
          </w:p>
        </w:tc>
        <w:tc>
          <w:tcPr>
            <w:tcW w:w="5582" w:type="dxa"/>
            <w:gridSpan w:val="2"/>
            <w:tcBorders>
              <w:left w:val="single" w:sz="4" w:space="0" w:color="FFFFFF"/>
              <w:bottom w:val="single" w:sz="4" w:space="0" w:color="FFFFFF"/>
              <w:right w:val="single" w:sz="4" w:space="0" w:color="FFFFFF"/>
            </w:tcBorders>
          </w:tcPr>
          <w:p w14:paraId="4B649C11" w14:textId="2692BE2E" w:rsidR="000F3BFA" w:rsidRPr="00AF4AEA" w:rsidRDefault="000F3BFA" w:rsidP="000F3BFA">
            <w:pPr>
              <w:pStyle w:val="Bodyromannumerals"/>
              <w:rPr>
                <w:lang w:val="en-US"/>
              </w:rPr>
            </w:pPr>
            <w:r w:rsidRPr="00AF4AEA">
              <w:rPr>
                <w:lang w:val="en-US"/>
              </w:rPr>
              <w:t xml:space="preserve">Number of properties affected by </w:t>
            </w:r>
            <w:r w:rsidR="00D4414C">
              <w:rPr>
                <w:lang w:val="en-US"/>
              </w:rPr>
              <w:t>habitable floor</w:t>
            </w:r>
            <w:r w:rsidR="00D4414C" w:rsidRPr="00AF4AEA">
              <w:rPr>
                <w:lang w:val="en-US"/>
              </w:rPr>
              <w:t xml:space="preserve"> </w:t>
            </w:r>
            <w:r w:rsidRPr="00AF4AEA">
              <w:rPr>
                <w:lang w:val="en-US"/>
              </w:rPr>
              <w:t xml:space="preserve">flooding incidents due to other causes (this includes where due to blockages, sewer collapses, equipment failure and other causes than overloaded </w:t>
            </w:r>
            <w:r w:rsidR="00CB50FB">
              <w:rPr>
                <w:lang w:val="en-US"/>
              </w:rPr>
              <w:t>wastewater</w:t>
            </w:r>
            <w:r w:rsidR="0092409D">
              <w:rPr>
                <w:lang w:val="en-US"/>
              </w:rPr>
              <w:t xml:space="preserve"> </w:t>
            </w:r>
            <w:r w:rsidR="006805A3">
              <w:rPr>
                <w:lang w:val="en-US"/>
              </w:rPr>
              <w:t>systems</w:t>
            </w:r>
            <w:r w:rsidRPr="00AF4AEA">
              <w:rPr>
                <w:lang w:val="en-US"/>
              </w:rPr>
              <w:t xml:space="preserve">). </w:t>
            </w:r>
          </w:p>
        </w:tc>
      </w:tr>
      <w:tr w:rsidR="000F3BFA" w:rsidRPr="00216F0E" w14:paraId="5816B042" w14:textId="77777777" w:rsidTr="0065783B">
        <w:tc>
          <w:tcPr>
            <w:tcW w:w="1976" w:type="dxa"/>
            <w:gridSpan w:val="2"/>
            <w:tcBorders>
              <w:top w:val="single" w:sz="4" w:space="0" w:color="FFFFFF"/>
              <w:left w:val="single" w:sz="4" w:space="0" w:color="FFFFFF"/>
              <w:bottom w:val="single" w:sz="4" w:space="0" w:color="FFFFFF"/>
              <w:right w:val="single" w:sz="4" w:space="0" w:color="FFFFFF"/>
            </w:tcBorders>
          </w:tcPr>
          <w:p w14:paraId="14C622B5" w14:textId="77777777" w:rsidR="000F3BFA" w:rsidRPr="00AF4AEA" w:rsidRDefault="000F3BFA" w:rsidP="000F3BFA">
            <w:pPr>
              <w:pStyle w:val="Bodyromannumerals"/>
              <w:rPr>
                <w:i/>
                <w:lang w:val="en-US"/>
              </w:rPr>
            </w:pPr>
            <w:r w:rsidRPr="00A80A3E">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102E3793" w14:textId="77777777" w:rsidR="000F3BFA" w:rsidRPr="00AF4AEA" w:rsidRDefault="000F3BFA" w:rsidP="000F3BFA">
            <w:pPr>
              <w:pStyle w:val="Bodyromannumerals"/>
              <w:rPr>
                <w:lang w:val="en-US"/>
              </w:rPr>
            </w:pPr>
            <w:r w:rsidRPr="00AF4AEA">
              <w:rPr>
                <w:lang w:val="en-US"/>
              </w:rPr>
              <w:t>Input field</w:t>
            </w:r>
          </w:p>
        </w:tc>
      </w:tr>
      <w:tr w:rsidR="000F3BFA" w:rsidRPr="00216F0E" w14:paraId="0192F976" w14:textId="77777777" w:rsidTr="0065783B">
        <w:tc>
          <w:tcPr>
            <w:tcW w:w="968" w:type="dxa"/>
          </w:tcPr>
          <w:p w14:paraId="7974B41B" w14:textId="77777777" w:rsidR="000F3BFA" w:rsidRPr="00A1786E" w:rsidRDefault="000F3BFA" w:rsidP="000F3BFA">
            <w:pPr>
              <w:pStyle w:val="Bodyromannumerals"/>
              <w:rPr>
                <w:b/>
                <w:bCs/>
                <w:lang w:val="en-US"/>
              </w:rPr>
            </w:pPr>
            <w:r w:rsidRPr="00A1786E">
              <w:rPr>
                <w:b/>
                <w:bCs/>
                <w:lang w:val="en-US"/>
              </w:rPr>
              <w:lastRenderedPageBreak/>
              <w:t>B3.7</w:t>
            </w:r>
          </w:p>
        </w:tc>
        <w:tc>
          <w:tcPr>
            <w:tcW w:w="5668" w:type="dxa"/>
            <w:gridSpan w:val="2"/>
          </w:tcPr>
          <w:p w14:paraId="0D2E71BD" w14:textId="44C20796" w:rsidR="000F3BFA" w:rsidRPr="00A1786E" w:rsidRDefault="00A4024B" w:rsidP="000F3BFA">
            <w:pPr>
              <w:pStyle w:val="Bodyromannumerals"/>
              <w:rPr>
                <w:b/>
                <w:bCs/>
                <w:lang w:val="en-US"/>
              </w:rPr>
            </w:pPr>
            <w:r>
              <w:rPr>
                <w:b/>
                <w:bCs/>
                <w:lang w:val="en-US"/>
              </w:rPr>
              <w:t>Number of i</w:t>
            </w:r>
            <w:r w:rsidR="001906C5">
              <w:rPr>
                <w:b/>
                <w:bCs/>
                <w:lang w:val="en-US"/>
              </w:rPr>
              <w:t xml:space="preserve">ncidents of habitable </w:t>
            </w:r>
            <w:r w:rsidR="009119F0">
              <w:rPr>
                <w:b/>
                <w:bCs/>
                <w:lang w:val="en-US"/>
              </w:rPr>
              <w:t xml:space="preserve">floor </w:t>
            </w:r>
            <w:r w:rsidR="00665873">
              <w:rPr>
                <w:b/>
                <w:bCs/>
                <w:lang w:val="en-US"/>
              </w:rPr>
              <w:t>f</w:t>
            </w:r>
            <w:r w:rsidR="00665873" w:rsidRPr="00A1786E">
              <w:rPr>
                <w:b/>
                <w:bCs/>
                <w:lang w:val="en-US"/>
              </w:rPr>
              <w:t xml:space="preserve">looding </w:t>
            </w:r>
            <w:r w:rsidR="000F3BFA" w:rsidRPr="00A1786E">
              <w:rPr>
                <w:b/>
                <w:bCs/>
                <w:lang w:val="en-US"/>
              </w:rPr>
              <w:t>due to equipment failure</w:t>
            </w:r>
          </w:p>
        </w:tc>
        <w:tc>
          <w:tcPr>
            <w:tcW w:w="922" w:type="dxa"/>
          </w:tcPr>
          <w:p w14:paraId="49CE11F0" w14:textId="77777777" w:rsidR="000F3BFA" w:rsidRPr="00A1786E" w:rsidRDefault="000F3BFA" w:rsidP="000F3BFA">
            <w:pPr>
              <w:pStyle w:val="Bodyromannumerals"/>
              <w:rPr>
                <w:b/>
                <w:bCs/>
                <w:lang w:val="en-US"/>
              </w:rPr>
            </w:pPr>
            <w:r w:rsidRPr="00A1786E">
              <w:rPr>
                <w:b/>
                <w:bCs/>
                <w:lang w:val="en-US"/>
              </w:rPr>
              <w:t>Nr.</w:t>
            </w:r>
          </w:p>
        </w:tc>
      </w:tr>
      <w:tr w:rsidR="000F3BFA" w:rsidRPr="00216F0E" w14:paraId="1F1798E9" w14:textId="77777777" w:rsidTr="0065783B">
        <w:tc>
          <w:tcPr>
            <w:tcW w:w="1976" w:type="dxa"/>
            <w:gridSpan w:val="2"/>
            <w:tcBorders>
              <w:left w:val="single" w:sz="4" w:space="0" w:color="FFFFFF"/>
              <w:bottom w:val="single" w:sz="4" w:space="0" w:color="FFFFFF"/>
              <w:right w:val="single" w:sz="4" w:space="0" w:color="FFFFFF"/>
            </w:tcBorders>
          </w:tcPr>
          <w:p w14:paraId="7E78CC1A" w14:textId="77777777" w:rsidR="000F3BFA" w:rsidRPr="00AF4AEA" w:rsidRDefault="000F3BFA" w:rsidP="000F3BFA">
            <w:pPr>
              <w:pStyle w:val="Bodyromannumerals"/>
              <w:rPr>
                <w:i/>
                <w:lang w:val="en-US"/>
              </w:rPr>
            </w:pPr>
            <w:r w:rsidRPr="00A80A3E">
              <w:rPr>
                <w:i/>
                <w:lang w:val="en-US"/>
              </w:rPr>
              <w:t>Definition:</w:t>
            </w:r>
          </w:p>
        </w:tc>
        <w:tc>
          <w:tcPr>
            <w:tcW w:w="5582" w:type="dxa"/>
            <w:gridSpan w:val="2"/>
            <w:tcBorders>
              <w:left w:val="single" w:sz="4" w:space="0" w:color="FFFFFF"/>
              <w:bottom w:val="single" w:sz="4" w:space="0" w:color="FFFFFF"/>
              <w:right w:val="single" w:sz="4" w:space="0" w:color="FFFFFF"/>
            </w:tcBorders>
          </w:tcPr>
          <w:p w14:paraId="7B3AF00A" w14:textId="71893913" w:rsidR="000F3BFA" w:rsidRPr="00AF4AEA" w:rsidRDefault="000F3BFA" w:rsidP="000F3BFA">
            <w:pPr>
              <w:pStyle w:val="Bodyromannumerals"/>
              <w:rPr>
                <w:lang w:val="en-US"/>
              </w:rPr>
            </w:pPr>
            <w:r w:rsidRPr="00AF4AEA">
              <w:rPr>
                <w:lang w:val="en-US"/>
              </w:rPr>
              <w:t xml:space="preserve">These are defined as incidents of </w:t>
            </w:r>
            <w:r w:rsidR="00ED4A9E">
              <w:rPr>
                <w:lang w:val="en-US"/>
              </w:rPr>
              <w:t xml:space="preserve">habitable floor </w:t>
            </w:r>
            <w:r w:rsidRPr="00AF4AEA">
              <w:rPr>
                <w:lang w:val="en-US"/>
              </w:rPr>
              <w:t xml:space="preserve">flooding to </w:t>
            </w:r>
            <w:r w:rsidR="000669B8">
              <w:rPr>
                <w:lang w:val="en-US"/>
              </w:rPr>
              <w:t xml:space="preserve">a </w:t>
            </w:r>
            <w:r w:rsidRPr="00AF4AEA">
              <w:rPr>
                <w:lang w:val="en-US"/>
              </w:rPr>
              <w:t xml:space="preserve">property resulting from the failure or maloperation of </w:t>
            </w:r>
            <w:r w:rsidR="00906346">
              <w:rPr>
                <w:lang w:val="en-US"/>
              </w:rPr>
              <w:t>Local</w:t>
            </w:r>
            <w:r w:rsidR="002E0E38">
              <w:rPr>
                <w:lang w:val="en-US"/>
              </w:rPr>
              <w:t xml:space="preserve"> Authority</w:t>
            </w:r>
            <w:r w:rsidR="000354FD" w:rsidRPr="00AF4AEA">
              <w:rPr>
                <w:lang w:val="en-US"/>
              </w:rPr>
              <w:t xml:space="preserve"> </w:t>
            </w:r>
            <w:r w:rsidRPr="00AF4AEA">
              <w:rPr>
                <w:lang w:val="en-US"/>
              </w:rPr>
              <w:t>apparatus (such as pumping stations, flap valves, penstocks, combined sewer overflows, real time control systems). An incident should be counted from each ‘source’ of flooding e.g. one manhole floods 3 properties = 1 incident, and not each reason for flooding where one event such as pumping station failure causes a large number of flooding incidents.</w:t>
            </w:r>
          </w:p>
        </w:tc>
      </w:tr>
      <w:tr w:rsidR="000F3BFA" w:rsidRPr="00216F0E" w14:paraId="6573669F" w14:textId="77777777" w:rsidTr="0065783B">
        <w:tc>
          <w:tcPr>
            <w:tcW w:w="1976" w:type="dxa"/>
            <w:gridSpan w:val="2"/>
            <w:tcBorders>
              <w:top w:val="single" w:sz="4" w:space="0" w:color="FFFFFF"/>
              <w:left w:val="single" w:sz="4" w:space="0" w:color="FFFFFF"/>
              <w:bottom w:val="single" w:sz="4" w:space="0" w:color="FFFFFF"/>
              <w:right w:val="single" w:sz="4" w:space="0" w:color="FFFFFF"/>
            </w:tcBorders>
          </w:tcPr>
          <w:p w14:paraId="6751DE10" w14:textId="77777777" w:rsidR="000F3BFA" w:rsidRPr="00AF4AEA" w:rsidRDefault="000F3BFA" w:rsidP="000F3BFA">
            <w:pPr>
              <w:pStyle w:val="Bodyromannumerals"/>
              <w:rPr>
                <w:i/>
                <w:lang w:val="en-US"/>
              </w:rPr>
            </w:pPr>
            <w:r w:rsidRPr="00A80A3E">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4AC0E73A" w14:textId="77777777" w:rsidR="000F3BFA" w:rsidRPr="00AF4AEA" w:rsidRDefault="000F3BFA" w:rsidP="000F3BFA">
            <w:pPr>
              <w:pStyle w:val="Bodyromannumerals"/>
              <w:rPr>
                <w:lang w:val="en-US"/>
              </w:rPr>
            </w:pPr>
            <w:r w:rsidRPr="00AF4AEA">
              <w:rPr>
                <w:lang w:val="en-US"/>
              </w:rPr>
              <w:t>Input field</w:t>
            </w:r>
          </w:p>
        </w:tc>
      </w:tr>
    </w:tbl>
    <w:p w14:paraId="2463EA6A" w14:textId="23B79C80" w:rsidR="00295F96" w:rsidRDefault="00295F96"/>
    <w:tbl>
      <w:tblPr>
        <w:tblStyle w:val="TableGrid"/>
        <w:tblW w:w="0" w:type="auto"/>
        <w:tblLook w:val="04A0" w:firstRow="1" w:lastRow="0" w:firstColumn="1" w:lastColumn="0" w:noHBand="0" w:noVBand="1"/>
      </w:tblPr>
      <w:tblGrid>
        <w:gridCol w:w="968"/>
        <w:gridCol w:w="1008"/>
        <w:gridCol w:w="4660"/>
        <w:gridCol w:w="922"/>
      </w:tblGrid>
      <w:tr w:rsidR="000F3BFA" w:rsidRPr="00216F0E" w14:paraId="297CB1A6" w14:textId="77777777" w:rsidTr="0065783B">
        <w:tc>
          <w:tcPr>
            <w:tcW w:w="968" w:type="dxa"/>
          </w:tcPr>
          <w:p w14:paraId="1734D7B4" w14:textId="41C10184" w:rsidR="000F3BFA" w:rsidRPr="00A1786E" w:rsidRDefault="000F3BFA" w:rsidP="000F3BFA">
            <w:pPr>
              <w:pStyle w:val="Bodyromannumerals"/>
              <w:rPr>
                <w:b/>
                <w:bCs/>
                <w:lang w:val="en-US"/>
              </w:rPr>
            </w:pPr>
            <w:r w:rsidRPr="00A1786E">
              <w:rPr>
                <w:b/>
                <w:bCs/>
                <w:lang w:val="en-US"/>
              </w:rPr>
              <w:t>B3.8</w:t>
            </w:r>
          </w:p>
        </w:tc>
        <w:tc>
          <w:tcPr>
            <w:tcW w:w="5668" w:type="dxa"/>
            <w:gridSpan w:val="2"/>
          </w:tcPr>
          <w:p w14:paraId="6143C41E" w14:textId="4A4D36ED" w:rsidR="000F3BFA" w:rsidRPr="00A1786E" w:rsidRDefault="00B55456" w:rsidP="000F3BFA">
            <w:pPr>
              <w:pStyle w:val="Bodyromannumerals"/>
              <w:rPr>
                <w:b/>
                <w:bCs/>
                <w:lang w:val="en-US"/>
              </w:rPr>
            </w:pPr>
            <w:r>
              <w:rPr>
                <w:b/>
                <w:bCs/>
                <w:lang w:val="en-US"/>
              </w:rPr>
              <w:t>Number of i</w:t>
            </w:r>
            <w:r w:rsidR="001906C5">
              <w:rPr>
                <w:b/>
                <w:bCs/>
                <w:lang w:val="en-US"/>
              </w:rPr>
              <w:t xml:space="preserve">ncidents of habitable </w:t>
            </w:r>
            <w:r w:rsidR="009119F0">
              <w:rPr>
                <w:b/>
                <w:bCs/>
                <w:lang w:val="en-US"/>
              </w:rPr>
              <w:t xml:space="preserve">floor </w:t>
            </w:r>
            <w:r w:rsidR="00665873">
              <w:rPr>
                <w:b/>
                <w:bCs/>
                <w:lang w:val="en-US"/>
              </w:rPr>
              <w:t>f</w:t>
            </w:r>
            <w:r w:rsidR="00665873" w:rsidRPr="00A1786E">
              <w:rPr>
                <w:b/>
                <w:bCs/>
                <w:lang w:val="en-US"/>
              </w:rPr>
              <w:t>looding</w:t>
            </w:r>
            <w:r w:rsidR="000F3BFA" w:rsidRPr="00A1786E">
              <w:rPr>
                <w:b/>
                <w:bCs/>
                <w:lang w:val="en-US"/>
              </w:rPr>
              <w:t xml:space="preserve"> due to blockages</w:t>
            </w:r>
          </w:p>
        </w:tc>
        <w:tc>
          <w:tcPr>
            <w:tcW w:w="922" w:type="dxa"/>
          </w:tcPr>
          <w:p w14:paraId="7FC7A7C8" w14:textId="77777777" w:rsidR="000F3BFA" w:rsidRPr="00A1786E" w:rsidRDefault="000F3BFA" w:rsidP="000F3BFA">
            <w:pPr>
              <w:pStyle w:val="Bodyromannumerals"/>
              <w:rPr>
                <w:b/>
                <w:bCs/>
                <w:lang w:val="en-US"/>
              </w:rPr>
            </w:pPr>
            <w:r w:rsidRPr="00A1786E">
              <w:rPr>
                <w:b/>
                <w:bCs/>
                <w:lang w:val="en-US"/>
              </w:rPr>
              <w:t>Nr.</w:t>
            </w:r>
          </w:p>
        </w:tc>
      </w:tr>
      <w:tr w:rsidR="000F3BFA" w:rsidRPr="00216F0E" w14:paraId="31145E19" w14:textId="77777777" w:rsidTr="0065783B">
        <w:tc>
          <w:tcPr>
            <w:tcW w:w="1976" w:type="dxa"/>
            <w:gridSpan w:val="2"/>
            <w:tcBorders>
              <w:left w:val="single" w:sz="4" w:space="0" w:color="FFFFFF"/>
              <w:bottom w:val="single" w:sz="4" w:space="0" w:color="FFFFFF"/>
              <w:right w:val="single" w:sz="4" w:space="0" w:color="FFFFFF"/>
            </w:tcBorders>
          </w:tcPr>
          <w:p w14:paraId="2FB7E8E0" w14:textId="77777777" w:rsidR="000F3BFA" w:rsidRPr="00AF4AEA" w:rsidRDefault="000F3BFA" w:rsidP="000F3BFA">
            <w:pPr>
              <w:pStyle w:val="Bodyromannumerals"/>
              <w:rPr>
                <w:i/>
                <w:lang w:val="en-US"/>
              </w:rPr>
            </w:pPr>
            <w:r w:rsidRPr="00A80A3E">
              <w:rPr>
                <w:i/>
                <w:lang w:val="en-US"/>
              </w:rPr>
              <w:t>Definition:</w:t>
            </w:r>
          </w:p>
        </w:tc>
        <w:tc>
          <w:tcPr>
            <w:tcW w:w="5582" w:type="dxa"/>
            <w:gridSpan w:val="2"/>
            <w:tcBorders>
              <w:left w:val="single" w:sz="4" w:space="0" w:color="FFFFFF"/>
              <w:bottom w:val="single" w:sz="4" w:space="0" w:color="FFFFFF"/>
              <w:right w:val="single" w:sz="4" w:space="0" w:color="FFFFFF"/>
            </w:tcBorders>
          </w:tcPr>
          <w:p w14:paraId="3D6D9C5D" w14:textId="22A3EB6C" w:rsidR="000F3BFA" w:rsidRPr="00AF4AEA" w:rsidRDefault="000F3BFA" w:rsidP="000F3BFA">
            <w:pPr>
              <w:pStyle w:val="Bodyromannumerals"/>
              <w:rPr>
                <w:lang w:val="en-US"/>
              </w:rPr>
            </w:pPr>
            <w:r w:rsidRPr="00AF4AEA">
              <w:rPr>
                <w:lang w:val="en-US"/>
              </w:rPr>
              <w:t xml:space="preserve">These are defined as incidents of </w:t>
            </w:r>
            <w:r w:rsidR="00162D73">
              <w:rPr>
                <w:lang w:val="en-US"/>
              </w:rPr>
              <w:t xml:space="preserve">habitable floor </w:t>
            </w:r>
            <w:r w:rsidRPr="00AF4AEA">
              <w:rPr>
                <w:lang w:val="en-US"/>
              </w:rPr>
              <w:t xml:space="preserve">flooding to </w:t>
            </w:r>
            <w:r w:rsidR="000669B8">
              <w:rPr>
                <w:lang w:val="en-US"/>
              </w:rPr>
              <w:t xml:space="preserve">a </w:t>
            </w:r>
            <w:r w:rsidRPr="00AF4AEA">
              <w:rPr>
                <w:lang w:val="en-US"/>
              </w:rPr>
              <w:t xml:space="preserve">property resulting from a complete or partial blockage of the </w:t>
            </w:r>
            <w:r w:rsidR="00342764">
              <w:rPr>
                <w:lang w:val="en-US"/>
              </w:rPr>
              <w:t>wastewater</w:t>
            </w:r>
            <w:r w:rsidR="00342764" w:rsidRPr="00AF4AEA">
              <w:rPr>
                <w:lang w:val="en-US"/>
              </w:rPr>
              <w:t xml:space="preserve"> </w:t>
            </w:r>
            <w:r w:rsidR="000354FD">
              <w:rPr>
                <w:lang w:val="en-US"/>
              </w:rPr>
              <w:t>system</w:t>
            </w:r>
            <w:r w:rsidR="0028163B">
              <w:rPr>
                <w:lang w:val="en-US"/>
              </w:rPr>
              <w:t xml:space="preserve"> </w:t>
            </w:r>
            <w:r w:rsidRPr="00AF4AEA">
              <w:rPr>
                <w:lang w:val="en-US"/>
              </w:rPr>
              <w:t xml:space="preserve">(including siltation) where the </w:t>
            </w:r>
            <w:r w:rsidR="00342764">
              <w:rPr>
                <w:lang w:val="en-US"/>
              </w:rPr>
              <w:t>wastewater</w:t>
            </w:r>
            <w:r w:rsidR="00342764" w:rsidRPr="00AF4AEA">
              <w:rPr>
                <w:lang w:val="en-US"/>
              </w:rPr>
              <w:t xml:space="preserve"> </w:t>
            </w:r>
            <w:r w:rsidR="000354FD">
              <w:rPr>
                <w:lang w:val="en-US"/>
              </w:rPr>
              <w:t xml:space="preserve">system </w:t>
            </w:r>
            <w:r w:rsidRPr="00AF4AEA">
              <w:rPr>
                <w:lang w:val="en-US"/>
              </w:rPr>
              <w:t>itself is still intact. If the blockage is the result of a fracture of deformation of the pipe, it should be in the next category. An incident should be counted from each ‘source’ of flooding e.g. one manhole floods 3 properties = 1 incident, and not each reason for flooding where one event causes a large number of flooding incidents.</w:t>
            </w:r>
          </w:p>
        </w:tc>
      </w:tr>
      <w:tr w:rsidR="000F3BFA" w:rsidRPr="00216F0E" w14:paraId="2EBE2822" w14:textId="77777777" w:rsidTr="0065783B">
        <w:tc>
          <w:tcPr>
            <w:tcW w:w="1976" w:type="dxa"/>
            <w:gridSpan w:val="2"/>
            <w:tcBorders>
              <w:top w:val="single" w:sz="4" w:space="0" w:color="FFFFFF"/>
              <w:left w:val="single" w:sz="4" w:space="0" w:color="FFFFFF"/>
              <w:bottom w:val="single" w:sz="4" w:space="0" w:color="FFFFFF"/>
              <w:right w:val="single" w:sz="4" w:space="0" w:color="FFFFFF"/>
            </w:tcBorders>
          </w:tcPr>
          <w:p w14:paraId="756AB567" w14:textId="77777777" w:rsidR="000F3BFA" w:rsidRPr="00AF4AEA" w:rsidRDefault="000F3BFA" w:rsidP="000F3BFA">
            <w:pPr>
              <w:pStyle w:val="Bodyromannumerals"/>
              <w:rPr>
                <w:i/>
                <w:lang w:val="en-US"/>
              </w:rPr>
            </w:pPr>
            <w:r w:rsidRPr="00A80A3E">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19BE25D5" w14:textId="77777777" w:rsidR="000F3BFA" w:rsidRPr="00AF4AEA" w:rsidRDefault="000F3BFA" w:rsidP="000F3BFA">
            <w:pPr>
              <w:pStyle w:val="Bodyromannumerals"/>
              <w:rPr>
                <w:lang w:val="en-US"/>
              </w:rPr>
            </w:pPr>
            <w:r w:rsidRPr="00AF4AEA">
              <w:rPr>
                <w:lang w:val="en-US"/>
              </w:rPr>
              <w:t>Input field</w:t>
            </w:r>
          </w:p>
        </w:tc>
      </w:tr>
      <w:tr w:rsidR="000F3BFA" w:rsidRPr="00216F0E" w14:paraId="1650F10C" w14:textId="77777777" w:rsidTr="0065783B">
        <w:tc>
          <w:tcPr>
            <w:tcW w:w="968" w:type="dxa"/>
          </w:tcPr>
          <w:p w14:paraId="50166C54" w14:textId="77777777" w:rsidR="000F3BFA" w:rsidRPr="00A1786E" w:rsidRDefault="000F3BFA" w:rsidP="000F3BFA">
            <w:pPr>
              <w:pStyle w:val="Bodyromannumerals"/>
              <w:rPr>
                <w:b/>
                <w:bCs/>
                <w:lang w:val="en-US"/>
              </w:rPr>
            </w:pPr>
            <w:r w:rsidRPr="00A1786E">
              <w:rPr>
                <w:b/>
                <w:bCs/>
                <w:lang w:val="en-US"/>
              </w:rPr>
              <w:t>B3.9</w:t>
            </w:r>
          </w:p>
        </w:tc>
        <w:tc>
          <w:tcPr>
            <w:tcW w:w="5668" w:type="dxa"/>
            <w:gridSpan w:val="2"/>
          </w:tcPr>
          <w:p w14:paraId="0746B367" w14:textId="48AF7326" w:rsidR="000F3BFA" w:rsidRPr="00A1786E" w:rsidRDefault="00B55456" w:rsidP="000F3BFA">
            <w:pPr>
              <w:pStyle w:val="Bodyromannumerals"/>
              <w:rPr>
                <w:b/>
                <w:bCs/>
                <w:lang w:val="en-US"/>
              </w:rPr>
            </w:pPr>
            <w:r>
              <w:rPr>
                <w:b/>
                <w:bCs/>
                <w:lang w:val="en-US"/>
              </w:rPr>
              <w:t>Number of i</w:t>
            </w:r>
            <w:r w:rsidR="001906C5">
              <w:rPr>
                <w:b/>
                <w:bCs/>
                <w:lang w:val="en-US"/>
              </w:rPr>
              <w:t>ncidents of h</w:t>
            </w:r>
            <w:r w:rsidR="009119F0">
              <w:rPr>
                <w:b/>
                <w:bCs/>
                <w:lang w:val="en-US"/>
              </w:rPr>
              <w:t>abitable floor</w:t>
            </w:r>
            <w:r w:rsidR="009119F0" w:rsidDel="009119F0">
              <w:rPr>
                <w:b/>
                <w:bCs/>
                <w:lang w:val="en-US"/>
              </w:rPr>
              <w:t xml:space="preserve"> </w:t>
            </w:r>
            <w:r w:rsidR="00665873">
              <w:rPr>
                <w:b/>
                <w:bCs/>
                <w:lang w:val="en-US"/>
              </w:rPr>
              <w:t>f</w:t>
            </w:r>
            <w:r w:rsidR="00665873" w:rsidRPr="00A1786E">
              <w:rPr>
                <w:b/>
                <w:bCs/>
                <w:lang w:val="en-US"/>
              </w:rPr>
              <w:t xml:space="preserve">looding </w:t>
            </w:r>
            <w:r w:rsidR="000F3BFA" w:rsidRPr="00A1786E">
              <w:rPr>
                <w:b/>
                <w:bCs/>
                <w:lang w:val="en-US"/>
              </w:rPr>
              <w:t xml:space="preserve">due to </w:t>
            </w:r>
            <w:r w:rsidR="00854320">
              <w:rPr>
                <w:b/>
                <w:bCs/>
                <w:lang w:val="en-US"/>
              </w:rPr>
              <w:t>wastewater system</w:t>
            </w:r>
            <w:r w:rsidR="00854320" w:rsidRPr="00A1786E">
              <w:rPr>
                <w:b/>
                <w:bCs/>
                <w:lang w:val="en-US"/>
              </w:rPr>
              <w:t xml:space="preserve"> </w:t>
            </w:r>
            <w:r w:rsidR="000F3BFA" w:rsidRPr="00A1786E">
              <w:rPr>
                <w:b/>
                <w:bCs/>
                <w:lang w:val="en-US"/>
              </w:rPr>
              <w:t>collapses</w:t>
            </w:r>
          </w:p>
        </w:tc>
        <w:tc>
          <w:tcPr>
            <w:tcW w:w="922" w:type="dxa"/>
          </w:tcPr>
          <w:p w14:paraId="3E5D2493" w14:textId="77777777" w:rsidR="000F3BFA" w:rsidRPr="00A1786E" w:rsidRDefault="000F3BFA" w:rsidP="000F3BFA">
            <w:pPr>
              <w:pStyle w:val="Bodyromannumerals"/>
              <w:rPr>
                <w:b/>
                <w:bCs/>
                <w:lang w:val="en-US"/>
              </w:rPr>
            </w:pPr>
            <w:r w:rsidRPr="00A1786E">
              <w:rPr>
                <w:b/>
                <w:bCs/>
                <w:lang w:val="en-US"/>
              </w:rPr>
              <w:t>Nr.</w:t>
            </w:r>
          </w:p>
        </w:tc>
      </w:tr>
      <w:tr w:rsidR="000F3BFA" w:rsidRPr="00216F0E" w14:paraId="56C2EA75" w14:textId="77777777" w:rsidTr="0065783B">
        <w:tc>
          <w:tcPr>
            <w:tcW w:w="1976" w:type="dxa"/>
            <w:gridSpan w:val="2"/>
            <w:tcBorders>
              <w:left w:val="single" w:sz="4" w:space="0" w:color="FFFFFF"/>
              <w:bottom w:val="single" w:sz="4" w:space="0" w:color="FFFFFF"/>
              <w:right w:val="single" w:sz="4" w:space="0" w:color="FFFFFF"/>
            </w:tcBorders>
          </w:tcPr>
          <w:p w14:paraId="3A3C2470" w14:textId="77777777" w:rsidR="000F3BFA" w:rsidRPr="00AF4AEA" w:rsidRDefault="000F3BFA" w:rsidP="000F3BFA">
            <w:pPr>
              <w:pStyle w:val="Bodyromannumerals"/>
              <w:rPr>
                <w:i/>
                <w:lang w:val="en-US"/>
              </w:rPr>
            </w:pPr>
            <w:r w:rsidRPr="00A80A3E">
              <w:rPr>
                <w:i/>
                <w:lang w:val="en-US"/>
              </w:rPr>
              <w:t>Definition:</w:t>
            </w:r>
          </w:p>
        </w:tc>
        <w:tc>
          <w:tcPr>
            <w:tcW w:w="5582" w:type="dxa"/>
            <w:gridSpan w:val="2"/>
            <w:tcBorders>
              <w:left w:val="single" w:sz="4" w:space="0" w:color="FFFFFF"/>
              <w:bottom w:val="single" w:sz="4" w:space="0" w:color="FFFFFF"/>
              <w:right w:val="single" w:sz="4" w:space="0" w:color="FFFFFF"/>
            </w:tcBorders>
          </w:tcPr>
          <w:p w14:paraId="304EB6AD" w14:textId="7088E220" w:rsidR="000F3BFA" w:rsidRPr="00AF4AEA" w:rsidRDefault="000F3BFA" w:rsidP="000F3BFA">
            <w:pPr>
              <w:pStyle w:val="Bodyromannumerals"/>
              <w:rPr>
                <w:lang w:val="en-US"/>
              </w:rPr>
            </w:pPr>
            <w:r w:rsidRPr="00AF4AEA">
              <w:rPr>
                <w:lang w:val="en-US"/>
              </w:rPr>
              <w:t xml:space="preserve">For the purpose of this indicator these are defined as incidents of </w:t>
            </w:r>
            <w:r w:rsidR="00162D73">
              <w:rPr>
                <w:lang w:val="en-US"/>
              </w:rPr>
              <w:t xml:space="preserve">habitable floor </w:t>
            </w:r>
            <w:r w:rsidRPr="00AF4AEA">
              <w:rPr>
                <w:lang w:val="en-US"/>
              </w:rPr>
              <w:t xml:space="preserve">flooding to </w:t>
            </w:r>
            <w:r w:rsidR="000669B8">
              <w:rPr>
                <w:lang w:val="en-US"/>
              </w:rPr>
              <w:t xml:space="preserve">a </w:t>
            </w:r>
            <w:r w:rsidRPr="00AF4AEA">
              <w:rPr>
                <w:lang w:val="en-US"/>
              </w:rPr>
              <w:t xml:space="preserve">property resulting from a collapse of the </w:t>
            </w:r>
            <w:r w:rsidR="00342764">
              <w:rPr>
                <w:lang w:val="en-US"/>
              </w:rPr>
              <w:t>wastewater</w:t>
            </w:r>
            <w:r w:rsidR="00AE04BE">
              <w:rPr>
                <w:lang w:val="en-US"/>
              </w:rPr>
              <w:t xml:space="preserve"> system</w:t>
            </w:r>
            <w:r w:rsidRPr="00AF4AEA">
              <w:rPr>
                <w:lang w:val="en-US"/>
              </w:rPr>
              <w:t xml:space="preserve"> </w:t>
            </w:r>
            <w:r w:rsidRPr="00216F0E">
              <w:rPr>
                <w:lang w:val="en-US"/>
              </w:rPr>
              <w:t>and</w:t>
            </w:r>
            <w:r w:rsidRPr="00A80A3E">
              <w:rPr>
                <w:lang w:val="en-US"/>
              </w:rPr>
              <w:t xml:space="preserve"> include incidents due to fracture or deformation. An inciden</w:t>
            </w:r>
            <w:r w:rsidRPr="00AF4AEA">
              <w:rPr>
                <w:lang w:val="en-US"/>
              </w:rPr>
              <w:t>t should be counted from each ‘source’ of flooding e.g. one manhole floods 3 properties = 1 incident, and not each reason for flooding where one event causes a large number of flooding incidents.</w:t>
            </w:r>
          </w:p>
        </w:tc>
      </w:tr>
      <w:tr w:rsidR="000F3BFA" w:rsidRPr="00216F0E" w14:paraId="05A952A8" w14:textId="77777777" w:rsidTr="0065783B">
        <w:tc>
          <w:tcPr>
            <w:tcW w:w="1976" w:type="dxa"/>
            <w:gridSpan w:val="2"/>
            <w:tcBorders>
              <w:top w:val="single" w:sz="4" w:space="0" w:color="FFFFFF"/>
              <w:left w:val="single" w:sz="4" w:space="0" w:color="FFFFFF"/>
              <w:bottom w:val="single" w:sz="4" w:space="0" w:color="FFFFFF"/>
              <w:right w:val="single" w:sz="4" w:space="0" w:color="FFFFFF"/>
            </w:tcBorders>
          </w:tcPr>
          <w:p w14:paraId="0EA95BA8" w14:textId="77777777" w:rsidR="000F3BFA" w:rsidRPr="00AF4AEA" w:rsidRDefault="000F3BFA" w:rsidP="000F3BFA">
            <w:pPr>
              <w:pStyle w:val="Bodyromannumerals"/>
              <w:rPr>
                <w:i/>
                <w:lang w:val="en-US"/>
              </w:rPr>
            </w:pPr>
            <w:r w:rsidRPr="00A80A3E">
              <w:rPr>
                <w:i/>
                <w:lang w:val="en-US"/>
              </w:rPr>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122DE4A5" w14:textId="77777777" w:rsidR="000F3BFA" w:rsidRPr="00AF4AEA" w:rsidRDefault="000F3BFA" w:rsidP="000F3BFA">
            <w:pPr>
              <w:pStyle w:val="Bodyromannumerals"/>
              <w:rPr>
                <w:lang w:val="en-US"/>
              </w:rPr>
            </w:pPr>
            <w:r w:rsidRPr="00AF4AEA">
              <w:rPr>
                <w:lang w:val="en-US"/>
              </w:rPr>
              <w:t>Input field</w:t>
            </w:r>
          </w:p>
        </w:tc>
      </w:tr>
      <w:tr w:rsidR="000F3BFA" w:rsidRPr="00216F0E" w14:paraId="383642EC" w14:textId="77777777" w:rsidTr="0065783B">
        <w:tc>
          <w:tcPr>
            <w:tcW w:w="968" w:type="dxa"/>
          </w:tcPr>
          <w:p w14:paraId="4BD499CC" w14:textId="77777777" w:rsidR="000F3BFA" w:rsidRPr="00A1786E" w:rsidRDefault="000F3BFA" w:rsidP="000F3BFA">
            <w:pPr>
              <w:pStyle w:val="Bodyromannumerals"/>
              <w:rPr>
                <w:b/>
                <w:bCs/>
                <w:lang w:val="en-US"/>
              </w:rPr>
            </w:pPr>
            <w:r w:rsidRPr="00A1786E">
              <w:rPr>
                <w:b/>
                <w:bCs/>
                <w:lang w:val="en-US"/>
              </w:rPr>
              <w:t>B3.10</w:t>
            </w:r>
          </w:p>
        </w:tc>
        <w:tc>
          <w:tcPr>
            <w:tcW w:w="5668" w:type="dxa"/>
            <w:gridSpan w:val="2"/>
          </w:tcPr>
          <w:p w14:paraId="361D0BBD" w14:textId="69A15F78" w:rsidR="000F3BFA" w:rsidRPr="00A1786E" w:rsidRDefault="000F3BFA" w:rsidP="000F3BFA">
            <w:pPr>
              <w:pStyle w:val="Bodyromannumerals"/>
              <w:rPr>
                <w:b/>
                <w:bCs/>
                <w:lang w:val="en-US"/>
              </w:rPr>
            </w:pPr>
            <w:r w:rsidRPr="00A1786E">
              <w:rPr>
                <w:b/>
                <w:bCs/>
                <w:lang w:val="en-US"/>
              </w:rPr>
              <w:t>Number of</w:t>
            </w:r>
            <w:r w:rsidR="00665873">
              <w:rPr>
                <w:b/>
                <w:bCs/>
                <w:lang w:val="en-US"/>
              </w:rPr>
              <w:t xml:space="preserve"> </w:t>
            </w:r>
            <w:r w:rsidR="00381544">
              <w:rPr>
                <w:b/>
                <w:bCs/>
                <w:lang w:val="en-US"/>
              </w:rPr>
              <w:t xml:space="preserve">incidents of </w:t>
            </w:r>
            <w:r w:rsidR="009119F0">
              <w:rPr>
                <w:b/>
                <w:bCs/>
                <w:lang w:val="en-US"/>
              </w:rPr>
              <w:t>habitable floor</w:t>
            </w:r>
            <w:r w:rsidR="009119F0" w:rsidRPr="00A1786E">
              <w:rPr>
                <w:b/>
                <w:bCs/>
                <w:lang w:val="en-US"/>
              </w:rPr>
              <w:t xml:space="preserve"> </w:t>
            </w:r>
            <w:r w:rsidRPr="00A1786E">
              <w:rPr>
                <w:b/>
                <w:bCs/>
                <w:lang w:val="en-US"/>
              </w:rPr>
              <w:t>flooding in the year</w:t>
            </w:r>
          </w:p>
        </w:tc>
        <w:tc>
          <w:tcPr>
            <w:tcW w:w="922" w:type="dxa"/>
          </w:tcPr>
          <w:p w14:paraId="13582954" w14:textId="77777777" w:rsidR="000F3BFA" w:rsidRPr="00A1786E" w:rsidRDefault="000F3BFA" w:rsidP="000F3BFA">
            <w:pPr>
              <w:pStyle w:val="Bodyromannumerals"/>
              <w:rPr>
                <w:b/>
                <w:bCs/>
                <w:lang w:val="en-US"/>
              </w:rPr>
            </w:pPr>
            <w:r w:rsidRPr="00A1786E">
              <w:rPr>
                <w:b/>
                <w:bCs/>
                <w:lang w:val="en-US"/>
              </w:rPr>
              <w:t>Nr.</w:t>
            </w:r>
          </w:p>
        </w:tc>
      </w:tr>
      <w:tr w:rsidR="000F3BFA" w:rsidRPr="00216F0E" w14:paraId="5497EC7F" w14:textId="77777777" w:rsidTr="0065783B">
        <w:tc>
          <w:tcPr>
            <w:tcW w:w="1976" w:type="dxa"/>
            <w:gridSpan w:val="2"/>
            <w:tcBorders>
              <w:left w:val="single" w:sz="4" w:space="0" w:color="FFFFFF"/>
              <w:bottom w:val="single" w:sz="4" w:space="0" w:color="FFFFFF"/>
              <w:right w:val="single" w:sz="4" w:space="0" w:color="FFFFFF"/>
            </w:tcBorders>
          </w:tcPr>
          <w:p w14:paraId="14B2358C" w14:textId="77777777" w:rsidR="000F3BFA" w:rsidRPr="00AF4AEA" w:rsidRDefault="000F3BFA" w:rsidP="000F3BFA">
            <w:pPr>
              <w:pStyle w:val="Bodyromannumerals"/>
              <w:rPr>
                <w:i/>
                <w:lang w:val="en-US"/>
              </w:rPr>
            </w:pPr>
            <w:r w:rsidRPr="00A80A3E">
              <w:rPr>
                <w:i/>
                <w:lang w:val="en-US"/>
              </w:rPr>
              <w:t>Definition:</w:t>
            </w:r>
          </w:p>
        </w:tc>
        <w:tc>
          <w:tcPr>
            <w:tcW w:w="5582" w:type="dxa"/>
            <w:gridSpan w:val="2"/>
            <w:tcBorders>
              <w:left w:val="single" w:sz="4" w:space="0" w:color="FFFFFF"/>
              <w:bottom w:val="single" w:sz="4" w:space="0" w:color="FFFFFF"/>
              <w:right w:val="single" w:sz="4" w:space="0" w:color="FFFFFF"/>
            </w:tcBorders>
          </w:tcPr>
          <w:p w14:paraId="13BCFF39" w14:textId="21475599" w:rsidR="000F3BFA" w:rsidRPr="00AF4AEA" w:rsidRDefault="000F3BFA" w:rsidP="000F3BFA">
            <w:pPr>
              <w:pStyle w:val="Bodyromannumerals"/>
              <w:rPr>
                <w:lang w:val="en-US"/>
              </w:rPr>
            </w:pPr>
            <w:r w:rsidRPr="00AF4AEA">
              <w:rPr>
                <w:lang w:val="en-US"/>
              </w:rPr>
              <w:t xml:space="preserve">Total number of flooding incidents in the year causing </w:t>
            </w:r>
            <w:r w:rsidR="00162D73">
              <w:rPr>
                <w:lang w:val="en-US"/>
              </w:rPr>
              <w:t>habitable floor</w:t>
            </w:r>
            <w:r w:rsidR="00162D73" w:rsidRPr="00AF4AEA">
              <w:rPr>
                <w:lang w:val="en-US"/>
              </w:rPr>
              <w:t xml:space="preserve"> </w:t>
            </w:r>
            <w:r w:rsidRPr="00AF4AEA">
              <w:rPr>
                <w:lang w:val="en-US"/>
              </w:rPr>
              <w:t xml:space="preserve">flooding to properties due to other causes (this includes where due to blockages, </w:t>
            </w:r>
            <w:r w:rsidR="00342764">
              <w:rPr>
                <w:lang w:val="en-US"/>
              </w:rPr>
              <w:t>wastewater</w:t>
            </w:r>
            <w:r w:rsidR="00AE04BE">
              <w:rPr>
                <w:lang w:val="en-US"/>
              </w:rPr>
              <w:t xml:space="preserve"> system</w:t>
            </w:r>
            <w:r w:rsidRPr="00AF4AEA">
              <w:rPr>
                <w:lang w:val="en-US"/>
              </w:rPr>
              <w:t xml:space="preserve"> collapses, equipment failure and other causes than overloaded </w:t>
            </w:r>
            <w:r w:rsidR="00814AB4">
              <w:rPr>
                <w:lang w:val="en-US"/>
              </w:rPr>
              <w:t>wastewater systems</w:t>
            </w:r>
            <w:r w:rsidRPr="00AF4AEA">
              <w:rPr>
                <w:lang w:val="en-US"/>
              </w:rPr>
              <w:t xml:space="preserve">). An incident should be counted from each ‘source’ of flooding e.g. one manhole floods 3 properties = 1 incident, and not each reason for </w:t>
            </w:r>
            <w:r w:rsidRPr="00AF4AEA">
              <w:rPr>
                <w:lang w:val="en-US"/>
              </w:rPr>
              <w:lastRenderedPageBreak/>
              <w:t>flooding where one event such as pumping station failure causes a large number of flooding incidents. This should include properties where a domestic cellar is the only part affected by the flooding.</w:t>
            </w:r>
          </w:p>
        </w:tc>
      </w:tr>
      <w:tr w:rsidR="000F3BFA" w:rsidRPr="00216F0E" w14:paraId="64D1A822" w14:textId="77777777" w:rsidTr="0065783B">
        <w:tc>
          <w:tcPr>
            <w:tcW w:w="1976" w:type="dxa"/>
            <w:gridSpan w:val="2"/>
            <w:tcBorders>
              <w:top w:val="single" w:sz="4" w:space="0" w:color="FFFFFF"/>
              <w:left w:val="single" w:sz="4" w:space="0" w:color="FFFFFF"/>
              <w:bottom w:val="single" w:sz="4" w:space="0" w:color="FFFFFF"/>
              <w:right w:val="single" w:sz="4" w:space="0" w:color="FFFFFF"/>
            </w:tcBorders>
          </w:tcPr>
          <w:p w14:paraId="6358A637" w14:textId="77777777" w:rsidR="000F3BFA" w:rsidRPr="00A80A3E" w:rsidRDefault="000F3BFA" w:rsidP="000F3BFA">
            <w:pPr>
              <w:pStyle w:val="Bodyromannumerals"/>
              <w:rPr>
                <w:i/>
                <w:lang w:val="en-US"/>
              </w:rPr>
            </w:pPr>
            <w:r w:rsidRPr="00A80A3E">
              <w:rPr>
                <w:i/>
                <w:lang w:val="en-US"/>
              </w:rPr>
              <w:lastRenderedPageBreak/>
              <w:t>Processing Rules:</w:t>
            </w:r>
          </w:p>
        </w:tc>
        <w:tc>
          <w:tcPr>
            <w:tcW w:w="5582" w:type="dxa"/>
            <w:gridSpan w:val="2"/>
            <w:tcBorders>
              <w:top w:val="single" w:sz="4" w:space="0" w:color="FFFFFF"/>
              <w:left w:val="single" w:sz="4" w:space="0" w:color="FFFFFF"/>
              <w:bottom w:val="single" w:sz="4" w:space="0" w:color="FFFFFF"/>
              <w:right w:val="single" w:sz="4" w:space="0" w:color="FFFFFF"/>
            </w:tcBorders>
          </w:tcPr>
          <w:p w14:paraId="5AED8344" w14:textId="77777777" w:rsidR="000F3BFA" w:rsidRPr="00AF4AEA" w:rsidRDefault="000F3BFA" w:rsidP="000F3BFA">
            <w:pPr>
              <w:pStyle w:val="Bodyromannumerals"/>
              <w:rPr>
                <w:lang w:val="en-US"/>
              </w:rPr>
            </w:pPr>
            <w:r w:rsidRPr="00AF4AEA">
              <w:rPr>
                <w:lang w:val="en-US"/>
              </w:rPr>
              <w:t>Input field</w:t>
            </w:r>
          </w:p>
        </w:tc>
      </w:tr>
    </w:tbl>
    <w:p w14:paraId="0840F89A" w14:textId="74EDADE1" w:rsidR="00BE4543" w:rsidRDefault="00BE4543" w:rsidP="000F3BFA">
      <w:pPr>
        <w:pStyle w:val="Sectionsub-heading"/>
      </w:pPr>
      <w:r>
        <w:t xml:space="preserve">BLOCK </w:t>
      </w:r>
      <w:r w:rsidR="002C17E3">
        <w:t>3</w:t>
      </w:r>
      <w:r>
        <w:t xml:space="preserve">: PROPERTIES ‘AT RISK’ </w:t>
      </w:r>
    </w:p>
    <w:p w14:paraId="318B296A" w14:textId="1934BB43" w:rsidR="00884A64" w:rsidRPr="00AF4AEA" w:rsidRDefault="00D5551A" w:rsidP="00884A64">
      <w:pPr>
        <w:pStyle w:val="Sectionsub-heading"/>
      </w:pPr>
      <w:r>
        <w:rPr>
          <w:rStyle w:val="Bodysub-heading2Char"/>
        </w:rPr>
        <w:t>(</w:t>
      </w:r>
      <w:proofErr w:type="spellStart"/>
      <w:r>
        <w:rPr>
          <w:rStyle w:val="Bodysub-heading2Char"/>
        </w:rPr>
        <w:t>i</w:t>
      </w:r>
      <w:proofErr w:type="spellEnd"/>
      <w:r>
        <w:rPr>
          <w:rStyle w:val="Bodysub-heading2Char"/>
        </w:rPr>
        <w:t xml:space="preserve">) </w:t>
      </w:r>
      <w:r w:rsidR="00884A64" w:rsidRPr="00B529DC">
        <w:rPr>
          <w:rStyle w:val="Bodysub-heading2Char"/>
        </w:rPr>
        <w:t>At risk summary</w:t>
      </w:r>
    </w:p>
    <w:tbl>
      <w:tblPr>
        <w:tblStyle w:val="TableGrid"/>
        <w:tblW w:w="7558" w:type="dxa"/>
        <w:tblLook w:val="04A0" w:firstRow="1" w:lastRow="0" w:firstColumn="1" w:lastColumn="0" w:noHBand="0" w:noVBand="1"/>
      </w:tblPr>
      <w:tblGrid>
        <w:gridCol w:w="1035"/>
        <w:gridCol w:w="980"/>
        <w:gridCol w:w="4629"/>
        <w:gridCol w:w="914"/>
      </w:tblGrid>
      <w:tr w:rsidR="00884A64" w:rsidRPr="00216F0E" w14:paraId="2AF4A988" w14:textId="77777777" w:rsidTr="286C5C0D">
        <w:tc>
          <w:tcPr>
            <w:tcW w:w="1035" w:type="dxa"/>
          </w:tcPr>
          <w:p w14:paraId="42C0895F" w14:textId="77777777" w:rsidR="00884A64" w:rsidRPr="007F4EDF" w:rsidRDefault="00884A64" w:rsidP="00884A64">
            <w:pPr>
              <w:pStyle w:val="Bodyromannumerals"/>
              <w:rPr>
                <w:b/>
                <w:bCs/>
                <w:lang w:val="en-US"/>
              </w:rPr>
            </w:pPr>
            <w:r w:rsidRPr="007F4EDF">
              <w:rPr>
                <w:b/>
                <w:bCs/>
                <w:lang w:val="en-US"/>
              </w:rPr>
              <w:t>B3.22</w:t>
            </w:r>
          </w:p>
        </w:tc>
        <w:tc>
          <w:tcPr>
            <w:tcW w:w="5609" w:type="dxa"/>
            <w:gridSpan w:val="2"/>
          </w:tcPr>
          <w:p w14:paraId="6F62CE63" w14:textId="77777777" w:rsidR="00884A64" w:rsidRPr="007F4EDF" w:rsidRDefault="00884A64" w:rsidP="00884A64">
            <w:pPr>
              <w:pStyle w:val="Bodyromannumerals"/>
              <w:rPr>
                <w:b/>
                <w:bCs/>
                <w:lang w:val="en-US"/>
              </w:rPr>
            </w:pPr>
            <w:r w:rsidRPr="007F4EDF">
              <w:rPr>
                <w:b/>
                <w:bCs/>
                <w:lang w:val="en-US"/>
              </w:rPr>
              <w:t>2 in 10 at end of year</w:t>
            </w:r>
          </w:p>
        </w:tc>
        <w:tc>
          <w:tcPr>
            <w:tcW w:w="914" w:type="dxa"/>
          </w:tcPr>
          <w:p w14:paraId="3C9493BE" w14:textId="77777777" w:rsidR="00884A64" w:rsidRPr="007F4EDF" w:rsidRDefault="00884A64" w:rsidP="00884A64">
            <w:pPr>
              <w:pStyle w:val="Bodyromannumerals"/>
              <w:rPr>
                <w:b/>
                <w:bCs/>
                <w:lang w:val="en-US"/>
              </w:rPr>
            </w:pPr>
            <w:r w:rsidRPr="007F4EDF">
              <w:rPr>
                <w:b/>
                <w:bCs/>
                <w:lang w:val="en-US"/>
              </w:rPr>
              <w:t>Nr.</w:t>
            </w:r>
          </w:p>
        </w:tc>
      </w:tr>
      <w:tr w:rsidR="00884A64" w:rsidRPr="00216F0E" w14:paraId="1C5438B7" w14:textId="77777777" w:rsidTr="286C5C0D">
        <w:tc>
          <w:tcPr>
            <w:tcW w:w="2015" w:type="dxa"/>
            <w:gridSpan w:val="2"/>
            <w:tcBorders>
              <w:left w:val="single" w:sz="4" w:space="0" w:color="FFFFFF" w:themeColor="background2"/>
              <w:bottom w:val="single" w:sz="4" w:space="0" w:color="FFFFFF" w:themeColor="background2"/>
              <w:right w:val="single" w:sz="4" w:space="0" w:color="FFFFFF" w:themeColor="background2"/>
            </w:tcBorders>
          </w:tcPr>
          <w:p w14:paraId="07188127" w14:textId="77777777" w:rsidR="00884A64" w:rsidRPr="00A80A3E" w:rsidRDefault="00884A64" w:rsidP="00884A64">
            <w:pPr>
              <w:pStyle w:val="Bodyromannumerals"/>
              <w:rPr>
                <w:i/>
                <w:lang w:val="en-US"/>
              </w:rPr>
            </w:pPr>
            <w:r w:rsidRPr="00A80A3E">
              <w:rPr>
                <w:i/>
                <w:lang w:val="en-US"/>
              </w:rPr>
              <w:t>Definition:</w:t>
            </w:r>
          </w:p>
        </w:tc>
        <w:tc>
          <w:tcPr>
            <w:tcW w:w="5543" w:type="dxa"/>
            <w:gridSpan w:val="2"/>
            <w:tcBorders>
              <w:left w:val="single" w:sz="4" w:space="0" w:color="FFFFFF" w:themeColor="background2"/>
              <w:bottom w:val="single" w:sz="4" w:space="0" w:color="FFFFFF" w:themeColor="background2"/>
              <w:right w:val="single" w:sz="4" w:space="0" w:color="FFFFFF" w:themeColor="background2"/>
            </w:tcBorders>
          </w:tcPr>
          <w:p w14:paraId="521F783A" w14:textId="77777777" w:rsidR="00884A64" w:rsidRPr="00AF4AEA" w:rsidRDefault="00884A64" w:rsidP="00884A64">
            <w:pPr>
              <w:pStyle w:val="Bodyromannumerals"/>
              <w:rPr>
                <w:lang w:val="en-US"/>
              </w:rPr>
            </w:pPr>
            <w:r w:rsidRPr="00AF4AEA">
              <w:rPr>
                <w:lang w:val="en-US"/>
              </w:rPr>
              <w:t>Properties at risk of flooding twice or more in ten years.</w:t>
            </w:r>
          </w:p>
        </w:tc>
      </w:tr>
      <w:tr w:rsidR="00884A64" w:rsidRPr="00216F0E" w14:paraId="10E21D29" w14:textId="77777777" w:rsidTr="286C5C0D">
        <w:tc>
          <w:tcPr>
            <w:tcW w:w="20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61090AE" w14:textId="77777777" w:rsidR="00884A64" w:rsidRPr="00A80A3E" w:rsidRDefault="00884A64" w:rsidP="00884A64">
            <w:pPr>
              <w:pStyle w:val="Bodyromannumerals"/>
              <w:rPr>
                <w:i/>
                <w:lang w:val="en-US"/>
              </w:rPr>
            </w:pPr>
            <w:r w:rsidRPr="00A80A3E">
              <w:rPr>
                <w:i/>
                <w:lang w:val="en-US"/>
              </w:rPr>
              <w:t>Processing Rules:</w:t>
            </w:r>
          </w:p>
        </w:tc>
        <w:tc>
          <w:tcPr>
            <w:tcW w:w="55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48B5900" w14:textId="77777777" w:rsidR="00884A64" w:rsidRPr="00AF4AEA" w:rsidRDefault="00884A64" w:rsidP="00884A64">
            <w:pPr>
              <w:pStyle w:val="Bodyromannumerals"/>
              <w:rPr>
                <w:lang w:val="en-US"/>
              </w:rPr>
            </w:pPr>
            <w:r w:rsidRPr="00AF4AEA">
              <w:rPr>
                <w:lang w:val="en-US"/>
              </w:rPr>
              <w:t>Input field</w:t>
            </w:r>
          </w:p>
        </w:tc>
      </w:tr>
      <w:tr w:rsidR="00884A64" w:rsidRPr="00216F0E" w14:paraId="3BEE8225" w14:textId="77777777" w:rsidTr="286C5C0D">
        <w:tc>
          <w:tcPr>
            <w:tcW w:w="1035" w:type="dxa"/>
          </w:tcPr>
          <w:p w14:paraId="4D855E4C" w14:textId="77777777" w:rsidR="00884A64" w:rsidRPr="004B596D" w:rsidRDefault="00884A64" w:rsidP="00884A64">
            <w:pPr>
              <w:pStyle w:val="Bodyromannumerals"/>
              <w:rPr>
                <w:b/>
                <w:bCs/>
                <w:lang w:val="en-US"/>
              </w:rPr>
            </w:pPr>
            <w:r w:rsidRPr="004B596D">
              <w:rPr>
                <w:b/>
                <w:bCs/>
                <w:lang w:val="en-US"/>
              </w:rPr>
              <w:t>B3.23</w:t>
            </w:r>
          </w:p>
        </w:tc>
        <w:tc>
          <w:tcPr>
            <w:tcW w:w="5609" w:type="dxa"/>
            <w:gridSpan w:val="2"/>
          </w:tcPr>
          <w:p w14:paraId="107F707D" w14:textId="77777777" w:rsidR="00884A64" w:rsidRPr="004B596D" w:rsidRDefault="00884A64" w:rsidP="00884A64">
            <w:pPr>
              <w:pStyle w:val="Bodyromannumerals"/>
              <w:rPr>
                <w:b/>
                <w:bCs/>
                <w:lang w:val="en-US"/>
              </w:rPr>
            </w:pPr>
            <w:r w:rsidRPr="004B596D">
              <w:rPr>
                <w:b/>
                <w:bCs/>
                <w:lang w:val="en-US"/>
              </w:rPr>
              <w:t>1 in 10 at end of year</w:t>
            </w:r>
          </w:p>
        </w:tc>
        <w:tc>
          <w:tcPr>
            <w:tcW w:w="914" w:type="dxa"/>
          </w:tcPr>
          <w:p w14:paraId="040B2DF3" w14:textId="77777777" w:rsidR="00884A64" w:rsidRPr="004B596D" w:rsidRDefault="00884A64" w:rsidP="00884A64">
            <w:pPr>
              <w:pStyle w:val="Bodyromannumerals"/>
              <w:rPr>
                <w:b/>
                <w:bCs/>
                <w:lang w:val="en-US"/>
              </w:rPr>
            </w:pPr>
            <w:r w:rsidRPr="004B596D">
              <w:rPr>
                <w:b/>
                <w:bCs/>
                <w:lang w:val="en-US"/>
              </w:rPr>
              <w:t>Nr.</w:t>
            </w:r>
          </w:p>
        </w:tc>
      </w:tr>
      <w:tr w:rsidR="00884A64" w:rsidRPr="00216F0E" w14:paraId="30FEF431" w14:textId="77777777" w:rsidTr="286C5C0D">
        <w:tc>
          <w:tcPr>
            <w:tcW w:w="2015" w:type="dxa"/>
            <w:gridSpan w:val="2"/>
            <w:tcBorders>
              <w:left w:val="single" w:sz="4" w:space="0" w:color="FFFFFF" w:themeColor="background2"/>
              <w:bottom w:val="single" w:sz="4" w:space="0" w:color="FFFFFF" w:themeColor="background2"/>
              <w:right w:val="single" w:sz="4" w:space="0" w:color="FFFFFF" w:themeColor="background2"/>
            </w:tcBorders>
          </w:tcPr>
          <w:p w14:paraId="48038821" w14:textId="77777777" w:rsidR="00884A64" w:rsidRPr="00A80A3E" w:rsidRDefault="00884A64" w:rsidP="00884A64">
            <w:pPr>
              <w:pStyle w:val="Bodyromannumerals"/>
              <w:rPr>
                <w:i/>
                <w:lang w:val="en-US"/>
              </w:rPr>
            </w:pPr>
            <w:r w:rsidRPr="00A80A3E">
              <w:rPr>
                <w:i/>
                <w:lang w:val="en-US"/>
              </w:rPr>
              <w:t>Definition:</w:t>
            </w:r>
          </w:p>
        </w:tc>
        <w:tc>
          <w:tcPr>
            <w:tcW w:w="5543" w:type="dxa"/>
            <w:gridSpan w:val="2"/>
            <w:tcBorders>
              <w:left w:val="single" w:sz="4" w:space="0" w:color="FFFFFF" w:themeColor="background2"/>
              <w:bottom w:val="single" w:sz="4" w:space="0" w:color="FFFFFF" w:themeColor="background2"/>
              <w:right w:val="single" w:sz="4" w:space="0" w:color="FFFFFF" w:themeColor="background2"/>
            </w:tcBorders>
          </w:tcPr>
          <w:p w14:paraId="4A8A26CA" w14:textId="77777777" w:rsidR="00884A64" w:rsidRPr="00AF4AEA" w:rsidRDefault="00884A64" w:rsidP="00884A64">
            <w:pPr>
              <w:pStyle w:val="Bodyromannumerals"/>
              <w:rPr>
                <w:lang w:val="en-US"/>
              </w:rPr>
            </w:pPr>
            <w:r w:rsidRPr="00AF4AEA">
              <w:rPr>
                <w:lang w:val="en-US"/>
              </w:rPr>
              <w:t>Number of properties at risk of flooding once in 10 years</w:t>
            </w:r>
          </w:p>
        </w:tc>
      </w:tr>
      <w:tr w:rsidR="00884A64" w:rsidRPr="00216F0E" w14:paraId="59308892" w14:textId="77777777" w:rsidTr="286C5C0D">
        <w:tc>
          <w:tcPr>
            <w:tcW w:w="20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FEAC95A" w14:textId="77777777" w:rsidR="00884A64" w:rsidRPr="00A80A3E" w:rsidRDefault="00884A64" w:rsidP="00884A64">
            <w:pPr>
              <w:pStyle w:val="Bodyromannumerals"/>
              <w:rPr>
                <w:i/>
                <w:lang w:val="en-US"/>
              </w:rPr>
            </w:pPr>
            <w:r w:rsidRPr="00A80A3E">
              <w:rPr>
                <w:i/>
                <w:lang w:val="en-US"/>
              </w:rPr>
              <w:t>Processing Rules:</w:t>
            </w:r>
          </w:p>
        </w:tc>
        <w:tc>
          <w:tcPr>
            <w:tcW w:w="55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D3B5B76" w14:textId="77777777" w:rsidR="00884A64" w:rsidRPr="00AF4AEA" w:rsidRDefault="00884A64" w:rsidP="00884A64">
            <w:pPr>
              <w:pStyle w:val="Bodyromannumerals"/>
              <w:rPr>
                <w:lang w:val="en-US"/>
              </w:rPr>
            </w:pPr>
            <w:r w:rsidRPr="00AF4AEA">
              <w:rPr>
                <w:lang w:val="en-US"/>
              </w:rPr>
              <w:t>Input field</w:t>
            </w:r>
          </w:p>
        </w:tc>
      </w:tr>
      <w:tr w:rsidR="00884A64" w:rsidRPr="00216F0E" w14:paraId="0C400C15" w14:textId="77777777" w:rsidTr="286C5C0D">
        <w:tc>
          <w:tcPr>
            <w:tcW w:w="1035" w:type="dxa"/>
          </w:tcPr>
          <w:p w14:paraId="35F4268D" w14:textId="77777777" w:rsidR="00884A64" w:rsidRPr="004B596D" w:rsidRDefault="00884A64" w:rsidP="00884A64">
            <w:pPr>
              <w:pStyle w:val="Bodyromannumerals"/>
              <w:rPr>
                <w:b/>
                <w:bCs/>
                <w:lang w:val="en-US"/>
              </w:rPr>
            </w:pPr>
            <w:r w:rsidRPr="004B596D">
              <w:rPr>
                <w:b/>
                <w:bCs/>
                <w:lang w:val="en-US"/>
              </w:rPr>
              <w:t>B3.24</w:t>
            </w:r>
          </w:p>
        </w:tc>
        <w:tc>
          <w:tcPr>
            <w:tcW w:w="5609" w:type="dxa"/>
            <w:gridSpan w:val="2"/>
          </w:tcPr>
          <w:p w14:paraId="7277BD12" w14:textId="77777777" w:rsidR="00884A64" w:rsidRPr="004B596D" w:rsidRDefault="00884A64" w:rsidP="00884A64">
            <w:pPr>
              <w:pStyle w:val="Bodyromannumerals"/>
              <w:rPr>
                <w:b/>
                <w:bCs/>
                <w:lang w:val="en-US"/>
              </w:rPr>
            </w:pPr>
            <w:r w:rsidRPr="004B596D">
              <w:rPr>
                <w:b/>
                <w:bCs/>
                <w:lang w:val="en-US"/>
              </w:rPr>
              <w:t>Total at risk</w:t>
            </w:r>
          </w:p>
        </w:tc>
        <w:tc>
          <w:tcPr>
            <w:tcW w:w="914" w:type="dxa"/>
          </w:tcPr>
          <w:p w14:paraId="769D512C" w14:textId="77777777" w:rsidR="00884A64" w:rsidRPr="004B596D" w:rsidRDefault="00884A64" w:rsidP="00884A64">
            <w:pPr>
              <w:pStyle w:val="Bodyromannumerals"/>
              <w:rPr>
                <w:b/>
                <w:bCs/>
                <w:lang w:val="en-US"/>
              </w:rPr>
            </w:pPr>
            <w:r w:rsidRPr="004B596D">
              <w:rPr>
                <w:b/>
                <w:bCs/>
                <w:lang w:val="en-US"/>
              </w:rPr>
              <w:t>Nr.</w:t>
            </w:r>
          </w:p>
        </w:tc>
      </w:tr>
      <w:tr w:rsidR="00884A64" w:rsidRPr="00216F0E" w14:paraId="3BBE1215" w14:textId="77777777" w:rsidTr="286C5C0D">
        <w:tc>
          <w:tcPr>
            <w:tcW w:w="2015" w:type="dxa"/>
            <w:gridSpan w:val="2"/>
            <w:tcBorders>
              <w:left w:val="single" w:sz="4" w:space="0" w:color="FFFFFF" w:themeColor="background2"/>
              <w:bottom w:val="single" w:sz="4" w:space="0" w:color="FFFFFF" w:themeColor="background2"/>
              <w:right w:val="single" w:sz="4" w:space="0" w:color="FFFFFF" w:themeColor="background2"/>
            </w:tcBorders>
          </w:tcPr>
          <w:p w14:paraId="101C484A" w14:textId="77777777" w:rsidR="00884A64" w:rsidRPr="00AF4AEA" w:rsidRDefault="00884A64" w:rsidP="00884A64">
            <w:pPr>
              <w:pStyle w:val="Bodyromannumerals"/>
              <w:rPr>
                <w:i/>
                <w:lang w:val="en-US"/>
              </w:rPr>
            </w:pPr>
            <w:r w:rsidRPr="00AF4AEA">
              <w:rPr>
                <w:i/>
                <w:lang w:val="en-US"/>
              </w:rPr>
              <w:t>Definition:</w:t>
            </w:r>
          </w:p>
        </w:tc>
        <w:tc>
          <w:tcPr>
            <w:tcW w:w="5543" w:type="dxa"/>
            <w:gridSpan w:val="2"/>
            <w:tcBorders>
              <w:left w:val="single" w:sz="4" w:space="0" w:color="FFFFFF" w:themeColor="background2"/>
              <w:bottom w:val="single" w:sz="4" w:space="0" w:color="FFFFFF" w:themeColor="background2"/>
              <w:right w:val="single" w:sz="4" w:space="0" w:color="FFFFFF" w:themeColor="background2"/>
            </w:tcBorders>
          </w:tcPr>
          <w:p w14:paraId="280DFD60" w14:textId="77777777" w:rsidR="00884A64" w:rsidRPr="00AF4AEA" w:rsidRDefault="00884A64" w:rsidP="00884A64">
            <w:pPr>
              <w:pStyle w:val="Bodyromannumerals"/>
              <w:rPr>
                <w:lang w:val="en-US"/>
              </w:rPr>
            </w:pPr>
            <w:r w:rsidRPr="00AF4AEA">
              <w:rPr>
                <w:lang w:val="en-US"/>
              </w:rPr>
              <w:t>Total number of properties at risk of flooding once or more in ten years.</w:t>
            </w:r>
          </w:p>
        </w:tc>
      </w:tr>
      <w:tr w:rsidR="00884A64" w:rsidRPr="00216F0E" w14:paraId="5815DB0C" w14:textId="77777777" w:rsidTr="286C5C0D">
        <w:tc>
          <w:tcPr>
            <w:tcW w:w="201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5C8910A" w14:textId="77777777" w:rsidR="00884A64" w:rsidRPr="00AF4AEA" w:rsidRDefault="00884A64" w:rsidP="00884A64">
            <w:pPr>
              <w:pStyle w:val="Bodyromannumerals"/>
              <w:rPr>
                <w:i/>
                <w:lang w:val="en-US"/>
              </w:rPr>
            </w:pPr>
            <w:r w:rsidRPr="00AF4AEA">
              <w:rPr>
                <w:i/>
                <w:lang w:val="en-US"/>
              </w:rPr>
              <w:t>Processing Rules:</w:t>
            </w:r>
          </w:p>
        </w:tc>
        <w:tc>
          <w:tcPr>
            <w:tcW w:w="554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A70E533" w14:textId="77777777" w:rsidR="00884A64" w:rsidRPr="00AF4AEA" w:rsidRDefault="00884A64" w:rsidP="00884A64">
            <w:pPr>
              <w:pStyle w:val="Bodyromannumerals"/>
              <w:rPr>
                <w:lang w:val="en-US"/>
              </w:rPr>
            </w:pPr>
            <w:r w:rsidRPr="00AF4AEA">
              <w:rPr>
                <w:lang w:val="en-US"/>
              </w:rPr>
              <w:t>Calculated field: Product of B3.22 + B3.23</w:t>
            </w:r>
          </w:p>
        </w:tc>
      </w:tr>
    </w:tbl>
    <w:p w14:paraId="0DD95B59" w14:textId="77777777" w:rsidR="002C17E3" w:rsidRDefault="002C17E3" w:rsidP="00884A64">
      <w:pPr>
        <w:pStyle w:val="Title1"/>
      </w:pPr>
      <w:r>
        <w:br w:type="page"/>
      </w:r>
    </w:p>
    <w:p w14:paraId="0A79E26B" w14:textId="710FFFE8" w:rsidR="00BE4543" w:rsidRDefault="00BE4543" w:rsidP="00884A64">
      <w:pPr>
        <w:pStyle w:val="Title1"/>
      </w:pPr>
      <w:r>
        <w:lastRenderedPageBreak/>
        <w:t xml:space="preserve">TABLE B3a: </w:t>
      </w:r>
      <w:r w:rsidR="00884E49">
        <w:t xml:space="preserve">WASTEWATER </w:t>
      </w:r>
      <w:r w:rsidR="007B4EB4">
        <w:t xml:space="preserve">FLOODING </w:t>
      </w:r>
      <w:r w:rsidR="005A1BCA">
        <w:t>OUTSIDE OF THE CUSTOMER’S PROPERTY</w:t>
      </w:r>
      <w:r>
        <w:t>-</w:t>
      </w:r>
      <w:r w:rsidR="005A1BCA">
        <w:t xml:space="preserve"> I.E.</w:t>
      </w:r>
      <w:r>
        <w:t xml:space="preserve"> EXTERNAL FLOODING</w:t>
      </w:r>
    </w:p>
    <w:p w14:paraId="4DE658EF" w14:textId="77777777" w:rsidR="00B71C64" w:rsidRDefault="00B71C64" w:rsidP="00B71C64">
      <w:pPr>
        <w:pStyle w:val="Sectionsub-heading"/>
      </w:pPr>
      <w:r>
        <w:t>Overall guidance</w:t>
      </w:r>
    </w:p>
    <w:p w14:paraId="6A521F7E" w14:textId="1865C7DF" w:rsidR="00512AE8" w:rsidRDefault="00512AE8" w:rsidP="00512AE8">
      <w:pPr>
        <w:pStyle w:val="Bodynumbercopy"/>
        <w:numPr>
          <w:ilvl w:val="0"/>
          <w:numId w:val="2"/>
        </w:numPr>
      </w:pPr>
      <w:r>
        <w:t xml:space="preserve">If the information is not available for the measure requested, Local Authorities should provide their </w:t>
      </w:r>
      <w:r w:rsidR="00B60D09">
        <w:t>best-informed</w:t>
      </w:r>
      <w:r>
        <w:t xml:space="preserve"> guess based on the information available and reflect the uncertainty in selecting the appropriate confidence grade.</w:t>
      </w:r>
    </w:p>
    <w:p w14:paraId="24C048EF" w14:textId="77777777" w:rsidR="00F75E22" w:rsidRPr="009D4FE0" w:rsidRDefault="00F75E22" w:rsidP="00F75E22">
      <w:pPr>
        <w:pStyle w:val="Bodynumbercopy"/>
        <w:numPr>
          <w:ilvl w:val="0"/>
          <w:numId w:val="2"/>
        </w:numPr>
      </w:pPr>
      <w:r w:rsidRPr="009D4FE0">
        <w:t>Using unplanned interruptions</w:t>
      </w:r>
      <w:r>
        <w:t xml:space="preserve"> in Table B2</w:t>
      </w:r>
      <w:r w:rsidRPr="009D4FE0">
        <w:t xml:space="preserve"> as an example, if the Local Authority has collected information which shows that 150 properties were restored within 8 hours then this would serve as a maximum for the number of properties restored within six hours in line B2.43. A Local Authority could therefore make an informed guess that 100 properties were restored within 6 hours and apply a confidence grade of D5 which would suggest that the reported performance is within +/-50% of the actual performance in the year.  This would result in a maximum of 150 properties (100 + (100 * 50%)) in line with the </w:t>
      </w:r>
      <w:r>
        <w:t xml:space="preserve">known </w:t>
      </w:r>
      <w:r w:rsidRPr="009D4FE0">
        <w:t>properties restored within 8 hours.</w:t>
      </w:r>
    </w:p>
    <w:p w14:paraId="4302F8D0" w14:textId="77777777" w:rsidR="00E21CC3" w:rsidRPr="00B60D09" w:rsidRDefault="00605FDF" w:rsidP="00C10211">
      <w:pPr>
        <w:pStyle w:val="Bodynumbercopy"/>
        <w:numPr>
          <w:ilvl w:val="0"/>
          <w:numId w:val="2"/>
        </w:numPr>
        <w:rPr>
          <w:rFonts w:asciiTheme="minorHAnsi" w:eastAsiaTheme="minorEastAsia" w:hAnsiTheme="minorHAnsi" w:cstheme="minorBidi"/>
        </w:rPr>
      </w:pPr>
      <w:r w:rsidRPr="00B60D09">
        <w:rPr>
          <w:u w:val="single"/>
        </w:rPr>
        <w:t xml:space="preserve">This table covers </w:t>
      </w:r>
      <w:r w:rsidR="00884E49" w:rsidRPr="00B60D09">
        <w:rPr>
          <w:u w:val="single"/>
        </w:rPr>
        <w:t xml:space="preserve">wastewater </w:t>
      </w:r>
      <w:r w:rsidRPr="00B60D09">
        <w:rPr>
          <w:u w:val="single"/>
        </w:rPr>
        <w:t xml:space="preserve">flooding incidents outside of a property (e.g. </w:t>
      </w:r>
      <w:r w:rsidR="00245F81" w:rsidRPr="00B60D09">
        <w:rPr>
          <w:u w:val="single"/>
        </w:rPr>
        <w:t>garden, land</w:t>
      </w:r>
      <w:r w:rsidR="00414284" w:rsidRPr="00B60D09">
        <w:rPr>
          <w:u w:val="single"/>
        </w:rPr>
        <w:t>, street</w:t>
      </w:r>
      <w:r w:rsidR="00245F81" w:rsidRPr="00B60D09">
        <w:rPr>
          <w:u w:val="single"/>
        </w:rPr>
        <w:t xml:space="preserve"> or other</w:t>
      </w:r>
      <w:r w:rsidR="00BF2BFA" w:rsidRPr="00B60D09">
        <w:rPr>
          <w:u w:val="single"/>
        </w:rPr>
        <w:t xml:space="preserve"> public</w:t>
      </w:r>
      <w:r w:rsidR="00245F81" w:rsidRPr="00B60D09">
        <w:rPr>
          <w:u w:val="single"/>
        </w:rPr>
        <w:t xml:space="preserve"> area).</w:t>
      </w:r>
      <w:r w:rsidR="00245F81">
        <w:t xml:space="preserve"> </w:t>
      </w:r>
    </w:p>
    <w:p w14:paraId="1149B6DC" w14:textId="669226BE" w:rsidR="002602E3" w:rsidRPr="00A12D8A" w:rsidRDefault="00245F81" w:rsidP="00C10211">
      <w:pPr>
        <w:pStyle w:val="Bodynumbercopy"/>
        <w:numPr>
          <w:ilvl w:val="0"/>
          <w:numId w:val="2"/>
        </w:numPr>
        <w:rPr>
          <w:rFonts w:asciiTheme="minorHAnsi" w:eastAsiaTheme="minorEastAsia" w:hAnsiTheme="minorHAnsi" w:cstheme="minorBidi"/>
        </w:rPr>
      </w:pPr>
      <w:r>
        <w:t xml:space="preserve">Any </w:t>
      </w:r>
      <w:r w:rsidR="00E2092A">
        <w:t xml:space="preserve">incidents of </w:t>
      </w:r>
      <w:r w:rsidR="005D0159">
        <w:t xml:space="preserve">habitable floor </w:t>
      </w:r>
      <w:r>
        <w:t>flooding inside a property should be reported in Table B3</w:t>
      </w:r>
      <w:r w:rsidR="009C6358">
        <w:t xml:space="preserve"> if caused by wastewater systems and B3b if caused by stormwater systems</w:t>
      </w:r>
      <w:r>
        <w:t xml:space="preserve">. </w:t>
      </w:r>
      <w:r w:rsidR="00012A65">
        <w:t xml:space="preserve"> Stormwater flooding incidents outside of a property should be reported </w:t>
      </w:r>
      <w:r w:rsidR="00AF132B">
        <w:t>i</w:t>
      </w:r>
      <w:r w:rsidR="00012A65">
        <w:t>n Table B3c.</w:t>
      </w:r>
    </w:p>
    <w:p w14:paraId="4AFFDAFD" w14:textId="3A451019" w:rsidR="00A84816" w:rsidRPr="00A12D8A" w:rsidRDefault="00567053" w:rsidP="00C10211">
      <w:pPr>
        <w:pStyle w:val="Bodynumbercopy"/>
        <w:numPr>
          <w:ilvl w:val="0"/>
          <w:numId w:val="2"/>
        </w:numPr>
      </w:pPr>
      <w:bookmarkStart w:id="4" w:name="_Hlk53679791"/>
      <w:r w:rsidRPr="00A12D8A">
        <w:t>For forecast performance in 2020/21, Local Authorities are suggested to provide an estimate based on historic performance (e.g. average performance over the previous 5 years).</w:t>
      </w:r>
    </w:p>
    <w:bookmarkEnd w:id="4"/>
    <w:p w14:paraId="426733ED" w14:textId="77777777" w:rsidR="00F75E22" w:rsidRPr="0026497F" w:rsidRDefault="00F75E22" w:rsidP="00A12D8A">
      <w:pPr>
        <w:pStyle w:val="Bodynumbercopy"/>
        <w:numPr>
          <w:ilvl w:val="0"/>
          <w:numId w:val="0"/>
        </w:numPr>
        <w:ind w:left="720"/>
        <w:rPr>
          <w:rFonts w:asciiTheme="minorHAnsi" w:eastAsiaTheme="minorEastAsia" w:hAnsiTheme="minorHAnsi" w:cstheme="minorBidi"/>
        </w:rPr>
      </w:pPr>
    </w:p>
    <w:p w14:paraId="7B9E556A" w14:textId="77777777" w:rsidR="009F1ADE" w:rsidRDefault="009F1ADE" w:rsidP="0026497F">
      <w:pPr>
        <w:pStyle w:val="Sectionsub-heading"/>
      </w:pPr>
      <w:r>
        <w:br w:type="page"/>
      </w:r>
    </w:p>
    <w:p w14:paraId="00EFDAD9" w14:textId="25A9BC02" w:rsidR="00BE4543" w:rsidRPr="0026497F" w:rsidRDefault="00BE4543" w:rsidP="0026497F">
      <w:pPr>
        <w:pStyle w:val="Sectionsub-heading"/>
      </w:pPr>
      <w:r>
        <w:lastRenderedPageBreak/>
        <w:t xml:space="preserve">BLOCK 1: </w:t>
      </w:r>
      <w:r w:rsidR="00547C78">
        <w:t xml:space="preserve">ANNUAL EXTERNAL FLOODING SUMMARY </w:t>
      </w:r>
    </w:p>
    <w:p w14:paraId="6D76507D" w14:textId="26DC4057" w:rsidR="00884A64" w:rsidRPr="0007555F" w:rsidRDefault="007A3DC4" w:rsidP="00B529DC">
      <w:pPr>
        <w:pStyle w:val="Bodysub-heading2"/>
        <w:rPr>
          <w:b/>
          <w:bCs/>
          <w:sz w:val="20"/>
          <w:szCs w:val="20"/>
          <w:lang w:val="ro-RO"/>
        </w:rPr>
      </w:pPr>
      <w:r>
        <w:rPr>
          <w:b/>
          <w:bCs/>
          <w:sz w:val="20"/>
          <w:szCs w:val="20"/>
          <w:lang w:val="ro-RO"/>
        </w:rPr>
        <w:t xml:space="preserve">(i) </w:t>
      </w:r>
      <w:r w:rsidR="00884A64" w:rsidRPr="0007555F">
        <w:rPr>
          <w:b/>
          <w:bCs/>
          <w:sz w:val="20"/>
          <w:szCs w:val="20"/>
          <w:lang w:val="ro-RO"/>
        </w:rPr>
        <w:t xml:space="preserve">Overloaded </w:t>
      </w:r>
      <w:r w:rsidR="002602E3" w:rsidRPr="0007555F">
        <w:rPr>
          <w:b/>
          <w:bCs/>
          <w:sz w:val="20"/>
          <w:szCs w:val="20"/>
          <w:lang w:val="ro-RO"/>
        </w:rPr>
        <w:t xml:space="preserve">wastewater </w:t>
      </w:r>
      <w:r w:rsidR="00A81981" w:rsidRPr="0007555F">
        <w:rPr>
          <w:b/>
          <w:bCs/>
          <w:sz w:val="20"/>
          <w:szCs w:val="20"/>
          <w:lang w:val="ro-RO"/>
        </w:rPr>
        <w:t>systems</w:t>
      </w:r>
      <w:r w:rsidR="005E0F3E" w:rsidRPr="0007555F">
        <w:rPr>
          <w:b/>
          <w:bCs/>
          <w:sz w:val="20"/>
          <w:szCs w:val="20"/>
          <w:lang w:val="ro-RO"/>
        </w:rPr>
        <w:t xml:space="preserve"> </w:t>
      </w:r>
    </w:p>
    <w:tbl>
      <w:tblPr>
        <w:tblStyle w:val="TableGrid"/>
        <w:tblW w:w="0" w:type="auto"/>
        <w:tblLook w:val="04A0" w:firstRow="1" w:lastRow="0" w:firstColumn="1" w:lastColumn="0" w:noHBand="0" w:noVBand="1"/>
      </w:tblPr>
      <w:tblGrid>
        <w:gridCol w:w="975"/>
        <w:gridCol w:w="1011"/>
        <w:gridCol w:w="4376"/>
        <w:gridCol w:w="1196"/>
      </w:tblGrid>
      <w:tr w:rsidR="00884A64" w:rsidRPr="00216F0E" w14:paraId="701DFED6" w14:textId="77777777" w:rsidTr="006B4D75">
        <w:tc>
          <w:tcPr>
            <w:tcW w:w="975" w:type="dxa"/>
          </w:tcPr>
          <w:p w14:paraId="6EFAB0C9" w14:textId="77777777" w:rsidR="00884A64" w:rsidRPr="004B596D" w:rsidRDefault="00884A64" w:rsidP="00884A64">
            <w:pPr>
              <w:pStyle w:val="Bodyromannumerals"/>
              <w:rPr>
                <w:b/>
                <w:bCs/>
              </w:rPr>
            </w:pPr>
            <w:r w:rsidRPr="004B596D">
              <w:rPr>
                <w:b/>
                <w:bCs/>
              </w:rPr>
              <w:t>B3a.1</w:t>
            </w:r>
          </w:p>
        </w:tc>
        <w:tc>
          <w:tcPr>
            <w:tcW w:w="5387" w:type="dxa"/>
            <w:gridSpan w:val="2"/>
          </w:tcPr>
          <w:p w14:paraId="225D0615" w14:textId="2CA7F2ED" w:rsidR="00884A64" w:rsidRPr="004B596D" w:rsidRDefault="00884A64" w:rsidP="00884A64">
            <w:pPr>
              <w:pStyle w:val="Bodyromannumerals"/>
              <w:rPr>
                <w:b/>
                <w:bCs/>
              </w:rPr>
            </w:pPr>
            <w:r w:rsidRPr="004B596D">
              <w:rPr>
                <w:b/>
                <w:bCs/>
              </w:rPr>
              <w:t xml:space="preserve">Areas flooded externally in the year (overloaded </w:t>
            </w:r>
            <w:r w:rsidR="002602E3">
              <w:rPr>
                <w:b/>
                <w:bCs/>
              </w:rPr>
              <w:t xml:space="preserve">wastewater </w:t>
            </w:r>
            <w:r w:rsidR="000810B7" w:rsidRPr="000810B7">
              <w:rPr>
                <w:b/>
                <w:bCs/>
              </w:rPr>
              <w:t>systems</w:t>
            </w:r>
            <w:r w:rsidRPr="004B596D">
              <w:rPr>
                <w:b/>
                <w:bCs/>
              </w:rPr>
              <w:t>)</w:t>
            </w:r>
          </w:p>
        </w:tc>
        <w:tc>
          <w:tcPr>
            <w:tcW w:w="1196" w:type="dxa"/>
          </w:tcPr>
          <w:p w14:paraId="65BF1F3B" w14:textId="77777777" w:rsidR="00884A64" w:rsidRPr="004B596D" w:rsidRDefault="00884A64" w:rsidP="00884A64">
            <w:pPr>
              <w:pStyle w:val="Bodyromannumerals"/>
              <w:rPr>
                <w:b/>
                <w:bCs/>
              </w:rPr>
            </w:pPr>
            <w:r w:rsidRPr="004B596D">
              <w:rPr>
                <w:b/>
                <w:bCs/>
              </w:rPr>
              <w:t>Nr.</w:t>
            </w:r>
          </w:p>
        </w:tc>
      </w:tr>
      <w:tr w:rsidR="00884A64" w:rsidRPr="00216F0E" w14:paraId="5C56BD6D" w14:textId="77777777" w:rsidTr="006B4D75">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49C640DE" w14:textId="77777777" w:rsidR="00884A64" w:rsidRPr="00AF4AEA" w:rsidRDefault="00884A64" w:rsidP="00884A64">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55B3587E" w14:textId="31C4447F" w:rsidR="00884A64" w:rsidRPr="00AF4AEA" w:rsidRDefault="00884A64" w:rsidP="00884A64">
            <w:pPr>
              <w:pStyle w:val="Bodyromannumerals"/>
            </w:pPr>
            <w:r w:rsidRPr="00AF4AEA">
              <w:t xml:space="preserve">Total number of areas affected by external flooding incidents in the year due to overloaded </w:t>
            </w:r>
            <w:r w:rsidR="002602E3">
              <w:t>wastewater</w:t>
            </w:r>
            <w:r w:rsidR="00064327">
              <w:t xml:space="preserve"> </w:t>
            </w:r>
            <w:r w:rsidR="000810B7" w:rsidRPr="000810B7">
              <w:t>systems</w:t>
            </w:r>
            <w:r w:rsidRPr="00AF4AEA">
              <w:t>.</w:t>
            </w:r>
            <w:r w:rsidR="00335DEF">
              <w:t xml:space="preserve"> </w:t>
            </w:r>
            <w:r w:rsidR="00CB1F03">
              <w:t xml:space="preserve">This </w:t>
            </w:r>
            <w:r w:rsidR="00DD4E78">
              <w:t>includes flooding in</w:t>
            </w:r>
            <w:r w:rsidR="00CB1F03">
              <w:t xml:space="preserve"> garden</w:t>
            </w:r>
            <w:r w:rsidR="00DD4E78">
              <w:t>s</w:t>
            </w:r>
            <w:r w:rsidR="00CB1F03">
              <w:t>, street</w:t>
            </w:r>
            <w:r w:rsidR="00DD4E78">
              <w:t xml:space="preserve">s, land and </w:t>
            </w:r>
            <w:r w:rsidR="00CB1F03">
              <w:t>other public area</w:t>
            </w:r>
            <w:r w:rsidR="00790CC0">
              <w:t>s</w:t>
            </w:r>
            <w:r w:rsidR="00CB1F03">
              <w:t>.</w:t>
            </w:r>
          </w:p>
        </w:tc>
      </w:tr>
      <w:tr w:rsidR="00884A64" w:rsidRPr="00216F0E" w14:paraId="76A5703A" w14:textId="77777777" w:rsidTr="006B4D75">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DEEC5" w14:textId="77777777" w:rsidR="00884A64" w:rsidRPr="00AF4AEA" w:rsidRDefault="00884A64" w:rsidP="00884A64">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DABD2" w14:textId="77777777" w:rsidR="00884A64" w:rsidRPr="00AF4AEA" w:rsidRDefault="00884A64" w:rsidP="00884A64">
            <w:pPr>
              <w:pStyle w:val="Bodyromannumerals"/>
            </w:pPr>
            <w:r w:rsidRPr="00216F0E">
              <w:rPr>
                <w:rFonts w:eastAsia="Calibri"/>
                <w:lang w:val="en-US"/>
              </w:rPr>
              <w:t>Input field</w:t>
            </w:r>
          </w:p>
        </w:tc>
      </w:tr>
      <w:tr w:rsidR="00884A64" w:rsidRPr="00216F0E" w14:paraId="678CACFE" w14:textId="77777777" w:rsidTr="006B4D75">
        <w:tc>
          <w:tcPr>
            <w:tcW w:w="975" w:type="dxa"/>
          </w:tcPr>
          <w:p w14:paraId="43CF5236" w14:textId="77777777" w:rsidR="00884A64" w:rsidRPr="004B596D" w:rsidRDefault="00884A64" w:rsidP="00884A64">
            <w:pPr>
              <w:pStyle w:val="Bodyromannumerals"/>
              <w:rPr>
                <w:b/>
                <w:bCs/>
              </w:rPr>
            </w:pPr>
            <w:r w:rsidRPr="004B596D">
              <w:rPr>
                <w:b/>
                <w:bCs/>
              </w:rPr>
              <w:t>B3a.2</w:t>
            </w:r>
          </w:p>
        </w:tc>
        <w:tc>
          <w:tcPr>
            <w:tcW w:w="5387" w:type="dxa"/>
            <w:gridSpan w:val="2"/>
          </w:tcPr>
          <w:p w14:paraId="0391C640" w14:textId="10F01EE0" w:rsidR="00884A64" w:rsidRPr="004B596D" w:rsidRDefault="007048C0" w:rsidP="00884A64">
            <w:pPr>
              <w:pStyle w:val="Bodyromannumerals"/>
              <w:rPr>
                <w:b/>
                <w:bCs/>
              </w:rPr>
            </w:pPr>
            <w:r w:rsidRPr="004B596D">
              <w:rPr>
                <w:b/>
                <w:bCs/>
              </w:rPr>
              <w:t>Curtilage</w:t>
            </w:r>
            <w:r w:rsidR="00884A64" w:rsidRPr="004B596D">
              <w:rPr>
                <w:b/>
                <w:bCs/>
              </w:rPr>
              <w:t xml:space="preserve"> flooding incidents </w:t>
            </w:r>
            <w:r w:rsidR="009A712E">
              <w:rPr>
                <w:b/>
                <w:bCs/>
              </w:rPr>
              <w:t xml:space="preserve">(within a private land boundary) </w:t>
            </w:r>
            <w:r w:rsidR="00884A64" w:rsidRPr="004B596D">
              <w:rPr>
                <w:b/>
                <w:bCs/>
              </w:rPr>
              <w:t xml:space="preserve">in the year (overloaded </w:t>
            </w:r>
            <w:r w:rsidR="002602E3">
              <w:rPr>
                <w:b/>
                <w:bCs/>
              </w:rPr>
              <w:t xml:space="preserve">wastewater </w:t>
            </w:r>
            <w:r w:rsidR="000810B7" w:rsidRPr="000810B7">
              <w:rPr>
                <w:b/>
                <w:bCs/>
              </w:rPr>
              <w:t>systems</w:t>
            </w:r>
            <w:r w:rsidR="00884A64" w:rsidRPr="004B596D">
              <w:rPr>
                <w:b/>
                <w:bCs/>
              </w:rPr>
              <w:t>)</w:t>
            </w:r>
          </w:p>
        </w:tc>
        <w:tc>
          <w:tcPr>
            <w:tcW w:w="1196" w:type="dxa"/>
          </w:tcPr>
          <w:p w14:paraId="0A6F368E" w14:textId="77777777" w:rsidR="00884A64" w:rsidRPr="004B596D" w:rsidRDefault="00884A64" w:rsidP="00884A64">
            <w:pPr>
              <w:pStyle w:val="Bodyromannumerals"/>
              <w:rPr>
                <w:b/>
                <w:bCs/>
              </w:rPr>
            </w:pPr>
            <w:r w:rsidRPr="004B596D">
              <w:rPr>
                <w:b/>
                <w:bCs/>
              </w:rPr>
              <w:t>Nr.</w:t>
            </w:r>
          </w:p>
        </w:tc>
      </w:tr>
      <w:tr w:rsidR="00884A64" w:rsidRPr="00216F0E" w14:paraId="08FC0EDA" w14:textId="77777777" w:rsidTr="006B4D75">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1AD56A16" w14:textId="77777777" w:rsidR="00884A64" w:rsidRPr="00AF4AEA" w:rsidRDefault="00884A64" w:rsidP="00884A64">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0853915B" w14:textId="1610CB08" w:rsidR="00884A64" w:rsidRPr="00AF4AEA" w:rsidRDefault="00884A64" w:rsidP="00884A64">
            <w:pPr>
              <w:pStyle w:val="Bodyromannumerals"/>
            </w:pPr>
            <w:r w:rsidRPr="00AF4AEA">
              <w:t xml:space="preserve">The number of incidents of curtilages affected by external flooding in the year due to overloaded </w:t>
            </w:r>
            <w:r w:rsidR="002602E3">
              <w:t xml:space="preserve">wastewater </w:t>
            </w:r>
            <w:r w:rsidR="000810B7" w:rsidRPr="000810B7">
              <w:t>systems</w:t>
            </w:r>
            <w:r w:rsidRPr="00AF4AEA">
              <w:t>.</w:t>
            </w:r>
            <w:r w:rsidR="004F6662">
              <w:t xml:space="preserve"> </w:t>
            </w:r>
            <w:r w:rsidR="00790CC0">
              <w:t>Curtilage</w:t>
            </w:r>
            <w:r w:rsidR="00E50AEB">
              <w:t xml:space="preserve"> refers to the </w:t>
            </w:r>
            <w:r w:rsidR="00104F23">
              <w:t xml:space="preserve">land within a private land boundary i.e. </w:t>
            </w:r>
            <w:r w:rsidR="00394154">
              <w:t xml:space="preserve">the </w:t>
            </w:r>
            <w:r w:rsidR="00AD4521">
              <w:t xml:space="preserve">enclosed space </w:t>
            </w:r>
            <w:r w:rsidR="00104F23">
              <w:t xml:space="preserve">immediately surrounding a house or dwelling. </w:t>
            </w:r>
          </w:p>
        </w:tc>
      </w:tr>
      <w:tr w:rsidR="00884A64" w:rsidRPr="00216F0E" w14:paraId="2DCAA3E5" w14:textId="77777777" w:rsidTr="006B4D75">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27CEA" w14:textId="77777777" w:rsidR="00884A64" w:rsidRPr="00AF4AEA" w:rsidRDefault="00884A64" w:rsidP="00884A64">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EEDEE" w14:textId="77777777" w:rsidR="00884A64" w:rsidRPr="00AF4AEA" w:rsidRDefault="00884A64" w:rsidP="00884A64">
            <w:pPr>
              <w:pStyle w:val="Bodyromannumerals"/>
            </w:pPr>
            <w:r w:rsidRPr="00216F0E">
              <w:rPr>
                <w:rFonts w:eastAsia="Calibri"/>
                <w:lang w:val="en-US"/>
              </w:rPr>
              <w:t>Input field</w:t>
            </w:r>
          </w:p>
        </w:tc>
      </w:tr>
      <w:tr w:rsidR="00884A64" w:rsidRPr="00216F0E" w14:paraId="5772BE08" w14:textId="77777777" w:rsidTr="006B4D75">
        <w:tc>
          <w:tcPr>
            <w:tcW w:w="975" w:type="dxa"/>
          </w:tcPr>
          <w:p w14:paraId="51FE5943" w14:textId="77777777" w:rsidR="00884A64" w:rsidRPr="004B596D" w:rsidRDefault="00884A64" w:rsidP="00884A64">
            <w:pPr>
              <w:pStyle w:val="Bodyromannumerals"/>
              <w:rPr>
                <w:b/>
                <w:bCs/>
              </w:rPr>
            </w:pPr>
            <w:r w:rsidRPr="004B596D">
              <w:rPr>
                <w:b/>
                <w:bCs/>
              </w:rPr>
              <w:t>B3a.3</w:t>
            </w:r>
          </w:p>
        </w:tc>
        <w:tc>
          <w:tcPr>
            <w:tcW w:w="5387" w:type="dxa"/>
            <w:gridSpan w:val="2"/>
          </w:tcPr>
          <w:p w14:paraId="25B34DB6" w14:textId="63B02FE8" w:rsidR="00884A64" w:rsidRPr="004B596D" w:rsidRDefault="005979BE" w:rsidP="00884A64">
            <w:pPr>
              <w:pStyle w:val="Bodyromannumerals"/>
              <w:rPr>
                <w:b/>
                <w:bCs/>
              </w:rPr>
            </w:pPr>
            <w:r>
              <w:rPr>
                <w:b/>
                <w:bCs/>
              </w:rPr>
              <w:t>Road corridor</w:t>
            </w:r>
            <w:r w:rsidRPr="004B596D">
              <w:rPr>
                <w:b/>
                <w:bCs/>
              </w:rPr>
              <w:t xml:space="preserve"> </w:t>
            </w:r>
            <w:r w:rsidR="00884A64" w:rsidRPr="004B596D">
              <w:rPr>
                <w:b/>
                <w:bCs/>
              </w:rPr>
              <w:t xml:space="preserve">flooding incidents (overloaded </w:t>
            </w:r>
            <w:r w:rsidR="002602E3">
              <w:rPr>
                <w:b/>
                <w:bCs/>
              </w:rPr>
              <w:t xml:space="preserve">wastewater </w:t>
            </w:r>
            <w:r w:rsidR="000810B7" w:rsidRPr="000810B7">
              <w:rPr>
                <w:b/>
                <w:bCs/>
              </w:rPr>
              <w:t>systems</w:t>
            </w:r>
            <w:r w:rsidR="00884A64" w:rsidRPr="004B596D">
              <w:rPr>
                <w:b/>
                <w:bCs/>
              </w:rPr>
              <w:t>)</w:t>
            </w:r>
          </w:p>
        </w:tc>
        <w:tc>
          <w:tcPr>
            <w:tcW w:w="1196" w:type="dxa"/>
          </w:tcPr>
          <w:p w14:paraId="6AB907F2" w14:textId="77777777" w:rsidR="00884A64" w:rsidRPr="004B596D" w:rsidRDefault="00884A64" w:rsidP="00884A64">
            <w:pPr>
              <w:pStyle w:val="Bodyromannumerals"/>
              <w:rPr>
                <w:b/>
                <w:bCs/>
              </w:rPr>
            </w:pPr>
            <w:r w:rsidRPr="004B596D">
              <w:rPr>
                <w:b/>
                <w:bCs/>
              </w:rPr>
              <w:t>Nr.</w:t>
            </w:r>
          </w:p>
        </w:tc>
      </w:tr>
      <w:tr w:rsidR="00884A64" w:rsidRPr="00216F0E" w14:paraId="6AFD48F4" w14:textId="77777777" w:rsidTr="006B4D75">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67F1210E" w14:textId="77777777" w:rsidR="00884A64" w:rsidRPr="00AF4AEA" w:rsidRDefault="00884A64" w:rsidP="00884A64">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288E025C" w14:textId="792ABF47" w:rsidR="00884A64" w:rsidRPr="00AF4AEA" w:rsidRDefault="00884A64" w:rsidP="00884A64">
            <w:pPr>
              <w:pStyle w:val="Bodyromannumerals"/>
            </w:pPr>
            <w:r w:rsidRPr="00AF4AEA">
              <w:t xml:space="preserve">Total number of incidents of </w:t>
            </w:r>
            <w:r w:rsidR="00E51ED2">
              <w:t>road corridors</w:t>
            </w:r>
            <w:r w:rsidR="00E51ED2" w:rsidRPr="00AF4AEA">
              <w:t xml:space="preserve"> </w:t>
            </w:r>
            <w:r w:rsidRPr="00AF4AEA">
              <w:t xml:space="preserve">flooded in the year due to overloaded </w:t>
            </w:r>
            <w:r w:rsidR="002602E3">
              <w:t xml:space="preserve">wastewater </w:t>
            </w:r>
            <w:r w:rsidR="000810B7" w:rsidRPr="000810B7">
              <w:t>systems</w:t>
            </w:r>
            <w:r w:rsidRPr="00AF4AEA">
              <w:t>. This includes footpaths.</w:t>
            </w:r>
          </w:p>
        </w:tc>
      </w:tr>
      <w:tr w:rsidR="00884A64" w:rsidRPr="00216F0E" w14:paraId="626F5ED4" w14:textId="77777777" w:rsidTr="006B4D75">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4A810" w14:textId="77777777" w:rsidR="00884A64" w:rsidRPr="00AF4AEA" w:rsidRDefault="00884A64" w:rsidP="00884A64">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7C02F" w14:textId="329D775F" w:rsidR="0091041B" w:rsidRPr="00A12D8A" w:rsidRDefault="00884A64" w:rsidP="00884A64">
            <w:pPr>
              <w:pStyle w:val="Bodyromannumerals"/>
              <w:rPr>
                <w:rFonts w:eastAsia="Calibri"/>
                <w:lang w:val="en-US"/>
              </w:rPr>
            </w:pPr>
            <w:r w:rsidRPr="00AF4AEA">
              <w:rPr>
                <w:rFonts w:eastAsia="Calibri"/>
                <w:lang w:val="en-US"/>
              </w:rPr>
              <w:t>Input field</w:t>
            </w:r>
          </w:p>
          <w:p w14:paraId="0C102530" w14:textId="53AB931E" w:rsidR="0091041B" w:rsidRPr="00AF4AEA" w:rsidRDefault="0091041B" w:rsidP="00884A64">
            <w:pPr>
              <w:pStyle w:val="Bodyromannumerals"/>
            </w:pPr>
          </w:p>
        </w:tc>
      </w:tr>
      <w:tr w:rsidR="00884A64" w:rsidRPr="00216F0E" w14:paraId="7FCEB5A5" w14:textId="77777777" w:rsidTr="006B4D75">
        <w:tc>
          <w:tcPr>
            <w:tcW w:w="975" w:type="dxa"/>
          </w:tcPr>
          <w:p w14:paraId="6595D44A" w14:textId="77777777" w:rsidR="00884A64" w:rsidRPr="004B596D" w:rsidRDefault="00884A64" w:rsidP="00884A64">
            <w:pPr>
              <w:pStyle w:val="Bodyromannumerals"/>
              <w:rPr>
                <w:b/>
                <w:bCs/>
              </w:rPr>
            </w:pPr>
            <w:r w:rsidRPr="004B596D">
              <w:rPr>
                <w:b/>
                <w:bCs/>
              </w:rPr>
              <w:t>B3a.4</w:t>
            </w:r>
          </w:p>
        </w:tc>
        <w:tc>
          <w:tcPr>
            <w:tcW w:w="5387" w:type="dxa"/>
            <w:gridSpan w:val="2"/>
          </w:tcPr>
          <w:p w14:paraId="3FFDFC97" w14:textId="3FDFE5E1" w:rsidR="00884A64" w:rsidRPr="004B596D" w:rsidRDefault="00884A64" w:rsidP="00884A64">
            <w:pPr>
              <w:pStyle w:val="Bodyromannumerals"/>
              <w:rPr>
                <w:b/>
                <w:bCs/>
              </w:rPr>
            </w:pPr>
            <w:r w:rsidRPr="004B596D">
              <w:rPr>
                <w:b/>
                <w:bCs/>
              </w:rPr>
              <w:t xml:space="preserve">Other flooding incidents (overloaded </w:t>
            </w:r>
            <w:r w:rsidR="002602E3">
              <w:rPr>
                <w:b/>
                <w:bCs/>
              </w:rPr>
              <w:t xml:space="preserve">wastewater </w:t>
            </w:r>
            <w:r w:rsidR="000810B7" w:rsidRPr="000810B7">
              <w:rPr>
                <w:b/>
                <w:bCs/>
              </w:rPr>
              <w:t>systems</w:t>
            </w:r>
            <w:r w:rsidRPr="004B596D">
              <w:rPr>
                <w:b/>
                <w:bCs/>
              </w:rPr>
              <w:t>)</w:t>
            </w:r>
          </w:p>
        </w:tc>
        <w:tc>
          <w:tcPr>
            <w:tcW w:w="1196" w:type="dxa"/>
          </w:tcPr>
          <w:p w14:paraId="0DD0014E" w14:textId="77777777" w:rsidR="00884A64" w:rsidRPr="004B596D" w:rsidRDefault="00884A64" w:rsidP="00884A64">
            <w:pPr>
              <w:pStyle w:val="Bodyromannumerals"/>
              <w:rPr>
                <w:b/>
                <w:bCs/>
              </w:rPr>
            </w:pPr>
            <w:r w:rsidRPr="004B596D">
              <w:rPr>
                <w:b/>
                <w:bCs/>
              </w:rPr>
              <w:t>Nr.</w:t>
            </w:r>
          </w:p>
        </w:tc>
      </w:tr>
      <w:tr w:rsidR="00884A64" w:rsidRPr="00216F0E" w14:paraId="1BE1B153" w14:textId="77777777" w:rsidTr="006B4D75">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381B7081" w14:textId="77777777" w:rsidR="00884A64" w:rsidRPr="00AF4AEA" w:rsidRDefault="00884A64" w:rsidP="00884A64">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0FB7DE8E" w14:textId="0B82C3C8" w:rsidR="00884A64" w:rsidRPr="00AF4AEA" w:rsidRDefault="00884A64" w:rsidP="00884A64">
            <w:pPr>
              <w:pStyle w:val="Bodyromannumerals"/>
            </w:pPr>
            <w:r w:rsidRPr="00AF4AEA">
              <w:t xml:space="preserve">Total number of incidents of other areas affected by external flooding in the year due to overloaded </w:t>
            </w:r>
            <w:r w:rsidR="002602E3">
              <w:t xml:space="preserve">wastewater </w:t>
            </w:r>
            <w:r w:rsidR="000810B7" w:rsidRPr="000810B7">
              <w:t>systems</w:t>
            </w:r>
            <w:r w:rsidRPr="00AF4AEA">
              <w:t xml:space="preserve">. Examples of other areas includes external flooding to non-residential buildings </w:t>
            </w:r>
            <w:r w:rsidR="007048C0" w:rsidRPr="00AF4AEA">
              <w:t>e.g.</w:t>
            </w:r>
            <w:r w:rsidRPr="00AF4AEA">
              <w:t xml:space="preserve"> schools, offices, commercial premises and public buildings; public open space; agricultural land; car parks.</w:t>
            </w:r>
          </w:p>
        </w:tc>
      </w:tr>
      <w:tr w:rsidR="00884A64" w:rsidRPr="00216F0E" w14:paraId="7349DCE9" w14:textId="77777777" w:rsidTr="006B4D75">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5C786C" w14:textId="77777777" w:rsidR="00884A64" w:rsidRPr="00AF4AEA" w:rsidRDefault="00884A64" w:rsidP="00884A64">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494B6" w14:textId="77777777" w:rsidR="00884A64" w:rsidRPr="00AF4AEA" w:rsidRDefault="00884A64" w:rsidP="00884A64">
            <w:pPr>
              <w:pStyle w:val="Bodyromannumerals"/>
            </w:pPr>
            <w:r w:rsidRPr="00216F0E">
              <w:rPr>
                <w:rFonts w:eastAsia="Calibri"/>
                <w:lang w:val="en-US"/>
              </w:rPr>
              <w:t>Input field</w:t>
            </w:r>
          </w:p>
        </w:tc>
      </w:tr>
      <w:tr w:rsidR="00884A64" w:rsidRPr="00216F0E" w14:paraId="7C72C7E6" w14:textId="77777777" w:rsidTr="006B4D75">
        <w:tc>
          <w:tcPr>
            <w:tcW w:w="975" w:type="dxa"/>
          </w:tcPr>
          <w:p w14:paraId="73ACCBD4" w14:textId="61452FEB" w:rsidR="00884A64" w:rsidRPr="004B596D" w:rsidRDefault="00884A64" w:rsidP="00884A64">
            <w:pPr>
              <w:pStyle w:val="Bodyromannumerals"/>
              <w:rPr>
                <w:b/>
                <w:bCs/>
              </w:rPr>
            </w:pPr>
            <w:r w:rsidRPr="004B596D">
              <w:rPr>
                <w:b/>
                <w:bCs/>
              </w:rPr>
              <w:t>B3a.5</w:t>
            </w:r>
          </w:p>
        </w:tc>
        <w:tc>
          <w:tcPr>
            <w:tcW w:w="5387" w:type="dxa"/>
            <w:gridSpan w:val="2"/>
          </w:tcPr>
          <w:p w14:paraId="47148784" w14:textId="603F76C9" w:rsidR="00884A64" w:rsidRPr="004B596D" w:rsidRDefault="00884A64" w:rsidP="00884A64">
            <w:pPr>
              <w:pStyle w:val="Bodyromannumerals"/>
              <w:rPr>
                <w:b/>
                <w:bCs/>
              </w:rPr>
            </w:pPr>
            <w:r w:rsidRPr="004B596D">
              <w:rPr>
                <w:b/>
                <w:bCs/>
              </w:rPr>
              <w:t xml:space="preserve">Total </w:t>
            </w:r>
            <w:r w:rsidR="00B55456">
              <w:rPr>
                <w:b/>
                <w:bCs/>
              </w:rPr>
              <w:t xml:space="preserve">number of </w:t>
            </w:r>
            <w:r w:rsidR="00F029B7">
              <w:rPr>
                <w:b/>
                <w:bCs/>
              </w:rPr>
              <w:t xml:space="preserve">external </w:t>
            </w:r>
            <w:r w:rsidRPr="004B596D">
              <w:rPr>
                <w:b/>
                <w:bCs/>
              </w:rPr>
              <w:t xml:space="preserve">flooding incidents (overloaded </w:t>
            </w:r>
            <w:r w:rsidR="002602E3">
              <w:rPr>
                <w:b/>
                <w:bCs/>
              </w:rPr>
              <w:t xml:space="preserve">wastewater </w:t>
            </w:r>
            <w:r w:rsidR="000810B7" w:rsidRPr="000810B7">
              <w:rPr>
                <w:b/>
                <w:bCs/>
              </w:rPr>
              <w:t>systems</w:t>
            </w:r>
            <w:r w:rsidRPr="004B596D">
              <w:rPr>
                <w:b/>
                <w:bCs/>
              </w:rPr>
              <w:t>)</w:t>
            </w:r>
          </w:p>
        </w:tc>
        <w:tc>
          <w:tcPr>
            <w:tcW w:w="1196" w:type="dxa"/>
          </w:tcPr>
          <w:p w14:paraId="799FA466" w14:textId="77777777" w:rsidR="00884A64" w:rsidRPr="004B596D" w:rsidRDefault="00884A64" w:rsidP="00884A64">
            <w:pPr>
              <w:pStyle w:val="Bodyromannumerals"/>
              <w:rPr>
                <w:b/>
                <w:bCs/>
              </w:rPr>
            </w:pPr>
            <w:r w:rsidRPr="004B596D">
              <w:rPr>
                <w:b/>
                <w:bCs/>
              </w:rPr>
              <w:t>Nr.</w:t>
            </w:r>
          </w:p>
        </w:tc>
      </w:tr>
      <w:tr w:rsidR="00884A64" w:rsidRPr="00216F0E" w14:paraId="274787C1" w14:textId="77777777" w:rsidTr="006B4D75">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5A6BC3A8" w14:textId="77777777" w:rsidR="00884A64" w:rsidRPr="00AF4AEA" w:rsidRDefault="00884A64" w:rsidP="00884A64">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733DDCAB" w14:textId="6B5D10F4" w:rsidR="00884A64" w:rsidRPr="00AF4AEA" w:rsidRDefault="00884A64" w:rsidP="00884A64">
            <w:pPr>
              <w:pStyle w:val="Bodyromannumerals"/>
            </w:pPr>
            <w:r w:rsidRPr="00AF4AEA">
              <w:t xml:space="preserve">Total number of incidents of areas affected by external flooding in the year due to overloaded </w:t>
            </w:r>
            <w:r w:rsidR="002602E3">
              <w:t>wastewater</w:t>
            </w:r>
            <w:r w:rsidR="00064327">
              <w:t xml:space="preserve"> </w:t>
            </w:r>
            <w:r w:rsidR="000810B7" w:rsidRPr="000810B7">
              <w:t>systems</w:t>
            </w:r>
            <w:r w:rsidRPr="00AF4AEA">
              <w:t>.</w:t>
            </w:r>
            <w:r w:rsidR="004F6BB7">
              <w:t xml:space="preserve"> This includes flooding in gardens, streets, land and other public areas.</w:t>
            </w:r>
          </w:p>
        </w:tc>
      </w:tr>
      <w:tr w:rsidR="00884A64" w:rsidRPr="00216F0E" w14:paraId="1FFA88C9" w14:textId="77777777" w:rsidTr="006B4D75">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FC5DC" w14:textId="77777777" w:rsidR="00884A64" w:rsidRPr="00AF4AEA" w:rsidRDefault="00884A64" w:rsidP="00884A64">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68575" w14:textId="627CB432" w:rsidR="00884A64" w:rsidRPr="00AF4AEA" w:rsidRDefault="00884A64" w:rsidP="00884A64">
            <w:pPr>
              <w:pStyle w:val="Bodyromannumerals"/>
            </w:pPr>
            <w:r w:rsidRPr="00AF4AEA">
              <w:t>Calculated field: SUM[B3a.2</w:t>
            </w:r>
            <w:r w:rsidR="00623F53">
              <w:t>:</w:t>
            </w:r>
            <w:r w:rsidR="00623F53" w:rsidRPr="00AF4AEA">
              <w:t xml:space="preserve"> </w:t>
            </w:r>
            <w:r w:rsidRPr="00AF4AEA">
              <w:t>B3a.4]</w:t>
            </w:r>
          </w:p>
        </w:tc>
      </w:tr>
      <w:tr w:rsidR="00884A64" w:rsidRPr="00216F0E" w14:paraId="3C4B47F4" w14:textId="77777777" w:rsidTr="006B4D75">
        <w:tc>
          <w:tcPr>
            <w:tcW w:w="975" w:type="dxa"/>
          </w:tcPr>
          <w:p w14:paraId="695E5218" w14:textId="77777777" w:rsidR="00884A64" w:rsidRPr="004B596D" w:rsidRDefault="00884A64" w:rsidP="00884A64">
            <w:pPr>
              <w:pStyle w:val="Bodyromannumerals"/>
              <w:rPr>
                <w:b/>
                <w:bCs/>
              </w:rPr>
            </w:pPr>
            <w:r w:rsidRPr="004B596D">
              <w:rPr>
                <w:b/>
                <w:bCs/>
              </w:rPr>
              <w:lastRenderedPageBreak/>
              <w:t>B3a.6</w:t>
            </w:r>
          </w:p>
        </w:tc>
        <w:tc>
          <w:tcPr>
            <w:tcW w:w="5387" w:type="dxa"/>
            <w:gridSpan w:val="2"/>
          </w:tcPr>
          <w:p w14:paraId="62806312" w14:textId="4F646052" w:rsidR="00884A64" w:rsidRPr="004B596D" w:rsidRDefault="00B55456" w:rsidP="00884A64">
            <w:pPr>
              <w:pStyle w:val="Bodyromannumerals"/>
              <w:rPr>
                <w:b/>
                <w:bCs/>
              </w:rPr>
            </w:pPr>
            <w:r>
              <w:rPr>
                <w:b/>
                <w:bCs/>
              </w:rPr>
              <w:t>Number of e</w:t>
            </w:r>
            <w:r w:rsidR="00884A64" w:rsidRPr="004B596D">
              <w:rPr>
                <w:b/>
                <w:bCs/>
              </w:rPr>
              <w:t xml:space="preserve">xternal flooding incidents (overloaded </w:t>
            </w:r>
            <w:r w:rsidR="002602E3">
              <w:rPr>
                <w:b/>
                <w:bCs/>
              </w:rPr>
              <w:t xml:space="preserve">wastewater </w:t>
            </w:r>
            <w:r w:rsidR="000810B7" w:rsidRPr="000810B7">
              <w:rPr>
                <w:b/>
                <w:bCs/>
              </w:rPr>
              <w:t>systems</w:t>
            </w:r>
            <w:r w:rsidR="000810B7" w:rsidRPr="004B596D">
              <w:rPr>
                <w:b/>
                <w:bCs/>
              </w:rPr>
              <w:t xml:space="preserve"> </w:t>
            </w:r>
            <w:r w:rsidR="00884A64" w:rsidRPr="004B596D">
              <w:rPr>
                <w:b/>
                <w:bCs/>
              </w:rPr>
              <w:t>attributed to severe weather)</w:t>
            </w:r>
          </w:p>
        </w:tc>
        <w:tc>
          <w:tcPr>
            <w:tcW w:w="1196" w:type="dxa"/>
          </w:tcPr>
          <w:p w14:paraId="72658925" w14:textId="77777777" w:rsidR="00884A64" w:rsidRPr="004B596D" w:rsidRDefault="00884A64" w:rsidP="00884A64">
            <w:pPr>
              <w:pStyle w:val="Bodyromannumerals"/>
              <w:rPr>
                <w:b/>
                <w:bCs/>
              </w:rPr>
            </w:pPr>
            <w:r w:rsidRPr="004B596D">
              <w:rPr>
                <w:b/>
                <w:bCs/>
              </w:rPr>
              <w:t>Nr.</w:t>
            </w:r>
          </w:p>
        </w:tc>
      </w:tr>
      <w:tr w:rsidR="00884A64" w:rsidRPr="00216F0E" w14:paraId="7E57C930" w14:textId="77777777" w:rsidTr="006B4D75">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2F142AB1" w14:textId="77777777" w:rsidR="00884A64" w:rsidRPr="00AF4AEA" w:rsidRDefault="00884A64" w:rsidP="00884A64">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33B693FB" w14:textId="54B09E51" w:rsidR="00884A64" w:rsidRPr="00AF4AEA" w:rsidRDefault="00884A64" w:rsidP="00884A64">
            <w:pPr>
              <w:pStyle w:val="Bodyromannumerals"/>
            </w:pPr>
            <w:r w:rsidRPr="00AF4AEA">
              <w:t xml:space="preserve">The number of incidents of external flooding caused by overloaded </w:t>
            </w:r>
            <w:r w:rsidR="002602E3">
              <w:t xml:space="preserve">wastewater </w:t>
            </w:r>
            <w:r w:rsidR="000810B7" w:rsidRPr="000810B7">
              <w:t>systems</w:t>
            </w:r>
            <w:r w:rsidR="000810B7" w:rsidRPr="00AF4AEA">
              <w:t xml:space="preserve"> </w:t>
            </w:r>
            <w:r w:rsidRPr="00AF4AEA">
              <w:t xml:space="preserve">at areas which are known to be not at risk of flooding more frequently than once in twenty years. Accordingly, this line’s enumeration includes flooding incidents caused by severe storms which affect areas that are not at risk of flooding more frequently than once in twenty years. The </w:t>
            </w:r>
            <w:r w:rsidR="00906346">
              <w:t>Local</w:t>
            </w:r>
            <w:r w:rsidR="002E0E38">
              <w:t xml:space="preserve"> Authority</w:t>
            </w:r>
            <w:r w:rsidRPr="00AF4AEA">
              <w:t xml:space="preserve"> should use the commentary to report the number of flooding incidents caused by severe weather at areas that are already known to be at risk of flooding from </w:t>
            </w:r>
            <w:r w:rsidR="009658FC">
              <w:t xml:space="preserve">wastewater </w:t>
            </w:r>
            <w:r w:rsidR="00805198" w:rsidRPr="000810B7">
              <w:t>or stormwater systems</w:t>
            </w:r>
            <w:r w:rsidRPr="00AF4AEA">
              <w:t xml:space="preserve"> more frequently than once in twenty years. Incidents of flooding via the </w:t>
            </w:r>
            <w:r w:rsidR="009658FC">
              <w:t xml:space="preserve">wastewater </w:t>
            </w:r>
            <w:r w:rsidR="00805198">
              <w:t>system</w:t>
            </w:r>
            <w:r w:rsidRPr="00AF4AEA">
              <w:t xml:space="preserve"> caused by overflowing watercourses should be excluded. </w:t>
            </w:r>
            <w:r w:rsidR="00805198">
              <w:t>T</w:t>
            </w:r>
            <w:r w:rsidRPr="00AF4AEA">
              <w:t xml:space="preserve">he </w:t>
            </w:r>
            <w:r w:rsidR="00906346">
              <w:t>Local</w:t>
            </w:r>
            <w:r w:rsidR="002E0E38">
              <w:t xml:space="preserve"> Authority</w:t>
            </w:r>
            <w:r w:rsidRPr="00AF4AEA">
              <w:t xml:space="preserve"> should include the rainfall return periods for the incidents reported in the commentary.</w:t>
            </w:r>
          </w:p>
        </w:tc>
      </w:tr>
      <w:tr w:rsidR="00884A64" w:rsidRPr="00216F0E" w14:paraId="256C295A" w14:textId="77777777" w:rsidTr="006B4D75">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E41CF" w14:textId="77777777" w:rsidR="00884A64" w:rsidRPr="00AF4AEA" w:rsidRDefault="00884A64" w:rsidP="00884A64">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F4FFA" w14:textId="77777777" w:rsidR="00884A64" w:rsidRPr="00AF4AEA" w:rsidRDefault="00884A64" w:rsidP="00884A64">
            <w:pPr>
              <w:pStyle w:val="Bodyromannumerals"/>
            </w:pPr>
            <w:r w:rsidRPr="00216F0E">
              <w:rPr>
                <w:rFonts w:eastAsia="Calibri"/>
                <w:lang w:val="en-US"/>
              </w:rPr>
              <w:t>Input field</w:t>
            </w:r>
          </w:p>
        </w:tc>
      </w:tr>
    </w:tbl>
    <w:p w14:paraId="417B1B2A" w14:textId="2C3D8E85" w:rsidR="00884A64" w:rsidRPr="0007555F" w:rsidRDefault="0054380B" w:rsidP="00177AFC">
      <w:pPr>
        <w:pStyle w:val="Bodysub-heading2"/>
        <w:rPr>
          <w:b/>
          <w:bCs/>
          <w:sz w:val="20"/>
          <w:szCs w:val="20"/>
          <w:lang w:val="ro-RO"/>
        </w:rPr>
      </w:pPr>
      <w:r>
        <w:rPr>
          <w:b/>
          <w:bCs/>
          <w:sz w:val="20"/>
          <w:szCs w:val="20"/>
          <w:lang w:val="ro-RO"/>
        </w:rPr>
        <w:t xml:space="preserve">(ii) </w:t>
      </w:r>
      <w:r w:rsidR="00884A64" w:rsidRPr="0007555F">
        <w:rPr>
          <w:b/>
          <w:bCs/>
          <w:sz w:val="20"/>
          <w:szCs w:val="20"/>
          <w:lang w:val="ro-RO"/>
        </w:rPr>
        <w:t>Other causes</w:t>
      </w:r>
    </w:p>
    <w:tbl>
      <w:tblPr>
        <w:tblStyle w:val="TableGrid"/>
        <w:tblW w:w="7558" w:type="dxa"/>
        <w:tblLook w:val="04A0" w:firstRow="1" w:lastRow="0" w:firstColumn="1" w:lastColumn="0" w:noHBand="0" w:noVBand="1"/>
      </w:tblPr>
      <w:tblGrid>
        <w:gridCol w:w="1110"/>
        <w:gridCol w:w="961"/>
        <w:gridCol w:w="4300"/>
        <w:gridCol w:w="1187"/>
      </w:tblGrid>
      <w:tr w:rsidR="00884A64" w:rsidRPr="00216F0E" w14:paraId="09189925" w14:textId="77777777" w:rsidTr="286C5C0D">
        <w:tc>
          <w:tcPr>
            <w:tcW w:w="1110" w:type="dxa"/>
          </w:tcPr>
          <w:p w14:paraId="2ACE0050" w14:textId="77777777" w:rsidR="00884A64" w:rsidRPr="004B596D" w:rsidRDefault="00884A64" w:rsidP="00884A64">
            <w:pPr>
              <w:pStyle w:val="Bodyromannumerals"/>
              <w:rPr>
                <w:b/>
                <w:bCs/>
              </w:rPr>
            </w:pPr>
            <w:r w:rsidRPr="004B596D">
              <w:rPr>
                <w:b/>
                <w:bCs/>
              </w:rPr>
              <w:t>B3a.7</w:t>
            </w:r>
          </w:p>
        </w:tc>
        <w:tc>
          <w:tcPr>
            <w:tcW w:w="5261" w:type="dxa"/>
            <w:gridSpan w:val="2"/>
          </w:tcPr>
          <w:p w14:paraId="3BEEBFAD" w14:textId="77777777" w:rsidR="00884A64" w:rsidRPr="004B596D" w:rsidRDefault="00884A64" w:rsidP="00884A64">
            <w:pPr>
              <w:pStyle w:val="Bodyromannumerals"/>
              <w:rPr>
                <w:b/>
                <w:bCs/>
              </w:rPr>
            </w:pPr>
            <w:r w:rsidRPr="004B596D">
              <w:rPr>
                <w:b/>
                <w:bCs/>
              </w:rPr>
              <w:t>Areas flooded externally in the year (other causes)</w:t>
            </w:r>
          </w:p>
        </w:tc>
        <w:tc>
          <w:tcPr>
            <w:tcW w:w="1187" w:type="dxa"/>
          </w:tcPr>
          <w:p w14:paraId="513C15AE" w14:textId="77777777" w:rsidR="00884A64" w:rsidRPr="004B596D" w:rsidRDefault="00884A64" w:rsidP="00884A64">
            <w:pPr>
              <w:pStyle w:val="Bodyromannumerals"/>
              <w:rPr>
                <w:b/>
                <w:bCs/>
              </w:rPr>
            </w:pPr>
            <w:r w:rsidRPr="004B596D">
              <w:rPr>
                <w:b/>
                <w:bCs/>
              </w:rPr>
              <w:t>Nr.</w:t>
            </w:r>
          </w:p>
        </w:tc>
      </w:tr>
      <w:tr w:rsidR="00884A64" w:rsidRPr="00216F0E" w14:paraId="4B7787DD" w14:textId="77777777" w:rsidTr="286C5C0D">
        <w:tc>
          <w:tcPr>
            <w:tcW w:w="2071" w:type="dxa"/>
            <w:gridSpan w:val="2"/>
            <w:tcBorders>
              <w:left w:val="single" w:sz="4" w:space="0" w:color="FFFFFF" w:themeColor="background2"/>
              <w:bottom w:val="single" w:sz="4" w:space="0" w:color="FFFFFF" w:themeColor="background2"/>
              <w:right w:val="single" w:sz="4" w:space="0" w:color="FFFFFF" w:themeColor="background2"/>
            </w:tcBorders>
          </w:tcPr>
          <w:p w14:paraId="0FB7C742" w14:textId="77777777" w:rsidR="00884A64" w:rsidRPr="00AF4AEA" w:rsidRDefault="00884A64" w:rsidP="00884A64">
            <w:pPr>
              <w:pStyle w:val="Bodyromannumerals"/>
              <w:rPr>
                <w:i/>
              </w:rPr>
            </w:pPr>
            <w:r w:rsidRPr="00AF4AEA">
              <w:rPr>
                <w:rFonts w:eastAsia="Calibri"/>
                <w:i/>
                <w:lang w:val="en-US"/>
              </w:rPr>
              <w:t>Definition:</w:t>
            </w:r>
          </w:p>
        </w:tc>
        <w:tc>
          <w:tcPr>
            <w:tcW w:w="5487" w:type="dxa"/>
            <w:gridSpan w:val="2"/>
            <w:tcBorders>
              <w:left w:val="single" w:sz="4" w:space="0" w:color="FFFFFF" w:themeColor="background2"/>
              <w:bottom w:val="single" w:sz="4" w:space="0" w:color="FFFFFF" w:themeColor="background2"/>
              <w:right w:val="single" w:sz="4" w:space="0" w:color="FFFFFF" w:themeColor="background2"/>
            </w:tcBorders>
          </w:tcPr>
          <w:p w14:paraId="1863E5E7" w14:textId="77777777" w:rsidR="00884A64" w:rsidRPr="00AF4AEA" w:rsidRDefault="00884A64" w:rsidP="00884A64">
            <w:pPr>
              <w:pStyle w:val="Bodyromannumerals"/>
            </w:pPr>
            <w:r w:rsidRPr="00AF4AEA">
              <w:t>The number of external areas affected by flooding incidents from equipment failures, blockages or collapses (collectively grouped as other causes). An area affected by more than one incident under this definition is reported as one area in this line.</w:t>
            </w:r>
          </w:p>
        </w:tc>
      </w:tr>
      <w:tr w:rsidR="00884A64" w:rsidRPr="00216F0E" w14:paraId="53638E60" w14:textId="77777777" w:rsidTr="286C5C0D">
        <w:tc>
          <w:tcPr>
            <w:tcW w:w="20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3A404EC" w14:textId="77777777" w:rsidR="00884A64" w:rsidRPr="00AF4AEA" w:rsidRDefault="00884A64" w:rsidP="00884A64">
            <w:pPr>
              <w:pStyle w:val="Bodyromannumerals"/>
              <w:rPr>
                <w:i/>
              </w:rPr>
            </w:pPr>
            <w:r w:rsidRPr="00AF4AEA">
              <w:rPr>
                <w:rFonts w:eastAsia="Calibri"/>
                <w:i/>
                <w:lang w:val="en-US"/>
              </w:rPr>
              <w:t>Processing Rules:</w:t>
            </w:r>
          </w:p>
        </w:tc>
        <w:tc>
          <w:tcPr>
            <w:tcW w:w="54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65DB132" w14:textId="77777777" w:rsidR="00884A64" w:rsidRPr="00AF4AEA" w:rsidRDefault="00884A64" w:rsidP="00884A64">
            <w:pPr>
              <w:pStyle w:val="Bodyromannumerals"/>
            </w:pPr>
            <w:r w:rsidRPr="00216F0E">
              <w:rPr>
                <w:rFonts w:eastAsia="Calibri"/>
                <w:lang w:val="en-US"/>
              </w:rPr>
              <w:t>Input field</w:t>
            </w:r>
          </w:p>
        </w:tc>
      </w:tr>
      <w:tr w:rsidR="00884A64" w:rsidRPr="00216F0E" w14:paraId="32F35A14" w14:textId="77777777" w:rsidTr="286C5C0D">
        <w:tc>
          <w:tcPr>
            <w:tcW w:w="1110" w:type="dxa"/>
          </w:tcPr>
          <w:p w14:paraId="2D59D018" w14:textId="77777777" w:rsidR="00884A64" w:rsidRPr="004B596D" w:rsidRDefault="00884A64" w:rsidP="00884A64">
            <w:pPr>
              <w:pStyle w:val="Bodyromannumerals"/>
              <w:rPr>
                <w:b/>
                <w:bCs/>
              </w:rPr>
            </w:pPr>
            <w:r w:rsidRPr="004B596D">
              <w:rPr>
                <w:b/>
                <w:bCs/>
              </w:rPr>
              <w:t>B3a.8</w:t>
            </w:r>
          </w:p>
        </w:tc>
        <w:tc>
          <w:tcPr>
            <w:tcW w:w="5261" w:type="dxa"/>
            <w:gridSpan w:val="2"/>
          </w:tcPr>
          <w:p w14:paraId="6990ECAD" w14:textId="27D88B3F" w:rsidR="00884A64" w:rsidRPr="004B596D" w:rsidRDefault="00B55456" w:rsidP="00884A64">
            <w:pPr>
              <w:pStyle w:val="Bodyromannumerals"/>
              <w:rPr>
                <w:b/>
                <w:bCs/>
              </w:rPr>
            </w:pPr>
            <w:r>
              <w:rPr>
                <w:b/>
                <w:bCs/>
              </w:rPr>
              <w:t>Number of e</w:t>
            </w:r>
            <w:r w:rsidR="00124A67">
              <w:rPr>
                <w:b/>
                <w:bCs/>
              </w:rPr>
              <w:t>xternal f</w:t>
            </w:r>
            <w:r w:rsidR="00124A67" w:rsidRPr="004B596D">
              <w:rPr>
                <w:b/>
                <w:bCs/>
              </w:rPr>
              <w:t xml:space="preserve">looding </w:t>
            </w:r>
            <w:r w:rsidR="00884A64" w:rsidRPr="004B596D">
              <w:rPr>
                <w:b/>
                <w:bCs/>
              </w:rPr>
              <w:t>incidents (other causes - equipment failure)</w:t>
            </w:r>
          </w:p>
        </w:tc>
        <w:tc>
          <w:tcPr>
            <w:tcW w:w="1187" w:type="dxa"/>
          </w:tcPr>
          <w:p w14:paraId="77D49F62" w14:textId="77777777" w:rsidR="00884A64" w:rsidRPr="004B596D" w:rsidRDefault="00884A64" w:rsidP="00884A64">
            <w:pPr>
              <w:pStyle w:val="Bodyromannumerals"/>
              <w:rPr>
                <w:b/>
                <w:bCs/>
              </w:rPr>
            </w:pPr>
            <w:r w:rsidRPr="004B596D">
              <w:rPr>
                <w:b/>
                <w:bCs/>
              </w:rPr>
              <w:t>Nr.</w:t>
            </w:r>
          </w:p>
        </w:tc>
      </w:tr>
      <w:tr w:rsidR="00884A64" w:rsidRPr="00216F0E" w14:paraId="7C507099" w14:textId="77777777" w:rsidTr="286C5C0D">
        <w:tc>
          <w:tcPr>
            <w:tcW w:w="2071" w:type="dxa"/>
            <w:gridSpan w:val="2"/>
            <w:tcBorders>
              <w:left w:val="single" w:sz="4" w:space="0" w:color="FFFFFF" w:themeColor="background2"/>
              <w:bottom w:val="single" w:sz="4" w:space="0" w:color="FFFFFF" w:themeColor="background2"/>
              <w:right w:val="single" w:sz="4" w:space="0" w:color="FFFFFF" w:themeColor="background2"/>
            </w:tcBorders>
          </w:tcPr>
          <w:p w14:paraId="3CD38543" w14:textId="77777777" w:rsidR="00884A64" w:rsidRPr="00AF4AEA" w:rsidRDefault="00884A64" w:rsidP="00884A64">
            <w:pPr>
              <w:pStyle w:val="Bodyromannumerals"/>
              <w:rPr>
                <w:i/>
              </w:rPr>
            </w:pPr>
            <w:r w:rsidRPr="00AF4AEA">
              <w:rPr>
                <w:rFonts w:eastAsia="Calibri"/>
                <w:i/>
                <w:lang w:val="en-US"/>
              </w:rPr>
              <w:t>Definition:</w:t>
            </w:r>
          </w:p>
        </w:tc>
        <w:tc>
          <w:tcPr>
            <w:tcW w:w="5487" w:type="dxa"/>
            <w:gridSpan w:val="2"/>
            <w:tcBorders>
              <w:left w:val="single" w:sz="4" w:space="0" w:color="FFFFFF" w:themeColor="background2"/>
              <w:bottom w:val="single" w:sz="4" w:space="0" w:color="FFFFFF" w:themeColor="background2"/>
              <w:right w:val="single" w:sz="4" w:space="0" w:color="FFFFFF" w:themeColor="background2"/>
            </w:tcBorders>
          </w:tcPr>
          <w:p w14:paraId="19AC2692" w14:textId="7B0D25A2" w:rsidR="00884A64" w:rsidRPr="00AF4AEA" w:rsidRDefault="00884A64" w:rsidP="00884A64">
            <w:pPr>
              <w:pStyle w:val="Bodyromannumerals"/>
            </w:pPr>
            <w:r w:rsidRPr="00AF4AEA">
              <w:t xml:space="preserve">The number of incidents of external flooding caused by the failure or incorrect operation of </w:t>
            </w:r>
            <w:r w:rsidR="00906346">
              <w:t>Local</w:t>
            </w:r>
            <w:r w:rsidR="002E0E38">
              <w:t xml:space="preserve"> Authority</w:t>
            </w:r>
            <w:r w:rsidRPr="00AF4AEA">
              <w:t xml:space="preserve"> apparatus (e.g. pumping stations, penstocks, </w:t>
            </w:r>
            <w:r w:rsidR="001A3484">
              <w:t>wastewater</w:t>
            </w:r>
            <w:r w:rsidR="001A3484" w:rsidRPr="00AF4AEA">
              <w:t xml:space="preserve"> </w:t>
            </w:r>
            <w:r w:rsidR="000C7450">
              <w:t xml:space="preserve">system </w:t>
            </w:r>
            <w:r w:rsidRPr="00AF4AEA">
              <w:t>overflows, or real time control systems).</w:t>
            </w:r>
          </w:p>
        </w:tc>
      </w:tr>
      <w:tr w:rsidR="00884A64" w:rsidRPr="00216F0E" w14:paraId="5F92EE0A" w14:textId="77777777" w:rsidTr="286C5C0D">
        <w:tc>
          <w:tcPr>
            <w:tcW w:w="20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4FC9B50" w14:textId="77777777" w:rsidR="00884A64" w:rsidRPr="00AF4AEA" w:rsidRDefault="00884A64" w:rsidP="00884A64">
            <w:pPr>
              <w:pStyle w:val="Bodyromannumerals"/>
              <w:rPr>
                <w:i/>
              </w:rPr>
            </w:pPr>
            <w:r w:rsidRPr="00AF4AEA">
              <w:rPr>
                <w:rFonts w:eastAsia="Calibri"/>
                <w:i/>
                <w:lang w:val="en-US"/>
              </w:rPr>
              <w:t>Processing Rules:</w:t>
            </w:r>
          </w:p>
        </w:tc>
        <w:tc>
          <w:tcPr>
            <w:tcW w:w="54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9DF1E1C" w14:textId="77777777" w:rsidR="00884A64" w:rsidRPr="00AF4AEA" w:rsidRDefault="00884A64" w:rsidP="00884A64">
            <w:pPr>
              <w:pStyle w:val="Bodyromannumerals"/>
            </w:pPr>
            <w:r w:rsidRPr="00216F0E">
              <w:rPr>
                <w:rFonts w:eastAsia="Calibri"/>
                <w:lang w:val="en-US"/>
              </w:rPr>
              <w:t>Input field</w:t>
            </w:r>
          </w:p>
        </w:tc>
      </w:tr>
      <w:tr w:rsidR="00884A64" w:rsidRPr="00216F0E" w14:paraId="713E8196" w14:textId="77777777" w:rsidTr="286C5C0D">
        <w:tc>
          <w:tcPr>
            <w:tcW w:w="1110" w:type="dxa"/>
          </w:tcPr>
          <w:p w14:paraId="22C2D59E" w14:textId="7234F6D0" w:rsidR="00884A64" w:rsidRPr="004B596D" w:rsidRDefault="006B4D75" w:rsidP="00884A64">
            <w:pPr>
              <w:pStyle w:val="Bodyromannumerals"/>
              <w:rPr>
                <w:b/>
                <w:bCs/>
              </w:rPr>
            </w:pPr>
            <w:r>
              <w:br w:type="page"/>
            </w:r>
            <w:r w:rsidR="00884A64" w:rsidRPr="004B596D">
              <w:rPr>
                <w:b/>
                <w:bCs/>
              </w:rPr>
              <w:t>B3a.9</w:t>
            </w:r>
          </w:p>
        </w:tc>
        <w:tc>
          <w:tcPr>
            <w:tcW w:w="5261" w:type="dxa"/>
            <w:gridSpan w:val="2"/>
          </w:tcPr>
          <w:p w14:paraId="2789DC07" w14:textId="1895147E" w:rsidR="00884A64" w:rsidRPr="004B596D" w:rsidRDefault="00B55456" w:rsidP="00884A64">
            <w:pPr>
              <w:pStyle w:val="Bodyromannumerals"/>
              <w:rPr>
                <w:b/>
                <w:bCs/>
              </w:rPr>
            </w:pPr>
            <w:r>
              <w:rPr>
                <w:b/>
                <w:bCs/>
              </w:rPr>
              <w:t>Number of e</w:t>
            </w:r>
            <w:r w:rsidR="00124A67">
              <w:rPr>
                <w:b/>
                <w:bCs/>
              </w:rPr>
              <w:t>xternal f</w:t>
            </w:r>
            <w:r w:rsidR="00124A67" w:rsidRPr="004B596D">
              <w:rPr>
                <w:b/>
                <w:bCs/>
              </w:rPr>
              <w:t xml:space="preserve">looding </w:t>
            </w:r>
            <w:r w:rsidR="00884A64" w:rsidRPr="004B596D">
              <w:rPr>
                <w:b/>
                <w:bCs/>
              </w:rPr>
              <w:t>incidents (other causes - blockages)</w:t>
            </w:r>
          </w:p>
        </w:tc>
        <w:tc>
          <w:tcPr>
            <w:tcW w:w="1187" w:type="dxa"/>
          </w:tcPr>
          <w:p w14:paraId="6ECAB2E9" w14:textId="77777777" w:rsidR="00884A64" w:rsidRPr="004B596D" w:rsidRDefault="00884A64" w:rsidP="00884A64">
            <w:pPr>
              <w:pStyle w:val="Bodyromannumerals"/>
              <w:rPr>
                <w:b/>
                <w:bCs/>
              </w:rPr>
            </w:pPr>
            <w:r w:rsidRPr="004B596D">
              <w:rPr>
                <w:b/>
                <w:bCs/>
              </w:rPr>
              <w:t>Nr.</w:t>
            </w:r>
          </w:p>
        </w:tc>
      </w:tr>
      <w:tr w:rsidR="00884A64" w:rsidRPr="00216F0E" w14:paraId="587DDB61" w14:textId="77777777" w:rsidTr="286C5C0D">
        <w:tc>
          <w:tcPr>
            <w:tcW w:w="2071" w:type="dxa"/>
            <w:gridSpan w:val="2"/>
            <w:tcBorders>
              <w:left w:val="single" w:sz="4" w:space="0" w:color="FFFFFF" w:themeColor="background2"/>
              <w:bottom w:val="single" w:sz="4" w:space="0" w:color="FFFFFF" w:themeColor="background2"/>
              <w:right w:val="single" w:sz="4" w:space="0" w:color="FFFFFF" w:themeColor="background2"/>
            </w:tcBorders>
          </w:tcPr>
          <w:p w14:paraId="05FE5BE5" w14:textId="77777777" w:rsidR="00884A64" w:rsidRPr="00AF4AEA" w:rsidRDefault="00884A64" w:rsidP="00884A64">
            <w:pPr>
              <w:pStyle w:val="Bodyromannumerals"/>
              <w:rPr>
                <w:i/>
              </w:rPr>
            </w:pPr>
            <w:r w:rsidRPr="00AF4AEA">
              <w:rPr>
                <w:rFonts w:eastAsia="Calibri"/>
                <w:i/>
                <w:lang w:val="en-US"/>
              </w:rPr>
              <w:t>Definition:</w:t>
            </w:r>
          </w:p>
        </w:tc>
        <w:tc>
          <w:tcPr>
            <w:tcW w:w="5487" w:type="dxa"/>
            <w:gridSpan w:val="2"/>
            <w:tcBorders>
              <w:left w:val="single" w:sz="4" w:space="0" w:color="FFFFFF" w:themeColor="background2"/>
              <w:bottom w:val="single" w:sz="4" w:space="0" w:color="FFFFFF" w:themeColor="background2"/>
              <w:right w:val="single" w:sz="4" w:space="0" w:color="FFFFFF" w:themeColor="background2"/>
            </w:tcBorders>
          </w:tcPr>
          <w:p w14:paraId="0A18122C" w14:textId="4269C3E5" w:rsidR="00884A64" w:rsidRPr="00AF4AEA" w:rsidRDefault="00884A64" w:rsidP="00884A64">
            <w:pPr>
              <w:pStyle w:val="Bodyromannumerals"/>
            </w:pPr>
            <w:r w:rsidRPr="00AF4AEA">
              <w:t xml:space="preserve">The number of incidents of external flooding caused by a complete or partial blockage of the </w:t>
            </w:r>
            <w:r w:rsidR="001A3484">
              <w:t>wastewater system</w:t>
            </w:r>
            <w:r w:rsidR="001A3484" w:rsidRPr="00AF4AEA">
              <w:t xml:space="preserve"> </w:t>
            </w:r>
            <w:r w:rsidRPr="00AF4AEA">
              <w:t>(including siltation) where the sewer itself is still intact. If the blockage is the result of a fracture or deformation of the pipe, it should be included in the ‘other causes – collapses’ category.</w:t>
            </w:r>
          </w:p>
        </w:tc>
      </w:tr>
      <w:tr w:rsidR="00884A64" w:rsidRPr="00216F0E" w14:paraId="5C3556EC" w14:textId="77777777" w:rsidTr="286C5C0D">
        <w:tc>
          <w:tcPr>
            <w:tcW w:w="20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55F752" w14:textId="77777777" w:rsidR="00884A64" w:rsidRPr="00AF4AEA" w:rsidRDefault="00884A64" w:rsidP="00884A64">
            <w:pPr>
              <w:pStyle w:val="Bodyromannumerals"/>
              <w:rPr>
                <w:i/>
              </w:rPr>
            </w:pPr>
            <w:r w:rsidRPr="00AF4AEA">
              <w:rPr>
                <w:rFonts w:eastAsia="Calibri"/>
                <w:i/>
                <w:lang w:val="en-US"/>
              </w:rPr>
              <w:t>Processing Rules:</w:t>
            </w:r>
          </w:p>
        </w:tc>
        <w:tc>
          <w:tcPr>
            <w:tcW w:w="54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FFDF1E2" w14:textId="77777777" w:rsidR="00884A64" w:rsidRPr="00AF4AEA" w:rsidRDefault="00884A64" w:rsidP="00884A64">
            <w:pPr>
              <w:pStyle w:val="Bodyromannumerals"/>
            </w:pPr>
            <w:r w:rsidRPr="00216F0E">
              <w:rPr>
                <w:rFonts w:eastAsia="Calibri"/>
                <w:lang w:val="en-US"/>
              </w:rPr>
              <w:t>Input field</w:t>
            </w:r>
          </w:p>
        </w:tc>
      </w:tr>
      <w:tr w:rsidR="00884A64" w:rsidRPr="00216F0E" w14:paraId="3BF87703" w14:textId="77777777" w:rsidTr="286C5C0D">
        <w:tc>
          <w:tcPr>
            <w:tcW w:w="1110" w:type="dxa"/>
          </w:tcPr>
          <w:p w14:paraId="05548430" w14:textId="77777777" w:rsidR="00884A64" w:rsidRPr="004B596D" w:rsidRDefault="00884A64" w:rsidP="00884A64">
            <w:pPr>
              <w:pStyle w:val="Bodyromannumerals"/>
              <w:rPr>
                <w:b/>
                <w:bCs/>
              </w:rPr>
            </w:pPr>
            <w:r w:rsidRPr="004B596D">
              <w:rPr>
                <w:b/>
                <w:bCs/>
              </w:rPr>
              <w:lastRenderedPageBreak/>
              <w:t>B3a.10</w:t>
            </w:r>
          </w:p>
        </w:tc>
        <w:tc>
          <w:tcPr>
            <w:tcW w:w="5261" w:type="dxa"/>
            <w:gridSpan w:val="2"/>
          </w:tcPr>
          <w:p w14:paraId="165FE0DC" w14:textId="72161489" w:rsidR="00884A64" w:rsidRPr="004B596D" w:rsidRDefault="00B55456" w:rsidP="00884A64">
            <w:pPr>
              <w:pStyle w:val="Bodyromannumerals"/>
              <w:rPr>
                <w:b/>
                <w:bCs/>
              </w:rPr>
            </w:pPr>
            <w:r>
              <w:rPr>
                <w:b/>
                <w:bCs/>
              </w:rPr>
              <w:t>Number of e</w:t>
            </w:r>
            <w:r w:rsidR="00124A67">
              <w:rPr>
                <w:b/>
                <w:bCs/>
              </w:rPr>
              <w:t>xternal f</w:t>
            </w:r>
            <w:r w:rsidR="00884A64" w:rsidRPr="004B596D">
              <w:rPr>
                <w:b/>
                <w:bCs/>
              </w:rPr>
              <w:t>looding incidents (other causes - collapses)</w:t>
            </w:r>
          </w:p>
        </w:tc>
        <w:tc>
          <w:tcPr>
            <w:tcW w:w="1187" w:type="dxa"/>
          </w:tcPr>
          <w:p w14:paraId="77420CF8" w14:textId="77777777" w:rsidR="00884A64" w:rsidRPr="004B596D" w:rsidRDefault="00884A64" w:rsidP="00884A64">
            <w:pPr>
              <w:pStyle w:val="Bodyromannumerals"/>
              <w:rPr>
                <w:b/>
                <w:bCs/>
              </w:rPr>
            </w:pPr>
            <w:r w:rsidRPr="004B596D">
              <w:rPr>
                <w:b/>
                <w:bCs/>
              </w:rPr>
              <w:t>Nr.</w:t>
            </w:r>
          </w:p>
        </w:tc>
      </w:tr>
      <w:tr w:rsidR="00884A64" w:rsidRPr="00216F0E" w14:paraId="390DBB9D" w14:textId="77777777" w:rsidTr="286C5C0D">
        <w:tc>
          <w:tcPr>
            <w:tcW w:w="2071" w:type="dxa"/>
            <w:gridSpan w:val="2"/>
            <w:tcBorders>
              <w:left w:val="single" w:sz="4" w:space="0" w:color="FFFFFF" w:themeColor="background2"/>
              <w:bottom w:val="single" w:sz="4" w:space="0" w:color="FFFFFF" w:themeColor="background2"/>
              <w:right w:val="single" w:sz="4" w:space="0" w:color="FFFFFF" w:themeColor="background2"/>
            </w:tcBorders>
          </w:tcPr>
          <w:p w14:paraId="45FA7DBD" w14:textId="77777777" w:rsidR="00884A64" w:rsidRPr="00AF4AEA" w:rsidRDefault="00884A64" w:rsidP="00884A64">
            <w:pPr>
              <w:pStyle w:val="Bodyromannumerals"/>
              <w:rPr>
                <w:i/>
              </w:rPr>
            </w:pPr>
            <w:r w:rsidRPr="00AF4AEA">
              <w:rPr>
                <w:rFonts w:eastAsia="Calibri"/>
                <w:i/>
                <w:lang w:val="en-US"/>
              </w:rPr>
              <w:t>Definition:</w:t>
            </w:r>
          </w:p>
        </w:tc>
        <w:tc>
          <w:tcPr>
            <w:tcW w:w="5487" w:type="dxa"/>
            <w:gridSpan w:val="2"/>
            <w:tcBorders>
              <w:left w:val="single" w:sz="4" w:space="0" w:color="FFFFFF" w:themeColor="background2"/>
              <w:bottom w:val="single" w:sz="4" w:space="0" w:color="FFFFFF" w:themeColor="background2"/>
              <w:right w:val="single" w:sz="4" w:space="0" w:color="FFFFFF" w:themeColor="background2"/>
            </w:tcBorders>
          </w:tcPr>
          <w:p w14:paraId="35B698B9" w14:textId="66969F9C" w:rsidR="00884A64" w:rsidRPr="00AF4AEA" w:rsidRDefault="00884A64" w:rsidP="00884A64">
            <w:pPr>
              <w:pStyle w:val="Bodyromannumerals"/>
            </w:pPr>
            <w:r w:rsidRPr="00AF4AEA">
              <w:t xml:space="preserve">The number of incidents of external flooding caused by the collapse of a </w:t>
            </w:r>
            <w:r w:rsidR="009658FC">
              <w:t xml:space="preserve">wastewater </w:t>
            </w:r>
            <w:r w:rsidR="008C4186" w:rsidRPr="000810B7">
              <w:t>system</w:t>
            </w:r>
            <w:r w:rsidRPr="00AF4AEA">
              <w:t>. This line’s numerator should also include incidents due to fracture or deformation.</w:t>
            </w:r>
          </w:p>
        </w:tc>
      </w:tr>
      <w:tr w:rsidR="00884A64" w:rsidRPr="00216F0E" w14:paraId="7D8F0910" w14:textId="77777777" w:rsidTr="286C5C0D">
        <w:tc>
          <w:tcPr>
            <w:tcW w:w="20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EE337AC" w14:textId="77777777" w:rsidR="00884A64" w:rsidRPr="00AF4AEA" w:rsidRDefault="00884A64" w:rsidP="00884A64">
            <w:pPr>
              <w:pStyle w:val="Bodyromannumerals"/>
              <w:rPr>
                <w:i/>
              </w:rPr>
            </w:pPr>
            <w:r w:rsidRPr="00AF4AEA">
              <w:rPr>
                <w:rFonts w:eastAsia="Calibri"/>
                <w:i/>
                <w:lang w:val="en-US"/>
              </w:rPr>
              <w:t>Processing Rules:</w:t>
            </w:r>
          </w:p>
        </w:tc>
        <w:tc>
          <w:tcPr>
            <w:tcW w:w="54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DB9FD2" w14:textId="77777777" w:rsidR="00884A64" w:rsidRPr="00AF4AEA" w:rsidRDefault="00884A64" w:rsidP="00884A64">
            <w:pPr>
              <w:pStyle w:val="Bodyromannumerals"/>
            </w:pPr>
            <w:r w:rsidRPr="00216F0E">
              <w:rPr>
                <w:rFonts w:eastAsia="Calibri"/>
                <w:lang w:val="en-US"/>
              </w:rPr>
              <w:t>Input field</w:t>
            </w:r>
          </w:p>
        </w:tc>
      </w:tr>
    </w:tbl>
    <w:p w14:paraId="558ADF63" w14:textId="21DE184E" w:rsidR="00BE4543" w:rsidRDefault="003C185A" w:rsidP="00292D62">
      <w:pPr>
        <w:pStyle w:val="Sectionsub-heading"/>
      </w:pPr>
      <w:r>
        <w:t xml:space="preserve">BLOCK </w:t>
      </w:r>
      <w:r w:rsidR="00D40E72">
        <w:t>2</w:t>
      </w:r>
      <w:r>
        <w:t>: POLLUTION INCIDENTS</w:t>
      </w:r>
    </w:p>
    <w:tbl>
      <w:tblPr>
        <w:tblStyle w:val="TableGrid"/>
        <w:tblW w:w="7558" w:type="dxa"/>
        <w:tblLook w:val="04A0" w:firstRow="1" w:lastRow="0" w:firstColumn="1" w:lastColumn="0" w:noHBand="0" w:noVBand="1"/>
      </w:tblPr>
      <w:tblGrid>
        <w:gridCol w:w="1170"/>
        <w:gridCol w:w="905"/>
        <w:gridCol w:w="4299"/>
        <w:gridCol w:w="1184"/>
      </w:tblGrid>
      <w:tr w:rsidR="00A94AEF" w:rsidRPr="00216F0E" w14:paraId="55AD6B8F" w14:textId="77777777" w:rsidTr="286C5C0D">
        <w:tc>
          <w:tcPr>
            <w:tcW w:w="1170" w:type="dxa"/>
          </w:tcPr>
          <w:p w14:paraId="3D6432E3" w14:textId="77777777" w:rsidR="00A94AEF" w:rsidRPr="00E16433" w:rsidRDefault="00A94AEF" w:rsidP="000F072D">
            <w:pPr>
              <w:pStyle w:val="Bodyromannumerals"/>
              <w:rPr>
                <w:b/>
                <w:bCs/>
              </w:rPr>
            </w:pPr>
            <w:r w:rsidRPr="00E16433">
              <w:rPr>
                <w:b/>
                <w:bCs/>
              </w:rPr>
              <w:t>B3a.26</w:t>
            </w:r>
          </w:p>
        </w:tc>
        <w:tc>
          <w:tcPr>
            <w:tcW w:w="5204" w:type="dxa"/>
            <w:gridSpan w:val="2"/>
          </w:tcPr>
          <w:p w14:paraId="48011664" w14:textId="77777777" w:rsidR="00A94AEF" w:rsidRPr="00E16433" w:rsidRDefault="00A94AEF" w:rsidP="000F072D">
            <w:pPr>
              <w:pStyle w:val="Bodyromannumerals"/>
              <w:rPr>
                <w:b/>
                <w:bCs/>
              </w:rPr>
            </w:pPr>
            <w:r w:rsidRPr="00E16433">
              <w:rPr>
                <w:b/>
                <w:bCs/>
              </w:rPr>
              <w:t>Number of pollution incidents</w:t>
            </w:r>
          </w:p>
        </w:tc>
        <w:tc>
          <w:tcPr>
            <w:tcW w:w="1184" w:type="dxa"/>
          </w:tcPr>
          <w:p w14:paraId="6CC4D1B1" w14:textId="4351D66F" w:rsidR="00A94AEF" w:rsidRPr="00E16433" w:rsidRDefault="00A94AEF" w:rsidP="000F072D">
            <w:pPr>
              <w:pStyle w:val="Bodyromannumerals"/>
              <w:rPr>
                <w:b/>
                <w:bCs/>
              </w:rPr>
            </w:pPr>
            <w:r w:rsidRPr="00E16433">
              <w:rPr>
                <w:b/>
                <w:bCs/>
              </w:rPr>
              <w:t>Nr</w:t>
            </w:r>
            <w:r w:rsidR="00E16433" w:rsidRPr="00E16433">
              <w:rPr>
                <w:b/>
                <w:bCs/>
              </w:rPr>
              <w:t>.</w:t>
            </w:r>
          </w:p>
        </w:tc>
      </w:tr>
      <w:tr w:rsidR="00A94AEF" w:rsidRPr="00216F0E" w14:paraId="2506C6E9" w14:textId="77777777" w:rsidTr="286C5C0D">
        <w:trPr>
          <w:trHeight w:val="2934"/>
        </w:trPr>
        <w:tc>
          <w:tcPr>
            <w:tcW w:w="2075" w:type="dxa"/>
            <w:gridSpan w:val="2"/>
            <w:tcBorders>
              <w:left w:val="single" w:sz="4" w:space="0" w:color="FFFFFF" w:themeColor="background2"/>
              <w:bottom w:val="single" w:sz="4" w:space="0" w:color="FFFFFF" w:themeColor="background2"/>
              <w:right w:val="single" w:sz="4" w:space="0" w:color="FFFFFF" w:themeColor="background2"/>
            </w:tcBorders>
          </w:tcPr>
          <w:p w14:paraId="79043B51" w14:textId="77777777" w:rsidR="00A94AEF" w:rsidRPr="00AF4AEA" w:rsidRDefault="00A94AEF" w:rsidP="000F072D">
            <w:pPr>
              <w:pStyle w:val="Bodyromannumerals"/>
              <w:rPr>
                <w:i/>
              </w:rPr>
            </w:pPr>
            <w:r w:rsidRPr="00AF4AEA">
              <w:rPr>
                <w:rFonts w:eastAsia="Calibri"/>
                <w:i/>
                <w:lang w:val="en-US"/>
              </w:rPr>
              <w:t>Definition:</w:t>
            </w:r>
          </w:p>
        </w:tc>
        <w:tc>
          <w:tcPr>
            <w:tcW w:w="5483" w:type="dxa"/>
            <w:gridSpan w:val="2"/>
            <w:tcBorders>
              <w:left w:val="single" w:sz="4" w:space="0" w:color="FFFFFF" w:themeColor="background2"/>
              <w:bottom w:val="single" w:sz="4" w:space="0" w:color="FFFFFF" w:themeColor="background2"/>
              <w:right w:val="single" w:sz="4" w:space="0" w:color="FFFFFF" w:themeColor="background2"/>
            </w:tcBorders>
          </w:tcPr>
          <w:p w14:paraId="3264819F" w14:textId="448106E3" w:rsidR="00A94AEF" w:rsidRPr="00AF4AEA" w:rsidRDefault="00A94AEF" w:rsidP="000F072D">
            <w:pPr>
              <w:pStyle w:val="Bodyromannumerals"/>
            </w:pPr>
            <w:r w:rsidRPr="00AF4AEA">
              <w:t xml:space="preserve">The total number of pollution incidents (categories 1 to 3) in a calendar year emanating from a discharge or escape of a contaminant from a </w:t>
            </w:r>
            <w:r w:rsidR="00356481">
              <w:t xml:space="preserve">Local Authority </w:t>
            </w:r>
            <w:r w:rsidR="009D138F">
              <w:t>wastewater</w:t>
            </w:r>
            <w:r w:rsidRPr="00AF4AEA">
              <w:t xml:space="preserve"> asset.</w:t>
            </w:r>
          </w:p>
          <w:p w14:paraId="54CD7984" w14:textId="77777777" w:rsidR="00A94AEF" w:rsidRPr="00AF4AEA" w:rsidRDefault="00A94AEF" w:rsidP="000F072D">
            <w:pPr>
              <w:pStyle w:val="Bodyromannumerals"/>
            </w:pPr>
            <w:r w:rsidRPr="00AF4AEA">
              <w:t xml:space="preserve">Category 1 – major, serious, persistent and/or extensive impact or effect on the environment, people and/or property </w:t>
            </w:r>
          </w:p>
          <w:p w14:paraId="69BBA51A" w14:textId="77777777" w:rsidR="00A94AEF" w:rsidRPr="00AF4AEA" w:rsidRDefault="00A94AEF" w:rsidP="000F072D">
            <w:pPr>
              <w:pStyle w:val="Bodyromannumerals"/>
            </w:pPr>
            <w:r w:rsidRPr="00AF4AEA">
              <w:t>Category 2 – significant impact or effect on the environment, people and/or property</w:t>
            </w:r>
          </w:p>
          <w:p w14:paraId="5EB9C2B7" w14:textId="77777777" w:rsidR="00A94AEF" w:rsidRPr="00AF4AEA" w:rsidRDefault="00A94AEF" w:rsidP="000F072D">
            <w:pPr>
              <w:pStyle w:val="Bodyromannumerals"/>
            </w:pPr>
            <w:r w:rsidRPr="00AF4AEA">
              <w:t xml:space="preserve">Category 3 – minor or minimal impact or effect on the environment, people and/or property </w:t>
            </w:r>
          </w:p>
          <w:p w14:paraId="176FD261" w14:textId="77777777" w:rsidR="00A94AEF" w:rsidRPr="00AF4AEA" w:rsidRDefault="00A94AEF" w:rsidP="000F072D">
            <w:pPr>
              <w:pStyle w:val="Bodyromannumerals"/>
            </w:pPr>
            <w:r w:rsidRPr="00AF4AEA">
              <w:t xml:space="preserve">Category 4 – substantiated incident with no impact. </w:t>
            </w:r>
          </w:p>
          <w:p w14:paraId="37E69C4B" w14:textId="77777777" w:rsidR="00A94AEF" w:rsidRPr="00AF4AEA" w:rsidRDefault="00A94AEF" w:rsidP="000F072D">
            <w:pPr>
              <w:pStyle w:val="Bodyromannumerals"/>
            </w:pPr>
            <w:r w:rsidRPr="00AF4AEA">
              <w:t>We can provide examples of each type of incident, if useful.</w:t>
            </w:r>
          </w:p>
        </w:tc>
      </w:tr>
      <w:tr w:rsidR="00A94AEF" w:rsidRPr="00216F0E" w14:paraId="530E355F" w14:textId="77777777" w:rsidTr="286C5C0D">
        <w:trPr>
          <w:trHeight w:val="185"/>
        </w:trPr>
        <w:tc>
          <w:tcPr>
            <w:tcW w:w="207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0098E12" w14:textId="77777777" w:rsidR="00A94AEF" w:rsidRPr="00AF4AEA" w:rsidRDefault="00A94AEF" w:rsidP="000F072D">
            <w:pPr>
              <w:pStyle w:val="Bodyromannumerals"/>
              <w:rPr>
                <w:i/>
              </w:rPr>
            </w:pPr>
            <w:r w:rsidRPr="00AF4AEA">
              <w:rPr>
                <w:rFonts w:eastAsia="Calibri"/>
                <w:i/>
                <w:lang w:val="en-US"/>
              </w:rPr>
              <w:t>Processing Rules:</w:t>
            </w:r>
          </w:p>
        </w:tc>
        <w:tc>
          <w:tcPr>
            <w:tcW w:w="54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99C0F92" w14:textId="77777777" w:rsidR="00A94AEF" w:rsidRPr="00AF4AEA" w:rsidRDefault="00A94AEF" w:rsidP="000F072D">
            <w:pPr>
              <w:pStyle w:val="Bodyromannumerals"/>
            </w:pPr>
            <w:r w:rsidRPr="00AF4AEA">
              <w:rPr>
                <w:rFonts w:eastAsia="Calibri"/>
                <w:lang w:val="en-US"/>
              </w:rPr>
              <w:t>Input field</w:t>
            </w:r>
          </w:p>
        </w:tc>
      </w:tr>
      <w:tr w:rsidR="00A94AEF" w:rsidRPr="00216F0E" w14:paraId="7ED16B49" w14:textId="77777777" w:rsidTr="286C5C0D">
        <w:tc>
          <w:tcPr>
            <w:tcW w:w="1170" w:type="dxa"/>
          </w:tcPr>
          <w:p w14:paraId="6322557A" w14:textId="6BEA8ACF" w:rsidR="00A94AEF" w:rsidRPr="00E16433" w:rsidRDefault="00A94AEF" w:rsidP="000F072D">
            <w:pPr>
              <w:pStyle w:val="Bodyromannumerals"/>
              <w:rPr>
                <w:b/>
                <w:bCs/>
              </w:rPr>
            </w:pPr>
            <w:r w:rsidRPr="00E16433">
              <w:rPr>
                <w:b/>
                <w:bCs/>
              </w:rPr>
              <w:t>B3a.27</w:t>
            </w:r>
          </w:p>
        </w:tc>
        <w:tc>
          <w:tcPr>
            <w:tcW w:w="5204" w:type="dxa"/>
            <w:gridSpan w:val="2"/>
          </w:tcPr>
          <w:p w14:paraId="37360C9A" w14:textId="77777777" w:rsidR="00A94AEF" w:rsidRPr="00E16433" w:rsidRDefault="00A94AEF" w:rsidP="000F072D">
            <w:pPr>
              <w:pStyle w:val="Bodyromannumerals"/>
              <w:rPr>
                <w:b/>
                <w:bCs/>
              </w:rPr>
            </w:pPr>
            <w:r w:rsidRPr="00E16433">
              <w:rPr>
                <w:b/>
                <w:bCs/>
              </w:rPr>
              <w:t>Serious pollution incidents</w:t>
            </w:r>
          </w:p>
        </w:tc>
        <w:tc>
          <w:tcPr>
            <w:tcW w:w="1184" w:type="dxa"/>
          </w:tcPr>
          <w:p w14:paraId="2F8E3D46" w14:textId="359C4747" w:rsidR="00A94AEF" w:rsidRPr="00E16433" w:rsidRDefault="00A94AEF" w:rsidP="000F072D">
            <w:pPr>
              <w:pStyle w:val="Bodyromannumerals"/>
              <w:rPr>
                <w:b/>
                <w:bCs/>
              </w:rPr>
            </w:pPr>
            <w:r w:rsidRPr="00E16433">
              <w:rPr>
                <w:b/>
                <w:bCs/>
              </w:rPr>
              <w:t>Nr</w:t>
            </w:r>
            <w:r w:rsidR="00E16433" w:rsidRPr="00E16433">
              <w:rPr>
                <w:b/>
                <w:bCs/>
              </w:rPr>
              <w:t>.</w:t>
            </w:r>
          </w:p>
        </w:tc>
      </w:tr>
      <w:tr w:rsidR="00A94AEF" w:rsidRPr="00216F0E" w14:paraId="54E92279" w14:textId="77777777" w:rsidTr="286C5C0D">
        <w:tc>
          <w:tcPr>
            <w:tcW w:w="2075" w:type="dxa"/>
            <w:gridSpan w:val="2"/>
            <w:tcBorders>
              <w:left w:val="single" w:sz="4" w:space="0" w:color="FFFFFF" w:themeColor="background2"/>
              <w:bottom w:val="single" w:sz="4" w:space="0" w:color="FFFFFF" w:themeColor="background2"/>
              <w:right w:val="single" w:sz="4" w:space="0" w:color="FFFFFF" w:themeColor="background2"/>
            </w:tcBorders>
          </w:tcPr>
          <w:p w14:paraId="430DCCF3" w14:textId="77777777" w:rsidR="00A94AEF" w:rsidRPr="00AF4AEA" w:rsidRDefault="00A94AEF" w:rsidP="000F072D">
            <w:pPr>
              <w:pStyle w:val="Bodyromannumerals"/>
              <w:rPr>
                <w:i/>
              </w:rPr>
            </w:pPr>
            <w:r w:rsidRPr="00AF4AEA">
              <w:rPr>
                <w:rFonts w:eastAsia="Calibri"/>
                <w:i/>
                <w:lang w:val="en-US"/>
              </w:rPr>
              <w:t>Definition:</w:t>
            </w:r>
          </w:p>
        </w:tc>
        <w:tc>
          <w:tcPr>
            <w:tcW w:w="5483" w:type="dxa"/>
            <w:gridSpan w:val="2"/>
            <w:tcBorders>
              <w:left w:val="single" w:sz="4" w:space="0" w:color="FFFFFF" w:themeColor="background2"/>
              <w:bottom w:val="single" w:sz="4" w:space="0" w:color="FFFFFF" w:themeColor="background2"/>
              <w:right w:val="single" w:sz="4" w:space="0" w:color="FFFFFF" w:themeColor="background2"/>
            </w:tcBorders>
          </w:tcPr>
          <w:p w14:paraId="037C62D1" w14:textId="5B1E870F" w:rsidR="00A94AEF" w:rsidRPr="00AF4AEA" w:rsidRDefault="00A94AEF" w:rsidP="000F072D">
            <w:pPr>
              <w:pStyle w:val="Bodyromannumerals"/>
            </w:pPr>
            <w:r w:rsidRPr="00AF4AEA">
              <w:t xml:space="preserve">The total number of serious pollution incidents (categories 1 and 2) in a calendar year emanating from a discharge or escape of a contaminant from a </w:t>
            </w:r>
            <w:r w:rsidR="00356481">
              <w:t xml:space="preserve">Local Authority </w:t>
            </w:r>
            <w:r w:rsidR="009D138F">
              <w:t>wastewater</w:t>
            </w:r>
            <w:r w:rsidRPr="00AF4AEA">
              <w:t xml:space="preserve"> asset per 10,000 km of sewer.</w:t>
            </w:r>
          </w:p>
          <w:p w14:paraId="55E7ABEA" w14:textId="77777777" w:rsidR="00A94AEF" w:rsidRPr="00AF4AEA" w:rsidRDefault="00A94AEF" w:rsidP="000F072D">
            <w:pPr>
              <w:pStyle w:val="Bodyromannumerals"/>
            </w:pPr>
            <w:r w:rsidRPr="00AF4AEA">
              <w:t xml:space="preserve">Category 1 – major, serious, persistent and/or extensive impact or effect on the environment, people and/or property </w:t>
            </w:r>
          </w:p>
          <w:p w14:paraId="33BB0E7E" w14:textId="77777777" w:rsidR="00A94AEF" w:rsidRPr="00AF4AEA" w:rsidRDefault="00A94AEF" w:rsidP="000F072D">
            <w:pPr>
              <w:pStyle w:val="Bodyromannumerals"/>
            </w:pPr>
            <w:r w:rsidRPr="00AF4AEA">
              <w:t>Category 2 – significant impact or effect on the environment, people and/or property.</w:t>
            </w:r>
          </w:p>
          <w:p w14:paraId="2A27D37D" w14:textId="77777777" w:rsidR="00A94AEF" w:rsidRPr="00AF4AEA" w:rsidRDefault="00A94AEF" w:rsidP="000F072D">
            <w:pPr>
              <w:pStyle w:val="Bodyromannumerals"/>
            </w:pPr>
            <w:r w:rsidRPr="00AF4AEA">
              <w:t>We can provide examples of each type of incident, if useful.</w:t>
            </w:r>
          </w:p>
        </w:tc>
      </w:tr>
      <w:tr w:rsidR="00A94AEF" w:rsidRPr="00216F0E" w14:paraId="7001A319" w14:textId="77777777" w:rsidTr="286C5C0D">
        <w:tc>
          <w:tcPr>
            <w:tcW w:w="207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EDC616A" w14:textId="77777777" w:rsidR="00A94AEF" w:rsidRPr="00AF4AEA" w:rsidRDefault="00A94AEF" w:rsidP="000F072D">
            <w:pPr>
              <w:pStyle w:val="Bodyromannumerals"/>
              <w:rPr>
                <w:i/>
              </w:rPr>
            </w:pPr>
            <w:r w:rsidRPr="00AF4AEA">
              <w:rPr>
                <w:rFonts w:eastAsia="Calibri"/>
                <w:i/>
                <w:lang w:val="en-US"/>
              </w:rPr>
              <w:t>Processing Rules:</w:t>
            </w:r>
          </w:p>
        </w:tc>
        <w:tc>
          <w:tcPr>
            <w:tcW w:w="54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791D0BD" w14:textId="77777777" w:rsidR="00A94AEF" w:rsidRPr="00AF4AEA" w:rsidRDefault="00A94AEF" w:rsidP="000F072D">
            <w:pPr>
              <w:pStyle w:val="Bodyromannumerals"/>
            </w:pPr>
            <w:r w:rsidRPr="00AF4AEA">
              <w:rPr>
                <w:rFonts w:eastAsia="Calibri"/>
                <w:lang w:val="en-US"/>
              </w:rPr>
              <w:t>Input field</w:t>
            </w:r>
          </w:p>
        </w:tc>
      </w:tr>
    </w:tbl>
    <w:p w14:paraId="428210C5" w14:textId="131306E5" w:rsidR="00035C78" w:rsidRDefault="00035C78" w:rsidP="00BE4543">
      <w:pPr>
        <w:pStyle w:val="Bodyromannumerals"/>
      </w:pPr>
    </w:p>
    <w:p w14:paraId="62FC441F" w14:textId="7B2DCCEB" w:rsidR="009D6E07" w:rsidRDefault="00035C78" w:rsidP="009D6E07">
      <w:pPr>
        <w:pStyle w:val="Title1"/>
      </w:pPr>
      <w:r>
        <w:br w:type="page"/>
      </w:r>
      <w:r w:rsidR="009D6E07">
        <w:lastRenderedPageBreak/>
        <w:t xml:space="preserve">TABLE B3b: STORMWATER FLOODING INSIDE A PROPERTY </w:t>
      </w:r>
    </w:p>
    <w:p w14:paraId="02CE37D3" w14:textId="77777777" w:rsidR="009D6E07" w:rsidRDefault="009D6E07" w:rsidP="009D6E07">
      <w:pPr>
        <w:pStyle w:val="Bodynumbercopy"/>
        <w:numPr>
          <w:ilvl w:val="0"/>
          <w:numId w:val="0"/>
        </w:numPr>
        <w:ind w:left="780"/>
      </w:pPr>
    </w:p>
    <w:p w14:paraId="3C4055F8" w14:textId="77777777" w:rsidR="009D6E07" w:rsidRDefault="009D6E07" w:rsidP="009D6E07">
      <w:pPr>
        <w:pStyle w:val="Sectionsub-heading"/>
      </w:pPr>
      <w:r>
        <w:t>Overall guidance</w:t>
      </w:r>
    </w:p>
    <w:p w14:paraId="216B3B99" w14:textId="283AAEA0" w:rsidR="00512AE8" w:rsidRDefault="00512AE8" w:rsidP="00911155">
      <w:pPr>
        <w:pStyle w:val="Bodynumbercopy"/>
        <w:numPr>
          <w:ilvl w:val="0"/>
          <w:numId w:val="46"/>
        </w:numPr>
      </w:pPr>
      <w:r>
        <w:t xml:space="preserve">If the information is not available for the measure requested, Local Authorities should provide their </w:t>
      </w:r>
      <w:r w:rsidR="00B60D09">
        <w:t>best-informed</w:t>
      </w:r>
      <w:r>
        <w:t xml:space="preserve"> guess based on the information available and reflect the uncertainty in selecting the appropriate confidence grade.</w:t>
      </w:r>
    </w:p>
    <w:p w14:paraId="538DC56A" w14:textId="77777777" w:rsidR="00F75E22" w:rsidRPr="009D4FE0" w:rsidRDefault="00F75E22" w:rsidP="00512AE8">
      <w:pPr>
        <w:pStyle w:val="Bodynumbercopy"/>
      </w:pPr>
      <w:r w:rsidRPr="009D4FE0">
        <w:t>Using unplanned interruptions</w:t>
      </w:r>
      <w:r>
        <w:t xml:space="preserve"> in Table B2</w:t>
      </w:r>
      <w:r w:rsidRPr="009D4FE0">
        <w:t xml:space="preserve"> as an example, if the Local Authority has collected information which shows that 150 properties were restored within 8 hours then this would serve as a maximum for the number of properties restored within six hours in line B2.43. A Local Authority could therefore make an informed guess that 100 properties were restored within 6 hours and apply a confidence grade of D5 which would suggest that the reported performance is within +/-50% of the actual performance in the year.  This would result in a maximum of 150 properties (100 + (100 * 50%)) in line with the </w:t>
      </w:r>
      <w:r>
        <w:t xml:space="preserve">known </w:t>
      </w:r>
      <w:r w:rsidRPr="009D4FE0">
        <w:t>properties restored within 8 hours.</w:t>
      </w:r>
    </w:p>
    <w:p w14:paraId="0A58D52C" w14:textId="64AB60BC" w:rsidR="009E28B7" w:rsidRDefault="009E28B7" w:rsidP="009E28B7">
      <w:pPr>
        <w:pStyle w:val="Bodynumbercopy"/>
      </w:pPr>
      <w:r w:rsidRPr="009E28B7">
        <w:t>For forecast performance in 2020/21, Local Authorities are suggested to provide an estimate based on historic performance (e.g. average performance over the previous 5 years).</w:t>
      </w:r>
    </w:p>
    <w:p w14:paraId="1DAAFF9D" w14:textId="59ED7CF2" w:rsidR="00373FAE" w:rsidRDefault="00373FAE" w:rsidP="009E28B7">
      <w:pPr>
        <w:pStyle w:val="Bodynumbercopy"/>
      </w:pPr>
      <w:r>
        <w:t xml:space="preserve">This table relates to </w:t>
      </w:r>
      <w:r w:rsidR="00F26076">
        <w:t xml:space="preserve">stormwater </w:t>
      </w:r>
      <w:r>
        <w:t>flooding of habitable floors (</w:t>
      </w:r>
      <w:r w:rsidR="007B3C2E">
        <w:t xml:space="preserve">flooding </w:t>
      </w:r>
      <w:r>
        <w:t>inside a property)</w:t>
      </w:r>
      <w:r w:rsidR="00F26076">
        <w:t>.</w:t>
      </w:r>
      <w:r>
        <w:t xml:space="preserve"> </w:t>
      </w:r>
      <w:r w:rsidR="00F26076">
        <w:t xml:space="preserve">It deals with </w:t>
      </w:r>
      <w:r>
        <w:t>stormwater flooding which is the responsibility</w:t>
      </w:r>
      <w:r w:rsidR="00F26076">
        <w:t xml:space="preserve"> of the local authority and </w:t>
      </w:r>
      <w:r w:rsidR="007B3C2E">
        <w:t>originates from public stormwater systems/land drainage.</w:t>
      </w:r>
    </w:p>
    <w:p w14:paraId="5F8A3B21" w14:textId="114E3754" w:rsidR="008B2F58" w:rsidRPr="008B2F58" w:rsidRDefault="008B2F58" w:rsidP="008B2F58">
      <w:pPr>
        <w:pStyle w:val="Bodynumbercopy"/>
      </w:pPr>
      <w:r w:rsidRPr="008B2F58">
        <w:t xml:space="preserve">Habitable floor flooding from </w:t>
      </w:r>
      <w:r>
        <w:t>waste</w:t>
      </w:r>
      <w:r w:rsidRPr="008B2F58">
        <w:t>water systems is dealt with in Table B3.</w:t>
      </w:r>
      <w:r w:rsidR="009B6AA1">
        <w:t xml:space="preserve"> The</w:t>
      </w:r>
      <w:r w:rsidR="00F807E1">
        <w:t xml:space="preserve"> guidance set out for Table B3 also apply to </w:t>
      </w:r>
      <w:r w:rsidR="000D566E">
        <w:t>table B3b (except this section relates to stormwater)</w:t>
      </w:r>
      <w:r w:rsidR="00F807E1">
        <w:t xml:space="preserve">. </w:t>
      </w:r>
    </w:p>
    <w:p w14:paraId="4E99117A" w14:textId="3A93350E" w:rsidR="009D6E07" w:rsidRDefault="009D6E07" w:rsidP="009D6E07">
      <w:pPr>
        <w:pStyle w:val="Sectionsub-heading"/>
      </w:pPr>
      <w:r>
        <w:t>BLOCK 1: ANNUAL FLOODING OF HABITABLE FLOORS – OVERLOADED STORMWATER SYSTEMS</w:t>
      </w:r>
    </w:p>
    <w:tbl>
      <w:tblPr>
        <w:tblStyle w:val="TableGrid"/>
        <w:tblW w:w="0" w:type="auto"/>
        <w:tblLook w:val="04A0" w:firstRow="1" w:lastRow="0" w:firstColumn="1" w:lastColumn="0" w:noHBand="0" w:noVBand="1"/>
      </w:tblPr>
      <w:tblGrid>
        <w:gridCol w:w="971"/>
        <w:gridCol w:w="1019"/>
        <w:gridCol w:w="4653"/>
        <w:gridCol w:w="915"/>
      </w:tblGrid>
      <w:tr w:rsidR="009D6E07" w:rsidRPr="00216F0E" w14:paraId="2305EF2A" w14:textId="77777777" w:rsidTr="004C0500">
        <w:tc>
          <w:tcPr>
            <w:tcW w:w="968" w:type="dxa"/>
          </w:tcPr>
          <w:p w14:paraId="614054ED" w14:textId="2118A132" w:rsidR="009D6E07" w:rsidRPr="00116B91" w:rsidRDefault="009D6E07" w:rsidP="004C0500">
            <w:pPr>
              <w:pStyle w:val="Bodyromannumerals"/>
              <w:rPr>
                <w:b/>
                <w:bCs/>
                <w:lang w:val="en-US"/>
              </w:rPr>
            </w:pPr>
            <w:r w:rsidRPr="00116B91">
              <w:rPr>
                <w:b/>
                <w:bCs/>
                <w:lang w:val="en-US"/>
              </w:rPr>
              <w:t>B3</w:t>
            </w:r>
            <w:r w:rsidR="00FD3733">
              <w:rPr>
                <w:b/>
                <w:bCs/>
                <w:lang w:val="en-US"/>
              </w:rPr>
              <w:t>b</w:t>
            </w:r>
            <w:r w:rsidRPr="00116B91">
              <w:rPr>
                <w:b/>
                <w:bCs/>
                <w:lang w:val="en-US"/>
              </w:rPr>
              <w:t>.1</w:t>
            </w:r>
          </w:p>
        </w:tc>
        <w:tc>
          <w:tcPr>
            <w:tcW w:w="5675" w:type="dxa"/>
            <w:gridSpan w:val="2"/>
          </w:tcPr>
          <w:p w14:paraId="7C06FF9B" w14:textId="77777777" w:rsidR="009D6E07" w:rsidRPr="00116B91" w:rsidRDefault="009D6E07" w:rsidP="004C0500">
            <w:pPr>
              <w:pStyle w:val="Bodyromannumerals"/>
              <w:rPr>
                <w:b/>
                <w:bCs/>
                <w:lang w:val="en-US"/>
              </w:rPr>
            </w:pPr>
            <w:r w:rsidRPr="00717AD1">
              <w:rPr>
                <w:b/>
                <w:bCs/>
                <w:lang w:val="en-US"/>
              </w:rPr>
              <w:t>Number of properties with habitable floor(s) flooded in the year</w:t>
            </w:r>
          </w:p>
        </w:tc>
        <w:tc>
          <w:tcPr>
            <w:tcW w:w="915" w:type="dxa"/>
          </w:tcPr>
          <w:p w14:paraId="3388D2A6" w14:textId="77777777" w:rsidR="009D6E07" w:rsidRPr="00116B91" w:rsidRDefault="009D6E07" w:rsidP="004C0500">
            <w:pPr>
              <w:pStyle w:val="Bodyromannumerals"/>
              <w:rPr>
                <w:b/>
                <w:bCs/>
                <w:lang w:val="en-US"/>
              </w:rPr>
            </w:pPr>
            <w:r w:rsidRPr="00116B91">
              <w:rPr>
                <w:b/>
                <w:bCs/>
                <w:lang w:val="en-US"/>
              </w:rPr>
              <w:t>Nr.</w:t>
            </w:r>
          </w:p>
        </w:tc>
      </w:tr>
      <w:tr w:rsidR="009D6E07" w:rsidRPr="00216F0E" w14:paraId="438F7F8C" w14:textId="77777777" w:rsidTr="004C0500">
        <w:tc>
          <w:tcPr>
            <w:tcW w:w="1988" w:type="dxa"/>
            <w:gridSpan w:val="2"/>
            <w:tcBorders>
              <w:left w:val="single" w:sz="4" w:space="0" w:color="FFFFFF"/>
              <w:bottom w:val="single" w:sz="4" w:space="0" w:color="FFFFFF"/>
              <w:right w:val="single" w:sz="4" w:space="0" w:color="FFFFFF"/>
            </w:tcBorders>
          </w:tcPr>
          <w:p w14:paraId="35B4F553" w14:textId="77777777" w:rsidR="009D6E07" w:rsidRPr="00A80A3E" w:rsidRDefault="009D6E07" w:rsidP="004C0500">
            <w:pPr>
              <w:pStyle w:val="Bodyromannumerals"/>
              <w:rPr>
                <w:i/>
                <w:lang w:val="en-US"/>
              </w:rPr>
            </w:pPr>
            <w:r w:rsidRPr="00A80A3E">
              <w:rPr>
                <w:i/>
                <w:lang w:val="en-US"/>
              </w:rPr>
              <w:t>Definition:</w:t>
            </w:r>
          </w:p>
        </w:tc>
        <w:tc>
          <w:tcPr>
            <w:tcW w:w="5570" w:type="dxa"/>
            <w:gridSpan w:val="2"/>
            <w:tcBorders>
              <w:left w:val="single" w:sz="4" w:space="0" w:color="FFFFFF"/>
              <w:bottom w:val="single" w:sz="4" w:space="0" w:color="FFFFFF"/>
              <w:right w:val="single" w:sz="4" w:space="0" w:color="FFFFFF"/>
            </w:tcBorders>
          </w:tcPr>
          <w:p w14:paraId="7A344D89" w14:textId="45B6EFBF" w:rsidR="009D6E07" w:rsidRPr="00AF4AEA" w:rsidRDefault="009D6E07" w:rsidP="004C0500">
            <w:pPr>
              <w:pStyle w:val="Bodyromannumerals"/>
              <w:rPr>
                <w:lang w:val="en-US"/>
              </w:rPr>
            </w:pPr>
            <w:r w:rsidRPr="00AF4AEA">
              <w:rPr>
                <w:lang w:val="en-US"/>
              </w:rPr>
              <w:t xml:space="preserve">Number of properties affected by </w:t>
            </w:r>
            <w:r>
              <w:rPr>
                <w:lang w:val="en-US"/>
              </w:rPr>
              <w:t>habitable floor</w:t>
            </w:r>
            <w:r w:rsidRPr="00AF4AEA">
              <w:rPr>
                <w:lang w:val="en-US"/>
              </w:rPr>
              <w:t xml:space="preserve"> flooding incidents due to overloading </w:t>
            </w:r>
            <w:r w:rsidRPr="000810B7">
              <w:t>stormwater systems</w:t>
            </w:r>
            <w:r w:rsidRPr="00AF4AEA">
              <w:rPr>
                <w:lang w:val="en-US"/>
              </w:rPr>
              <w:t>. This should include all such events, whether or not attributable to severe/extreme weather. The commentary should identify in tabular form the number of cases where the cause was severe weather, blockage, collapse or other.</w:t>
            </w:r>
          </w:p>
        </w:tc>
      </w:tr>
      <w:tr w:rsidR="009D6E07" w:rsidRPr="00216F0E" w14:paraId="7F4E54C2" w14:textId="77777777" w:rsidTr="004C0500">
        <w:tc>
          <w:tcPr>
            <w:tcW w:w="1988" w:type="dxa"/>
            <w:gridSpan w:val="2"/>
            <w:tcBorders>
              <w:top w:val="single" w:sz="4" w:space="0" w:color="FFFFFF"/>
              <w:left w:val="single" w:sz="4" w:space="0" w:color="FFFFFF"/>
              <w:bottom w:val="single" w:sz="4" w:space="0" w:color="FFFFFF"/>
              <w:right w:val="single" w:sz="4" w:space="0" w:color="FFFFFF"/>
            </w:tcBorders>
          </w:tcPr>
          <w:p w14:paraId="731D0495" w14:textId="77777777" w:rsidR="009D6E07" w:rsidRPr="00A80A3E" w:rsidRDefault="009D6E07" w:rsidP="004C0500">
            <w:pPr>
              <w:pStyle w:val="Bodyromannumerals"/>
              <w:rPr>
                <w:i/>
                <w:lang w:val="en-US"/>
              </w:rPr>
            </w:pPr>
            <w:r w:rsidRPr="00A80A3E">
              <w:rPr>
                <w:i/>
                <w:lang w:val="en-US"/>
              </w:rPr>
              <w:t>Processing Rules:</w:t>
            </w:r>
          </w:p>
        </w:tc>
        <w:tc>
          <w:tcPr>
            <w:tcW w:w="5570" w:type="dxa"/>
            <w:gridSpan w:val="2"/>
            <w:tcBorders>
              <w:top w:val="single" w:sz="4" w:space="0" w:color="FFFFFF"/>
              <w:left w:val="single" w:sz="4" w:space="0" w:color="FFFFFF"/>
              <w:bottom w:val="single" w:sz="4" w:space="0" w:color="FFFFFF"/>
              <w:right w:val="single" w:sz="4" w:space="0" w:color="FFFFFF"/>
            </w:tcBorders>
          </w:tcPr>
          <w:p w14:paraId="3B45C975" w14:textId="77777777" w:rsidR="009D6E07" w:rsidRPr="00AF4AEA" w:rsidRDefault="009D6E07" w:rsidP="004C0500">
            <w:pPr>
              <w:pStyle w:val="Bodyromannumerals"/>
              <w:rPr>
                <w:lang w:val="en-US"/>
              </w:rPr>
            </w:pPr>
            <w:r w:rsidRPr="00AF4AEA">
              <w:rPr>
                <w:lang w:val="en-US"/>
              </w:rPr>
              <w:t>Input field</w:t>
            </w:r>
          </w:p>
        </w:tc>
      </w:tr>
    </w:tbl>
    <w:p w14:paraId="7B168CB6" w14:textId="3288D3B6" w:rsidR="009D6E07" w:rsidRDefault="009D6E07" w:rsidP="009D6E07"/>
    <w:tbl>
      <w:tblPr>
        <w:tblStyle w:val="TableGrid"/>
        <w:tblW w:w="0" w:type="auto"/>
        <w:tblLook w:val="04A0" w:firstRow="1" w:lastRow="0" w:firstColumn="1" w:lastColumn="0" w:noHBand="0" w:noVBand="1"/>
      </w:tblPr>
      <w:tblGrid>
        <w:gridCol w:w="971"/>
        <w:gridCol w:w="1019"/>
        <w:gridCol w:w="4653"/>
        <w:gridCol w:w="915"/>
      </w:tblGrid>
      <w:tr w:rsidR="009D6E07" w:rsidRPr="00216F0E" w14:paraId="34747AF9" w14:textId="77777777" w:rsidTr="004C0500">
        <w:tc>
          <w:tcPr>
            <w:tcW w:w="968" w:type="dxa"/>
          </w:tcPr>
          <w:p w14:paraId="2B21143C" w14:textId="48ECD095" w:rsidR="009D6E07" w:rsidRPr="00116B91" w:rsidRDefault="009D6E07" w:rsidP="004C0500">
            <w:pPr>
              <w:pStyle w:val="Bodyromannumerals"/>
              <w:rPr>
                <w:b/>
                <w:bCs/>
                <w:lang w:val="en-US"/>
              </w:rPr>
            </w:pPr>
            <w:r w:rsidRPr="00116B91">
              <w:rPr>
                <w:b/>
                <w:bCs/>
                <w:lang w:val="en-US"/>
              </w:rPr>
              <w:t>B3</w:t>
            </w:r>
            <w:r w:rsidR="00FD3733">
              <w:rPr>
                <w:b/>
                <w:bCs/>
                <w:lang w:val="en-US"/>
              </w:rPr>
              <w:t>b</w:t>
            </w:r>
            <w:r w:rsidRPr="00116B91">
              <w:rPr>
                <w:b/>
                <w:bCs/>
                <w:lang w:val="en-US"/>
              </w:rPr>
              <w:t>.2</w:t>
            </w:r>
          </w:p>
        </w:tc>
        <w:tc>
          <w:tcPr>
            <w:tcW w:w="5675" w:type="dxa"/>
            <w:gridSpan w:val="2"/>
          </w:tcPr>
          <w:p w14:paraId="2F120DDA" w14:textId="5306EA40" w:rsidR="009D6E07" w:rsidRPr="00116B91" w:rsidRDefault="009D6E07" w:rsidP="004C0500">
            <w:pPr>
              <w:pStyle w:val="Bodyromannumerals"/>
              <w:rPr>
                <w:b/>
                <w:bCs/>
                <w:lang w:val="en-US"/>
              </w:rPr>
            </w:pPr>
            <w:r w:rsidRPr="00116B91">
              <w:rPr>
                <w:b/>
                <w:bCs/>
                <w:lang w:val="en-US"/>
              </w:rPr>
              <w:t xml:space="preserve">Number of </w:t>
            </w:r>
            <w:r w:rsidR="00FC3E1B">
              <w:rPr>
                <w:b/>
                <w:bCs/>
                <w:lang w:val="en-US"/>
              </w:rPr>
              <w:t xml:space="preserve">incidents of </w:t>
            </w:r>
            <w:r>
              <w:rPr>
                <w:b/>
                <w:bCs/>
                <w:lang w:val="en-US"/>
              </w:rPr>
              <w:t xml:space="preserve">habitable floor </w:t>
            </w:r>
            <w:r w:rsidRPr="00116B91">
              <w:rPr>
                <w:b/>
                <w:bCs/>
                <w:lang w:val="en-US"/>
              </w:rPr>
              <w:t>flooding in the year</w:t>
            </w:r>
          </w:p>
        </w:tc>
        <w:tc>
          <w:tcPr>
            <w:tcW w:w="915" w:type="dxa"/>
          </w:tcPr>
          <w:p w14:paraId="62AA25AE" w14:textId="77777777" w:rsidR="009D6E07" w:rsidRPr="00116B91" w:rsidRDefault="009D6E07" w:rsidP="004C0500">
            <w:pPr>
              <w:pStyle w:val="Bodyromannumerals"/>
              <w:rPr>
                <w:b/>
                <w:bCs/>
                <w:lang w:val="en-US"/>
              </w:rPr>
            </w:pPr>
            <w:r w:rsidRPr="00116B91">
              <w:rPr>
                <w:b/>
                <w:bCs/>
                <w:lang w:val="en-US"/>
              </w:rPr>
              <w:t>Nr.</w:t>
            </w:r>
          </w:p>
        </w:tc>
      </w:tr>
      <w:tr w:rsidR="009D6E07" w:rsidRPr="00216F0E" w14:paraId="5FB52832" w14:textId="77777777" w:rsidTr="004C0500">
        <w:tc>
          <w:tcPr>
            <w:tcW w:w="1988" w:type="dxa"/>
            <w:gridSpan w:val="2"/>
            <w:tcBorders>
              <w:left w:val="single" w:sz="4" w:space="0" w:color="FFFFFF"/>
              <w:bottom w:val="single" w:sz="4" w:space="0" w:color="FFFFFF"/>
              <w:right w:val="single" w:sz="4" w:space="0" w:color="FFFFFF"/>
            </w:tcBorders>
          </w:tcPr>
          <w:p w14:paraId="739E7879" w14:textId="77777777" w:rsidR="009D6E07" w:rsidRPr="00A80A3E" w:rsidRDefault="009D6E07" w:rsidP="004C0500">
            <w:pPr>
              <w:pStyle w:val="Bodyromannumerals"/>
              <w:rPr>
                <w:i/>
                <w:lang w:val="en-US"/>
              </w:rPr>
            </w:pPr>
            <w:r w:rsidRPr="00A80A3E">
              <w:rPr>
                <w:i/>
                <w:lang w:val="en-US"/>
              </w:rPr>
              <w:lastRenderedPageBreak/>
              <w:t>Definition:</w:t>
            </w:r>
          </w:p>
        </w:tc>
        <w:tc>
          <w:tcPr>
            <w:tcW w:w="5570" w:type="dxa"/>
            <w:gridSpan w:val="2"/>
            <w:tcBorders>
              <w:left w:val="single" w:sz="4" w:space="0" w:color="FFFFFF"/>
              <w:bottom w:val="single" w:sz="4" w:space="0" w:color="FFFFFF"/>
              <w:right w:val="single" w:sz="4" w:space="0" w:color="FFFFFF"/>
            </w:tcBorders>
          </w:tcPr>
          <w:p w14:paraId="2180A7E1" w14:textId="3F22685F" w:rsidR="009D6E07" w:rsidRPr="00AF4AEA" w:rsidRDefault="009D6E07" w:rsidP="004C0500">
            <w:pPr>
              <w:pStyle w:val="Bodyromannumerals"/>
              <w:rPr>
                <w:lang w:val="en-US"/>
              </w:rPr>
            </w:pPr>
            <w:r w:rsidRPr="00AF4AEA">
              <w:rPr>
                <w:lang w:val="en-US"/>
              </w:rPr>
              <w:t xml:space="preserve">Number of flooding incidents causing </w:t>
            </w:r>
            <w:r>
              <w:rPr>
                <w:lang w:val="en-US"/>
              </w:rPr>
              <w:t>habitable floor</w:t>
            </w:r>
            <w:r w:rsidRPr="00AF4AEA">
              <w:rPr>
                <w:lang w:val="en-US"/>
              </w:rPr>
              <w:t xml:space="preserve"> flooding to properties due to overloading </w:t>
            </w:r>
            <w:r w:rsidRPr="000810B7">
              <w:t>stormwater systems</w:t>
            </w:r>
            <w:r w:rsidRPr="00AF4AEA">
              <w:rPr>
                <w:lang w:val="en-US"/>
              </w:rPr>
              <w:t xml:space="preserve">. An incident should be counted from each ‘source’ of flooding e.g. one manhole floods 3 properties = 1 incident, and not each reason for flooding where one event such as heavy rain causes a large number of flooding incidents. This should include all such events, whether or not attributable to severe/extreme weather. </w:t>
            </w:r>
          </w:p>
        </w:tc>
      </w:tr>
      <w:tr w:rsidR="009D6E07" w:rsidRPr="00216F0E" w14:paraId="28F1D357" w14:textId="77777777" w:rsidTr="004C0500">
        <w:tc>
          <w:tcPr>
            <w:tcW w:w="1988" w:type="dxa"/>
            <w:gridSpan w:val="2"/>
            <w:tcBorders>
              <w:top w:val="single" w:sz="4" w:space="0" w:color="FFFFFF"/>
              <w:left w:val="single" w:sz="4" w:space="0" w:color="FFFFFF"/>
              <w:bottom w:val="single" w:sz="4" w:space="0" w:color="FFFFFF"/>
              <w:right w:val="single" w:sz="4" w:space="0" w:color="FFFFFF"/>
            </w:tcBorders>
          </w:tcPr>
          <w:p w14:paraId="43D3EE9D" w14:textId="77777777" w:rsidR="009D6E07" w:rsidRPr="00A80A3E" w:rsidRDefault="009D6E07" w:rsidP="004C0500">
            <w:pPr>
              <w:pStyle w:val="Bodyromannumerals"/>
              <w:rPr>
                <w:i/>
                <w:lang w:val="en-US"/>
              </w:rPr>
            </w:pPr>
            <w:r w:rsidRPr="00A80A3E">
              <w:rPr>
                <w:i/>
                <w:lang w:val="en-US"/>
              </w:rPr>
              <w:t>Processing Rules:</w:t>
            </w:r>
          </w:p>
        </w:tc>
        <w:tc>
          <w:tcPr>
            <w:tcW w:w="5570" w:type="dxa"/>
            <w:gridSpan w:val="2"/>
            <w:tcBorders>
              <w:top w:val="single" w:sz="4" w:space="0" w:color="FFFFFF"/>
              <w:left w:val="single" w:sz="4" w:space="0" w:color="FFFFFF"/>
              <w:bottom w:val="single" w:sz="4" w:space="0" w:color="FFFFFF"/>
              <w:right w:val="single" w:sz="4" w:space="0" w:color="FFFFFF"/>
            </w:tcBorders>
          </w:tcPr>
          <w:p w14:paraId="3475DED1" w14:textId="77777777" w:rsidR="009D6E07" w:rsidRPr="00AF4AEA" w:rsidRDefault="009D6E07" w:rsidP="004C0500">
            <w:pPr>
              <w:pStyle w:val="Bodyromannumerals"/>
              <w:rPr>
                <w:lang w:val="en-US"/>
              </w:rPr>
            </w:pPr>
            <w:r w:rsidRPr="00AF4AEA">
              <w:rPr>
                <w:lang w:val="en-US"/>
              </w:rPr>
              <w:t>Input field</w:t>
            </w:r>
          </w:p>
        </w:tc>
      </w:tr>
      <w:tr w:rsidR="009D6E07" w:rsidRPr="00216F0E" w14:paraId="5ED81676" w14:textId="77777777" w:rsidTr="004C0500">
        <w:tc>
          <w:tcPr>
            <w:tcW w:w="968" w:type="dxa"/>
          </w:tcPr>
          <w:p w14:paraId="60457B28" w14:textId="400AC0AA" w:rsidR="009D6E07" w:rsidRPr="00116B91" w:rsidRDefault="009D6E07" w:rsidP="004C0500">
            <w:pPr>
              <w:pStyle w:val="Bodyromannumerals"/>
              <w:rPr>
                <w:b/>
                <w:bCs/>
                <w:lang w:val="en-US"/>
              </w:rPr>
            </w:pPr>
            <w:r w:rsidRPr="00116B91">
              <w:rPr>
                <w:b/>
                <w:bCs/>
                <w:lang w:val="en-US"/>
              </w:rPr>
              <w:t>B3</w:t>
            </w:r>
            <w:r w:rsidR="00FD3733">
              <w:rPr>
                <w:b/>
                <w:bCs/>
                <w:lang w:val="en-US"/>
              </w:rPr>
              <w:t>b</w:t>
            </w:r>
            <w:r w:rsidRPr="00116B91">
              <w:rPr>
                <w:b/>
                <w:bCs/>
                <w:lang w:val="en-US"/>
              </w:rPr>
              <w:t>.3</w:t>
            </w:r>
          </w:p>
        </w:tc>
        <w:tc>
          <w:tcPr>
            <w:tcW w:w="5675" w:type="dxa"/>
            <w:gridSpan w:val="2"/>
          </w:tcPr>
          <w:p w14:paraId="6492A377" w14:textId="4B557FC0" w:rsidR="009D6E07" w:rsidRPr="00116B91" w:rsidRDefault="009D6E07" w:rsidP="004C0500">
            <w:pPr>
              <w:pStyle w:val="Bodyromannumerals"/>
              <w:rPr>
                <w:b/>
                <w:bCs/>
                <w:lang w:val="en-US"/>
              </w:rPr>
            </w:pPr>
            <w:r w:rsidRPr="00116B91">
              <w:rPr>
                <w:b/>
                <w:bCs/>
                <w:lang w:val="en-US"/>
              </w:rPr>
              <w:t>Number of</w:t>
            </w:r>
            <w:r w:rsidR="00FC3E1B">
              <w:rPr>
                <w:b/>
                <w:bCs/>
                <w:lang w:val="en-US"/>
              </w:rPr>
              <w:t xml:space="preserve"> incidents of</w:t>
            </w:r>
            <w:r w:rsidRPr="00116B91">
              <w:rPr>
                <w:b/>
                <w:bCs/>
                <w:lang w:val="en-US"/>
              </w:rPr>
              <w:t xml:space="preserve"> </w:t>
            </w:r>
            <w:r>
              <w:rPr>
                <w:b/>
                <w:bCs/>
                <w:lang w:val="en-US"/>
              </w:rPr>
              <w:t xml:space="preserve">habitable floor </w:t>
            </w:r>
            <w:r w:rsidRPr="00116B91">
              <w:rPr>
                <w:b/>
                <w:bCs/>
                <w:lang w:val="en-US"/>
              </w:rPr>
              <w:t>flooding attributed to severe weather</w:t>
            </w:r>
          </w:p>
        </w:tc>
        <w:tc>
          <w:tcPr>
            <w:tcW w:w="915" w:type="dxa"/>
          </w:tcPr>
          <w:p w14:paraId="689608AF" w14:textId="77777777" w:rsidR="009D6E07" w:rsidRPr="00116B91" w:rsidRDefault="009D6E07" w:rsidP="004C0500">
            <w:pPr>
              <w:pStyle w:val="Bodyromannumerals"/>
              <w:rPr>
                <w:b/>
                <w:bCs/>
                <w:lang w:val="en-US"/>
              </w:rPr>
            </w:pPr>
            <w:r w:rsidRPr="00116B91">
              <w:rPr>
                <w:b/>
                <w:bCs/>
                <w:lang w:val="en-US"/>
              </w:rPr>
              <w:t>Nr.</w:t>
            </w:r>
          </w:p>
        </w:tc>
      </w:tr>
      <w:tr w:rsidR="009D6E07" w:rsidRPr="00216F0E" w14:paraId="43CB0DDF" w14:textId="77777777" w:rsidTr="004C0500">
        <w:tc>
          <w:tcPr>
            <w:tcW w:w="1988" w:type="dxa"/>
            <w:gridSpan w:val="2"/>
            <w:tcBorders>
              <w:left w:val="single" w:sz="4" w:space="0" w:color="FFFFFF"/>
              <w:bottom w:val="single" w:sz="4" w:space="0" w:color="FFFFFF"/>
              <w:right w:val="single" w:sz="4" w:space="0" w:color="FFFFFF"/>
            </w:tcBorders>
          </w:tcPr>
          <w:p w14:paraId="22E2947F" w14:textId="77777777" w:rsidR="009D6E07" w:rsidRPr="00A80A3E" w:rsidRDefault="009D6E07" w:rsidP="004C0500">
            <w:pPr>
              <w:pStyle w:val="Bodyromannumerals"/>
              <w:rPr>
                <w:i/>
                <w:lang w:val="en-US"/>
              </w:rPr>
            </w:pPr>
            <w:r w:rsidRPr="00A80A3E">
              <w:rPr>
                <w:i/>
                <w:lang w:val="en-US"/>
              </w:rPr>
              <w:t>Definition:</w:t>
            </w:r>
          </w:p>
        </w:tc>
        <w:tc>
          <w:tcPr>
            <w:tcW w:w="5570" w:type="dxa"/>
            <w:gridSpan w:val="2"/>
            <w:tcBorders>
              <w:left w:val="single" w:sz="4" w:space="0" w:color="FFFFFF"/>
              <w:bottom w:val="single" w:sz="4" w:space="0" w:color="FFFFFF"/>
              <w:right w:val="single" w:sz="4" w:space="0" w:color="FFFFFF"/>
            </w:tcBorders>
          </w:tcPr>
          <w:p w14:paraId="696787A1" w14:textId="06943BD1" w:rsidR="009D6E07" w:rsidRPr="00AF4AEA" w:rsidRDefault="009D6E07" w:rsidP="004C0500">
            <w:pPr>
              <w:pStyle w:val="Bodyromannumerals"/>
              <w:rPr>
                <w:lang w:val="en-US"/>
              </w:rPr>
            </w:pPr>
            <w:r w:rsidRPr="00AF4AEA">
              <w:rPr>
                <w:lang w:val="en-US"/>
              </w:rPr>
              <w:t xml:space="preserve">Number of flooding incidents to properties attributable to severe/extreme weather. </w:t>
            </w:r>
          </w:p>
        </w:tc>
      </w:tr>
      <w:tr w:rsidR="009D6E07" w:rsidRPr="00216F0E" w14:paraId="1185AD5C" w14:textId="77777777" w:rsidTr="004C0500">
        <w:tc>
          <w:tcPr>
            <w:tcW w:w="1988" w:type="dxa"/>
            <w:gridSpan w:val="2"/>
            <w:tcBorders>
              <w:top w:val="single" w:sz="4" w:space="0" w:color="FFFFFF"/>
              <w:left w:val="single" w:sz="4" w:space="0" w:color="FFFFFF"/>
              <w:bottom w:val="single" w:sz="4" w:space="0" w:color="FFFFFF"/>
              <w:right w:val="single" w:sz="4" w:space="0" w:color="FFFFFF"/>
            </w:tcBorders>
          </w:tcPr>
          <w:p w14:paraId="5FDFEA71" w14:textId="77777777" w:rsidR="009D6E07" w:rsidRPr="00A80A3E" w:rsidRDefault="009D6E07" w:rsidP="004C0500">
            <w:pPr>
              <w:pStyle w:val="Bodyromannumerals"/>
              <w:rPr>
                <w:i/>
                <w:lang w:val="en-US"/>
              </w:rPr>
            </w:pPr>
            <w:r w:rsidRPr="00A80A3E">
              <w:rPr>
                <w:i/>
                <w:lang w:val="en-US"/>
              </w:rPr>
              <w:t>Processing Rules:</w:t>
            </w:r>
          </w:p>
        </w:tc>
        <w:tc>
          <w:tcPr>
            <w:tcW w:w="5570" w:type="dxa"/>
            <w:gridSpan w:val="2"/>
            <w:tcBorders>
              <w:top w:val="single" w:sz="4" w:space="0" w:color="FFFFFF"/>
              <w:left w:val="single" w:sz="4" w:space="0" w:color="FFFFFF"/>
              <w:bottom w:val="single" w:sz="4" w:space="0" w:color="FFFFFF"/>
              <w:right w:val="single" w:sz="4" w:space="0" w:color="FFFFFF"/>
            </w:tcBorders>
          </w:tcPr>
          <w:p w14:paraId="2C31E75D" w14:textId="77777777" w:rsidR="009D6E07" w:rsidRPr="00AF4AEA" w:rsidRDefault="009D6E07" w:rsidP="004C0500">
            <w:pPr>
              <w:pStyle w:val="Bodyromannumerals"/>
              <w:rPr>
                <w:lang w:val="en-US"/>
              </w:rPr>
            </w:pPr>
            <w:r w:rsidRPr="00AF4AEA">
              <w:rPr>
                <w:lang w:val="en-US"/>
              </w:rPr>
              <w:t>Input field</w:t>
            </w:r>
          </w:p>
        </w:tc>
      </w:tr>
    </w:tbl>
    <w:p w14:paraId="50585C57" w14:textId="77777777" w:rsidR="009D6E07" w:rsidRDefault="009D6E07" w:rsidP="009D6E07">
      <w:pPr>
        <w:pStyle w:val="Bodyromannumerals"/>
      </w:pPr>
    </w:p>
    <w:p w14:paraId="68DB5F1A" w14:textId="56CD9C8B" w:rsidR="009D6E07" w:rsidRDefault="009D6E07" w:rsidP="009D6E07">
      <w:pPr>
        <w:pStyle w:val="Sectionsub-heading"/>
      </w:pPr>
      <w:r>
        <w:t xml:space="preserve">BLOCK 2: </w:t>
      </w:r>
      <w:r w:rsidR="00A12D8A">
        <w:t>ANNUAL FLOODING</w:t>
      </w:r>
      <w:r>
        <w:t xml:space="preserve"> OF HABITABLE FLOORS – OTHER CAUSES</w:t>
      </w:r>
    </w:p>
    <w:tbl>
      <w:tblPr>
        <w:tblStyle w:val="TableGrid"/>
        <w:tblW w:w="0" w:type="auto"/>
        <w:tblLook w:val="04A0" w:firstRow="1" w:lastRow="0" w:firstColumn="1" w:lastColumn="0" w:noHBand="0" w:noVBand="1"/>
      </w:tblPr>
      <w:tblGrid>
        <w:gridCol w:w="971"/>
        <w:gridCol w:w="1007"/>
        <w:gridCol w:w="4658"/>
        <w:gridCol w:w="922"/>
      </w:tblGrid>
      <w:tr w:rsidR="009D6E07" w:rsidRPr="00216F0E" w14:paraId="38E6DCE4" w14:textId="77777777" w:rsidTr="00A12D8A">
        <w:tc>
          <w:tcPr>
            <w:tcW w:w="971" w:type="dxa"/>
          </w:tcPr>
          <w:p w14:paraId="42DC5F0F" w14:textId="778E201B" w:rsidR="009D6E07" w:rsidRPr="00A1786E" w:rsidRDefault="009D6E07" w:rsidP="004C0500">
            <w:pPr>
              <w:pStyle w:val="Bodyromannumerals"/>
              <w:rPr>
                <w:b/>
                <w:bCs/>
                <w:lang w:val="en-US"/>
              </w:rPr>
            </w:pPr>
            <w:r w:rsidRPr="00A1786E">
              <w:rPr>
                <w:b/>
                <w:bCs/>
                <w:lang w:val="en-US"/>
              </w:rPr>
              <w:t>B3</w:t>
            </w:r>
            <w:r w:rsidR="00FD3733">
              <w:rPr>
                <w:b/>
                <w:bCs/>
                <w:lang w:val="en-US"/>
              </w:rPr>
              <w:t>b</w:t>
            </w:r>
            <w:r w:rsidRPr="00A1786E">
              <w:rPr>
                <w:b/>
                <w:bCs/>
                <w:lang w:val="en-US"/>
              </w:rPr>
              <w:t>.6</w:t>
            </w:r>
          </w:p>
        </w:tc>
        <w:tc>
          <w:tcPr>
            <w:tcW w:w="5665" w:type="dxa"/>
            <w:gridSpan w:val="2"/>
          </w:tcPr>
          <w:p w14:paraId="1B378A88" w14:textId="77777777" w:rsidR="009D6E07" w:rsidRPr="00A1786E" w:rsidRDefault="009D6E07" w:rsidP="004C0500">
            <w:pPr>
              <w:pStyle w:val="Bodyromannumerals"/>
              <w:rPr>
                <w:b/>
                <w:bCs/>
                <w:lang w:val="en-US"/>
              </w:rPr>
            </w:pPr>
            <w:r w:rsidRPr="009119F0">
              <w:rPr>
                <w:b/>
                <w:bCs/>
                <w:lang w:val="en-US"/>
              </w:rPr>
              <w:t>Number of properties with habitable floor(s) flooded in the year</w:t>
            </w:r>
          </w:p>
        </w:tc>
        <w:tc>
          <w:tcPr>
            <w:tcW w:w="922" w:type="dxa"/>
          </w:tcPr>
          <w:p w14:paraId="3CCA5335" w14:textId="77777777" w:rsidR="009D6E07" w:rsidRPr="00A1786E" w:rsidRDefault="009D6E07" w:rsidP="004C0500">
            <w:pPr>
              <w:pStyle w:val="Bodyromannumerals"/>
              <w:rPr>
                <w:b/>
                <w:bCs/>
                <w:lang w:val="en-US"/>
              </w:rPr>
            </w:pPr>
            <w:r w:rsidRPr="00A1786E">
              <w:rPr>
                <w:b/>
                <w:bCs/>
                <w:lang w:val="en-US"/>
              </w:rPr>
              <w:t>Nr.</w:t>
            </w:r>
          </w:p>
        </w:tc>
      </w:tr>
      <w:tr w:rsidR="009D6E07" w:rsidRPr="00216F0E" w14:paraId="643E0CAF" w14:textId="77777777" w:rsidTr="00A12D8A">
        <w:tc>
          <w:tcPr>
            <w:tcW w:w="1978" w:type="dxa"/>
            <w:gridSpan w:val="2"/>
            <w:tcBorders>
              <w:left w:val="single" w:sz="4" w:space="0" w:color="FFFFFF"/>
              <w:bottom w:val="single" w:sz="4" w:space="0" w:color="FFFFFF"/>
              <w:right w:val="single" w:sz="4" w:space="0" w:color="FFFFFF"/>
            </w:tcBorders>
          </w:tcPr>
          <w:p w14:paraId="0BB4D8FE" w14:textId="77777777" w:rsidR="009D6E07" w:rsidRPr="00AF4AEA" w:rsidRDefault="009D6E07" w:rsidP="004C0500">
            <w:pPr>
              <w:pStyle w:val="Bodyromannumerals"/>
              <w:rPr>
                <w:i/>
                <w:lang w:val="en-US"/>
              </w:rPr>
            </w:pPr>
            <w:r w:rsidRPr="00A80A3E">
              <w:rPr>
                <w:i/>
                <w:lang w:val="en-US"/>
              </w:rPr>
              <w:t>Definition:</w:t>
            </w:r>
          </w:p>
        </w:tc>
        <w:tc>
          <w:tcPr>
            <w:tcW w:w="5580" w:type="dxa"/>
            <w:gridSpan w:val="2"/>
            <w:tcBorders>
              <w:left w:val="single" w:sz="4" w:space="0" w:color="FFFFFF"/>
              <w:bottom w:val="single" w:sz="4" w:space="0" w:color="FFFFFF"/>
              <w:right w:val="single" w:sz="4" w:space="0" w:color="FFFFFF"/>
            </w:tcBorders>
          </w:tcPr>
          <w:p w14:paraId="33F54AA9" w14:textId="114974B5" w:rsidR="009D6E07" w:rsidRPr="00AF4AEA" w:rsidRDefault="009D6E07" w:rsidP="004C0500">
            <w:pPr>
              <w:pStyle w:val="Bodyromannumerals"/>
              <w:rPr>
                <w:lang w:val="en-US"/>
              </w:rPr>
            </w:pPr>
            <w:r w:rsidRPr="00AF4AEA">
              <w:rPr>
                <w:lang w:val="en-US"/>
              </w:rPr>
              <w:t xml:space="preserve">Number of properties affected by </w:t>
            </w:r>
            <w:r>
              <w:rPr>
                <w:lang w:val="en-US"/>
              </w:rPr>
              <w:t>habitable floor</w:t>
            </w:r>
            <w:r w:rsidRPr="00AF4AEA">
              <w:rPr>
                <w:lang w:val="en-US"/>
              </w:rPr>
              <w:t xml:space="preserve"> flooding incidents due to other causes (this includes where due to blockages, </w:t>
            </w:r>
            <w:r w:rsidR="00AC63FD">
              <w:rPr>
                <w:lang w:val="en-US"/>
              </w:rPr>
              <w:t>stormwater system</w:t>
            </w:r>
            <w:r w:rsidRPr="00AF4AEA">
              <w:rPr>
                <w:lang w:val="en-US"/>
              </w:rPr>
              <w:t xml:space="preserve"> collapses, equipment failure and other causes than overloaded </w:t>
            </w:r>
            <w:r>
              <w:rPr>
                <w:lang w:val="en-US"/>
              </w:rPr>
              <w:t>stormwater systems</w:t>
            </w:r>
            <w:r w:rsidRPr="00AF4AEA">
              <w:rPr>
                <w:lang w:val="en-US"/>
              </w:rPr>
              <w:t xml:space="preserve">). </w:t>
            </w:r>
          </w:p>
        </w:tc>
      </w:tr>
      <w:tr w:rsidR="009D6E07" w:rsidRPr="00216F0E" w14:paraId="359BC0E1" w14:textId="77777777" w:rsidTr="00A12D8A">
        <w:tc>
          <w:tcPr>
            <w:tcW w:w="1978" w:type="dxa"/>
            <w:gridSpan w:val="2"/>
            <w:tcBorders>
              <w:top w:val="single" w:sz="4" w:space="0" w:color="FFFFFF"/>
              <w:left w:val="single" w:sz="4" w:space="0" w:color="FFFFFF"/>
              <w:bottom w:val="single" w:sz="4" w:space="0" w:color="FFFFFF"/>
              <w:right w:val="single" w:sz="4" w:space="0" w:color="FFFFFF"/>
            </w:tcBorders>
          </w:tcPr>
          <w:p w14:paraId="3B7986DE" w14:textId="77777777" w:rsidR="009D6E07" w:rsidRPr="00AF4AEA" w:rsidRDefault="009D6E07" w:rsidP="004C0500">
            <w:pPr>
              <w:pStyle w:val="Bodyromannumerals"/>
              <w:rPr>
                <w:i/>
                <w:lang w:val="en-US"/>
              </w:rPr>
            </w:pPr>
            <w:r w:rsidRPr="00A80A3E">
              <w:rPr>
                <w:i/>
                <w:lang w:val="en-US"/>
              </w:rPr>
              <w:t>Processing Rules:</w:t>
            </w:r>
          </w:p>
        </w:tc>
        <w:tc>
          <w:tcPr>
            <w:tcW w:w="5580" w:type="dxa"/>
            <w:gridSpan w:val="2"/>
            <w:tcBorders>
              <w:top w:val="single" w:sz="4" w:space="0" w:color="FFFFFF"/>
              <w:left w:val="single" w:sz="4" w:space="0" w:color="FFFFFF"/>
              <w:bottom w:val="single" w:sz="4" w:space="0" w:color="FFFFFF"/>
              <w:right w:val="single" w:sz="4" w:space="0" w:color="FFFFFF"/>
            </w:tcBorders>
          </w:tcPr>
          <w:p w14:paraId="4037BEB3" w14:textId="77777777" w:rsidR="009D6E07" w:rsidRPr="00AF4AEA" w:rsidRDefault="009D6E07" w:rsidP="004C0500">
            <w:pPr>
              <w:pStyle w:val="Bodyromannumerals"/>
              <w:rPr>
                <w:lang w:val="en-US"/>
              </w:rPr>
            </w:pPr>
            <w:r w:rsidRPr="00AF4AEA">
              <w:rPr>
                <w:lang w:val="en-US"/>
              </w:rPr>
              <w:t>Input field</w:t>
            </w:r>
          </w:p>
        </w:tc>
      </w:tr>
      <w:tr w:rsidR="009D6E07" w:rsidRPr="00216F0E" w14:paraId="7BA5F9F0" w14:textId="77777777" w:rsidTr="00A12D8A">
        <w:tc>
          <w:tcPr>
            <w:tcW w:w="971" w:type="dxa"/>
          </w:tcPr>
          <w:p w14:paraId="33434823" w14:textId="2272B0A9" w:rsidR="009D6E07" w:rsidRPr="00A1786E" w:rsidRDefault="009D6E07" w:rsidP="004C0500">
            <w:pPr>
              <w:pStyle w:val="Bodyromannumerals"/>
              <w:rPr>
                <w:b/>
                <w:bCs/>
                <w:lang w:val="en-US"/>
              </w:rPr>
            </w:pPr>
            <w:r w:rsidRPr="00A1786E">
              <w:rPr>
                <w:b/>
                <w:bCs/>
                <w:lang w:val="en-US"/>
              </w:rPr>
              <w:t>B3</w:t>
            </w:r>
            <w:r w:rsidR="00FD3733">
              <w:rPr>
                <w:b/>
                <w:bCs/>
                <w:lang w:val="en-US"/>
              </w:rPr>
              <w:t>b</w:t>
            </w:r>
            <w:r w:rsidRPr="00A1786E">
              <w:rPr>
                <w:b/>
                <w:bCs/>
                <w:lang w:val="en-US"/>
              </w:rPr>
              <w:t>.7</w:t>
            </w:r>
          </w:p>
        </w:tc>
        <w:tc>
          <w:tcPr>
            <w:tcW w:w="5665" w:type="dxa"/>
            <w:gridSpan w:val="2"/>
          </w:tcPr>
          <w:p w14:paraId="37333CBC" w14:textId="01C6BE55" w:rsidR="009D6E07" w:rsidRPr="00A1786E" w:rsidRDefault="00B55456" w:rsidP="004C0500">
            <w:pPr>
              <w:pStyle w:val="Bodyromannumerals"/>
              <w:rPr>
                <w:b/>
                <w:bCs/>
                <w:lang w:val="en-US"/>
              </w:rPr>
            </w:pPr>
            <w:r w:rsidRPr="00B55456">
              <w:rPr>
                <w:b/>
                <w:bCs/>
                <w:lang w:val="en-US"/>
              </w:rPr>
              <w:t>Number of i</w:t>
            </w:r>
            <w:r w:rsidR="00EB370D">
              <w:rPr>
                <w:b/>
                <w:bCs/>
                <w:lang w:val="en-US"/>
              </w:rPr>
              <w:t xml:space="preserve">ncidents of habitable </w:t>
            </w:r>
            <w:r w:rsidR="009D6E07">
              <w:rPr>
                <w:b/>
                <w:bCs/>
                <w:lang w:val="en-US"/>
              </w:rPr>
              <w:t>floor f</w:t>
            </w:r>
            <w:r w:rsidR="009D6E07" w:rsidRPr="00A1786E">
              <w:rPr>
                <w:b/>
                <w:bCs/>
                <w:lang w:val="en-US"/>
              </w:rPr>
              <w:t>looding</w:t>
            </w:r>
            <w:r w:rsidR="002C17E3">
              <w:rPr>
                <w:b/>
                <w:bCs/>
                <w:lang w:val="en-US"/>
              </w:rPr>
              <w:t xml:space="preserve"> </w:t>
            </w:r>
            <w:r w:rsidR="009D6E07" w:rsidRPr="00A1786E">
              <w:rPr>
                <w:b/>
                <w:bCs/>
                <w:lang w:val="en-US"/>
              </w:rPr>
              <w:t>due to equipment failure</w:t>
            </w:r>
          </w:p>
        </w:tc>
        <w:tc>
          <w:tcPr>
            <w:tcW w:w="922" w:type="dxa"/>
          </w:tcPr>
          <w:p w14:paraId="43ADBFDA" w14:textId="77777777" w:rsidR="009D6E07" w:rsidRPr="00A1786E" w:rsidRDefault="009D6E07" w:rsidP="004C0500">
            <w:pPr>
              <w:pStyle w:val="Bodyromannumerals"/>
              <w:rPr>
                <w:b/>
                <w:bCs/>
                <w:lang w:val="en-US"/>
              </w:rPr>
            </w:pPr>
            <w:r w:rsidRPr="00A1786E">
              <w:rPr>
                <w:b/>
                <w:bCs/>
                <w:lang w:val="en-US"/>
              </w:rPr>
              <w:t>Nr.</w:t>
            </w:r>
          </w:p>
        </w:tc>
      </w:tr>
      <w:tr w:rsidR="009D6E07" w:rsidRPr="00216F0E" w14:paraId="1D5E8C1C" w14:textId="77777777" w:rsidTr="00A12D8A">
        <w:tc>
          <w:tcPr>
            <w:tcW w:w="1978" w:type="dxa"/>
            <w:gridSpan w:val="2"/>
            <w:tcBorders>
              <w:left w:val="single" w:sz="4" w:space="0" w:color="FFFFFF"/>
              <w:bottom w:val="single" w:sz="4" w:space="0" w:color="FFFFFF"/>
              <w:right w:val="single" w:sz="4" w:space="0" w:color="FFFFFF"/>
            </w:tcBorders>
          </w:tcPr>
          <w:p w14:paraId="29727409" w14:textId="77777777" w:rsidR="009D6E07" w:rsidRPr="00AF4AEA" w:rsidRDefault="009D6E07" w:rsidP="004C0500">
            <w:pPr>
              <w:pStyle w:val="Bodyromannumerals"/>
              <w:rPr>
                <w:i/>
                <w:lang w:val="en-US"/>
              </w:rPr>
            </w:pPr>
            <w:r w:rsidRPr="00A80A3E">
              <w:rPr>
                <w:i/>
                <w:lang w:val="en-US"/>
              </w:rPr>
              <w:t>Definition:</w:t>
            </w:r>
          </w:p>
        </w:tc>
        <w:tc>
          <w:tcPr>
            <w:tcW w:w="5580" w:type="dxa"/>
            <w:gridSpan w:val="2"/>
            <w:tcBorders>
              <w:left w:val="single" w:sz="4" w:space="0" w:color="FFFFFF"/>
              <w:bottom w:val="single" w:sz="4" w:space="0" w:color="FFFFFF"/>
              <w:right w:val="single" w:sz="4" w:space="0" w:color="FFFFFF"/>
            </w:tcBorders>
          </w:tcPr>
          <w:p w14:paraId="26DA3CE3" w14:textId="77777777" w:rsidR="009D6E07" w:rsidRPr="00AF4AEA" w:rsidRDefault="009D6E07" w:rsidP="004C0500">
            <w:pPr>
              <w:pStyle w:val="Bodyromannumerals"/>
              <w:rPr>
                <w:lang w:val="en-US"/>
              </w:rPr>
            </w:pPr>
            <w:r w:rsidRPr="00AF4AEA">
              <w:rPr>
                <w:lang w:val="en-US"/>
              </w:rPr>
              <w:t xml:space="preserve">These are defined as incidents of </w:t>
            </w:r>
            <w:r>
              <w:rPr>
                <w:lang w:val="en-US"/>
              </w:rPr>
              <w:t xml:space="preserve">habitable floor </w:t>
            </w:r>
            <w:r w:rsidRPr="00AF4AEA">
              <w:rPr>
                <w:lang w:val="en-US"/>
              </w:rPr>
              <w:t xml:space="preserve">flooding to </w:t>
            </w:r>
            <w:r>
              <w:rPr>
                <w:lang w:val="en-US"/>
              </w:rPr>
              <w:t xml:space="preserve">a </w:t>
            </w:r>
            <w:r w:rsidRPr="00AF4AEA">
              <w:rPr>
                <w:lang w:val="en-US"/>
              </w:rPr>
              <w:t xml:space="preserve">property resulting from the failure or maloperation of </w:t>
            </w:r>
            <w:r>
              <w:rPr>
                <w:lang w:val="en-US"/>
              </w:rPr>
              <w:t>Local Authority</w:t>
            </w:r>
            <w:r w:rsidRPr="00AF4AEA">
              <w:rPr>
                <w:lang w:val="en-US"/>
              </w:rPr>
              <w:t xml:space="preserve"> apparatus (such as pumping stations, flap valves, penstocks, combined sewer overflows, real time control systems). An incident should be counted from each ‘source’ of flooding e.g. one manhole floods 3 properties = 1 incident, and not each reason for flooding where one event such as pumping station failure causes a large number of flooding incidents.</w:t>
            </w:r>
          </w:p>
        </w:tc>
      </w:tr>
      <w:tr w:rsidR="009D6E07" w:rsidRPr="00216F0E" w14:paraId="333B3D69" w14:textId="77777777" w:rsidTr="00A12D8A">
        <w:tc>
          <w:tcPr>
            <w:tcW w:w="1978" w:type="dxa"/>
            <w:gridSpan w:val="2"/>
            <w:tcBorders>
              <w:top w:val="single" w:sz="4" w:space="0" w:color="FFFFFF"/>
              <w:left w:val="single" w:sz="4" w:space="0" w:color="FFFFFF"/>
              <w:bottom w:val="single" w:sz="4" w:space="0" w:color="FFFFFF"/>
              <w:right w:val="single" w:sz="4" w:space="0" w:color="FFFFFF"/>
            </w:tcBorders>
          </w:tcPr>
          <w:p w14:paraId="4F31D820" w14:textId="77777777" w:rsidR="009D6E07" w:rsidRPr="00AF4AEA" w:rsidRDefault="009D6E07" w:rsidP="004C0500">
            <w:pPr>
              <w:pStyle w:val="Bodyromannumerals"/>
              <w:rPr>
                <w:i/>
                <w:lang w:val="en-US"/>
              </w:rPr>
            </w:pPr>
            <w:r w:rsidRPr="00A80A3E">
              <w:rPr>
                <w:i/>
                <w:lang w:val="en-US"/>
              </w:rPr>
              <w:t>Processing Rules:</w:t>
            </w:r>
          </w:p>
        </w:tc>
        <w:tc>
          <w:tcPr>
            <w:tcW w:w="5580" w:type="dxa"/>
            <w:gridSpan w:val="2"/>
            <w:tcBorders>
              <w:top w:val="single" w:sz="4" w:space="0" w:color="FFFFFF"/>
              <w:left w:val="single" w:sz="4" w:space="0" w:color="FFFFFF"/>
              <w:bottom w:val="single" w:sz="4" w:space="0" w:color="FFFFFF"/>
              <w:right w:val="single" w:sz="4" w:space="0" w:color="FFFFFF"/>
            </w:tcBorders>
          </w:tcPr>
          <w:p w14:paraId="463D282E" w14:textId="77777777" w:rsidR="009D6E07" w:rsidRPr="00AF4AEA" w:rsidRDefault="009D6E07" w:rsidP="004C0500">
            <w:pPr>
              <w:pStyle w:val="Bodyromannumerals"/>
              <w:rPr>
                <w:lang w:val="en-US"/>
              </w:rPr>
            </w:pPr>
            <w:r w:rsidRPr="00AF4AEA">
              <w:rPr>
                <w:lang w:val="en-US"/>
              </w:rPr>
              <w:t>Input field</w:t>
            </w:r>
          </w:p>
        </w:tc>
      </w:tr>
    </w:tbl>
    <w:p w14:paraId="1E01A655" w14:textId="77777777" w:rsidR="009F1ADE" w:rsidRDefault="009F1ADE">
      <w:r>
        <w:br w:type="page"/>
      </w:r>
    </w:p>
    <w:tbl>
      <w:tblPr>
        <w:tblStyle w:val="TableGrid"/>
        <w:tblW w:w="0" w:type="auto"/>
        <w:tblLook w:val="04A0" w:firstRow="1" w:lastRow="0" w:firstColumn="1" w:lastColumn="0" w:noHBand="0" w:noVBand="1"/>
      </w:tblPr>
      <w:tblGrid>
        <w:gridCol w:w="1077"/>
        <w:gridCol w:w="988"/>
        <w:gridCol w:w="4571"/>
        <w:gridCol w:w="922"/>
      </w:tblGrid>
      <w:tr w:rsidR="009D6E07" w:rsidRPr="00216F0E" w14:paraId="16986741" w14:textId="77777777" w:rsidTr="009F1ADE">
        <w:tc>
          <w:tcPr>
            <w:tcW w:w="1077" w:type="dxa"/>
          </w:tcPr>
          <w:p w14:paraId="291993EC" w14:textId="043FC8A9" w:rsidR="009D6E07" w:rsidRPr="00A1786E" w:rsidRDefault="009D6E07" w:rsidP="004C0500">
            <w:pPr>
              <w:pStyle w:val="Bodyromannumerals"/>
              <w:rPr>
                <w:b/>
                <w:bCs/>
                <w:lang w:val="en-US"/>
              </w:rPr>
            </w:pPr>
            <w:r w:rsidRPr="00A1786E">
              <w:rPr>
                <w:b/>
                <w:bCs/>
                <w:lang w:val="en-US"/>
              </w:rPr>
              <w:lastRenderedPageBreak/>
              <w:t>B3</w:t>
            </w:r>
            <w:r w:rsidR="00FD3733">
              <w:rPr>
                <w:b/>
                <w:bCs/>
                <w:lang w:val="en-US"/>
              </w:rPr>
              <w:t>b</w:t>
            </w:r>
            <w:r w:rsidRPr="00A1786E">
              <w:rPr>
                <w:b/>
                <w:bCs/>
                <w:lang w:val="en-US"/>
              </w:rPr>
              <w:t>.8</w:t>
            </w:r>
          </w:p>
        </w:tc>
        <w:tc>
          <w:tcPr>
            <w:tcW w:w="5559" w:type="dxa"/>
            <w:gridSpan w:val="2"/>
          </w:tcPr>
          <w:p w14:paraId="554C8B9E" w14:textId="1EBA090A" w:rsidR="009D6E07" w:rsidRPr="00A1786E" w:rsidRDefault="00B55456" w:rsidP="004C0500">
            <w:pPr>
              <w:pStyle w:val="Bodyromannumerals"/>
              <w:rPr>
                <w:b/>
                <w:bCs/>
                <w:lang w:val="en-US"/>
              </w:rPr>
            </w:pPr>
            <w:r w:rsidRPr="00B55456">
              <w:rPr>
                <w:b/>
                <w:bCs/>
                <w:lang w:val="en-US"/>
              </w:rPr>
              <w:t>Number of i</w:t>
            </w:r>
            <w:r w:rsidR="00EB370D">
              <w:rPr>
                <w:b/>
                <w:bCs/>
                <w:lang w:val="en-US"/>
              </w:rPr>
              <w:t xml:space="preserve">ncidents of habitable </w:t>
            </w:r>
            <w:r w:rsidR="009D6E07">
              <w:rPr>
                <w:b/>
                <w:bCs/>
                <w:lang w:val="en-US"/>
              </w:rPr>
              <w:t>floor f</w:t>
            </w:r>
            <w:r w:rsidR="009D6E07" w:rsidRPr="00A1786E">
              <w:rPr>
                <w:b/>
                <w:bCs/>
                <w:lang w:val="en-US"/>
              </w:rPr>
              <w:t>looding</w:t>
            </w:r>
            <w:r w:rsidR="002C17E3">
              <w:rPr>
                <w:b/>
                <w:bCs/>
                <w:lang w:val="en-US"/>
              </w:rPr>
              <w:t xml:space="preserve"> </w:t>
            </w:r>
            <w:r w:rsidR="009D6E07" w:rsidRPr="00A1786E">
              <w:rPr>
                <w:b/>
                <w:bCs/>
                <w:lang w:val="en-US"/>
              </w:rPr>
              <w:t>due to blockages</w:t>
            </w:r>
          </w:p>
        </w:tc>
        <w:tc>
          <w:tcPr>
            <w:tcW w:w="922" w:type="dxa"/>
          </w:tcPr>
          <w:p w14:paraId="749516CB" w14:textId="77777777" w:rsidR="009D6E07" w:rsidRPr="00A1786E" w:rsidRDefault="009D6E07" w:rsidP="004C0500">
            <w:pPr>
              <w:pStyle w:val="Bodyromannumerals"/>
              <w:rPr>
                <w:b/>
                <w:bCs/>
                <w:lang w:val="en-US"/>
              </w:rPr>
            </w:pPr>
            <w:r w:rsidRPr="00A1786E">
              <w:rPr>
                <w:b/>
                <w:bCs/>
                <w:lang w:val="en-US"/>
              </w:rPr>
              <w:t>Nr.</w:t>
            </w:r>
          </w:p>
        </w:tc>
      </w:tr>
      <w:tr w:rsidR="009D6E07" w:rsidRPr="00216F0E" w14:paraId="08C14817" w14:textId="77777777" w:rsidTr="00A12D8A">
        <w:tc>
          <w:tcPr>
            <w:tcW w:w="2065" w:type="dxa"/>
            <w:gridSpan w:val="2"/>
            <w:tcBorders>
              <w:left w:val="single" w:sz="4" w:space="0" w:color="FFFFFF"/>
              <w:bottom w:val="single" w:sz="4" w:space="0" w:color="FFFFFF"/>
              <w:right w:val="single" w:sz="4" w:space="0" w:color="FFFFFF"/>
            </w:tcBorders>
          </w:tcPr>
          <w:p w14:paraId="6FBDE5AD" w14:textId="77777777" w:rsidR="009D6E07" w:rsidRPr="00AF4AEA" w:rsidRDefault="009D6E07" w:rsidP="004C0500">
            <w:pPr>
              <w:pStyle w:val="Bodyromannumerals"/>
              <w:rPr>
                <w:i/>
                <w:lang w:val="en-US"/>
              </w:rPr>
            </w:pPr>
            <w:r w:rsidRPr="00A80A3E">
              <w:rPr>
                <w:i/>
                <w:lang w:val="en-US"/>
              </w:rPr>
              <w:t>Definition:</w:t>
            </w:r>
          </w:p>
        </w:tc>
        <w:tc>
          <w:tcPr>
            <w:tcW w:w="5493" w:type="dxa"/>
            <w:gridSpan w:val="2"/>
            <w:tcBorders>
              <w:left w:val="single" w:sz="4" w:space="0" w:color="FFFFFF"/>
              <w:bottom w:val="single" w:sz="4" w:space="0" w:color="FFFFFF"/>
              <w:right w:val="single" w:sz="4" w:space="0" w:color="FFFFFF"/>
            </w:tcBorders>
          </w:tcPr>
          <w:p w14:paraId="63211F79" w14:textId="477E9AEB" w:rsidR="009D6E07" w:rsidRPr="00AF4AEA" w:rsidRDefault="009D6E07" w:rsidP="004C0500">
            <w:pPr>
              <w:pStyle w:val="Bodyromannumerals"/>
              <w:rPr>
                <w:lang w:val="en-US"/>
              </w:rPr>
            </w:pPr>
            <w:r w:rsidRPr="00AF4AEA">
              <w:rPr>
                <w:lang w:val="en-US"/>
              </w:rPr>
              <w:t xml:space="preserve">These are defined as incidents of </w:t>
            </w:r>
            <w:r>
              <w:rPr>
                <w:lang w:val="en-US"/>
              </w:rPr>
              <w:t xml:space="preserve">habitable floor </w:t>
            </w:r>
            <w:r w:rsidRPr="00AF4AEA">
              <w:rPr>
                <w:lang w:val="en-US"/>
              </w:rPr>
              <w:t xml:space="preserve">flooding to </w:t>
            </w:r>
            <w:r>
              <w:rPr>
                <w:lang w:val="en-US"/>
              </w:rPr>
              <w:t xml:space="preserve">a </w:t>
            </w:r>
            <w:r w:rsidRPr="00AF4AEA">
              <w:rPr>
                <w:lang w:val="en-US"/>
              </w:rPr>
              <w:t xml:space="preserve">property resulting from a complete or partial blockage of the </w:t>
            </w:r>
            <w:r>
              <w:rPr>
                <w:lang w:val="en-US"/>
              </w:rPr>
              <w:t xml:space="preserve">stormwater system </w:t>
            </w:r>
            <w:r w:rsidRPr="00AF4AEA">
              <w:rPr>
                <w:lang w:val="en-US"/>
              </w:rPr>
              <w:t xml:space="preserve">(including siltation) where the </w:t>
            </w:r>
            <w:r>
              <w:rPr>
                <w:lang w:val="en-US"/>
              </w:rPr>
              <w:t xml:space="preserve">stormwater system </w:t>
            </w:r>
            <w:r w:rsidRPr="00AF4AEA">
              <w:rPr>
                <w:lang w:val="en-US"/>
              </w:rPr>
              <w:t>itself is still intact. If the blockage is the result of a fracture of deformation of the pipe, it should be in the next category. An incident should be counted from each ‘source’ of flooding e.g. one manhole floods 3 properties = 1 incident, and not each reason for flooding where one event causes a large number of flooding incidents.</w:t>
            </w:r>
          </w:p>
        </w:tc>
      </w:tr>
      <w:tr w:rsidR="009D6E07" w:rsidRPr="00216F0E" w14:paraId="661DAECD" w14:textId="77777777" w:rsidTr="00A12D8A">
        <w:tc>
          <w:tcPr>
            <w:tcW w:w="2065" w:type="dxa"/>
            <w:gridSpan w:val="2"/>
            <w:tcBorders>
              <w:top w:val="single" w:sz="4" w:space="0" w:color="FFFFFF"/>
              <w:left w:val="single" w:sz="4" w:space="0" w:color="FFFFFF"/>
              <w:bottom w:val="single" w:sz="4" w:space="0" w:color="FFFFFF"/>
              <w:right w:val="single" w:sz="4" w:space="0" w:color="FFFFFF"/>
            </w:tcBorders>
          </w:tcPr>
          <w:p w14:paraId="79F759BE" w14:textId="77777777" w:rsidR="009D6E07" w:rsidRPr="00AF4AEA" w:rsidRDefault="009D6E07" w:rsidP="004C0500">
            <w:pPr>
              <w:pStyle w:val="Bodyromannumerals"/>
              <w:rPr>
                <w:i/>
                <w:lang w:val="en-US"/>
              </w:rPr>
            </w:pPr>
            <w:r w:rsidRPr="00A80A3E">
              <w:rPr>
                <w:i/>
                <w:lang w:val="en-US"/>
              </w:rPr>
              <w:t>Processing Rules:</w:t>
            </w:r>
          </w:p>
        </w:tc>
        <w:tc>
          <w:tcPr>
            <w:tcW w:w="5493" w:type="dxa"/>
            <w:gridSpan w:val="2"/>
            <w:tcBorders>
              <w:top w:val="single" w:sz="4" w:space="0" w:color="FFFFFF"/>
              <w:left w:val="single" w:sz="4" w:space="0" w:color="FFFFFF"/>
              <w:bottom w:val="single" w:sz="4" w:space="0" w:color="FFFFFF"/>
              <w:right w:val="single" w:sz="4" w:space="0" w:color="FFFFFF"/>
            </w:tcBorders>
          </w:tcPr>
          <w:p w14:paraId="213AC17D" w14:textId="77777777" w:rsidR="009D6E07" w:rsidRPr="00AF4AEA" w:rsidRDefault="009D6E07" w:rsidP="004C0500">
            <w:pPr>
              <w:pStyle w:val="Bodyromannumerals"/>
              <w:rPr>
                <w:lang w:val="en-US"/>
              </w:rPr>
            </w:pPr>
            <w:r w:rsidRPr="00AF4AEA">
              <w:rPr>
                <w:lang w:val="en-US"/>
              </w:rPr>
              <w:t>Input field</w:t>
            </w:r>
          </w:p>
        </w:tc>
      </w:tr>
      <w:tr w:rsidR="009D6E07" w:rsidRPr="00216F0E" w14:paraId="2863E1FA" w14:textId="77777777" w:rsidTr="009F1ADE">
        <w:tc>
          <w:tcPr>
            <w:tcW w:w="1077" w:type="dxa"/>
          </w:tcPr>
          <w:p w14:paraId="1BC7D8E0" w14:textId="25295753" w:rsidR="009D6E07" w:rsidRPr="00A1786E" w:rsidRDefault="009D6E07" w:rsidP="004C0500">
            <w:pPr>
              <w:pStyle w:val="Bodyromannumerals"/>
              <w:rPr>
                <w:b/>
                <w:bCs/>
                <w:lang w:val="en-US"/>
              </w:rPr>
            </w:pPr>
            <w:r w:rsidRPr="00A1786E">
              <w:rPr>
                <w:b/>
                <w:bCs/>
                <w:lang w:val="en-US"/>
              </w:rPr>
              <w:t>B3</w:t>
            </w:r>
            <w:r w:rsidR="00FD3733">
              <w:rPr>
                <w:b/>
                <w:bCs/>
                <w:lang w:val="en-US"/>
              </w:rPr>
              <w:t>b</w:t>
            </w:r>
            <w:r w:rsidRPr="00A1786E">
              <w:rPr>
                <w:b/>
                <w:bCs/>
                <w:lang w:val="en-US"/>
              </w:rPr>
              <w:t>.9</w:t>
            </w:r>
          </w:p>
        </w:tc>
        <w:tc>
          <w:tcPr>
            <w:tcW w:w="5559" w:type="dxa"/>
            <w:gridSpan w:val="2"/>
          </w:tcPr>
          <w:p w14:paraId="5CD7BA27" w14:textId="0C566C27" w:rsidR="009D6E07" w:rsidRPr="00A1786E" w:rsidRDefault="00B55456" w:rsidP="004C0500">
            <w:pPr>
              <w:pStyle w:val="Bodyromannumerals"/>
              <w:rPr>
                <w:b/>
                <w:bCs/>
                <w:lang w:val="en-US"/>
              </w:rPr>
            </w:pPr>
            <w:r w:rsidRPr="00B55456">
              <w:rPr>
                <w:b/>
                <w:bCs/>
                <w:lang w:val="en-US"/>
              </w:rPr>
              <w:t>Number of i</w:t>
            </w:r>
            <w:r w:rsidR="00EB370D">
              <w:rPr>
                <w:b/>
                <w:bCs/>
                <w:lang w:val="en-US"/>
              </w:rPr>
              <w:t xml:space="preserve">ncidents of habitable </w:t>
            </w:r>
            <w:r w:rsidR="009D6E07">
              <w:rPr>
                <w:b/>
                <w:bCs/>
                <w:lang w:val="en-US"/>
              </w:rPr>
              <w:t>floor</w:t>
            </w:r>
            <w:r w:rsidR="009D6E07" w:rsidDel="009119F0">
              <w:rPr>
                <w:b/>
                <w:bCs/>
                <w:lang w:val="en-US"/>
              </w:rPr>
              <w:t xml:space="preserve"> </w:t>
            </w:r>
            <w:r w:rsidR="009D6E07">
              <w:rPr>
                <w:b/>
                <w:bCs/>
                <w:lang w:val="en-US"/>
              </w:rPr>
              <w:t>f</w:t>
            </w:r>
            <w:r w:rsidR="009D6E07" w:rsidRPr="00A1786E">
              <w:rPr>
                <w:b/>
                <w:bCs/>
                <w:lang w:val="en-US"/>
              </w:rPr>
              <w:t xml:space="preserve">looding due to </w:t>
            </w:r>
            <w:r w:rsidR="008D20C9">
              <w:rPr>
                <w:b/>
                <w:bCs/>
                <w:lang w:val="en-US"/>
              </w:rPr>
              <w:t>stormwater system</w:t>
            </w:r>
            <w:r w:rsidR="009D6E07" w:rsidRPr="00A1786E">
              <w:rPr>
                <w:b/>
                <w:bCs/>
                <w:lang w:val="en-US"/>
              </w:rPr>
              <w:t xml:space="preserve"> collapses</w:t>
            </w:r>
          </w:p>
        </w:tc>
        <w:tc>
          <w:tcPr>
            <w:tcW w:w="922" w:type="dxa"/>
          </w:tcPr>
          <w:p w14:paraId="5B0D4D86" w14:textId="77777777" w:rsidR="009D6E07" w:rsidRPr="00A1786E" w:rsidRDefault="009D6E07" w:rsidP="004C0500">
            <w:pPr>
              <w:pStyle w:val="Bodyromannumerals"/>
              <w:rPr>
                <w:b/>
                <w:bCs/>
                <w:lang w:val="en-US"/>
              </w:rPr>
            </w:pPr>
            <w:r w:rsidRPr="00A1786E">
              <w:rPr>
                <w:b/>
                <w:bCs/>
                <w:lang w:val="en-US"/>
              </w:rPr>
              <w:t>Nr.</w:t>
            </w:r>
          </w:p>
        </w:tc>
      </w:tr>
      <w:tr w:rsidR="009D6E07" w:rsidRPr="00216F0E" w14:paraId="47907A31" w14:textId="77777777" w:rsidTr="00A12D8A">
        <w:tc>
          <w:tcPr>
            <w:tcW w:w="2065" w:type="dxa"/>
            <w:gridSpan w:val="2"/>
            <w:tcBorders>
              <w:left w:val="single" w:sz="4" w:space="0" w:color="FFFFFF"/>
              <w:bottom w:val="single" w:sz="4" w:space="0" w:color="FFFFFF"/>
              <w:right w:val="single" w:sz="4" w:space="0" w:color="FFFFFF"/>
            </w:tcBorders>
          </w:tcPr>
          <w:p w14:paraId="1AE0F490" w14:textId="77777777" w:rsidR="009D6E07" w:rsidRPr="00AF4AEA" w:rsidRDefault="009D6E07" w:rsidP="004C0500">
            <w:pPr>
              <w:pStyle w:val="Bodyromannumerals"/>
              <w:rPr>
                <w:i/>
                <w:lang w:val="en-US"/>
              </w:rPr>
            </w:pPr>
            <w:r w:rsidRPr="00A80A3E">
              <w:rPr>
                <w:i/>
                <w:lang w:val="en-US"/>
              </w:rPr>
              <w:t>Definition:</w:t>
            </w:r>
          </w:p>
        </w:tc>
        <w:tc>
          <w:tcPr>
            <w:tcW w:w="5493" w:type="dxa"/>
            <w:gridSpan w:val="2"/>
            <w:tcBorders>
              <w:left w:val="single" w:sz="4" w:space="0" w:color="FFFFFF"/>
              <w:bottom w:val="single" w:sz="4" w:space="0" w:color="FFFFFF"/>
              <w:right w:val="single" w:sz="4" w:space="0" w:color="FFFFFF"/>
            </w:tcBorders>
          </w:tcPr>
          <w:p w14:paraId="4312E964" w14:textId="3F0D4738" w:rsidR="009D6E07" w:rsidRPr="00AF4AEA" w:rsidRDefault="009D6E07" w:rsidP="004C0500">
            <w:pPr>
              <w:pStyle w:val="Bodyromannumerals"/>
              <w:rPr>
                <w:lang w:val="en-US"/>
              </w:rPr>
            </w:pPr>
            <w:r w:rsidRPr="00AF4AEA">
              <w:rPr>
                <w:lang w:val="en-US"/>
              </w:rPr>
              <w:t xml:space="preserve">For the purpose of this indicator these are defined as incidents of </w:t>
            </w:r>
            <w:r>
              <w:rPr>
                <w:lang w:val="en-US"/>
              </w:rPr>
              <w:t xml:space="preserve">habitable floor </w:t>
            </w:r>
            <w:r w:rsidRPr="00AF4AEA">
              <w:rPr>
                <w:lang w:val="en-US"/>
              </w:rPr>
              <w:t xml:space="preserve">flooding to </w:t>
            </w:r>
            <w:r>
              <w:rPr>
                <w:lang w:val="en-US"/>
              </w:rPr>
              <w:t xml:space="preserve">a </w:t>
            </w:r>
            <w:r w:rsidRPr="00AF4AEA">
              <w:rPr>
                <w:lang w:val="en-US"/>
              </w:rPr>
              <w:t>property resulting from a collapse</w:t>
            </w:r>
            <w:r w:rsidR="00A55A2A">
              <w:rPr>
                <w:lang w:val="en-US"/>
              </w:rPr>
              <w:t xml:space="preserve"> </w:t>
            </w:r>
            <w:r w:rsidRPr="00AF4AEA">
              <w:rPr>
                <w:lang w:val="en-US"/>
              </w:rPr>
              <w:t xml:space="preserve">of the </w:t>
            </w:r>
            <w:r>
              <w:rPr>
                <w:lang w:val="en-US"/>
              </w:rPr>
              <w:t>stormwater system</w:t>
            </w:r>
            <w:r w:rsidRPr="00AF4AEA">
              <w:rPr>
                <w:lang w:val="en-US"/>
              </w:rPr>
              <w:t xml:space="preserve"> </w:t>
            </w:r>
            <w:r w:rsidRPr="00216F0E">
              <w:rPr>
                <w:lang w:val="en-US"/>
              </w:rPr>
              <w:t>and</w:t>
            </w:r>
            <w:r w:rsidRPr="00A80A3E">
              <w:rPr>
                <w:lang w:val="en-US"/>
              </w:rPr>
              <w:t xml:space="preserve"> include incidents due to fracture or deformation. An inciden</w:t>
            </w:r>
            <w:r w:rsidRPr="00AF4AEA">
              <w:rPr>
                <w:lang w:val="en-US"/>
              </w:rPr>
              <w:t>t should be counted from each ‘source’ of flooding e.g. one manhole floods 3 properties = 1 incident, and not each reason for flooding where one event causes a large number of flooding incidents.</w:t>
            </w:r>
          </w:p>
        </w:tc>
      </w:tr>
      <w:tr w:rsidR="009D6E07" w:rsidRPr="00216F0E" w14:paraId="79CA28CD" w14:textId="77777777" w:rsidTr="00A12D8A">
        <w:tc>
          <w:tcPr>
            <w:tcW w:w="2065" w:type="dxa"/>
            <w:gridSpan w:val="2"/>
            <w:tcBorders>
              <w:top w:val="single" w:sz="4" w:space="0" w:color="FFFFFF"/>
              <w:left w:val="single" w:sz="4" w:space="0" w:color="FFFFFF"/>
              <w:bottom w:val="single" w:sz="4" w:space="0" w:color="FFFFFF"/>
              <w:right w:val="single" w:sz="4" w:space="0" w:color="FFFFFF"/>
            </w:tcBorders>
          </w:tcPr>
          <w:p w14:paraId="0CAC93FA" w14:textId="77777777" w:rsidR="009D6E07" w:rsidRPr="00AF4AEA" w:rsidRDefault="009D6E07" w:rsidP="004C0500">
            <w:pPr>
              <w:pStyle w:val="Bodyromannumerals"/>
              <w:rPr>
                <w:i/>
                <w:lang w:val="en-US"/>
              </w:rPr>
            </w:pPr>
            <w:r w:rsidRPr="00A80A3E">
              <w:rPr>
                <w:i/>
                <w:lang w:val="en-US"/>
              </w:rPr>
              <w:t>Processing Rules:</w:t>
            </w:r>
          </w:p>
        </w:tc>
        <w:tc>
          <w:tcPr>
            <w:tcW w:w="5493" w:type="dxa"/>
            <w:gridSpan w:val="2"/>
            <w:tcBorders>
              <w:top w:val="single" w:sz="4" w:space="0" w:color="FFFFFF"/>
              <w:left w:val="single" w:sz="4" w:space="0" w:color="FFFFFF"/>
              <w:bottom w:val="single" w:sz="4" w:space="0" w:color="FFFFFF"/>
              <w:right w:val="single" w:sz="4" w:space="0" w:color="FFFFFF"/>
            </w:tcBorders>
          </w:tcPr>
          <w:p w14:paraId="53B5A00E" w14:textId="77777777" w:rsidR="009D6E07" w:rsidRPr="00AF4AEA" w:rsidRDefault="009D6E07" w:rsidP="004C0500">
            <w:pPr>
              <w:pStyle w:val="Bodyromannumerals"/>
              <w:rPr>
                <w:lang w:val="en-US"/>
              </w:rPr>
            </w:pPr>
            <w:r w:rsidRPr="00AF4AEA">
              <w:rPr>
                <w:lang w:val="en-US"/>
              </w:rPr>
              <w:t>Input field</w:t>
            </w:r>
          </w:p>
        </w:tc>
      </w:tr>
      <w:tr w:rsidR="009D6E07" w:rsidRPr="00216F0E" w14:paraId="540D98B7" w14:textId="77777777" w:rsidTr="009F1ADE">
        <w:tc>
          <w:tcPr>
            <w:tcW w:w="1077" w:type="dxa"/>
          </w:tcPr>
          <w:p w14:paraId="5B8C3A01" w14:textId="3E07C61F" w:rsidR="009D6E07" w:rsidRPr="00A1786E" w:rsidRDefault="009D6E07" w:rsidP="004C0500">
            <w:pPr>
              <w:pStyle w:val="Bodyromannumerals"/>
              <w:rPr>
                <w:b/>
                <w:bCs/>
                <w:lang w:val="en-US"/>
              </w:rPr>
            </w:pPr>
            <w:r w:rsidRPr="00A1786E">
              <w:rPr>
                <w:b/>
                <w:bCs/>
                <w:lang w:val="en-US"/>
              </w:rPr>
              <w:t>B3</w:t>
            </w:r>
            <w:r w:rsidR="00FD3733">
              <w:rPr>
                <w:b/>
                <w:bCs/>
                <w:lang w:val="en-US"/>
              </w:rPr>
              <w:t>b</w:t>
            </w:r>
            <w:r w:rsidRPr="00A1786E">
              <w:rPr>
                <w:b/>
                <w:bCs/>
                <w:lang w:val="en-US"/>
              </w:rPr>
              <w:t>.10</w:t>
            </w:r>
          </w:p>
        </w:tc>
        <w:tc>
          <w:tcPr>
            <w:tcW w:w="5559" w:type="dxa"/>
            <w:gridSpan w:val="2"/>
          </w:tcPr>
          <w:p w14:paraId="2D9A2A2E" w14:textId="29D6EC34" w:rsidR="009D6E07" w:rsidRPr="00A1786E" w:rsidRDefault="009D6E07" w:rsidP="004C0500">
            <w:pPr>
              <w:pStyle w:val="Bodyromannumerals"/>
              <w:rPr>
                <w:b/>
                <w:bCs/>
                <w:lang w:val="en-US"/>
              </w:rPr>
            </w:pPr>
            <w:r w:rsidRPr="00A1786E">
              <w:rPr>
                <w:b/>
                <w:bCs/>
                <w:lang w:val="en-US"/>
              </w:rPr>
              <w:t>Number of</w:t>
            </w:r>
            <w:r>
              <w:rPr>
                <w:b/>
                <w:bCs/>
                <w:lang w:val="en-US"/>
              </w:rPr>
              <w:t xml:space="preserve"> </w:t>
            </w:r>
            <w:r w:rsidR="00127A57">
              <w:rPr>
                <w:b/>
                <w:bCs/>
                <w:lang w:val="en-US"/>
              </w:rPr>
              <w:t xml:space="preserve">incidents of </w:t>
            </w:r>
            <w:r>
              <w:rPr>
                <w:b/>
                <w:bCs/>
                <w:lang w:val="en-US"/>
              </w:rPr>
              <w:t>habitable floor</w:t>
            </w:r>
            <w:r w:rsidRPr="00A1786E">
              <w:rPr>
                <w:b/>
                <w:bCs/>
                <w:lang w:val="en-US"/>
              </w:rPr>
              <w:t xml:space="preserve"> flooding</w:t>
            </w:r>
            <w:r w:rsidR="002C17E3">
              <w:rPr>
                <w:b/>
                <w:bCs/>
                <w:lang w:val="en-US"/>
              </w:rPr>
              <w:t xml:space="preserve"> </w:t>
            </w:r>
            <w:r w:rsidRPr="00A1786E">
              <w:rPr>
                <w:b/>
                <w:bCs/>
                <w:lang w:val="en-US"/>
              </w:rPr>
              <w:t>in the year</w:t>
            </w:r>
          </w:p>
        </w:tc>
        <w:tc>
          <w:tcPr>
            <w:tcW w:w="922" w:type="dxa"/>
          </w:tcPr>
          <w:p w14:paraId="0E50FD2E" w14:textId="77777777" w:rsidR="009D6E07" w:rsidRPr="00A1786E" w:rsidRDefault="009D6E07" w:rsidP="004C0500">
            <w:pPr>
              <w:pStyle w:val="Bodyromannumerals"/>
              <w:rPr>
                <w:b/>
                <w:bCs/>
                <w:lang w:val="en-US"/>
              </w:rPr>
            </w:pPr>
            <w:r w:rsidRPr="00A1786E">
              <w:rPr>
                <w:b/>
                <w:bCs/>
                <w:lang w:val="en-US"/>
              </w:rPr>
              <w:t>Nr.</w:t>
            </w:r>
          </w:p>
        </w:tc>
      </w:tr>
      <w:tr w:rsidR="009D6E07" w:rsidRPr="00216F0E" w14:paraId="4D88A135" w14:textId="77777777" w:rsidTr="00A12D8A">
        <w:tc>
          <w:tcPr>
            <w:tcW w:w="2065" w:type="dxa"/>
            <w:gridSpan w:val="2"/>
            <w:tcBorders>
              <w:left w:val="single" w:sz="4" w:space="0" w:color="FFFFFF"/>
              <w:bottom w:val="single" w:sz="4" w:space="0" w:color="FFFFFF"/>
              <w:right w:val="single" w:sz="4" w:space="0" w:color="FFFFFF"/>
            </w:tcBorders>
          </w:tcPr>
          <w:p w14:paraId="28A87781" w14:textId="77777777" w:rsidR="009D6E07" w:rsidRPr="00AF4AEA" w:rsidRDefault="009D6E07" w:rsidP="004C0500">
            <w:pPr>
              <w:pStyle w:val="Bodyromannumerals"/>
              <w:rPr>
                <w:i/>
                <w:lang w:val="en-US"/>
              </w:rPr>
            </w:pPr>
            <w:r w:rsidRPr="00A80A3E">
              <w:rPr>
                <w:i/>
                <w:lang w:val="en-US"/>
              </w:rPr>
              <w:t>Definition:</w:t>
            </w:r>
          </w:p>
        </w:tc>
        <w:tc>
          <w:tcPr>
            <w:tcW w:w="5493" w:type="dxa"/>
            <w:gridSpan w:val="2"/>
            <w:tcBorders>
              <w:left w:val="single" w:sz="4" w:space="0" w:color="FFFFFF"/>
              <w:bottom w:val="single" w:sz="4" w:space="0" w:color="FFFFFF"/>
              <w:right w:val="single" w:sz="4" w:space="0" w:color="FFFFFF"/>
            </w:tcBorders>
          </w:tcPr>
          <w:p w14:paraId="61FD4D3A" w14:textId="6678AC3B" w:rsidR="009D6E07" w:rsidRPr="00AF4AEA" w:rsidRDefault="009D6E07" w:rsidP="004C0500">
            <w:pPr>
              <w:pStyle w:val="Bodyromannumerals"/>
              <w:rPr>
                <w:lang w:val="en-US"/>
              </w:rPr>
            </w:pPr>
            <w:r w:rsidRPr="00AF4AEA">
              <w:rPr>
                <w:lang w:val="en-US"/>
              </w:rPr>
              <w:t xml:space="preserve">Total number of flooding incidents in the year causing </w:t>
            </w:r>
            <w:r>
              <w:rPr>
                <w:lang w:val="en-US"/>
              </w:rPr>
              <w:t>habitable floor</w:t>
            </w:r>
            <w:r w:rsidRPr="00AF4AEA">
              <w:rPr>
                <w:lang w:val="en-US"/>
              </w:rPr>
              <w:t xml:space="preserve"> flooding to properties due to other causes (this includes where due to blockages, </w:t>
            </w:r>
            <w:r>
              <w:rPr>
                <w:lang w:val="en-US"/>
              </w:rPr>
              <w:t>stormwater system</w:t>
            </w:r>
            <w:r w:rsidRPr="00AF4AEA">
              <w:rPr>
                <w:lang w:val="en-US"/>
              </w:rPr>
              <w:t xml:space="preserve"> collapses, equipment failure and other causes than overloaded </w:t>
            </w:r>
            <w:r w:rsidR="009B1C6A">
              <w:rPr>
                <w:lang w:val="en-US"/>
              </w:rPr>
              <w:t>stormwater systems</w:t>
            </w:r>
            <w:r w:rsidRPr="00AF4AEA">
              <w:rPr>
                <w:lang w:val="en-US"/>
              </w:rPr>
              <w:t>). An incident should be counted from each ‘source’ of flooding e.g. one manhole floods 3 properties = 1 incident, and not each reason for flooding where one event such as pumping station failure causes a large number of flooding incidents. This should include properties where a domestic cellar is the only part affected by the flooding.</w:t>
            </w:r>
          </w:p>
        </w:tc>
      </w:tr>
      <w:tr w:rsidR="009D6E07" w:rsidRPr="00216F0E" w14:paraId="2F7F566F" w14:textId="77777777" w:rsidTr="00A12D8A">
        <w:tc>
          <w:tcPr>
            <w:tcW w:w="2065" w:type="dxa"/>
            <w:gridSpan w:val="2"/>
            <w:tcBorders>
              <w:top w:val="single" w:sz="4" w:space="0" w:color="FFFFFF"/>
              <w:left w:val="single" w:sz="4" w:space="0" w:color="FFFFFF"/>
              <w:bottom w:val="single" w:sz="4" w:space="0" w:color="FFFFFF"/>
              <w:right w:val="single" w:sz="4" w:space="0" w:color="FFFFFF"/>
            </w:tcBorders>
          </w:tcPr>
          <w:p w14:paraId="0D9D40C1" w14:textId="77777777" w:rsidR="009D6E07" w:rsidRPr="00A80A3E" w:rsidRDefault="009D6E07" w:rsidP="004C0500">
            <w:pPr>
              <w:pStyle w:val="Bodyromannumerals"/>
              <w:rPr>
                <w:i/>
                <w:lang w:val="en-US"/>
              </w:rPr>
            </w:pPr>
            <w:r w:rsidRPr="00A80A3E">
              <w:rPr>
                <w:i/>
                <w:lang w:val="en-US"/>
              </w:rPr>
              <w:t>Processing Rules:</w:t>
            </w:r>
          </w:p>
        </w:tc>
        <w:tc>
          <w:tcPr>
            <w:tcW w:w="5493" w:type="dxa"/>
            <w:gridSpan w:val="2"/>
            <w:tcBorders>
              <w:top w:val="single" w:sz="4" w:space="0" w:color="FFFFFF"/>
              <w:left w:val="single" w:sz="4" w:space="0" w:color="FFFFFF"/>
              <w:bottom w:val="single" w:sz="4" w:space="0" w:color="FFFFFF"/>
              <w:right w:val="single" w:sz="4" w:space="0" w:color="FFFFFF"/>
            </w:tcBorders>
          </w:tcPr>
          <w:p w14:paraId="64C9DF10" w14:textId="77777777" w:rsidR="009D6E07" w:rsidRPr="00AF4AEA" w:rsidRDefault="009D6E07" w:rsidP="004C0500">
            <w:pPr>
              <w:pStyle w:val="Bodyromannumerals"/>
              <w:rPr>
                <w:lang w:val="en-US"/>
              </w:rPr>
            </w:pPr>
            <w:r w:rsidRPr="00AF4AEA">
              <w:rPr>
                <w:lang w:val="en-US"/>
              </w:rPr>
              <w:t>Input field</w:t>
            </w:r>
          </w:p>
        </w:tc>
      </w:tr>
    </w:tbl>
    <w:p w14:paraId="4323B033" w14:textId="77777777" w:rsidR="009D6E07" w:rsidRDefault="009D6E07" w:rsidP="009D6E07">
      <w:pPr>
        <w:pStyle w:val="Bodyromannumerals"/>
      </w:pPr>
    </w:p>
    <w:p w14:paraId="4B2B6021" w14:textId="77777777" w:rsidR="009D6E07" w:rsidRDefault="009D6E07" w:rsidP="009D6E07">
      <w:pPr>
        <w:spacing w:after="160" w:line="259" w:lineRule="auto"/>
        <w:rPr>
          <w:rFonts w:ascii="Calibri" w:hAnsi="Calibri" w:cs="Calibri"/>
          <w:b/>
          <w:color w:val="182B46"/>
          <w:sz w:val="26"/>
        </w:rPr>
      </w:pPr>
      <w:r>
        <w:br w:type="page"/>
      </w:r>
    </w:p>
    <w:p w14:paraId="45DA46FB" w14:textId="16EE31CE" w:rsidR="009D6E07" w:rsidRDefault="009D6E07" w:rsidP="009D6E07">
      <w:pPr>
        <w:pStyle w:val="Sectionsub-heading"/>
      </w:pPr>
      <w:r>
        <w:lastRenderedPageBreak/>
        <w:t xml:space="preserve">BLOCK </w:t>
      </w:r>
      <w:r w:rsidR="00C24BE7">
        <w:t>3</w:t>
      </w:r>
      <w:r>
        <w:t xml:space="preserve">: PROPERTIES ‘AT RISK’ </w:t>
      </w:r>
    </w:p>
    <w:p w14:paraId="61E1F129" w14:textId="19ECA46D" w:rsidR="009D6E07" w:rsidRPr="0007555F" w:rsidRDefault="009E562D" w:rsidP="009D6E07">
      <w:pPr>
        <w:pStyle w:val="Sectionsub-heading"/>
        <w:rPr>
          <w:sz w:val="20"/>
          <w:szCs w:val="20"/>
        </w:rPr>
      </w:pPr>
      <w:r w:rsidRPr="0007555F">
        <w:rPr>
          <w:rStyle w:val="Bodysub-heading2Char"/>
          <w:szCs w:val="20"/>
        </w:rPr>
        <w:t>(</w:t>
      </w:r>
      <w:proofErr w:type="spellStart"/>
      <w:r w:rsidRPr="0007555F">
        <w:rPr>
          <w:rStyle w:val="Bodysub-heading2Char"/>
          <w:szCs w:val="20"/>
        </w:rPr>
        <w:t>i</w:t>
      </w:r>
      <w:proofErr w:type="spellEnd"/>
      <w:r w:rsidRPr="0007555F">
        <w:rPr>
          <w:rStyle w:val="Bodysub-heading2Char"/>
          <w:szCs w:val="20"/>
        </w:rPr>
        <w:t xml:space="preserve">) </w:t>
      </w:r>
      <w:r w:rsidR="009D6E07" w:rsidRPr="0007555F">
        <w:rPr>
          <w:rStyle w:val="Bodysub-heading2Char"/>
          <w:szCs w:val="20"/>
        </w:rPr>
        <w:t>At risk summary</w:t>
      </w:r>
    </w:p>
    <w:tbl>
      <w:tblPr>
        <w:tblStyle w:val="TableGrid"/>
        <w:tblW w:w="7558" w:type="dxa"/>
        <w:tblLook w:val="04A0" w:firstRow="1" w:lastRow="0" w:firstColumn="1" w:lastColumn="0" w:noHBand="0" w:noVBand="1"/>
      </w:tblPr>
      <w:tblGrid>
        <w:gridCol w:w="1077"/>
        <w:gridCol w:w="975"/>
        <w:gridCol w:w="4594"/>
        <w:gridCol w:w="912"/>
      </w:tblGrid>
      <w:tr w:rsidR="009D6E07" w:rsidRPr="00216F0E" w14:paraId="526DFC5F" w14:textId="77777777" w:rsidTr="002C17E3">
        <w:tc>
          <w:tcPr>
            <w:tcW w:w="1077" w:type="dxa"/>
          </w:tcPr>
          <w:p w14:paraId="33ED93E7" w14:textId="53E3E72B" w:rsidR="009D6E07" w:rsidRPr="007F4EDF" w:rsidRDefault="009D6E07" w:rsidP="004C0500">
            <w:pPr>
              <w:pStyle w:val="Bodyromannumerals"/>
              <w:rPr>
                <w:b/>
                <w:bCs/>
                <w:lang w:val="en-US"/>
              </w:rPr>
            </w:pPr>
            <w:r w:rsidRPr="007F4EDF">
              <w:rPr>
                <w:b/>
                <w:bCs/>
                <w:lang w:val="en-US"/>
              </w:rPr>
              <w:t>B3</w:t>
            </w:r>
            <w:r w:rsidR="00FD3733">
              <w:rPr>
                <w:b/>
                <w:bCs/>
                <w:lang w:val="en-US"/>
              </w:rPr>
              <w:t>b</w:t>
            </w:r>
            <w:r w:rsidRPr="007F4EDF">
              <w:rPr>
                <w:b/>
                <w:bCs/>
                <w:lang w:val="en-US"/>
              </w:rPr>
              <w:t>.22</w:t>
            </w:r>
          </w:p>
        </w:tc>
        <w:tc>
          <w:tcPr>
            <w:tcW w:w="5569" w:type="dxa"/>
            <w:gridSpan w:val="2"/>
          </w:tcPr>
          <w:p w14:paraId="3C4FCEDF" w14:textId="77777777" w:rsidR="009D6E07" w:rsidRPr="007F4EDF" w:rsidRDefault="009D6E07" w:rsidP="004C0500">
            <w:pPr>
              <w:pStyle w:val="Bodyromannumerals"/>
              <w:rPr>
                <w:b/>
                <w:bCs/>
                <w:lang w:val="en-US"/>
              </w:rPr>
            </w:pPr>
            <w:r w:rsidRPr="007F4EDF">
              <w:rPr>
                <w:b/>
                <w:bCs/>
                <w:lang w:val="en-US"/>
              </w:rPr>
              <w:t>2 in 10 at end of year</w:t>
            </w:r>
          </w:p>
        </w:tc>
        <w:tc>
          <w:tcPr>
            <w:tcW w:w="912" w:type="dxa"/>
          </w:tcPr>
          <w:p w14:paraId="5CC02590" w14:textId="77777777" w:rsidR="009D6E07" w:rsidRPr="007F4EDF" w:rsidRDefault="009D6E07" w:rsidP="004C0500">
            <w:pPr>
              <w:pStyle w:val="Bodyromannumerals"/>
              <w:rPr>
                <w:b/>
                <w:bCs/>
                <w:lang w:val="en-US"/>
              </w:rPr>
            </w:pPr>
            <w:r w:rsidRPr="007F4EDF">
              <w:rPr>
                <w:b/>
                <w:bCs/>
                <w:lang w:val="en-US"/>
              </w:rPr>
              <w:t>Nr.</w:t>
            </w:r>
          </w:p>
        </w:tc>
      </w:tr>
      <w:tr w:rsidR="009D6E07" w:rsidRPr="00216F0E" w14:paraId="10103E72" w14:textId="77777777" w:rsidTr="002C17E3">
        <w:tc>
          <w:tcPr>
            <w:tcW w:w="2052" w:type="dxa"/>
            <w:gridSpan w:val="2"/>
            <w:tcBorders>
              <w:left w:val="single" w:sz="4" w:space="0" w:color="FFFFFF" w:themeColor="background2"/>
              <w:bottom w:val="single" w:sz="4" w:space="0" w:color="FFFFFF" w:themeColor="background2"/>
              <w:right w:val="single" w:sz="4" w:space="0" w:color="FFFFFF" w:themeColor="background2"/>
            </w:tcBorders>
          </w:tcPr>
          <w:p w14:paraId="6077BA67" w14:textId="77777777" w:rsidR="009D6E07" w:rsidRPr="00A80A3E" w:rsidRDefault="009D6E07" w:rsidP="004C0500">
            <w:pPr>
              <w:pStyle w:val="Bodyromannumerals"/>
              <w:rPr>
                <w:i/>
                <w:lang w:val="en-US"/>
              </w:rPr>
            </w:pPr>
            <w:r w:rsidRPr="00A80A3E">
              <w:rPr>
                <w:i/>
                <w:lang w:val="en-US"/>
              </w:rPr>
              <w:t>Definition:</w:t>
            </w:r>
          </w:p>
        </w:tc>
        <w:tc>
          <w:tcPr>
            <w:tcW w:w="5506" w:type="dxa"/>
            <w:gridSpan w:val="2"/>
            <w:tcBorders>
              <w:left w:val="single" w:sz="4" w:space="0" w:color="FFFFFF" w:themeColor="background2"/>
              <w:bottom w:val="single" w:sz="4" w:space="0" w:color="FFFFFF" w:themeColor="background2"/>
              <w:right w:val="single" w:sz="4" w:space="0" w:color="FFFFFF" w:themeColor="background2"/>
            </w:tcBorders>
          </w:tcPr>
          <w:p w14:paraId="6C36DEDA" w14:textId="77777777" w:rsidR="009D6E07" w:rsidRPr="00AF4AEA" w:rsidRDefault="009D6E07" w:rsidP="004C0500">
            <w:pPr>
              <w:pStyle w:val="Bodyromannumerals"/>
              <w:rPr>
                <w:lang w:val="en-US"/>
              </w:rPr>
            </w:pPr>
            <w:r w:rsidRPr="00AF4AEA">
              <w:rPr>
                <w:lang w:val="en-US"/>
              </w:rPr>
              <w:t>Properties at risk of flooding twice or more in ten years.</w:t>
            </w:r>
          </w:p>
        </w:tc>
      </w:tr>
      <w:tr w:rsidR="009D6E07" w:rsidRPr="00216F0E" w14:paraId="5F4A1312" w14:textId="77777777" w:rsidTr="002C17E3">
        <w:tc>
          <w:tcPr>
            <w:tcW w:w="20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A384898" w14:textId="77777777" w:rsidR="009D6E07" w:rsidRPr="00A80A3E" w:rsidRDefault="009D6E07" w:rsidP="004C0500">
            <w:pPr>
              <w:pStyle w:val="Bodyromannumerals"/>
              <w:rPr>
                <w:i/>
                <w:lang w:val="en-US"/>
              </w:rPr>
            </w:pPr>
            <w:r w:rsidRPr="00A80A3E">
              <w:rPr>
                <w:i/>
                <w:lang w:val="en-US"/>
              </w:rPr>
              <w:t>Processing Rules:</w:t>
            </w:r>
          </w:p>
        </w:tc>
        <w:tc>
          <w:tcPr>
            <w:tcW w:w="55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C45DD5D" w14:textId="77777777" w:rsidR="009D6E07" w:rsidRPr="00AF4AEA" w:rsidRDefault="009D6E07" w:rsidP="004C0500">
            <w:pPr>
              <w:pStyle w:val="Bodyromannumerals"/>
              <w:rPr>
                <w:lang w:val="en-US"/>
              </w:rPr>
            </w:pPr>
            <w:r w:rsidRPr="00AF4AEA">
              <w:rPr>
                <w:lang w:val="en-US"/>
              </w:rPr>
              <w:t>Input field</w:t>
            </w:r>
          </w:p>
        </w:tc>
      </w:tr>
      <w:tr w:rsidR="009D6E07" w:rsidRPr="00216F0E" w14:paraId="0510EFB1" w14:textId="77777777" w:rsidTr="002C17E3">
        <w:tc>
          <w:tcPr>
            <w:tcW w:w="1077" w:type="dxa"/>
          </w:tcPr>
          <w:p w14:paraId="37CA9506" w14:textId="6928333C" w:rsidR="009D6E07" w:rsidRPr="004B596D" w:rsidRDefault="009D6E07" w:rsidP="004C0500">
            <w:pPr>
              <w:pStyle w:val="Bodyromannumerals"/>
              <w:rPr>
                <w:b/>
                <w:bCs/>
                <w:lang w:val="en-US"/>
              </w:rPr>
            </w:pPr>
            <w:r w:rsidRPr="004B596D">
              <w:rPr>
                <w:b/>
                <w:bCs/>
                <w:lang w:val="en-US"/>
              </w:rPr>
              <w:t>B3</w:t>
            </w:r>
            <w:r w:rsidR="00FD3733">
              <w:rPr>
                <w:b/>
                <w:bCs/>
                <w:lang w:val="en-US"/>
              </w:rPr>
              <w:t>b</w:t>
            </w:r>
            <w:r w:rsidRPr="004B596D">
              <w:rPr>
                <w:b/>
                <w:bCs/>
                <w:lang w:val="en-US"/>
              </w:rPr>
              <w:t>.23</w:t>
            </w:r>
          </w:p>
        </w:tc>
        <w:tc>
          <w:tcPr>
            <w:tcW w:w="5569" w:type="dxa"/>
            <w:gridSpan w:val="2"/>
          </w:tcPr>
          <w:p w14:paraId="71C3C7D7" w14:textId="77777777" w:rsidR="009D6E07" w:rsidRPr="004B596D" w:rsidRDefault="009D6E07" w:rsidP="004C0500">
            <w:pPr>
              <w:pStyle w:val="Bodyromannumerals"/>
              <w:rPr>
                <w:b/>
                <w:bCs/>
                <w:lang w:val="en-US"/>
              </w:rPr>
            </w:pPr>
            <w:r w:rsidRPr="004B596D">
              <w:rPr>
                <w:b/>
                <w:bCs/>
                <w:lang w:val="en-US"/>
              </w:rPr>
              <w:t>1 in 10 at end of year</w:t>
            </w:r>
          </w:p>
        </w:tc>
        <w:tc>
          <w:tcPr>
            <w:tcW w:w="912" w:type="dxa"/>
          </w:tcPr>
          <w:p w14:paraId="7ED679F0" w14:textId="77777777" w:rsidR="009D6E07" w:rsidRPr="004B596D" w:rsidRDefault="009D6E07" w:rsidP="004C0500">
            <w:pPr>
              <w:pStyle w:val="Bodyromannumerals"/>
              <w:rPr>
                <w:b/>
                <w:bCs/>
                <w:lang w:val="en-US"/>
              </w:rPr>
            </w:pPr>
            <w:r w:rsidRPr="004B596D">
              <w:rPr>
                <w:b/>
                <w:bCs/>
                <w:lang w:val="en-US"/>
              </w:rPr>
              <w:t>Nr.</w:t>
            </w:r>
          </w:p>
        </w:tc>
      </w:tr>
      <w:tr w:rsidR="009D6E07" w:rsidRPr="00216F0E" w14:paraId="2E002C84" w14:textId="77777777" w:rsidTr="002C17E3">
        <w:tc>
          <w:tcPr>
            <w:tcW w:w="2052" w:type="dxa"/>
            <w:gridSpan w:val="2"/>
            <w:tcBorders>
              <w:left w:val="single" w:sz="4" w:space="0" w:color="FFFFFF" w:themeColor="background2"/>
              <w:bottom w:val="single" w:sz="4" w:space="0" w:color="FFFFFF" w:themeColor="background2"/>
              <w:right w:val="single" w:sz="4" w:space="0" w:color="FFFFFF" w:themeColor="background2"/>
            </w:tcBorders>
          </w:tcPr>
          <w:p w14:paraId="75C80462" w14:textId="77777777" w:rsidR="009D6E07" w:rsidRPr="00A80A3E" w:rsidRDefault="009D6E07" w:rsidP="004C0500">
            <w:pPr>
              <w:pStyle w:val="Bodyromannumerals"/>
              <w:rPr>
                <w:i/>
                <w:lang w:val="en-US"/>
              </w:rPr>
            </w:pPr>
            <w:r w:rsidRPr="00A80A3E">
              <w:rPr>
                <w:i/>
                <w:lang w:val="en-US"/>
              </w:rPr>
              <w:t>Definition:</w:t>
            </w:r>
          </w:p>
        </w:tc>
        <w:tc>
          <w:tcPr>
            <w:tcW w:w="5506" w:type="dxa"/>
            <w:gridSpan w:val="2"/>
            <w:tcBorders>
              <w:left w:val="single" w:sz="4" w:space="0" w:color="FFFFFF" w:themeColor="background2"/>
              <w:bottom w:val="single" w:sz="4" w:space="0" w:color="FFFFFF" w:themeColor="background2"/>
              <w:right w:val="single" w:sz="4" w:space="0" w:color="FFFFFF" w:themeColor="background2"/>
            </w:tcBorders>
          </w:tcPr>
          <w:p w14:paraId="155D0E74" w14:textId="77777777" w:rsidR="009D6E07" w:rsidRPr="00AF4AEA" w:rsidRDefault="009D6E07" w:rsidP="004C0500">
            <w:pPr>
              <w:pStyle w:val="Bodyromannumerals"/>
              <w:rPr>
                <w:lang w:val="en-US"/>
              </w:rPr>
            </w:pPr>
            <w:r w:rsidRPr="00AF4AEA">
              <w:rPr>
                <w:lang w:val="en-US"/>
              </w:rPr>
              <w:t>Number of properties at risk of flooding once in 10 years</w:t>
            </w:r>
          </w:p>
        </w:tc>
      </w:tr>
      <w:tr w:rsidR="009D6E07" w:rsidRPr="00216F0E" w14:paraId="610F481E" w14:textId="77777777" w:rsidTr="002C17E3">
        <w:tc>
          <w:tcPr>
            <w:tcW w:w="20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7B89C84" w14:textId="77777777" w:rsidR="009D6E07" w:rsidRPr="00A80A3E" w:rsidRDefault="009D6E07" w:rsidP="004C0500">
            <w:pPr>
              <w:pStyle w:val="Bodyromannumerals"/>
              <w:rPr>
                <w:i/>
                <w:lang w:val="en-US"/>
              </w:rPr>
            </w:pPr>
            <w:r w:rsidRPr="00A80A3E">
              <w:rPr>
                <w:i/>
                <w:lang w:val="en-US"/>
              </w:rPr>
              <w:t>Processing Rules:</w:t>
            </w:r>
          </w:p>
        </w:tc>
        <w:tc>
          <w:tcPr>
            <w:tcW w:w="55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059689D" w14:textId="77777777" w:rsidR="009D6E07" w:rsidRPr="00AF4AEA" w:rsidRDefault="009D6E07" w:rsidP="004C0500">
            <w:pPr>
              <w:pStyle w:val="Bodyromannumerals"/>
              <w:rPr>
                <w:lang w:val="en-US"/>
              </w:rPr>
            </w:pPr>
            <w:r w:rsidRPr="00AF4AEA">
              <w:rPr>
                <w:lang w:val="en-US"/>
              </w:rPr>
              <w:t>Input field</w:t>
            </w:r>
          </w:p>
        </w:tc>
      </w:tr>
      <w:tr w:rsidR="009D6E07" w:rsidRPr="00216F0E" w14:paraId="4F259E72" w14:textId="77777777" w:rsidTr="002C17E3">
        <w:tc>
          <w:tcPr>
            <w:tcW w:w="1077" w:type="dxa"/>
          </w:tcPr>
          <w:p w14:paraId="224E951F" w14:textId="4642841A" w:rsidR="009D6E07" w:rsidRPr="004B596D" w:rsidRDefault="009D6E07" w:rsidP="004C0500">
            <w:pPr>
              <w:pStyle w:val="Bodyromannumerals"/>
              <w:rPr>
                <w:b/>
                <w:bCs/>
                <w:lang w:val="en-US"/>
              </w:rPr>
            </w:pPr>
            <w:r w:rsidRPr="004B596D">
              <w:rPr>
                <w:b/>
                <w:bCs/>
                <w:lang w:val="en-US"/>
              </w:rPr>
              <w:t>B3</w:t>
            </w:r>
            <w:r w:rsidR="00FD3733">
              <w:rPr>
                <w:b/>
                <w:bCs/>
                <w:lang w:val="en-US"/>
              </w:rPr>
              <w:t>b</w:t>
            </w:r>
            <w:r w:rsidRPr="004B596D">
              <w:rPr>
                <w:b/>
                <w:bCs/>
                <w:lang w:val="en-US"/>
              </w:rPr>
              <w:t>.24</w:t>
            </w:r>
          </w:p>
        </w:tc>
        <w:tc>
          <w:tcPr>
            <w:tcW w:w="5569" w:type="dxa"/>
            <w:gridSpan w:val="2"/>
          </w:tcPr>
          <w:p w14:paraId="3BBB8128" w14:textId="77777777" w:rsidR="009D6E07" w:rsidRPr="004B596D" w:rsidRDefault="009D6E07" w:rsidP="004C0500">
            <w:pPr>
              <w:pStyle w:val="Bodyromannumerals"/>
              <w:rPr>
                <w:b/>
                <w:bCs/>
                <w:lang w:val="en-US"/>
              </w:rPr>
            </w:pPr>
            <w:r w:rsidRPr="004B596D">
              <w:rPr>
                <w:b/>
                <w:bCs/>
                <w:lang w:val="en-US"/>
              </w:rPr>
              <w:t>Total at risk</w:t>
            </w:r>
          </w:p>
        </w:tc>
        <w:tc>
          <w:tcPr>
            <w:tcW w:w="912" w:type="dxa"/>
          </w:tcPr>
          <w:p w14:paraId="2356AC88" w14:textId="77777777" w:rsidR="009D6E07" w:rsidRPr="004B596D" w:rsidRDefault="009D6E07" w:rsidP="004C0500">
            <w:pPr>
              <w:pStyle w:val="Bodyromannumerals"/>
              <w:rPr>
                <w:b/>
                <w:bCs/>
                <w:lang w:val="en-US"/>
              </w:rPr>
            </w:pPr>
            <w:r w:rsidRPr="004B596D">
              <w:rPr>
                <w:b/>
                <w:bCs/>
                <w:lang w:val="en-US"/>
              </w:rPr>
              <w:t>Nr.</w:t>
            </w:r>
          </w:p>
        </w:tc>
      </w:tr>
      <w:tr w:rsidR="009D6E07" w:rsidRPr="00216F0E" w14:paraId="125454DE" w14:textId="77777777" w:rsidTr="002C17E3">
        <w:tc>
          <w:tcPr>
            <w:tcW w:w="2052" w:type="dxa"/>
            <w:gridSpan w:val="2"/>
            <w:tcBorders>
              <w:left w:val="single" w:sz="4" w:space="0" w:color="FFFFFF" w:themeColor="background2"/>
              <w:bottom w:val="single" w:sz="4" w:space="0" w:color="FFFFFF" w:themeColor="background2"/>
              <w:right w:val="single" w:sz="4" w:space="0" w:color="FFFFFF" w:themeColor="background2"/>
            </w:tcBorders>
          </w:tcPr>
          <w:p w14:paraId="713C485D" w14:textId="77777777" w:rsidR="009D6E07" w:rsidRPr="00AF4AEA" w:rsidRDefault="009D6E07" w:rsidP="004C0500">
            <w:pPr>
              <w:pStyle w:val="Bodyromannumerals"/>
              <w:rPr>
                <w:i/>
                <w:lang w:val="en-US"/>
              </w:rPr>
            </w:pPr>
            <w:r w:rsidRPr="00AF4AEA">
              <w:rPr>
                <w:i/>
                <w:lang w:val="en-US"/>
              </w:rPr>
              <w:t>Definition:</w:t>
            </w:r>
          </w:p>
        </w:tc>
        <w:tc>
          <w:tcPr>
            <w:tcW w:w="5506" w:type="dxa"/>
            <w:gridSpan w:val="2"/>
            <w:tcBorders>
              <w:left w:val="single" w:sz="4" w:space="0" w:color="FFFFFF" w:themeColor="background2"/>
              <w:bottom w:val="single" w:sz="4" w:space="0" w:color="FFFFFF" w:themeColor="background2"/>
              <w:right w:val="single" w:sz="4" w:space="0" w:color="FFFFFF" w:themeColor="background2"/>
            </w:tcBorders>
          </w:tcPr>
          <w:p w14:paraId="30B10688" w14:textId="77777777" w:rsidR="009D6E07" w:rsidRPr="00AF4AEA" w:rsidRDefault="009D6E07" w:rsidP="004C0500">
            <w:pPr>
              <w:pStyle w:val="Bodyromannumerals"/>
              <w:rPr>
                <w:lang w:val="en-US"/>
              </w:rPr>
            </w:pPr>
            <w:r w:rsidRPr="00AF4AEA">
              <w:rPr>
                <w:lang w:val="en-US"/>
              </w:rPr>
              <w:t>Total number of properties at risk of flooding once or more in ten years.</w:t>
            </w:r>
          </w:p>
        </w:tc>
      </w:tr>
      <w:tr w:rsidR="009D6E07" w:rsidRPr="00216F0E" w14:paraId="55E44AAD" w14:textId="77777777" w:rsidTr="002C17E3">
        <w:tc>
          <w:tcPr>
            <w:tcW w:w="20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8488ABC" w14:textId="77777777" w:rsidR="009D6E07" w:rsidRPr="00AF4AEA" w:rsidRDefault="009D6E07" w:rsidP="004C0500">
            <w:pPr>
              <w:pStyle w:val="Bodyromannumerals"/>
              <w:rPr>
                <w:i/>
                <w:lang w:val="en-US"/>
              </w:rPr>
            </w:pPr>
            <w:r w:rsidRPr="00AF4AEA">
              <w:rPr>
                <w:i/>
                <w:lang w:val="en-US"/>
              </w:rPr>
              <w:t>Processing Rules:</w:t>
            </w:r>
          </w:p>
        </w:tc>
        <w:tc>
          <w:tcPr>
            <w:tcW w:w="55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FF3015" w14:textId="24CE122C" w:rsidR="009D6E07" w:rsidRPr="00AF4AEA" w:rsidRDefault="009D6E07" w:rsidP="004C0500">
            <w:pPr>
              <w:pStyle w:val="Bodyromannumerals"/>
              <w:rPr>
                <w:lang w:val="en-US"/>
              </w:rPr>
            </w:pPr>
            <w:r w:rsidRPr="00AF4AEA">
              <w:rPr>
                <w:lang w:val="en-US"/>
              </w:rPr>
              <w:t>Calculated field: Product of B3</w:t>
            </w:r>
            <w:r w:rsidR="00FD3733">
              <w:rPr>
                <w:lang w:val="en-US"/>
              </w:rPr>
              <w:t>b</w:t>
            </w:r>
            <w:r w:rsidRPr="00AF4AEA">
              <w:rPr>
                <w:lang w:val="en-US"/>
              </w:rPr>
              <w:t>.22 + B3</w:t>
            </w:r>
            <w:r w:rsidR="00FD3733">
              <w:rPr>
                <w:lang w:val="en-US"/>
              </w:rPr>
              <w:t>b</w:t>
            </w:r>
            <w:r w:rsidRPr="00AF4AEA">
              <w:rPr>
                <w:lang w:val="en-US"/>
              </w:rPr>
              <w:t>.23</w:t>
            </w:r>
          </w:p>
        </w:tc>
      </w:tr>
    </w:tbl>
    <w:p w14:paraId="4C60605D" w14:textId="724D49CC" w:rsidR="00690DF6" w:rsidRDefault="00690DF6">
      <w:pPr>
        <w:spacing w:after="160" w:line="259" w:lineRule="auto"/>
        <w:rPr>
          <w:rFonts w:ascii="Calibri" w:hAnsi="Calibri" w:cs="Calibri"/>
          <w:sz w:val="21"/>
          <w:szCs w:val="21"/>
        </w:rPr>
      </w:pPr>
      <w:r>
        <w:br w:type="page"/>
      </w:r>
    </w:p>
    <w:p w14:paraId="5C25F51D" w14:textId="44581F39" w:rsidR="00690DF6" w:rsidRDefault="00690DF6" w:rsidP="00690DF6">
      <w:pPr>
        <w:pStyle w:val="Title1"/>
      </w:pPr>
      <w:r>
        <w:lastRenderedPageBreak/>
        <w:t>TABLE B3c: STORMWATER FLOODING OUTSIDE OF THE CUSTOMER’S PROPERTY- I.E. EXTERNAL FLOODING</w:t>
      </w:r>
      <w:r w:rsidR="00612EAB">
        <w:t>-</w:t>
      </w:r>
    </w:p>
    <w:p w14:paraId="37393F97" w14:textId="77777777" w:rsidR="00690DF6" w:rsidRDefault="00690DF6" w:rsidP="00690DF6">
      <w:pPr>
        <w:pStyle w:val="Sectionsub-heading"/>
      </w:pPr>
      <w:r>
        <w:t>Overall guidance</w:t>
      </w:r>
    </w:p>
    <w:p w14:paraId="2A4951EF" w14:textId="77777777" w:rsidR="00690DF6" w:rsidRDefault="00690DF6" w:rsidP="00911155">
      <w:pPr>
        <w:pStyle w:val="Bodynumbercopy"/>
        <w:numPr>
          <w:ilvl w:val="0"/>
          <w:numId w:val="43"/>
        </w:numPr>
      </w:pPr>
      <w:r>
        <w:t>If the information is not available, Local Authorities should provide their best estimate for the measure requested and reflect the uncertainty in selecting the appropriate confidence grade.</w:t>
      </w:r>
    </w:p>
    <w:p w14:paraId="11D21B61" w14:textId="77777777" w:rsidR="00E21CC3" w:rsidRPr="00B60D09" w:rsidRDefault="00690DF6" w:rsidP="00911155">
      <w:pPr>
        <w:pStyle w:val="Bodynumbercopy"/>
        <w:numPr>
          <w:ilvl w:val="0"/>
          <w:numId w:val="43"/>
        </w:numPr>
        <w:rPr>
          <w:rFonts w:asciiTheme="minorHAnsi" w:eastAsiaTheme="minorEastAsia" w:hAnsiTheme="minorHAnsi" w:cstheme="minorBidi"/>
        </w:rPr>
      </w:pPr>
      <w:r w:rsidRPr="00B60D09">
        <w:rPr>
          <w:u w:val="single"/>
        </w:rPr>
        <w:t>This table covers stormwater flooding incidents outside of a property (e.g. garden, land</w:t>
      </w:r>
      <w:r w:rsidR="0007703C" w:rsidRPr="00B60D09">
        <w:rPr>
          <w:u w:val="single"/>
        </w:rPr>
        <w:t>, street</w:t>
      </w:r>
      <w:r w:rsidRPr="00B60D09">
        <w:rPr>
          <w:u w:val="single"/>
        </w:rPr>
        <w:t xml:space="preserve"> or other </w:t>
      </w:r>
      <w:r w:rsidR="0007703C" w:rsidRPr="00B60D09">
        <w:rPr>
          <w:u w:val="single"/>
        </w:rPr>
        <w:t xml:space="preserve">public </w:t>
      </w:r>
      <w:r w:rsidRPr="00B60D09">
        <w:rPr>
          <w:u w:val="single"/>
        </w:rPr>
        <w:t>area).</w:t>
      </w:r>
      <w:r>
        <w:t xml:space="preserve"> </w:t>
      </w:r>
    </w:p>
    <w:p w14:paraId="59D8FBA4" w14:textId="0AA90930" w:rsidR="00690DF6" w:rsidRPr="00A12D8A" w:rsidRDefault="00690DF6" w:rsidP="00911155">
      <w:pPr>
        <w:pStyle w:val="Bodynumbercopy"/>
        <w:numPr>
          <w:ilvl w:val="0"/>
          <w:numId w:val="43"/>
        </w:numPr>
        <w:rPr>
          <w:rFonts w:asciiTheme="minorHAnsi" w:eastAsiaTheme="minorEastAsia" w:hAnsiTheme="minorHAnsi" w:cstheme="minorBidi"/>
        </w:rPr>
      </w:pPr>
      <w:r>
        <w:t xml:space="preserve">Any </w:t>
      </w:r>
      <w:r w:rsidR="002A2BAC">
        <w:t xml:space="preserve">incidents of stormwater </w:t>
      </w:r>
      <w:r>
        <w:t xml:space="preserve">flooding </w:t>
      </w:r>
      <w:r w:rsidR="00755070">
        <w:t xml:space="preserve">of habitable floors </w:t>
      </w:r>
      <w:r>
        <w:t xml:space="preserve">inside a property should be reported in Table B3b. </w:t>
      </w:r>
      <w:r w:rsidR="00AF132B">
        <w:t>Wastewater flooding incidents outside of a property should be reported in Table B3a.</w:t>
      </w:r>
    </w:p>
    <w:p w14:paraId="7F791EED" w14:textId="1F75C410" w:rsidR="00BD7F9B" w:rsidRPr="00A12D8A" w:rsidRDefault="00D62EB9" w:rsidP="00911155">
      <w:pPr>
        <w:pStyle w:val="Bodynumbercopy"/>
        <w:numPr>
          <w:ilvl w:val="0"/>
          <w:numId w:val="43"/>
        </w:numPr>
      </w:pPr>
      <w:r w:rsidRPr="00A12D8A">
        <w:t>For forecast performance in 2020/21, Local Authorities are suggested to provide an estimate based on historic performance (e.g. average performance over the previous 5 years).</w:t>
      </w:r>
    </w:p>
    <w:p w14:paraId="743A96CB" w14:textId="5332AF22" w:rsidR="00690DF6" w:rsidRPr="0026497F" w:rsidRDefault="00690DF6" w:rsidP="00690DF6">
      <w:pPr>
        <w:pStyle w:val="Sectionsub-heading"/>
      </w:pPr>
      <w:r>
        <w:t xml:space="preserve">BLOCK 1: </w:t>
      </w:r>
      <w:r w:rsidR="00EE59DE">
        <w:t xml:space="preserve">ANNUAL EXTERNAL FLOODING SUMMARY </w:t>
      </w:r>
    </w:p>
    <w:p w14:paraId="06B7F03F" w14:textId="0B648059" w:rsidR="00690DF6" w:rsidRPr="0007555F" w:rsidRDefault="00C90C94" w:rsidP="00690DF6">
      <w:pPr>
        <w:pStyle w:val="Bodysub-heading2"/>
        <w:rPr>
          <w:b/>
          <w:bCs/>
          <w:sz w:val="20"/>
          <w:szCs w:val="20"/>
          <w:lang w:val="ro-RO"/>
        </w:rPr>
      </w:pPr>
      <w:r>
        <w:rPr>
          <w:b/>
          <w:bCs/>
          <w:sz w:val="20"/>
          <w:szCs w:val="20"/>
          <w:lang w:val="ro-RO"/>
        </w:rPr>
        <w:t xml:space="preserve">(i) </w:t>
      </w:r>
      <w:r w:rsidR="00690DF6" w:rsidRPr="0007555F">
        <w:rPr>
          <w:b/>
          <w:bCs/>
          <w:sz w:val="20"/>
          <w:szCs w:val="20"/>
          <w:lang w:val="ro-RO"/>
        </w:rPr>
        <w:t xml:space="preserve">Overloaded stormwater systems </w:t>
      </w:r>
    </w:p>
    <w:tbl>
      <w:tblPr>
        <w:tblStyle w:val="TableGrid"/>
        <w:tblW w:w="0" w:type="auto"/>
        <w:tblLook w:val="04A0" w:firstRow="1" w:lastRow="0" w:firstColumn="1" w:lastColumn="0" w:noHBand="0" w:noVBand="1"/>
      </w:tblPr>
      <w:tblGrid>
        <w:gridCol w:w="975"/>
        <w:gridCol w:w="1011"/>
        <w:gridCol w:w="4376"/>
        <w:gridCol w:w="1196"/>
      </w:tblGrid>
      <w:tr w:rsidR="00690DF6" w:rsidRPr="00216F0E" w14:paraId="4B8E0E48" w14:textId="77777777" w:rsidTr="004C0500">
        <w:tc>
          <w:tcPr>
            <w:tcW w:w="975" w:type="dxa"/>
          </w:tcPr>
          <w:p w14:paraId="59885629" w14:textId="27B24575" w:rsidR="00690DF6" w:rsidRPr="004B596D" w:rsidRDefault="00690DF6" w:rsidP="004C0500">
            <w:pPr>
              <w:pStyle w:val="Bodyromannumerals"/>
              <w:rPr>
                <w:b/>
                <w:bCs/>
              </w:rPr>
            </w:pPr>
            <w:r w:rsidRPr="004B596D">
              <w:rPr>
                <w:b/>
                <w:bCs/>
              </w:rPr>
              <w:t>B3</w:t>
            </w:r>
            <w:r>
              <w:rPr>
                <w:b/>
                <w:bCs/>
              </w:rPr>
              <w:t>c</w:t>
            </w:r>
            <w:r w:rsidRPr="004B596D">
              <w:rPr>
                <w:b/>
                <w:bCs/>
              </w:rPr>
              <w:t>.1</w:t>
            </w:r>
          </w:p>
        </w:tc>
        <w:tc>
          <w:tcPr>
            <w:tcW w:w="5387" w:type="dxa"/>
            <w:gridSpan w:val="2"/>
          </w:tcPr>
          <w:p w14:paraId="5E5E425A" w14:textId="46FED429" w:rsidR="00690DF6" w:rsidRPr="004B596D" w:rsidRDefault="00690DF6" w:rsidP="004C0500">
            <w:pPr>
              <w:pStyle w:val="Bodyromannumerals"/>
              <w:rPr>
                <w:b/>
                <w:bCs/>
              </w:rPr>
            </w:pPr>
            <w:r w:rsidRPr="004B596D">
              <w:rPr>
                <w:b/>
                <w:bCs/>
              </w:rPr>
              <w:t xml:space="preserve">Areas flooded externally in the year (overloaded </w:t>
            </w:r>
            <w:r w:rsidRPr="000810B7">
              <w:rPr>
                <w:b/>
                <w:bCs/>
              </w:rPr>
              <w:t>stormwater systems</w:t>
            </w:r>
            <w:r w:rsidRPr="004B596D">
              <w:rPr>
                <w:b/>
                <w:bCs/>
              </w:rPr>
              <w:t>)</w:t>
            </w:r>
          </w:p>
        </w:tc>
        <w:tc>
          <w:tcPr>
            <w:tcW w:w="1196" w:type="dxa"/>
          </w:tcPr>
          <w:p w14:paraId="61246044" w14:textId="77777777" w:rsidR="00690DF6" w:rsidRPr="004B596D" w:rsidRDefault="00690DF6" w:rsidP="004C0500">
            <w:pPr>
              <w:pStyle w:val="Bodyromannumerals"/>
              <w:rPr>
                <w:b/>
                <w:bCs/>
              </w:rPr>
            </w:pPr>
            <w:r w:rsidRPr="004B596D">
              <w:rPr>
                <w:b/>
                <w:bCs/>
              </w:rPr>
              <w:t>Nr.</w:t>
            </w:r>
          </w:p>
        </w:tc>
      </w:tr>
      <w:tr w:rsidR="00690DF6" w:rsidRPr="00216F0E" w14:paraId="28F1D909" w14:textId="77777777" w:rsidTr="004C0500">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23C6CA7B" w14:textId="77777777" w:rsidR="00690DF6" w:rsidRPr="00AF4AEA" w:rsidRDefault="00690DF6" w:rsidP="004C0500">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1C52A0DC" w14:textId="6A86EAE2" w:rsidR="00690DF6" w:rsidRPr="00AF4AEA" w:rsidRDefault="00690DF6" w:rsidP="004C0500">
            <w:pPr>
              <w:pStyle w:val="Bodyromannumerals"/>
            </w:pPr>
            <w:r w:rsidRPr="00AF4AEA">
              <w:t xml:space="preserve">Total number of areas affected by external flooding incidents in the year due to overloaded </w:t>
            </w:r>
            <w:r w:rsidRPr="000810B7">
              <w:t>stormwater systems</w:t>
            </w:r>
            <w:r w:rsidRPr="00AF4AEA">
              <w:t>.</w:t>
            </w:r>
            <w:r w:rsidR="00335DEF">
              <w:t xml:space="preserve"> This includes flooding in gardens, streets, land and other public areas.</w:t>
            </w:r>
          </w:p>
        </w:tc>
      </w:tr>
      <w:tr w:rsidR="00690DF6" w:rsidRPr="00216F0E" w14:paraId="4F20E97F" w14:textId="77777777" w:rsidTr="004C0500">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00230" w14:textId="77777777" w:rsidR="00690DF6" w:rsidRPr="00AF4AEA" w:rsidRDefault="00690DF6" w:rsidP="004C0500">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00D610" w14:textId="77777777" w:rsidR="00690DF6" w:rsidRPr="00AF4AEA" w:rsidRDefault="00690DF6" w:rsidP="004C0500">
            <w:pPr>
              <w:pStyle w:val="Bodyromannumerals"/>
            </w:pPr>
            <w:r w:rsidRPr="00216F0E">
              <w:rPr>
                <w:rFonts w:eastAsia="Calibri"/>
                <w:lang w:val="en-US"/>
              </w:rPr>
              <w:t>Input field</w:t>
            </w:r>
          </w:p>
        </w:tc>
      </w:tr>
      <w:tr w:rsidR="00690DF6" w:rsidRPr="00216F0E" w14:paraId="39AF46DA" w14:textId="77777777" w:rsidTr="004C0500">
        <w:tc>
          <w:tcPr>
            <w:tcW w:w="975" w:type="dxa"/>
          </w:tcPr>
          <w:p w14:paraId="3CAA8421" w14:textId="36C7749D" w:rsidR="00690DF6" w:rsidRPr="004B596D" w:rsidRDefault="00690DF6" w:rsidP="004C0500">
            <w:pPr>
              <w:pStyle w:val="Bodyromannumerals"/>
              <w:rPr>
                <w:b/>
                <w:bCs/>
              </w:rPr>
            </w:pPr>
            <w:r w:rsidRPr="004B596D">
              <w:rPr>
                <w:b/>
                <w:bCs/>
              </w:rPr>
              <w:t>B3</w:t>
            </w:r>
            <w:r>
              <w:rPr>
                <w:b/>
                <w:bCs/>
              </w:rPr>
              <w:t>c</w:t>
            </w:r>
            <w:r w:rsidRPr="004B596D">
              <w:rPr>
                <w:b/>
                <w:bCs/>
              </w:rPr>
              <w:t>.2</w:t>
            </w:r>
          </w:p>
        </w:tc>
        <w:tc>
          <w:tcPr>
            <w:tcW w:w="5387" w:type="dxa"/>
            <w:gridSpan w:val="2"/>
          </w:tcPr>
          <w:p w14:paraId="749BBB67" w14:textId="6DDA9587" w:rsidR="00690DF6" w:rsidRPr="004B596D" w:rsidRDefault="00690DF6" w:rsidP="004C0500">
            <w:pPr>
              <w:pStyle w:val="Bodyromannumerals"/>
              <w:rPr>
                <w:b/>
                <w:bCs/>
              </w:rPr>
            </w:pPr>
            <w:r w:rsidRPr="004B596D">
              <w:rPr>
                <w:b/>
                <w:bCs/>
              </w:rPr>
              <w:t xml:space="preserve">Curtilage flooding incidents </w:t>
            </w:r>
            <w:r w:rsidR="002266C1">
              <w:rPr>
                <w:b/>
                <w:bCs/>
              </w:rPr>
              <w:t>(within a private land boundary)</w:t>
            </w:r>
            <w:r w:rsidRPr="004B596D">
              <w:rPr>
                <w:b/>
                <w:bCs/>
              </w:rPr>
              <w:t xml:space="preserve"> in the year (overloaded </w:t>
            </w:r>
            <w:r w:rsidRPr="000810B7">
              <w:rPr>
                <w:b/>
                <w:bCs/>
              </w:rPr>
              <w:t>stormwater systems</w:t>
            </w:r>
            <w:r w:rsidRPr="004B596D">
              <w:rPr>
                <w:b/>
                <w:bCs/>
              </w:rPr>
              <w:t>)</w:t>
            </w:r>
          </w:p>
        </w:tc>
        <w:tc>
          <w:tcPr>
            <w:tcW w:w="1196" w:type="dxa"/>
          </w:tcPr>
          <w:p w14:paraId="15716152" w14:textId="77777777" w:rsidR="00690DF6" w:rsidRPr="004B596D" w:rsidRDefault="00690DF6" w:rsidP="004C0500">
            <w:pPr>
              <w:pStyle w:val="Bodyromannumerals"/>
              <w:rPr>
                <w:b/>
                <w:bCs/>
              </w:rPr>
            </w:pPr>
            <w:r w:rsidRPr="004B596D">
              <w:rPr>
                <w:b/>
                <w:bCs/>
              </w:rPr>
              <w:t>Nr.</w:t>
            </w:r>
          </w:p>
        </w:tc>
      </w:tr>
      <w:tr w:rsidR="00690DF6" w:rsidRPr="00216F0E" w14:paraId="3C3F20FE" w14:textId="77777777" w:rsidTr="004C0500">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143DFEA7" w14:textId="77777777" w:rsidR="00690DF6" w:rsidRPr="00AF4AEA" w:rsidRDefault="00690DF6" w:rsidP="004C0500">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295EFDE6" w14:textId="19013B7D" w:rsidR="00690DF6" w:rsidRPr="00AF4AEA" w:rsidRDefault="00690DF6" w:rsidP="004C0500">
            <w:pPr>
              <w:pStyle w:val="Bodyromannumerals"/>
            </w:pPr>
            <w:r w:rsidRPr="00AF4AEA">
              <w:t xml:space="preserve">The number of incidents of curtilages affected by external flooding in the year due to overloaded </w:t>
            </w:r>
            <w:r w:rsidRPr="000810B7">
              <w:t>stormwater systems</w:t>
            </w:r>
            <w:r w:rsidRPr="00AF4AEA">
              <w:t>.</w:t>
            </w:r>
            <w:r w:rsidR="00335DEF">
              <w:t xml:space="preserve"> Curtilage refers to the land within a private land boundary i.e. the enclosed space immediately surrounding a house or dwelling.</w:t>
            </w:r>
          </w:p>
        </w:tc>
      </w:tr>
      <w:tr w:rsidR="00690DF6" w:rsidRPr="00216F0E" w14:paraId="683912D5" w14:textId="77777777" w:rsidTr="004C0500">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E19234" w14:textId="77777777" w:rsidR="00690DF6" w:rsidRPr="00AF4AEA" w:rsidRDefault="00690DF6" w:rsidP="004C0500">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2BE3D" w14:textId="77777777" w:rsidR="00690DF6" w:rsidRPr="00AF4AEA" w:rsidRDefault="00690DF6" w:rsidP="004C0500">
            <w:pPr>
              <w:pStyle w:val="Bodyromannumerals"/>
            </w:pPr>
            <w:r w:rsidRPr="00216F0E">
              <w:rPr>
                <w:rFonts w:eastAsia="Calibri"/>
                <w:lang w:val="en-US"/>
              </w:rPr>
              <w:t>Input field</w:t>
            </w:r>
          </w:p>
        </w:tc>
      </w:tr>
      <w:tr w:rsidR="00690DF6" w:rsidRPr="00216F0E" w14:paraId="47E605A1" w14:textId="77777777" w:rsidTr="004C0500">
        <w:tc>
          <w:tcPr>
            <w:tcW w:w="975" w:type="dxa"/>
          </w:tcPr>
          <w:p w14:paraId="70946C10" w14:textId="2A1A771F" w:rsidR="00690DF6" w:rsidRPr="004B596D" w:rsidRDefault="00690DF6" w:rsidP="004C0500">
            <w:pPr>
              <w:pStyle w:val="Bodyromannumerals"/>
              <w:rPr>
                <w:b/>
                <w:bCs/>
              </w:rPr>
            </w:pPr>
            <w:r w:rsidRPr="004B596D">
              <w:rPr>
                <w:b/>
                <w:bCs/>
              </w:rPr>
              <w:t>B3</w:t>
            </w:r>
            <w:r>
              <w:rPr>
                <w:b/>
                <w:bCs/>
              </w:rPr>
              <w:t>c</w:t>
            </w:r>
            <w:r w:rsidRPr="004B596D">
              <w:rPr>
                <w:b/>
                <w:bCs/>
              </w:rPr>
              <w:t>.3</w:t>
            </w:r>
          </w:p>
        </w:tc>
        <w:tc>
          <w:tcPr>
            <w:tcW w:w="5387" w:type="dxa"/>
            <w:gridSpan w:val="2"/>
          </w:tcPr>
          <w:p w14:paraId="0902973B" w14:textId="42C69C2D" w:rsidR="00690DF6" w:rsidRPr="004B596D" w:rsidRDefault="00391C73" w:rsidP="004C0500">
            <w:pPr>
              <w:pStyle w:val="Bodyromannumerals"/>
              <w:rPr>
                <w:b/>
                <w:bCs/>
              </w:rPr>
            </w:pPr>
            <w:r>
              <w:rPr>
                <w:b/>
                <w:bCs/>
              </w:rPr>
              <w:t>Road corridor</w:t>
            </w:r>
            <w:r w:rsidRPr="004B596D">
              <w:rPr>
                <w:b/>
                <w:bCs/>
              </w:rPr>
              <w:t xml:space="preserve"> </w:t>
            </w:r>
            <w:r w:rsidR="00690DF6" w:rsidRPr="004B596D">
              <w:rPr>
                <w:b/>
                <w:bCs/>
              </w:rPr>
              <w:t xml:space="preserve">flooding incidents (overloaded </w:t>
            </w:r>
            <w:r w:rsidR="00690DF6">
              <w:rPr>
                <w:b/>
                <w:bCs/>
              </w:rPr>
              <w:t xml:space="preserve">stormwater </w:t>
            </w:r>
            <w:r w:rsidR="00690DF6" w:rsidRPr="000810B7">
              <w:rPr>
                <w:b/>
                <w:bCs/>
              </w:rPr>
              <w:t>systems</w:t>
            </w:r>
            <w:r w:rsidR="00690DF6" w:rsidRPr="004B596D">
              <w:rPr>
                <w:b/>
                <w:bCs/>
              </w:rPr>
              <w:t>)</w:t>
            </w:r>
          </w:p>
        </w:tc>
        <w:tc>
          <w:tcPr>
            <w:tcW w:w="1196" w:type="dxa"/>
          </w:tcPr>
          <w:p w14:paraId="437057D3" w14:textId="77777777" w:rsidR="00690DF6" w:rsidRPr="004B596D" w:rsidRDefault="00690DF6" w:rsidP="004C0500">
            <w:pPr>
              <w:pStyle w:val="Bodyromannumerals"/>
              <w:rPr>
                <w:b/>
                <w:bCs/>
              </w:rPr>
            </w:pPr>
            <w:r w:rsidRPr="004B596D">
              <w:rPr>
                <w:b/>
                <w:bCs/>
              </w:rPr>
              <w:t>Nr.</w:t>
            </w:r>
          </w:p>
        </w:tc>
      </w:tr>
      <w:tr w:rsidR="00690DF6" w:rsidRPr="00216F0E" w14:paraId="139A178D" w14:textId="77777777" w:rsidTr="004C0500">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5E72D25E" w14:textId="77777777" w:rsidR="00690DF6" w:rsidRPr="00AF4AEA" w:rsidRDefault="00690DF6" w:rsidP="004C0500">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75FD5B07" w14:textId="463E4561" w:rsidR="00690DF6" w:rsidRPr="00AF4AEA" w:rsidRDefault="00690DF6" w:rsidP="004C0500">
            <w:pPr>
              <w:pStyle w:val="Bodyromannumerals"/>
            </w:pPr>
            <w:r w:rsidRPr="00AF4AEA">
              <w:t xml:space="preserve">Total number of incidents of </w:t>
            </w:r>
            <w:r w:rsidR="00391C73">
              <w:t>road corridors</w:t>
            </w:r>
            <w:r w:rsidR="00391C73" w:rsidRPr="00AF4AEA">
              <w:t xml:space="preserve"> </w:t>
            </w:r>
            <w:r w:rsidRPr="00AF4AEA">
              <w:t xml:space="preserve">flooded in the year due to overloaded </w:t>
            </w:r>
            <w:r w:rsidRPr="000810B7">
              <w:t>stormwater systems</w:t>
            </w:r>
            <w:r w:rsidRPr="00AF4AEA">
              <w:t>. This includes footpaths.</w:t>
            </w:r>
          </w:p>
        </w:tc>
      </w:tr>
      <w:tr w:rsidR="00690DF6" w:rsidRPr="00216F0E" w14:paraId="0BE0C452" w14:textId="77777777" w:rsidTr="004C0500">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64761" w14:textId="77777777" w:rsidR="00690DF6" w:rsidRPr="00AF4AEA" w:rsidRDefault="00690DF6" w:rsidP="004C0500">
            <w:pPr>
              <w:pStyle w:val="Bodyromannumerals"/>
              <w:rPr>
                <w:i/>
              </w:rPr>
            </w:pPr>
            <w:r w:rsidRPr="00AF4AEA">
              <w:rPr>
                <w:rFonts w:eastAsia="Calibri"/>
                <w:i/>
                <w:lang w:val="en-US"/>
              </w:rPr>
              <w:lastRenderedPageBreak/>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CA31AE" w14:textId="4056C16D" w:rsidR="00690DF6" w:rsidRPr="009F1ADE" w:rsidRDefault="00690DF6" w:rsidP="004C0500">
            <w:pPr>
              <w:pStyle w:val="Bodyromannumerals"/>
              <w:rPr>
                <w:rFonts w:eastAsia="Calibri"/>
                <w:lang w:val="en-US"/>
              </w:rPr>
            </w:pPr>
            <w:r w:rsidRPr="00AF4AEA">
              <w:rPr>
                <w:rFonts w:eastAsia="Calibri"/>
                <w:lang w:val="en-US"/>
              </w:rPr>
              <w:t>Input field</w:t>
            </w:r>
          </w:p>
        </w:tc>
      </w:tr>
      <w:tr w:rsidR="00690DF6" w:rsidRPr="00216F0E" w14:paraId="49DAAFDD" w14:textId="77777777" w:rsidTr="004C0500">
        <w:tc>
          <w:tcPr>
            <w:tcW w:w="975" w:type="dxa"/>
          </w:tcPr>
          <w:p w14:paraId="48D824AD" w14:textId="54C724CA" w:rsidR="00690DF6" w:rsidRPr="004B596D" w:rsidRDefault="00690DF6" w:rsidP="004C0500">
            <w:pPr>
              <w:pStyle w:val="Bodyromannumerals"/>
              <w:rPr>
                <w:b/>
                <w:bCs/>
              </w:rPr>
            </w:pPr>
            <w:r w:rsidRPr="004B596D">
              <w:rPr>
                <w:b/>
                <w:bCs/>
              </w:rPr>
              <w:t>B3</w:t>
            </w:r>
            <w:r>
              <w:rPr>
                <w:b/>
                <w:bCs/>
              </w:rPr>
              <w:t>c</w:t>
            </w:r>
            <w:r w:rsidRPr="004B596D">
              <w:rPr>
                <w:b/>
                <w:bCs/>
              </w:rPr>
              <w:t>.4</w:t>
            </w:r>
          </w:p>
        </w:tc>
        <w:tc>
          <w:tcPr>
            <w:tcW w:w="5387" w:type="dxa"/>
            <w:gridSpan w:val="2"/>
          </w:tcPr>
          <w:p w14:paraId="2703E51B" w14:textId="04F95CE9" w:rsidR="00690DF6" w:rsidRPr="004B596D" w:rsidRDefault="00690DF6" w:rsidP="004C0500">
            <w:pPr>
              <w:pStyle w:val="Bodyromannumerals"/>
              <w:rPr>
                <w:b/>
                <w:bCs/>
              </w:rPr>
            </w:pPr>
            <w:r w:rsidRPr="004B596D">
              <w:rPr>
                <w:b/>
                <w:bCs/>
              </w:rPr>
              <w:t xml:space="preserve">Other flooding incidents (overloaded </w:t>
            </w:r>
            <w:r w:rsidRPr="000810B7">
              <w:rPr>
                <w:b/>
                <w:bCs/>
              </w:rPr>
              <w:t>stormwater systems</w:t>
            </w:r>
            <w:r w:rsidRPr="004B596D">
              <w:rPr>
                <w:b/>
                <w:bCs/>
              </w:rPr>
              <w:t>)</w:t>
            </w:r>
          </w:p>
        </w:tc>
        <w:tc>
          <w:tcPr>
            <w:tcW w:w="1196" w:type="dxa"/>
          </w:tcPr>
          <w:p w14:paraId="5B78F1A2" w14:textId="77777777" w:rsidR="00690DF6" w:rsidRPr="004B596D" w:rsidRDefault="00690DF6" w:rsidP="004C0500">
            <w:pPr>
              <w:pStyle w:val="Bodyromannumerals"/>
              <w:rPr>
                <w:b/>
                <w:bCs/>
              </w:rPr>
            </w:pPr>
            <w:r w:rsidRPr="004B596D">
              <w:rPr>
                <w:b/>
                <w:bCs/>
              </w:rPr>
              <w:t>Nr.</w:t>
            </w:r>
          </w:p>
        </w:tc>
      </w:tr>
      <w:tr w:rsidR="00690DF6" w:rsidRPr="00216F0E" w14:paraId="73ACFDEF" w14:textId="77777777" w:rsidTr="004C0500">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65998D38" w14:textId="77777777" w:rsidR="00690DF6" w:rsidRPr="00AF4AEA" w:rsidRDefault="00690DF6" w:rsidP="004C0500">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4ECB98AD" w14:textId="2F64F182" w:rsidR="00690DF6" w:rsidRPr="00AF4AEA" w:rsidRDefault="00690DF6" w:rsidP="004C0500">
            <w:pPr>
              <w:pStyle w:val="Bodyromannumerals"/>
            </w:pPr>
            <w:r w:rsidRPr="00AF4AEA">
              <w:t xml:space="preserve">Total number of incidents of other areas affected by external flooding in the year due to overloaded </w:t>
            </w:r>
            <w:r w:rsidRPr="000810B7">
              <w:t>stormwater systems</w:t>
            </w:r>
            <w:r w:rsidRPr="00AF4AEA">
              <w:t>. Examples of other areas includes external flooding to non-residential buildings e.g. schools, offices, commercial premises and public buildings; public open space; agricultural land; car parks.</w:t>
            </w:r>
          </w:p>
        </w:tc>
      </w:tr>
      <w:tr w:rsidR="00690DF6" w:rsidRPr="00216F0E" w14:paraId="499C9302" w14:textId="77777777" w:rsidTr="004C0500">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96B8E7" w14:textId="77777777" w:rsidR="00690DF6" w:rsidRPr="00AF4AEA" w:rsidRDefault="00690DF6" w:rsidP="004C0500">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05229" w14:textId="77777777" w:rsidR="00690DF6" w:rsidRPr="00AF4AEA" w:rsidRDefault="00690DF6" w:rsidP="004C0500">
            <w:pPr>
              <w:pStyle w:val="Bodyromannumerals"/>
            </w:pPr>
            <w:r w:rsidRPr="00216F0E">
              <w:rPr>
                <w:rFonts w:eastAsia="Calibri"/>
                <w:lang w:val="en-US"/>
              </w:rPr>
              <w:t>Input field</w:t>
            </w:r>
          </w:p>
        </w:tc>
      </w:tr>
      <w:tr w:rsidR="00690DF6" w:rsidRPr="00216F0E" w14:paraId="531CA0B0" w14:textId="77777777" w:rsidTr="004C0500">
        <w:tc>
          <w:tcPr>
            <w:tcW w:w="975" w:type="dxa"/>
          </w:tcPr>
          <w:p w14:paraId="16C0A2B3" w14:textId="53C4524F" w:rsidR="00690DF6" w:rsidRPr="004B596D" w:rsidRDefault="00690DF6" w:rsidP="004C0500">
            <w:pPr>
              <w:pStyle w:val="Bodyromannumerals"/>
              <w:rPr>
                <w:b/>
                <w:bCs/>
              </w:rPr>
            </w:pPr>
            <w:r w:rsidRPr="004B596D">
              <w:rPr>
                <w:b/>
                <w:bCs/>
              </w:rPr>
              <w:t>B3</w:t>
            </w:r>
            <w:r>
              <w:rPr>
                <w:b/>
                <w:bCs/>
              </w:rPr>
              <w:t>c</w:t>
            </w:r>
            <w:r w:rsidRPr="004B596D">
              <w:rPr>
                <w:b/>
                <w:bCs/>
              </w:rPr>
              <w:t>.5</w:t>
            </w:r>
          </w:p>
        </w:tc>
        <w:tc>
          <w:tcPr>
            <w:tcW w:w="5387" w:type="dxa"/>
            <w:gridSpan w:val="2"/>
          </w:tcPr>
          <w:p w14:paraId="772E60E0" w14:textId="065F7DD8" w:rsidR="00690DF6" w:rsidRPr="004B596D" w:rsidRDefault="00690DF6" w:rsidP="004C0500">
            <w:pPr>
              <w:pStyle w:val="Bodyromannumerals"/>
              <w:rPr>
                <w:b/>
                <w:bCs/>
              </w:rPr>
            </w:pPr>
            <w:r w:rsidRPr="004B596D">
              <w:rPr>
                <w:b/>
                <w:bCs/>
              </w:rPr>
              <w:t xml:space="preserve">Total </w:t>
            </w:r>
            <w:r w:rsidR="00B55456">
              <w:rPr>
                <w:b/>
                <w:bCs/>
              </w:rPr>
              <w:t xml:space="preserve">number of </w:t>
            </w:r>
            <w:r>
              <w:rPr>
                <w:b/>
                <w:bCs/>
              </w:rPr>
              <w:t xml:space="preserve">external </w:t>
            </w:r>
            <w:r w:rsidRPr="004B596D">
              <w:rPr>
                <w:b/>
                <w:bCs/>
              </w:rPr>
              <w:t xml:space="preserve">flooding incidents (overloaded </w:t>
            </w:r>
            <w:r w:rsidRPr="000810B7">
              <w:rPr>
                <w:b/>
                <w:bCs/>
              </w:rPr>
              <w:t>stormwater systems</w:t>
            </w:r>
            <w:r w:rsidRPr="004B596D">
              <w:rPr>
                <w:b/>
                <w:bCs/>
              </w:rPr>
              <w:t>)</w:t>
            </w:r>
          </w:p>
        </w:tc>
        <w:tc>
          <w:tcPr>
            <w:tcW w:w="1196" w:type="dxa"/>
          </w:tcPr>
          <w:p w14:paraId="494765E3" w14:textId="77777777" w:rsidR="00690DF6" w:rsidRPr="004B596D" w:rsidRDefault="00690DF6" w:rsidP="004C0500">
            <w:pPr>
              <w:pStyle w:val="Bodyromannumerals"/>
              <w:rPr>
                <w:b/>
                <w:bCs/>
              </w:rPr>
            </w:pPr>
            <w:r w:rsidRPr="004B596D">
              <w:rPr>
                <w:b/>
                <w:bCs/>
              </w:rPr>
              <w:t>Nr.</w:t>
            </w:r>
          </w:p>
        </w:tc>
      </w:tr>
      <w:tr w:rsidR="00690DF6" w:rsidRPr="00216F0E" w14:paraId="0823A72B" w14:textId="77777777" w:rsidTr="004C0500">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0C4D5702" w14:textId="77777777" w:rsidR="00690DF6" w:rsidRPr="00AF4AEA" w:rsidRDefault="00690DF6" w:rsidP="004C0500">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0E0F9DC1" w14:textId="21B86E18" w:rsidR="00690DF6" w:rsidRPr="00AF4AEA" w:rsidRDefault="00690DF6" w:rsidP="004C0500">
            <w:pPr>
              <w:pStyle w:val="Bodyromannumerals"/>
            </w:pPr>
            <w:r w:rsidRPr="00AF4AEA">
              <w:t xml:space="preserve">Total number of incidents of areas affected by external flooding in the year due to overloaded </w:t>
            </w:r>
            <w:r w:rsidRPr="000810B7">
              <w:t>stormwater systems</w:t>
            </w:r>
            <w:r w:rsidRPr="00AF4AEA">
              <w:t>.</w:t>
            </w:r>
            <w:r w:rsidR="004F6BB7">
              <w:t xml:space="preserve"> This includes flooding in gardens, streets, land and other public areas.</w:t>
            </w:r>
          </w:p>
        </w:tc>
      </w:tr>
      <w:tr w:rsidR="00690DF6" w:rsidRPr="00216F0E" w14:paraId="24608AB3" w14:textId="77777777" w:rsidTr="004C0500">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0DCFC" w14:textId="77777777" w:rsidR="00690DF6" w:rsidRPr="00AF4AEA" w:rsidRDefault="00690DF6" w:rsidP="004C0500">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A8A83" w14:textId="31955560" w:rsidR="00690DF6" w:rsidRPr="00AF4AEA" w:rsidRDefault="00690DF6" w:rsidP="004C0500">
            <w:pPr>
              <w:pStyle w:val="Bodyromannumerals"/>
            </w:pPr>
            <w:r w:rsidRPr="00AF4AEA">
              <w:t>Calculated field: SUM[B3</w:t>
            </w:r>
            <w:r>
              <w:t>c</w:t>
            </w:r>
            <w:r w:rsidRPr="00AF4AEA">
              <w:t>.2</w:t>
            </w:r>
            <w:r>
              <w:t>:</w:t>
            </w:r>
            <w:r w:rsidRPr="00AF4AEA">
              <w:t xml:space="preserve"> B3</w:t>
            </w:r>
            <w:r>
              <w:t>c</w:t>
            </w:r>
            <w:r w:rsidRPr="00AF4AEA">
              <w:t>.4]</w:t>
            </w:r>
          </w:p>
        </w:tc>
      </w:tr>
      <w:tr w:rsidR="00690DF6" w:rsidRPr="00216F0E" w14:paraId="6E39C540" w14:textId="77777777" w:rsidTr="004C0500">
        <w:tc>
          <w:tcPr>
            <w:tcW w:w="975" w:type="dxa"/>
          </w:tcPr>
          <w:p w14:paraId="26B5B6F7" w14:textId="7FD3DE37" w:rsidR="00690DF6" w:rsidRPr="004B596D" w:rsidRDefault="00690DF6" w:rsidP="004C0500">
            <w:pPr>
              <w:pStyle w:val="Bodyromannumerals"/>
              <w:rPr>
                <w:b/>
                <w:bCs/>
              </w:rPr>
            </w:pPr>
            <w:r w:rsidRPr="004B596D">
              <w:rPr>
                <w:b/>
                <w:bCs/>
              </w:rPr>
              <w:t>B3</w:t>
            </w:r>
            <w:r>
              <w:rPr>
                <w:b/>
                <w:bCs/>
              </w:rPr>
              <w:t>c</w:t>
            </w:r>
            <w:r w:rsidRPr="004B596D">
              <w:rPr>
                <w:b/>
                <w:bCs/>
              </w:rPr>
              <w:t>.6</w:t>
            </w:r>
          </w:p>
        </w:tc>
        <w:tc>
          <w:tcPr>
            <w:tcW w:w="5387" w:type="dxa"/>
            <w:gridSpan w:val="2"/>
          </w:tcPr>
          <w:p w14:paraId="2438F594" w14:textId="095B2C1E" w:rsidR="00690DF6" w:rsidRPr="004B596D" w:rsidRDefault="00B55456" w:rsidP="004C0500">
            <w:pPr>
              <w:pStyle w:val="Bodyromannumerals"/>
              <w:rPr>
                <w:b/>
                <w:bCs/>
              </w:rPr>
            </w:pPr>
            <w:r>
              <w:rPr>
                <w:b/>
                <w:bCs/>
              </w:rPr>
              <w:t>Number of e</w:t>
            </w:r>
            <w:r w:rsidR="00690DF6" w:rsidRPr="004B596D">
              <w:rPr>
                <w:b/>
                <w:bCs/>
              </w:rPr>
              <w:t xml:space="preserve">xternal flooding incidents (overloaded </w:t>
            </w:r>
            <w:r w:rsidR="00690DF6" w:rsidRPr="000810B7">
              <w:rPr>
                <w:b/>
                <w:bCs/>
              </w:rPr>
              <w:t>stormwater systems</w:t>
            </w:r>
            <w:r w:rsidR="00690DF6" w:rsidRPr="004B596D">
              <w:rPr>
                <w:b/>
                <w:bCs/>
              </w:rPr>
              <w:t xml:space="preserve"> attributed to severe weather)</w:t>
            </w:r>
          </w:p>
        </w:tc>
        <w:tc>
          <w:tcPr>
            <w:tcW w:w="1196" w:type="dxa"/>
          </w:tcPr>
          <w:p w14:paraId="3831EC0F" w14:textId="77777777" w:rsidR="00690DF6" w:rsidRPr="004B596D" w:rsidRDefault="00690DF6" w:rsidP="004C0500">
            <w:pPr>
              <w:pStyle w:val="Bodyromannumerals"/>
              <w:rPr>
                <w:b/>
                <w:bCs/>
              </w:rPr>
            </w:pPr>
            <w:r w:rsidRPr="004B596D">
              <w:rPr>
                <w:b/>
                <w:bCs/>
              </w:rPr>
              <w:t>Nr.</w:t>
            </w:r>
          </w:p>
        </w:tc>
      </w:tr>
      <w:tr w:rsidR="00690DF6" w:rsidRPr="00216F0E" w14:paraId="2E232AA8" w14:textId="77777777" w:rsidTr="004C0500">
        <w:tc>
          <w:tcPr>
            <w:tcW w:w="1986" w:type="dxa"/>
            <w:gridSpan w:val="2"/>
            <w:tcBorders>
              <w:left w:val="single" w:sz="4" w:space="0" w:color="FFFFFF" w:themeColor="background1"/>
              <w:bottom w:val="single" w:sz="4" w:space="0" w:color="FFFFFF" w:themeColor="background1"/>
              <w:right w:val="single" w:sz="4" w:space="0" w:color="FFFFFF" w:themeColor="background1"/>
            </w:tcBorders>
          </w:tcPr>
          <w:p w14:paraId="3951253B" w14:textId="77777777" w:rsidR="00690DF6" w:rsidRPr="00AF4AEA" w:rsidRDefault="00690DF6" w:rsidP="004C0500">
            <w:pPr>
              <w:pStyle w:val="Bodyromannumerals"/>
              <w:rPr>
                <w:i/>
              </w:rPr>
            </w:pPr>
            <w:r w:rsidRPr="00AF4AEA">
              <w:rPr>
                <w:rFonts w:eastAsia="Calibri"/>
                <w:i/>
                <w:lang w:val="en-US"/>
              </w:rPr>
              <w:t>Definition:</w:t>
            </w:r>
          </w:p>
        </w:tc>
        <w:tc>
          <w:tcPr>
            <w:tcW w:w="5572" w:type="dxa"/>
            <w:gridSpan w:val="2"/>
            <w:tcBorders>
              <w:left w:val="single" w:sz="4" w:space="0" w:color="FFFFFF" w:themeColor="background1"/>
              <w:bottom w:val="single" w:sz="4" w:space="0" w:color="FFFFFF" w:themeColor="background1"/>
              <w:right w:val="single" w:sz="4" w:space="0" w:color="FFFFFF" w:themeColor="background1"/>
            </w:tcBorders>
          </w:tcPr>
          <w:p w14:paraId="790E215F" w14:textId="7D6562FA" w:rsidR="00690DF6" w:rsidRPr="00AF4AEA" w:rsidRDefault="00690DF6" w:rsidP="004C0500">
            <w:pPr>
              <w:pStyle w:val="Bodyromannumerals"/>
            </w:pPr>
            <w:r w:rsidRPr="00AF4AEA">
              <w:t>The number of incidents of external flooding caused by overloaded</w:t>
            </w:r>
            <w:r w:rsidRPr="000810B7">
              <w:t xml:space="preserve"> stormwater systems</w:t>
            </w:r>
            <w:r w:rsidRPr="00AF4AEA">
              <w:t xml:space="preserve"> at areas which are known to be not at risk of flooding more frequently than once in twenty years. Accordingly, this line’s enumeration includes flooding incidents caused by severe storms which affect areas that are not at risk of flooding more frequently than once in twenty years. The </w:t>
            </w:r>
            <w:r>
              <w:t>Local Authority</w:t>
            </w:r>
            <w:r w:rsidRPr="00AF4AEA">
              <w:t xml:space="preserve"> should use the commentary to report the number of flooding incidents caused by severe weather at areas that are already known to be at risk of flooding from </w:t>
            </w:r>
            <w:r w:rsidRPr="000810B7">
              <w:t>stormwater systems</w:t>
            </w:r>
            <w:r w:rsidRPr="00AF4AEA">
              <w:t xml:space="preserve"> more frequently than once in twenty years. Incidents of flooding via the </w:t>
            </w:r>
            <w:r>
              <w:t>stormwater system</w:t>
            </w:r>
            <w:r w:rsidRPr="00AF4AEA">
              <w:t xml:space="preserve"> caused by overflowing watercourses should be excluded. </w:t>
            </w:r>
            <w:r>
              <w:t>T</w:t>
            </w:r>
            <w:r w:rsidRPr="00AF4AEA">
              <w:t xml:space="preserve">he </w:t>
            </w:r>
            <w:r>
              <w:t>Local Authority</w:t>
            </w:r>
            <w:r w:rsidRPr="00AF4AEA">
              <w:t xml:space="preserve"> should include the rainfall return periods for the incidents reported in the commentary.</w:t>
            </w:r>
          </w:p>
        </w:tc>
      </w:tr>
      <w:tr w:rsidR="00690DF6" w:rsidRPr="00216F0E" w14:paraId="2D6B2F33" w14:textId="77777777" w:rsidTr="004C0500">
        <w:tc>
          <w:tcPr>
            <w:tcW w:w="1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82D4D" w14:textId="77777777" w:rsidR="00690DF6" w:rsidRPr="00AF4AEA" w:rsidRDefault="00690DF6" w:rsidP="004C0500">
            <w:pPr>
              <w:pStyle w:val="Bodyromannumerals"/>
              <w:rPr>
                <w:i/>
              </w:rPr>
            </w:pPr>
            <w:r w:rsidRPr="00AF4AEA">
              <w:rPr>
                <w:rFonts w:eastAsia="Calibri"/>
                <w:i/>
                <w:lang w:val="en-US"/>
              </w:rPr>
              <w:t>Processing Rules:</w:t>
            </w:r>
          </w:p>
        </w:tc>
        <w:tc>
          <w:tcPr>
            <w:tcW w:w="55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E9447" w14:textId="77777777" w:rsidR="00690DF6" w:rsidRPr="00AF4AEA" w:rsidRDefault="00690DF6" w:rsidP="004C0500">
            <w:pPr>
              <w:pStyle w:val="Bodyromannumerals"/>
            </w:pPr>
            <w:r w:rsidRPr="00216F0E">
              <w:rPr>
                <w:rFonts w:eastAsia="Calibri"/>
                <w:lang w:val="en-US"/>
              </w:rPr>
              <w:t>Input field</w:t>
            </w:r>
          </w:p>
        </w:tc>
      </w:tr>
    </w:tbl>
    <w:p w14:paraId="03FE9557" w14:textId="77777777" w:rsidR="00690DF6" w:rsidRDefault="00690DF6" w:rsidP="00690DF6">
      <w:pPr>
        <w:pStyle w:val="Bodysub-heading2"/>
        <w:rPr>
          <w:lang w:val="ro-RO"/>
        </w:rPr>
      </w:pPr>
      <w:r>
        <w:rPr>
          <w:lang w:val="ro-RO"/>
        </w:rPr>
        <w:br w:type="page"/>
      </w:r>
    </w:p>
    <w:p w14:paraId="58B3EDF7" w14:textId="5AEF0988" w:rsidR="00690DF6" w:rsidRPr="0007555F" w:rsidRDefault="007E4C0F" w:rsidP="00690DF6">
      <w:pPr>
        <w:pStyle w:val="Bodysub-heading2"/>
        <w:rPr>
          <w:b/>
          <w:bCs/>
          <w:sz w:val="20"/>
          <w:szCs w:val="20"/>
          <w:lang w:val="ro-RO"/>
        </w:rPr>
      </w:pPr>
      <w:r>
        <w:rPr>
          <w:b/>
          <w:bCs/>
          <w:sz w:val="20"/>
          <w:szCs w:val="20"/>
          <w:lang w:val="ro-RO"/>
        </w:rPr>
        <w:lastRenderedPageBreak/>
        <w:t xml:space="preserve">(i) </w:t>
      </w:r>
      <w:r w:rsidR="00690DF6" w:rsidRPr="0007555F">
        <w:rPr>
          <w:b/>
          <w:bCs/>
          <w:sz w:val="20"/>
          <w:szCs w:val="20"/>
          <w:lang w:val="ro-RO"/>
        </w:rPr>
        <w:t>Other causes</w:t>
      </w:r>
    </w:p>
    <w:tbl>
      <w:tblPr>
        <w:tblStyle w:val="TableGrid"/>
        <w:tblW w:w="7558" w:type="dxa"/>
        <w:tblLook w:val="04A0" w:firstRow="1" w:lastRow="0" w:firstColumn="1" w:lastColumn="0" w:noHBand="0" w:noVBand="1"/>
      </w:tblPr>
      <w:tblGrid>
        <w:gridCol w:w="1110"/>
        <w:gridCol w:w="961"/>
        <w:gridCol w:w="4300"/>
        <w:gridCol w:w="1187"/>
      </w:tblGrid>
      <w:tr w:rsidR="00690DF6" w:rsidRPr="00216F0E" w14:paraId="2BD96B12" w14:textId="77777777" w:rsidTr="004C0500">
        <w:tc>
          <w:tcPr>
            <w:tcW w:w="1110" w:type="dxa"/>
          </w:tcPr>
          <w:p w14:paraId="09BD01E3" w14:textId="79F74AF0" w:rsidR="00690DF6" w:rsidRPr="004B596D" w:rsidRDefault="00690DF6" w:rsidP="004C0500">
            <w:pPr>
              <w:pStyle w:val="Bodyromannumerals"/>
              <w:rPr>
                <w:b/>
                <w:bCs/>
              </w:rPr>
            </w:pPr>
            <w:r w:rsidRPr="004B596D">
              <w:rPr>
                <w:b/>
                <w:bCs/>
              </w:rPr>
              <w:t>B3</w:t>
            </w:r>
            <w:r>
              <w:rPr>
                <w:b/>
                <w:bCs/>
              </w:rPr>
              <w:t>c</w:t>
            </w:r>
            <w:r w:rsidRPr="004B596D">
              <w:rPr>
                <w:b/>
                <w:bCs/>
              </w:rPr>
              <w:t>.7</w:t>
            </w:r>
          </w:p>
        </w:tc>
        <w:tc>
          <w:tcPr>
            <w:tcW w:w="5261" w:type="dxa"/>
            <w:gridSpan w:val="2"/>
          </w:tcPr>
          <w:p w14:paraId="32FE1D2F" w14:textId="77777777" w:rsidR="00690DF6" w:rsidRPr="004B596D" w:rsidRDefault="00690DF6" w:rsidP="004C0500">
            <w:pPr>
              <w:pStyle w:val="Bodyromannumerals"/>
              <w:rPr>
                <w:b/>
                <w:bCs/>
              </w:rPr>
            </w:pPr>
            <w:r w:rsidRPr="004B596D">
              <w:rPr>
                <w:b/>
                <w:bCs/>
              </w:rPr>
              <w:t>Areas flooded externally in the year (other causes)</w:t>
            </w:r>
          </w:p>
        </w:tc>
        <w:tc>
          <w:tcPr>
            <w:tcW w:w="1187" w:type="dxa"/>
          </w:tcPr>
          <w:p w14:paraId="59B264FF" w14:textId="77777777" w:rsidR="00690DF6" w:rsidRPr="004B596D" w:rsidRDefault="00690DF6" w:rsidP="004C0500">
            <w:pPr>
              <w:pStyle w:val="Bodyromannumerals"/>
              <w:rPr>
                <w:b/>
                <w:bCs/>
              </w:rPr>
            </w:pPr>
            <w:r w:rsidRPr="004B596D">
              <w:rPr>
                <w:b/>
                <w:bCs/>
              </w:rPr>
              <w:t>Nr.</w:t>
            </w:r>
          </w:p>
        </w:tc>
      </w:tr>
      <w:tr w:rsidR="00690DF6" w:rsidRPr="00216F0E" w14:paraId="32B513D4" w14:textId="77777777" w:rsidTr="004C0500">
        <w:tc>
          <w:tcPr>
            <w:tcW w:w="2071" w:type="dxa"/>
            <w:gridSpan w:val="2"/>
            <w:tcBorders>
              <w:left w:val="single" w:sz="4" w:space="0" w:color="FFFFFF" w:themeColor="background2"/>
              <w:bottom w:val="single" w:sz="4" w:space="0" w:color="FFFFFF" w:themeColor="background2"/>
              <w:right w:val="single" w:sz="4" w:space="0" w:color="FFFFFF" w:themeColor="background2"/>
            </w:tcBorders>
          </w:tcPr>
          <w:p w14:paraId="4EED629C" w14:textId="77777777" w:rsidR="00690DF6" w:rsidRPr="00AF4AEA" w:rsidRDefault="00690DF6" w:rsidP="004C0500">
            <w:pPr>
              <w:pStyle w:val="Bodyromannumerals"/>
              <w:rPr>
                <w:i/>
              </w:rPr>
            </w:pPr>
            <w:r w:rsidRPr="00AF4AEA">
              <w:rPr>
                <w:rFonts w:eastAsia="Calibri"/>
                <w:i/>
                <w:lang w:val="en-US"/>
              </w:rPr>
              <w:t>Definition:</w:t>
            </w:r>
          </w:p>
        </w:tc>
        <w:tc>
          <w:tcPr>
            <w:tcW w:w="5487" w:type="dxa"/>
            <w:gridSpan w:val="2"/>
            <w:tcBorders>
              <w:left w:val="single" w:sz="4" w:space="0" w:color="FFFFFF" w:themeColor="background2"/>
              <w:bottom w:val="single" w:sz="4" w:space="0" w:color="FFFFFF" w:themeColor="background2"/>
              <w:right w:val="single" w:sz="4" w:space="0" w:color="FFFFFF" w:themeColor="background2"/>
            </w:tcBorders>
          </w:tcPr>
          <w:p w14:paraId="03ECE90C" w14:textId="77777777" w:rsidR="00690DF6" w:rsidRPr="00AF4AEA" w:rsidRDefault="00690DF6" w:rsidP="004C0500">
            <w:pPr>
              <w:pStyle w:val="Bodyromannumerals"/>
            </w:pPr>
            <w:r w:rsidRPr="00AF4AEA">
              <w:t>The number of external areas affected by flooding incidents from equipment failures, blockages or collapses (collectively grouped as other causes). An area affected by more than one incident under this definition is reported as one area in this line.</w:t>
            </w:r>
          </w:p>
        </w:tc>
      </w:tr>
      <w:tr w:rsidR="00690DF6" w:rsidRPr="00216F0E" w14:paraId="503505C0" w14:textId="77777777" w:rsidTr="004C0500">
        <w:tc>
          <w:tcPr>
            <w:tcW w:w="20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7C674C5" w14:textId="77777777" w:rsidR="00690DF6" w:rsidRPr="00AF4AEA" w:rsidRDefault="00690DF6" w:rsidP="004C0500">
            <w:pPr>
              <w:pStyle w:val="Bodyromannumerals"/>
              <w:rPr>
                <w:i/>
              </w:rPr>
            </w:pPr>
            <w:r w:rsidRPr="00AF4AEA">
              <w:rPr>
                <w:rFonts w:eastAsia="Calibri"/>
                <w:i/>
                <w:lang w:val="en-US"/>
              </w:rPr>
              <w:t>Processing Rules:</w:t>
            </w:r>
          </w:p>
        </w:tc>
        <w:tc>
          <w:tcPr>
            <w:tcW w:w="54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37A91B8" w14:textId="77777777" w:rsidR="00690DF6" w:rsidRPr="00AF4AEA" w:rsidRDefault="00690DF6" w:rsidP="004C0500">
            <w:pPr>
              <w:pStyle w:val="Bodyromannumerals"/>
            </w:pPr>
            <w:r w:rsidRPr="00216F0E">
              <w:rPr>
                <w:rFonts w:eastAsia="Calibri"/>
                <w:lang w:val="en-US"/>
              </w:rPr>
              <w:t>Input field</w:t>
            </w:r>
          </w:p>
        </w:tc>
      </w:tr>
      <w:tr w:rsidR="00690DF6" w:rsidRPr="00216F0E" w14:paraId="0B43E76C" w14:textId="77777777" w:rsidTr="004C0500">
        <w:tc>
          <w:tcPr>
            <w:tcW w:w="1110" w:type="dxa"/>
          </w:tcPr>
          <w:p w14:paraId="1D2A82A6" w14:textId="4849E675" w:rsidR="00690DF6" w:rsidRPr="004B596D" w:rsidRDefault="00690DF6" w:rsidP="004C0500">
            <w:pPr>
              <w:pStyle w:val="Bodyromannumerals"/>
              <w:rPr>
                <w:b/>
                <w:bCs/>
              </w:rPr>
            </w:pPr>
            <w:r w:rsidRPr="004B596D">
              <w:rPr>
                <w:b/>
                <w:bCs/>
              </w:rPr>
              <w:t>B3</w:t>
            </w:r>
            <w:r>
              <w:rPr>
                <w:b/>
                <w:bCs/>
              </w:rPr>
              <w:t>c</w:t>
            </w:r>
            <w:r w:rsidRPr="004B596D">
              <w:rPr>
                <w:b/>
                <w:bCs/>
              </w:rPr>
              <w:t>.8</w:t>
            </w:r>
          </w:p>
        </w:tc>
        <w:tc>
          <w:tcPr>
            <w:tcW w:w="5261" w:type="dxa"/>
            <w:gridSpan w:val="2"/>
          </w:tcPr>
          <w:p w14:paraId="02E2E35D" w14:textId="04908385" w:rsidR="00690DF6" w:rsidRPr="004B596D" w:rsidRDefault="00B55456" w:rsidP="004C0500">
            <w:pPr>
              <w:pStyle w:val="Bodyromannumerals"/>
              <w:rPr>
                <w:b/>
                <w:bCs/>
              </w:rPr>
            </w:pPr>
            <w:r w:rsidRPr="00B55456">
              <w:rPr>
                <w:b/>
                <w:bCs/>
              </w:rPr>
              <w:t>Number of e</w:t>
            </w:r>
            <w:r w:rsidR="00690DF6">
              <w:rPr>
                <w:b/>
                <w:bCs/>
              </w:rPr>
              <w:t>xternal f</w:t>
            </w:r>
            <w:r w:rsidR="00690DF6" w:rsidRPr="004B596D">
              <w:rPr>
                <w:b/>
                <w:bCs/>
              </w:rPr>
              <w:t>looding incidents (other causes - equipment failure)</w:t>
            </w:r>
          </w:p>
        </w:tc>
        <w:tc>
          <w:tcPr>
            <w:tcW w:w="1187" w:type="dxa"/>
          </w:tcPr>
          <w:p w14:paraId="55391E15" w14:textId="77777777" w:rsidR="00690DF6" w:rsidRPr="004B596D" w:rsidRDefault="00690DF6" w:rsidP="004C0500">
            <w:pPr>
              <w:pStyle w:val="Bodyromannumerals"/>
              <w:rPr>
                <w:b/>
                <w:bCs/>
              </w:rPr>
            </w:pPr>
            <w:r w:rsidRPr="004B596D">
              <w:rPr>
                <w:b/>
                <w:bCs/>
              </w:rPr>
              <w:t>Nr.</w:t>
            </w:r>
          </w:p>
        </w:tc>
      </w:tr>
      <w:tr w:rsidR="00690DF6" w:rsidRPr="00216F0E" w14:paraId="6FDF98A6" w14:textId="77777777" w:rsidTr="004C0500">
        <w:tc>
          <w:tcPr>
            <w:tcW w:w="2071" w:type="dxa"/>
            <w:gridSpan w:val="2"/>
            <w:tcBorders>
              <w:left w:val="single" w:sz="4" w:space="0" w:color="FFFFFF" w:themeColor="background2"/>
              <w:bottom w:val="single" w:sz="4" w:space="0" w:color="FFFFFF" w:themeColor="background2"/>
              <w:right w:val="single" w:sz="4" w:space="0" w:color="FFFFFF" w:themeColor="background2"/>
            </w:tcBorders>
          </w:tcPr>
          <w:p w14:paraId="4711D1E8" w14:textId="77777777" w:rsidR="00690DF6" w:rsidRPr="00AF4AEA" w:rsidRDefault="00690DF6" w:rsidP="004C0500">
            <w:pPr>
              <w:pStyle w:val="Bodyromannumerals"/>
              <w:rPr>
                <w:i/>
              </w:rPr>
            </w:pPr>
            <w:r w:rsidRPr="00AF4AEA">
              <w:rPr>
                <w:rFonts w:eastAsia="Calibri"/>
                <w:i/>
                <w:lang w:val="en-US"/>
              </w:rPr>
              <w:t>Definition:</w:t>
            </w:r>
          </w:p>
        </w:tc>
        <w:tc>
          <w:tcPr>
            <w:tcW w:w="5487" w:type="dxa"/>
            <w:gridSpan w:val="2"/>
            <w:tcBorders>
              <w:left w:val="single" w:sz="4" w:space="0" w:color="FFFFFF" w:themeColor="background2"/>
              <w:bottom w:val="single" w:sz="4" w:space="0" w:color="FFFFFF" w:themeColor="background2"/>
              <w:right w:val="single" w:sz="4" w:space="0" w:color="FFFFFF" w:themeColor="background2"/>
            </w:tcBorders>
          </w:tcPr>
          <w:p w14:paraId="11AE898D" w14:textId="04CA8DAC" w:rsidR="00690DF6" w:rsidRPr="00AF4AEA" w:rsidRDefault="00690DF6" w:rsidP="004C0500">
            <w:pPr>
              <w:pStyle w:val="Bodyromannumerals"/>
            </w:pPr>
            <w:r w:rsidRPr="00AF4AEA">
              <w:t xml:space="preserve">The number of incidents of external flooding caused by the failure or incorrect operation of </w:t>
            </w:r>
            <w:r>
              <w:t>Local Authority</w:t>
            </w:r>
            <w:r w:rsidRPr="00AF4AEA">
              <w:t xml:space="preserve"> apparatus (e.g. pumping stations, penstocks,</w:t>
            </w:r>
            <w:r>
              <w:t xml:space="preserve"> stormwater system </w:t>
            </w:r>
            <w:r w:rsidRPr="00AF4AEA">
              <w:t>overflows, or real time control systems).</w:t>
            </w:r>
          </w:p>
        </w:tc>
      </w:tr>
      <w:tr w:rsidR="00690DF6" w:rsidRPr="00216F0E" w14:paraId="19FBB156" w14:textId="77777777" w:rsidTr="004C0500">
        <w:tc>
          <w:tcPr>
            <w:tcW w:w="20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EFFB82" w14:textId="77777777" w:rsidR="00690DF6" w:rsidRPr="00AF4AEA" w:rsidRDefault="00690DF6" w:rsidP="004C0500">
            <w:pPr>
              <w:pStyle w:val="Bodyromannumerals"/>
              <w:rPr>
                <w:i/>
              </w:rPr>
            </w:pPr>
            <w:r w:rsidRPr="00AF4AEA">
              <w:rPr>
                <w:rFonts w:eastAsia="Calibri"/>
                <w:i/>
                <w:lang w:val="en-US"/>
              </w:rPr>
              <w:t>Processing Rules:</w:t>
            </w:r>
          </w:p>
        </w:tc>
        <w:tc>
          <w:tcPr>
            <w:tcW w:w="54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49096F2" w14:textId="77777777" w:rsidR="00690DF6" w:rsidRPr="00AF4AEA" w:rsidRDefault="00690DF6" w:rsidP="004C0500">
            <w:pPr>
              <w:pStyle w:val="Bodyromannumerals"/>
            </w:pPr>
            <w:r w:rsidRPr="00216F0E">
              <w:rPr>
                <w:rFonts w:eastAsia="Calibri"/>
                <w:lang w:val="en-US"/>
              </w:rPr>
              <w:t>Input field</w:t>
            </w:r>
          </w:p>
        </w:tc>
      </w:tr>
      <w:tr w:rsidR="00690DF6" w:rsidRPr="00216F0E" w14:paraId="77FB6888" w14:textId="77777777" w:rsidTr="004C0500">
        <w:tc>
          <w:tcPr>
            <w:tcW w:w="1110" w:type="dxa"/>
          </w:tcPr>
          <w:p w14:paraId="67CEE78A" w14:textId="60A8E6FA" w:rsidR="00690DF6" w:rsidRPr="004B596D" w:rsidRDefault="00690DF6" w:rsidP="004C0500">
            <w:pPr>
              <w:pStyle w:val="Bodyromannumerals"/>
              <w:rPr>
                <w:b/>
                <w:bCs/>
              </w:rPr>
            </w:pPr>
            <w:r>
              <w:br w:type="page"/>
            </w:r>
            <w:r w:rsidRPr="004B596D">
              <w:rPr>
                <w:b/>
                <w:bCs/>
              </w:rPr>
              <w:t>B3</w:t>
            </w:r>
            <w:r>
              <w:rPr>
                <w:b/>
                <w:bCs/>
              </w:rPr>
              <w:t>c</w:t>
            </w:r>
            <w:r w:rsidRPr="004B596D">
              <w:rPr>
                <w:b/>
                <w:bCs/>
              </w:rPr>
              <w:t>.9</w:t>
            </w:r>
          </w:p>
        </w:tc>
        <w:tc>
          <w:tcPr>
            <w:tcW w:w="5261" w:type="dxa"/>
            <w:gridSpan w:val="2"/>
          </w:tcPr>
          <w:p w14:paraId="079574EC" w14:textId="0709684A" w:rsidR="00690DF6" w:rsidRPr="004B596D" w:rsidRDefault="00B55456" w:rsidP="004C0500">
            <w:pPr>
              <w:pStyle w:val="Bodyromannumerals"/>
              <w:rPr>
                <w:b/>
                <w:bCs/>
              </w:rPr>
            </w:pPr>
            <w:r w:rsidRPr="00B55456">
              <w:rPr>
                <w:b/>
                <w:bCs/>
              </w:rPr>
              <w:t>Number of e</w:t>
            </w:r>
            <w:r w:rsidR="00690DF6">
              <w:rPr>
                <w:b/>
                <w:bCs/>
              </w:rPr>
              <w:t>xternal f</w:t>
            </w:r>
            <w:r w:rsidR="00690DF6" w:rsidRPr="004B596D">
              <w:rPr>
                <w:b/>
                <w:bCs/>
              </w:rPr>
              <w:t>looding incidents (other causes - blockages)</w:t>
            </w:r>
          </w:p>
        </w:tc>
        <w:tc>
          <w:tcPr>
            <w:tcW w:w="1187" w:type="dxa"/>
          </w:tcPr>
          <w:p w14:paraId="0BB348C5" w14:textId="77777777" w:rsidR="00690DF6" w:rsidRPr="004B596D" w:rsidRDefault="00690DF6" w:rsidP="004C0500">
            <w:pPr>
              <w:pStyle w:val="Bodyromannumerals"/>
              <w:rPr>
                <w:b/>
                <w:bCs/>
              </w:rPr>
            </w:pPr>
            <w:r w:rsidRPr="004B596D">
              <w:rPr>
                <w:b/>
                <w:bCs/>
              </w:rPr>
              <w:t>Nr.</w:t>
            </w:r>
          </w:p>
        </w:tc>
      </w:tr>
      <w:tr w:rsidR="00690DF6" w:rsidRPr="00216F0E" w14:paraId="5BCCCCD5" w14:textId="77777777" w:rsidTr="004C0500">
        <w:tc>
          <w:tcPr>
            <w:tcW w:w="2071" w:type="dxa"/>
            <w:gridSpan w:val="2"/>
            <w:tcBorders>
              <w:left w:val="single" w:sz="4" w:space="0" w:color="FFFFFF" w:themeColor="background2"/>
              <w:bottom w:val="single" w:sz="4" w:space="0" w:color="FFFFFF" w:themeColor="background2"/>
              <w:right w:val="single" w:sz="4" w:space="0" w:color="FFFFFF" w:themeColor="background2"/>
            </w:tcBorders>
          </w:tcPr>
          <w:p w14:paraId="02E627BD" w14:textId="77777777" w:rsidR="00690DF6" w:rsidRPr="00AF4AEA" w:rsidRDefault="00690DF6" w:rsidP="004C0500">
            <w:pPr>
              <w:pStyle w:val="Bodyromannumerals"/>
              <w:rPr>
                <w:i/>
              </w:rPr>
            </w:pPr>
            <w:r w:rsidRPr="00AF4AEA">
              <w:rPr>
                <w:rFonts w:eastAsia="Calibri"/>
                <w:i/>
                <w:lang w:val="en-US"/>
              </w:rPr>
              <w:t>Definition:</w:t>
            </w:r>
          </w:p>
        </w:tc>
        <w:tc>
          <w:tcPr>
            <w:tcW w:w="5487" w:type="dxa"/>
            <w:gridSpan w:val="2"/>
            <w:tcBorders>
              <w:left w:val="single" w:sz="4" w:space="0" w:color="FFFFFF" w:themeColor="background2"/>
              <w:bottom w:val="single" w:sz="4" w:space="0" w:color="FFFFFF" w:themeColor="background2"/>
              <w:right w:val="single" w:sz="4" w:space="0" w:color="FFFFFF" w:themeColor="background2"/>
            </w:tcBorders>
          </w:tcPr>
          <w:p w14:paraId="528F3ABA" w14:textId="2D4C3DAE" w:rsidR="00690DF6" w:rsidRPr="00AF4AEA" w:rsidRDefault="00690DF6" w:rsidP="004C0500">
            <w:pPr>
              <w:pStyle w:val="Bodyromannumerals"/>
            </w:pPr>
            <w:r w:rsidRPr="00AF4AEA">
              <w:t xml:space="preserve">The number of incidents of external flooding caused by a complete or partial blockage of the </w:t>
            </w:r>
            <w:r w:rsidR="00693C96">
              <w:t>stormwater system</w:t>
            </w:r>
            <w:r w:rsidRPr="00AF4AEA">
              <w:t xml:space="preserve"> (including siltation) where the </w:t>
            </w:r>
            <w:r w:rsidR="00693C96">
              <w:t>stormwater system</w:t>
            </w:r>
            <w:r w:rsidR="00693C96" w:rsidRPr="00AF4AEA">
              <w:t xml:space="preserve"> </w:t>
            </w:r>
            <w:r w:rsidRPr="00AF4AEA">
              <w:t>itself is still intact. If the blockage is the result of a fracture or deformation of the pipe, it should be included in the ‘other causes – collapses’ category.</w:t>
            </w:r>
          </w:p>
        </w:tc>
      </w:tr>
      <w:tr w:rsidR="00690DF6" w:rsidRPr="00216F0E" w14:paraId="30BD2CF0" w14:textId="77777777" w:rsidTr="004C0500">
        <w:tc>
          <w:tcPr>
            <w:tcW w:w="20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ADB015C" w14:textId="77777777" w:rsidR="00690DF6" w:rsidRPr="00AF4AEA" w:rsidRDefault="00690DF6" w:rsidP="004C0500">
            <w:pPr>
              <w:pStyle w:val="Bodyromannumerals"/>
              <w:rPr>
                <w:i/>
              </w:rPr>
            </w:pPr>
            <w:r w:rsidRPr="00AF4AEA">
              <w:rPr>
                <w:rFonts w:eastAsia="Calibri"/>
                <w:i/>
                <w:lang w:val="en-US"/>
              </w:rPr>
              <w:t>Processing Rules:</w:t>
            </w:r>
          </w:p>
        </w:tc>
        <w:tc>
          <w:tcPr>
            <w:tcW w:w="54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ED01B8A" w14:textId="77777777" w:rsidR="00690DF6" w:rsidRPr="00AF4AEA" w:rsidRDefault="00690DF6" w:rsidP="004C0500">
            <w:pPr>
              <w:pStyle w:val="Bodyromannumerals"/>
            </w:pPr>
            <w:r w:rsidRPr="00216F0E">
              <w:rPr>
                <w:rFonts w:eastAsia="Calibri"/>
                <w:lang w:val="en-US"/>
              </w:rPr>
              <w:t>Input field</w:t>
            </w:r>
          </w:p>
        </w:tc>
      </w:tr>
      <w:tr w:rsidR="00690DF6" w:rsidRPr="00216F0E" w14:paraId="460E890D" w14:textId="77777777" w:rsidTr="004C0500">
        <w:tc>
          <w:tcPr>
            <w:tcW w:w="1110" w:type="dxa"/>
          </w:tcPr>
          <w:p w14:paraId="6471C8AE" w14:textId="28D0FBDD" w:rsidR="00690DF6" w:rsidRPr="004B596D" w:rsidRDefault="00690DF6" w:rsidP="004C0500">
            <w:pPr>
              <w:pStyle w:val="Bodyromannumerals"/>
              <w:rPr>
                <w:b/>
                <w:bCs/>
              </w:rPr>
            </w:pPr>
            <w:r w:rsidRPr="004B596D">
              <w:rPr>
                <w:b/>
                <w:bCs/>
              </w:rPr>
              <w:t>B3</w:t>
            </w:r>
            <w:r>
              <w:rPr>
                <w:b/>
                <w:bCs/>
              </w:rPr>
              <w:t>c</w:t>
            </w:r>
            <w:r w:rsidRPr="004B596D">
              <w:rPr>
                <w:b/>
                <w:bCs/>
              </w:rPr>
              <w:t>.10</w:t>
            </w:r>
          </w:p>
        </w:tc>
        <w:tc>
          <w:tcPr>
            <w:tcW w:w="5261" w:type="dxa"/>
            <w:gridSpan w:val="2"/>
          </w:tcPr>
          <w:p w14:paraId="7C2C9EB6" w14:textId="021786C1" w:rsidR="00690DF6" w:rsidRPr="004B596D" w:rsidRDefault="00B55456" w:rsidP="004C0500">
            <w:pPr>
              <w:pStyle w:val="Bodyromannumerals"/>
              <w:rPr>
                <w:b/>
                <w:bCs/>
              </w:rPr>
            </w:pPr>
            <w:r w:rsidRPr="00B55456">
              <w:rPr>
                <w:b/>
                <w:bCs/>
              </w:rPr>
              <w:t>Number of e</w:t>
            </w:r>
            <w:r w:rsidR="00690DF6">
              <w:rPr>
                <w:b/>
                <w:bCs/>
              </w:rPr>
              <w:t>xternal f</w:t>
            </w:r>
            <w:r w:rsidR="00690DF6" w:rsidRPr="004B596D">
              <w:rPr>
                <w:b/>
                <w:bCs/>
              </w:rPr>
              <w:t>looding incidents (other causes - collapses)</w:t>
            </w:r>
          </w:p>
        </w:tc>
        <w:tc>
          <w:tcPr>
            <w:tcW w:w="1187" w:type="dxa"/>
          </w:tcPr>
          <w:p w14:paraId="56D1B4B6" w14:textId="77777777" w:rsidR="00690DF6" w:rsidRPr="004B596D" w:rsidRDefault="00690DF6" w:rsidP="004C0500">
            <w:pPr>
              <w:pStyle w:val="Bodyromannumerals"/>
              <w:rPr>
                <w:b/>
                <w:bCs/>
              </w:rPr>
            </w:pPr>
            <w:r w:rsidRPr="004B596D">
              <w:rPr>
                <w:b/>
                <w:bCs/>
              </w:rPr>
              <w:t>Nr.</w:t>
            </w:r>
          </w:p>
        </w:tc>
      </w:tr>
      <w:tr w:rsidR="00690DF6" w:rsidRPr="00216F0E" w14:paraId="2AC1852D" w14:textId="77777777" w:rsidTr="004C0500">
        <w:tc>
          <w:tcPr>
            <w:tcW w:w="2071" w:type="dxa"/>
            <w:gridSpan w:val="2"/>
            <w:tcBorders>
              <w:left w:val="single" w:sz="4" w:space="0" w:color="FFFFFF" w:themeColor="background2"/>
              <w:bottom w:val="single" w:sz="4" w:space="0" w:color="FFFFFF" w:themeColor="background2"/>
              <w:right w:val="single" w:sz="4" w:space="0" w:color="FFFFFF" w:themeColor="background2"/>
            </w:tcBorders>
          </w:tcPr>
          <w:p w14:paraId="36AC96E2" w14:textId="77777777" w:rsidR="00690DF6" w:rsidRPr="00AF4AEA" w:rsidRDefault="00690DF6" w:rsidP="004C0500">
            <w:pPr>
              <w:pStyle w:val="Bodyromannumerals"/>
              <w:rPr>
                <w:i/>
              </w:rPr>
            </w:pPr>
            <w:r w:rsidRPr="00AF4AEA">
              <w:rPr>
                <w:rFonts w:eastAsia="Calibri"/>
                <w:i/>
                <w:lang w:val="en-US"/>
              </w:rPr>
              <w:t>Definition:</w:t>
            </w:r>
          </w:p>
        </w:tc>
        <w:tc>
          <w:tcPr>
            <w:tcW w:w="5487" w:type="dxa"/>
            <w:gridSpan w:val="2"/>
            <w:tcBorders>
              <w:left w:val="single" w:sz="4" w:space="0" w:color="FFFFFF" w:themeColor="background2"/>
              <w:bottom w:val="single" w:sz="4" w:space="0" w:color="FFFFFF" w:themeColor="background2"/>
              <w:right w:val="single" w:sz="4" w:space="0" w:color="FFFFFF" w:themeColor="background2"/>
            </w:tcBorders>
          </w:tcPr>
          <w:p w14:paraId="162529CE" w14:textId="3E7438D0" w:rsidR="00690DF6" w:rsidRPr="00AF4AEA" w:rsidRDefault="00690DF6" w:rsidP="004C0500">
            <w:pPr>
              <w:pStyle w:val="Bodyromannumerals"/>
            </w:pPr>
            <w:r w:rsidRPr="00AF4AEA">
              <w:t xml:space="preserve">The number of incidents of external flooding caused by the collapse of a </w:t>
            </w:r>
            <w:r w:rsidRPr="000810B7">
              <w:t>stormwater system</w:t>
            </w:r>
            <w:r w:rsidRPr="00AF4AEA">
              <w:t>. This line’s enumerator should also include incidents due to fracture or deformation.</w:t>
            </w:r>
          </w:p>
        </w:tc>
      </w:tr>
      <w:tr w:rsidR="00690DF6" w:rsidRPr="00216F0E" w14:paraId="4A4105AD" w14:textId="77777777" w:rsidTr="004C0500">
        <w:tc>
          <w:tcPr>
            <w:tcW w:w="207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D1ED1CF" w14:textId="77777777" w:rsidR="00690DF6" w:rsidRPr="00AF4AEA" w:rsidRDefault="00690DF6" w:rsidP="004C0500">
            <w:pPr>
              <w:pStyle w:val="Bodyromannumerals"/>
              <w:rPr>
                <w:i/>
              </w:rPr>
            </w:pPr>
            <w:r w:rsidRPr="00AF4AEA">
              <w:rPr>
                <w:rFonts w:eastAsia="Calibri"/>
                <w:i/>
                <w:lang w:val="en-US"/>
              </w:rPr>
              <w:t>Processing Rules:</w:t>
            </w:r>
          </w:p>
        </w:tc>
        <w:tc>
          <w:tcPr>
            <w:tcW w:w="548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263D077" w14:textId="77777777" w:rsidR="00690DF6" w:rsidRPr="00AF4AEA" w:rsidRDefault="00690DF6" w:rsidP="004C0500">
            <w:pPr>
              <w:pStyle w:val="Bodyromannumerals"/>
            </w:pPr>
            <w:r w:rsidRPr="00216F0E">
              <w:rPr>
                <w:rFonts w:eastAsia="Calibri"/>
                <w:lang w:val="en-US"/>
              </w:rPr>
              <w:t>Input field</w:t>
            </w:r>
          </w:p>
        </w:tc>
      </w:tr>
    </w:tbl>
    <w:p w14:paraId="3B838A47" w14:textId="77777777" w:rsidR="00690DF6" w:rsidRPr="00AF4AEA" w:rsidRDefault="00690DF6" w:rsidP="00690DF6">
      <w:pPr>
        <w:keepLines/>
        <w:jc w:val="both"/>
        <w:rPr>
          <w:rFonts w:cs="Calibri"/>
          <w:b/>
        </w:rPr>
      </w:pPr>
    </w:p>
    <w:p w14:paraId="405C9AC3" w14:textId="77777777" w:rsidR="00690DF6" w:rsidRDefault="00690DF6" w:rsidP="00690DF6">
      <w:pPr>
        <w:pStyle w:val="Sectionsub-heading"/>
      </w:pPr>
      <w:r>
        <w:br w:type="page"/>
      </w:r>
    </w:p>
    <w:p w14:paraId="3BAA03EE" w14:textId="4A0F0FBB" w:rsidR="00690DF6" w:rsidRDefault="00690DF6" w:rsidP="00690DF6">
      <w:pPr>
        <w:pStyle w:val="Sectionsub-heading"/>
      </w:pPr>
      <w:r>
        <w:lastRenderedPageBreak/>
        <w:t xml:space="preserve">BLOCK </w:t>
      </w:r>
      <w:r w:rsidR="00D40E72">
        <w:t>2</w:t>
      </w:r>
      <w:r>
        <w:t>: POLLUTION INCIDENTS</w:t>
      </w:r>
    </w:p>
    <w:tbl>
      <w:tblPr>
        <w:tblStyle w:val="TableGrid"/>
        <w:tblW w:w="7558" w:type="dxa"/>
        <w:tblLook w:val="04A0" w:firstRow="1" w:lastRow="0" w:firstColumn="1" w:lastColumn="0" w:noHBand="0" w:noVBand="1"/>
      </w:tblPr>
      <w:tblGrid>
        <w:gridCol w:w="1170"/>
        <w:gridCol w:w="905"/>
        <w:gridCol w:w="4299"/>
        <w:gridCol w:w="1184"/>
      </w:tblGrid>
      <w:tr w:rsidR="00690DF6" w:rsidRPr="00216F0E" w14:paraId="387BB910" w14:textId="77777777" w:rsidTr="004C0500">
        <w:tc>
          <w:tcPr>
            <w:tcW w:w="1170" w:type="dxa"/>
          </w:tcPr>
          <w:p w14:paraId="04659A2E" w14:textId="1649C7A1" w:rsidR="00690DF6" w:rsidRPr="00E16433" w:rsidRDefault="00690DF6" w:rsidP="004C0500">
            <w:pPr>
              <w:pStyle w:val="Bodyromannumerals"/>
              <w:rPr>
                <w:b/>
                <w:bCs/>
              </w:rPr>
            </w:pPr>
            <w:r w:rsidRPr="00E16433">
              <w:rPr>
                <w:b/>
                <w:bCs/>
              </w:rPr>
              <w:t>B3</w:t>
            </w:r>
            <w:r w:rsidR="00F16F4A">
              <w:rPr>
                <w:b/>
                <w:bCs/>
              </w:rPr>
              <w:t>c</w:t>
            </w:r>
            <w:r w:rsidRPr="00E16433">
              <w:rPr>
                <w:b/>
                <w:bCs/>
              </w:rPr>
              <w:t>.26</w:t>
            </w:r>
          </w:p>
        </w:tc>
        <w:tc>
          <w:tcPr>
            <w:tcW w:w="5204" w:type="dxa"/>
            <w:gridSpan w:val="2"/>
          </w:tcPr>
          <w:p w14:paraId="48D88C96" w14:textId="77777777" w:rsidR="00690DF6" w:rsidRPr="00E16433" w:rsidRDefault="00690DF6" w:rsidP="004C0500">
            <w:pPr>
              <w:pStyle w:val="Bodyromannumerals"/>
              <w:rPr>
                <w:b/>
                <w:bCs/>
              </w:rPr>
            </w:pPr>
            <w:r w:rsidRPr="00E16433">
              <w:rPr>
                <w:b/>
                <w:bCs/>
              </w:rPr>
              <w:t>Number of pollution incidents</w:t>
            </w:r>
          </w:p>
        </w:tc>
        <w:tc>
          <w:tcPr>
            <w:tcW w:w="1184" w:type="dxa"/>
          </w:tcPr>
          <w:p w14:paraId="369620F9" w14:textId="77777777" w:rsidR="00690DF6" w:rsidRPr="00E16433" w:rsidRDefault="00690DF6" w:rsidP="004C0500">
            <w:pPr>
              <w:pStyle w:val="Bodyromannumerals"/>
              <w:rPr>
                <w:b/>
                <w:bCs/>
              </w:rPr>
            </w:pPr>
            <w:r w:rsidRPr="00E16433">
              <w:rPr>
                <w:b/>
                <w:bCs/>
              </w:rPr>
              <w:t>Nr.</w:t>
            </w:r>
          </w:p>
        </w:tc>
      </w:tr>
      <w:tr w:rsidR="00690DF6" w:rsidRPr="00216F0E" w14:paraId="5DDE1333" w14:textId="77777777" w:rsidTr="004C0500">
        <w:trPr>
          <w:trHeight w:val="2934"/>
        </w:trPr>
        <w:tc>
          <w:tcPr>
            <w:tcW w:w="2075" w:type="dxa"/>
            <w:gridSpan w:val="2"/>
            <w:tcBorders>
              <w:left w:val="single" w:sz="4" w:space="0" w:color="FFFFFF" w:themeColor="background2"/>
              <w:bottom w:val="single" w:sz="4" w:space="0" w:color="FFFFFF" w:themeColor="background2"/>
              <w:right w:val="single" w:sz="4" w:space="0" w:color="FFFFFF" w:themeColor="background2"/>
            </w:tcBorders>
          </w:tcPr>
          <w:p w14:paraId="7D777506" w14:textId="77777777" w:rsidR="00690DF6" w:rsidRPr="00AF4AEA" w:rsidRDefault="00690DF6" w:rsidP="004C0500">
            <w:pPr>
              <w:pStyle w:val="Bodyromannumerals"/>
              <w:rPr>
                <w:i/>
              </w:rPr>
            </w:pPr>
            <w:r w:rsidRPr="00AF4AEA">
              <w:rPr>
                <w:rFonts w:eastAsia="Calibri"/>
                <w:i/>
                <w:lang w:val="en-US"/>
              </w:rPr>
              <w:t>Definition:</w:t>
            </w:r>
          </w:p>
        </w:tc>
        <w:tc>
          <w:tcPr>
            <w:tcW w:w="5483" w:type="dxa"/>
            <w:gridSpan w:val="2"/>
            <w:tcBorders>
              <w:left w:val="single" w:sz="4" w:space="0" w:color="FFFFFF" w:themeColor="background2"/>
              <w:bottom w:val="single" w:sz="4" w:space="0" w:color="FFFFFF" w:themeColor="background2"/>
              <w:right w:val="single" w:sz="4" w:space="0" w:color="FFFFFF" w:themeColor="background2"/>
            </w:tcBorders>
          </w:tcPr>
          <w:p w14:paraId="6AD15BB1" w14:textId="77332275" w:rsidR="00690DF6" w:rsidRPr="00AF4AEA" w:rsidRDefault="00690DF6" w:rsidP="004C0500">
            <w:pPr>
              <w:pStyle w:val="Bodyromannumerals"/>
            </w:pPr>
            <w:r w:rsidRPr="00AF4AEA">
              <w:t xml:space="preserve">The total number of pollution incidents (categories 1 to 3) in a calendar year emanating from a discharge or escape of a contaminant from a </w:t>
            </w:r>
            <w:r w:rsidR="00356481">
              <w:t xml:space="preserve">Local Authority </w:t>
            </w:r>
            <w:r w:rsidR="00693C96">
              <w:t>stormwater</w:t>
            </w:r>
            <w:r w:rsidRPr="00AF4AEA">
              <w:t xml:space="preserve"> asset.</w:t>
            </w:r>
          </w:p>
          <w:p w14:paraId="7CB78085" w14:textId="77777777" w:rsidR="00690DF6" w:rsidRPr="00AF4AEA" w:rsidRDefault="00690DF6" w:rsidP="004C0500">
            <w:pPr>
              <w:pStyle w:val="Bodyromannumerals"/>
            </w:pPr>
            <w:r w:rsidRPr="00AF4AEA">
              <w:t xml:space="preserve">Category 1 – major, serious, persistent and/or extensive impact or effect on the environment, people and/or property </w:t>
            </w:r>
          </w:p>
          <w:p w14:paraId="26CA6BD3" w14:textId="77777777" w:rsidR="00690DF6" w:rsidRPr="00AF4AEA" w:rsidRDefault="00690DF6" w:rsidP="004C0500">
            <w:pPr>
              <w:pStyle w:val="Bodyromannumerals"/>
            </w:pPr>
            <w:r w:rsidRPr="00AF4AEA">
              <w:t>Category 2 – significant impact or effect on the environment, people and/or property</w:t>
            </w:r>
          </w:p>
          <w:p w14:paraId="3E973AB8" w14:textId="77777777" w:rsidR="00690DF6" w:rsidRPr="00AF4AEA" w:rsidRDefault="00690DF6" w:rsidP="004C0500">
            <w:pPr>
              <w:pStyle w:val="Bodyromannumerals"/>
            </w:pPr>
            <w:r w:rsidRPr="00AF4AEA">
              <w:t xml:space="preserve">Category 3 – minor or minimal impact or effect on the environment, people and/or property </w:t>
            </w:r>
          </w:p>
          <w:p w14:paraId="4AB4801B" w14:textId="77777777" w:rsidR="00690DF6" w:rsidRPr="00AF4AEA" w:rsidRDefault="00690DF6" w:rsidP="004C0500">
            <w:pPr>
              <w:pStyle w:val="Bodyromannumerals"/>
            </w:pPr>
            <w:r w:rsidRPr="00AF4AEA">
              <w:t xml:space="preserve">Category 4 – substantiated incident with no impact. </w:t>
            </w:r>
          </w:p>
          <w:p w14:paraId="09A36ECB" w14:textId="77777777" w:rsidR="00690DF6" w:rsidRPr="00AF4AEA" w:rsidRDefault="00690DF6" w:rsidP="004C0500">
            <w:pPr>
              <w:pStyle w:val="Bodyromannumerals"/>
            </w:pPr>
            <w:r w:rsidRPr="00AF4AEA">
              <w:t>We can provide examples of each type of incident, if useful.</w:t>
            </w:r>
          </w:p>
        </w:tc>
      </w:tr>
      <w:tr w:rsidR="00690DF6" w:rsidRPr="00216F0E" w14:paraId="7D06B83C" w14:textId="77777777" w:rsidTr="004C0500">
        <w:trPr>
          <w:trHeight w:val="185"/>
        </w:trPr>
        <w:tc>
          <w:tcPr>
            <w:tcW w:w="207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B9360DF" w14:textId="77777777" w:rsidR="00690DF6" w:rsidRPr="00AF4AEA" w:rsidRDefault="00690DF6" w:rsidP="004C0500">
            <w:pPr>
              <w:pStyle w:val="Bodyromannumerals"/>
              <w:rPr>
                <w:i/>
              </w:rPr>
            </w:pPr>
            <w:r w:rsidRPr="00AF4AEA">
              <w:rPr>
                <w:rFonts w:eastAsia="Calibri"/>
                <w:i/>
                <w:lang w:val="en-US"/>
              </w:rPr>
              <w:t>Processing Rules:</w:t>
            </w:r>
          </w:p>
        </w:tc>
        <w:tc>
          <w:tcPr>
            <w:tcW w:w="54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FF82094" w14:textId="77777777" w:rsidR="00690DF6" w:rsidRPr="00AF4AEA" w:rsidRDefault="00690DF6" w:rsidP="004C0500">
            <w:pPr>
              <w:pStyle w:val="Bodyromannumerals"/>
            </w:pPr>
            <w:r w:rsidRPr="00AF4AEA">
              <w:rPr>
                <w:rFonts w:eastAsia="Calibri"/>
                <w:lang w:val="en-US"/>
              </w:rPr>
              <w:t>Input field</w:t>
            </w:r>
          </w:p>
        </w:tc>
      </w:tr>
      <w:tr w:rsidR="00690DF6" w:rsidRPr="00216F0E" w14:paraId="688D4528" w14:textId="77777777" w:rsidTr="004C0500">
        <w:tc>
          <w:tcPr>
            <w:tcW w:w="1170" w:type="dxa"/>
          </w:tcPr>
          <w:p w14:paraId="05D6DA46" w14:textId="5F0D634A" w:rsidR="00690DF6" w:rsidRPr="00E16433" w:rsidRDefault="00690DF6" w:rsidP="004C0500">
            <w:pPr>
              <w:pStyle w:val="Bodyromannumerals"/>
              <w:rPr>
                <w:b/>
                <w:bCs/>
              </w:rPr>
            </w:pPr>
            <w:r w:rsidRPr="00E16433">
              <w:rPr>
                <w:b/>
                <w:bCs/>
              </w:rPr>
              <w:t>B3</w:t>
            </w:r>
            <w:r w:rsidR="00F16F4A">
              <w:rPr>
                <w:b/>
                <w:bCs/>
              </w:rPr>
              <w:t>c</w:t>
            </w:r>
            <w:r w:rsidRPr="00E16433">
              <w:rPr>
                <w:b/>
                <w:bCs/>
              </w:rPr>
              <w:t>.27</w:t>
            </w:r>
          </w:p>
        </w:tc>
        <w:tc>
          <w:tcPr>
            <w:tcW w:w="5204" w:type="dxa"/>
            <w:gridSpan w:val="2"/>
          </w:tcPr>
          <w:p w14:paraId="1E80684D" w14:textId="77777777" w:rsidR="00690DF6" w:rsidRPr="00E16433" w:rsidRDefault="00690DF6" w:rsidP="004C0500">
            <w:pPr>
              <w:pStyle w:val="Bodyromannumerals"/>
              <w:rPr>
                <w:b/>
                <w:bCs/>
              </w:rPr>
            </w:pPr>
            <w:r w:rsidRPr="00E16433">
              <w:rPr>
                <w:b/>
                <w:bCs/>
              </w:rPr>
              <w:t>Serious pollution incidents</w:t>
            </w:r>
          </w:p>
        </w:tc>
        <w:tc>
          <w:tcPr>
            <w:tcW w:w="1184" w:type="dxa"/>
          </w:tcPr>
          <w:p w14:paraId="3F2E26A4" w14:textId="77777777" w:rsidR="00690DF6" w:rsidRPr="00E16433" w:rsidRDefault="00690DF6" w:rsidP="004C0500">
            <w:pPr>
              <w:pStyle w:val="Bodyromannumerals"/>
              <w:rPr>
                <w:b/>
                <w:bCs/>
              </w:rPr>
            </w:pPr>
            <w:r w:rsidRPr="00E16433">
              <w:rPr>
                <w:b/>
                <w:bCs/>
              </w:rPr>
              <w:t>Nr.</w:t>
            </w:r>
          </w:p>
        </w:tc>
      </w:tr>
      <w:tr w:rsidR="00690DF6" w:rsidRPr="00216F0E" w14:paraId="450559C6" w14:textId="77777777" w:rsidTr="004C0500">
        <w:tc>
          <w:tcPr>
            <w:tcW w:w="2075" w:type="dxa"/>
            <w:gridSpan w:val="2"/>
            <w:tcBorders>
              <w:left w:val="single" w:sz="4" w:space="0" w:color="FFFFFF" w:themeColor="background2"/>
              <w:bottom w:val="single" w:sz="4" w:space="0" w:color="FFFFFF" w:themeColor="background2"/>
              <w:right w:val="single" w:sz="4" w:space="0" w:color="FFFFFF" w:themeColor="background2"/>
            </w:tcBorders>
          </w:tcPr>
          <w:p w14:paraId="0EA2F8BC" w14:textId="77777777" w:rsidR="00690DF6" w:rsidRPr="00AF4AEA" w:rsidRDefault="00690DF6" w:rsidP="004C0500">
            <w:pPr>
              <w:pStyle w:val="Bodyromannumerals"/>
              <w:rPr>
                <w:i/>
              </w:rPr>
            </w:pPr>
            <w:r w:rsidRPr="00AF4AEA">
              <w:rPr>
                <w:rFonts w:eastAsia="Calibri"/>
                <w:i/>
                <w:lang w:val="en-US"/>
              </w:rPr>
              <w:t>Definition:</w:t>
            </w:r>
          </w:p>
        </w:tc>
        <w:tc>
          <w:tcPr>
            <w:tcW w:w="5483" w:type="dxa"/>
            <w:gridSpan w:val="2"/>
            <w:tcBorders>
              <w:left w:val="single" w:sz="4" w:space="0" w:color="FFFFFF" w:themeColor="background2"/>
              <w:bottom w:val="single" w:sz="4" w:space="0" w:color="FFFFFF" w:themeColor="background2"/>
              <w:right w:val="single" w:sz="4" w:space="0" w:color="FFFFFF" w:themeColor="background2"/>
            </w:tcBorders>
          </w:tcPr>
          <w:p w14:paraId="1D2CF8AD" w14:textId="334D2477" w:rsidR="00690DF6" w:rsidRPr="00AF4AEA" w:rsidRDefault="00690DF6" w:rsidP="004C0500">
            <w:pPr>
              <w:pStyle w:val="Bodyromannumerals"/>
            </w:pPr>
            <w:r w:rsidRPr="00AF4AEA">
              <w:t xml:space="preserve">The total number of serious pollution incidents (categories 1 and 2) in a calendar year emanating from a discharge or escape of a contaminant from a </w:t>
            </w:r>
            <w:r w:rsidR="00356481">
              <w:t xml:space="preserve">Local Authority </w:t>
            </w:r>
            <w:r w:rsidR="00EF08B5">
              <w:t>stormwater</w:t>
            </w:r>
            <w:r w:rsidRPr="00AF4AEA">
              <w:t xml:space="preserve"> asset per 10,000 km of</w:t>
            </w:r>
            <w:r w:rsidR="00EF08B5">
              <w:t xml:space="preserve"> stormwater system</w:t>
            </w:r>
            <w:r w:rsidRPr="00AF4AEA">
              <w:t>.</w:t>
            </w:r>
          </w:p>
          <w:p w14:paraId="614CB70C" w14:textId="77777777" w:rsidR="00690DF6" w:rsidRPr="00AF4AEA" w:rsidRDefault="00690DF6" w:rsidP="004C0500">
            <w:pPr>
              <w:pStyle w:val="Bodyromannumerals"/>
            </w:pPr>
            <w:r w:rsidRPr="00AF4AEA">
              <w:t xml:space="preserve">Category 1 – major, serious, persistent and/or extensive impact or effect on the environment, people and/or property </w:t>
            </w:r>
          </w:p>
          <w:p w14:paraId="57173C06" w14:textId="77777777" w:rsidR="00690DF6" w:rsidRPr="00AF4AEA" w:rsidRDefault="00690DF6" w:rsidP="004C0500">
            <w:pPr>
              <w:pStyle w:val="Bodyromannumerals"/>
            </w:pPr>
            <w:r w:rsidRPr="00AF4AEA">
              <w:t>Category 2 – significant impact or effect on the environment, people and/or property.</w:t>
            </w:r>
          </w:p>
          <w:p w14:paraId="316684E7" w14:textId="77777777" w:rsidR="00690DF6" w:rsidRPr="00AF4AEA" w:rsidRDefault="00690DF6" w:rsidP="004C0500">
            <w:pPr>
              <w:pStyle w:val="Bodyromannumerals"/>
            </w:pPr>
            <w:r w:rsidRPr="00AF4AEA">
              <w:t>We can provide examples of each type of incident, if useful.</w:t>
            </w:r>
          </w:p>
        </w:tc>
      </w:tr>
      <w:tr w:rsidR="00690DF6" w:rsidRPr="00216F0E" w14:paraId="3CD2B5CD" w14:textId="77777777" w:rsidTr="004C0500">
        <w:tc>
          <w:tcPr>
            <w:tcW w:w="2075"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951E22F" w14:textId="77777777" w:rsidR="00690DF6" w:rsidRPr="00AF4AEA" w:rsidRDefault="00690DF6" w:rsidP="004C0500">
            <w:pPr>
              <w:pStyle w:val="Bodyromannumerals"/>
              <w:rPr>
                <w:i/>
              </w:rPr>
            </w:pPr>
            <w:r w:rsidRPr="00AF4AEA">
              <w:rPr>
                <w:rFonts w:eastAsia="Calibri"/>
                <w:i/>
                <w:lang w:val="en-US"/>
              </w:rPr>
              <w:t>Processing Rules:</w:t>
            </w:r>
          </w:p>
        </w:tc>
        <w:tc>
          <w:tcPr>
            <w:tcW w:w="5483"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55F1C6F" w14:textId="77777777" w:rsidR="00690DF6" w:rsidRPr="00AF4AEA" w:rsidRDefault="00690DF6" w:rsidP="004C0500">
            <w:pPr>
              <w:pStyle w:val="Bodyromannumerals"/>
            </w:pPr>
            <w:r w:rsidRPr="00AF4AEA">
              <w:rPr>
                <w:rFonts w:eastAsia="Calibri"/>
                <w:lang w:val="en-US"/>
              </w:rPr>
              <w:t>Input field</w:t>
            </w:r>
          </w:p>
        </w:tc>
      </w:tr>
    </w:tbl>
    <w:p w14:paraId="13566A29" w14:textId="4363B9E6" w:rsidR="00690DF6" w:rsidRDefault="00690DF6" w:rsidP="00690DF6">
      <w:pPr>
        <w:spacing w:after="160" w:line="259" w:lineRule="auto"/>
      </w:pPr>
      <w:r>
        <w:br w:type="page"/>
      </w:r>
    </w:p>
    <w:p w14:paraId="12CA2B83" w14:textId="3405D532" w:rsidR="00BE4543" w:rsidRDefault="00BE4543" w:rsidP="00035C78">
      <w:pPr>
        <w:pStyle w:val="Title1"/>
      </w:pPr>
      <w:r>
        <w:lastRenderedPageBreak/>
        <w:t xml:space="preserve">TABLE B4: CUSTOMER CARE </w:t>
      </w:r>
      <w:r w:rsidR="00323FA8">
        <w:t>–</w:t>
      </w:r>
      <w:r>
        <w:t xml:space="preserve"> ENQUIRIES</w:t>
      </w:r>
      <w:r w:rsidR="00323FA8">
        <w:t xml:space="preserve"> </w:t>
      </w:r>
      <w:r w:rsidR="003B7BE7">
        <w:t>(THREE WATERS)</w:t>
      </w:r>
      <w:r w:rsidR="00612EAB" w:rsidRPr="00612EAB">
        <w:rPr>
          <w:rStyle w:val="CommentReference"/>
          <w:rFonts w:ascii="Arial" w:hAnsi="Arial" w:cstheme="minorBidi"/>
          <w:b w:val="0"/>
          <w:bCs w:val="0"/>
          <w:color w:val="auto"/>
        </w:rPr>
        <w:t xml:space="preserve"> </w:t>
      </w:r>
    </w:p>
    <w:p w14:paraId="70F4012D" w14:textId="1DA3ADD2" w:rsidR="00BE4543" w:rsidRDefault="00BE4543" w:rsidP="00BE4543">
      <w:pPr>
        <w:pStyle w:val="Bodyromannumerals"/>
      </w:pPr>
    </w:p>
    <w:p w14:paraId="1F519E25" w14:textId="77777777" w:rsidR="00C92DFE" w:rsidRDefault="00C92DFE" w:rsidP="00C92DFE">
      <w:pPr>
        <w:pStyle w:val="Sectionsub-heading"/>
      </w:pPr>
      <w:r>
        <w:t>Overall guidance</w:t>
      </w:r>
    </w:p>
    <w:p w14:paraId="16F13A5C" w14:textId="77777777" w:rsidR="00512AE8" w:rsidRDefault="00512AE8" w:rsidP="00911155">
      <w:pPr>
        <w:pStyle w:val="Bodynumbercopy"/>
        <w:numPr>
          <w:ilvl w:val="0"/>
          <w:numId w:val="47"/>
        </w:numPr>
      </w:pPr>
      <w:r>
        <w:t xml:space="preserve">If the information is not available for the measure requested, Local Authorities should provide their </w:t>
      </w:r>
      <w:proofErr w:type="gramStart"/>
      <w:r>
        <w:t>best informed</w:t>
      </w:r>
      <w:proofErr w:type="gramEnd"/>
      <w:r>
        <w:t xml:space="preserve"> guess based on the information available and reflect the uncertainty in selecting the appropriate confidence grade.</w:t>
      </w:r>
    </w:p>
    <w:p w14:paraId="3F58A693" w14:textId="77777777" w:rsidR="00512AE8" w:rsidRPr="009D4FE0" w:rsidRDefault="00512AE8" w:rsidP="00512AE8">
      <w:pPr>
        <w:pStyle w:val="Bodynumbercopy"/>
      </w:pPr>
      <w:r w:rsidRPr="009D4FE0">
        <w:t>Using unplanned interruptions</w:t>
      </w:r>
      <w:r>
        <w:t xml:space="preserve"> in Table B2</w:t>
      </w:r>
      <w:r w:rsidRPr="009D4FE0">
        <w:t xml:space="preserve"> as an example, if the Local Authority has collected information which shows that 150 properties were restored within 8 hours then this would serve as a maximum for the number of properties restored within six hours in line B2.43. A Local Authority could therefore make an informed guess that 100 properties were restored within 6 hours and apply a confidence grade of D5 which would suggest that the reported performance is within +/-50% of the actual performance in the year.  This would result in a maximum of 150 properties (100 + (100 * 50%)) in line with the </w:t>
      </w:r>
      <w:r>
        <w:t xml:space="preserve">known </w:t>
      </w:r>
      <w:r w:rsidRPr="009D4FE0">
        <w:t>properties restored within 8 hours.</w:t>
      </w:r>
    </w:p>
    <w:p w14:paraId="5C85D233" w14:textId="256066C6" w:rsidR="00C4441D" w:rsidRDefault="00C4441D" w:rsidP="00C4441D">
      <w:pPr>
        <w:pStyle w:val="Bodynumbercopy"/>
      </w:pPr>
      <w:r>
        <w:t>Tables B4, B5 and B6 collect customer care metrics for Three Waters services which are required for benchmarking of levels of service.</w:t>
      </w:r>
    </w:p>
    <w:p w14:paraId="70611E29" w14:textId="522D9C40" w:rsidR="00BE4543" w:rsidRPr="00C10211" w:rsidRDefault="009A40E0" w:rsidP="00911155">
      <w:pPr>
        <w:pStyle w:val="Bodynumbercopy"/>
      </w:pPr>
      <w:r>
        <w:t>This table is specific to the Three Waters service</w:t>
      </w:r>
      <w:r w:rsidR="003B7BE7">
        <w:t>s</w:t>
      </w:r>
      <w:r>
        <w:t xml:space="preserve">. </w:t>
      </w:r>
      <w:r w:rsidR="00BE4543">
        <w:t>This table covers:</w:t>
      </w:r>
    </w:p>
    <w:p w14:paraId="58CEFB49" w14:textId="16ACC568" w:rsidR="00BE4543" w:rsidRDefault="00BE4543" w:rsidP="00344455">
      <w:pPr>
        <w:pStyle w:val="Sectionsub-heading"/>
      </w:pPr>
      <w:r>
        <w:t xml:space="preserve">Billing / </w:t>
      </w:r>
      <w:r w:rsidR="00083336">
        <w:t>c</w:t>
      </w:r>
      <w:r>
        <w:t xml:space="preserve">harging / </w:t>
      </w:r>
      <w:r w:rsidR="00083336">
        <w:t>m</w:t>
      </w:r>
      <w:r>
        <w:t xml:space="preserve">etering </w:t>
      </w:r>
      <w:r w:rsidR="00083336">
        <w:t>e</w:t>
      </w:r>
      <w:r>
        <w:t>nquiries</w:t>
      </w:r>
    </w:p>
    <w:p w14:paraId="4C337193" w14:textId="77777777" w:rsidR="00BE4543" w:rsidRPr="0031065D" w:rsidRDefault="00BE4543" w:rsidP="00C10211">
      <w:pPr>
        <w:pStyle w:val="Bodynumbercopy"/>
      </w:pPr>
      <w:r>
        <w:t>These lines cover the number of billing, charging and metering enquiries received during the report year and the time taken to respond to them.</w:t>
      </w:r>
    </w:p>
    <w:p w14:paraId="3FE1EA40" w14:textId="0F1FA520" w:rsidR="00BE4543" w:rsidRDefault="00BE4543" w:rsidP="00344455">
      <w:pPr>
        <w:pStyle w:val="Sectionsub-heading"/>
      </w:pPr>
      <w:r>
        <w:t xml:space="preserve">Change of </w:t>
      </w:r>
      <w:r w:rsidR="00083336">
        <w:t>p</w:t>
      </w:r>
      <w:r>
        <w:t xml:space="preserve">ayment </w:t>
      </w:r>
      <w:r w:rsidR="00083336">
        <w:t>m</w:t>
      </w:r>
      <w:r>
        <w:t xml:space="preserve">ethod </w:t>
      </w:r>
      <w:r w:rsidR="00083336">
        <w:t>e</w:t>
      </w:r>
      <w:r>
        <w:t>nquiries</w:t>
      </w:r>
    </w:p>
    <w:p w14:paraId="4EF20D19" w14:textId="77777777" w:rsidR="00BE4543" w:rsidRDefault="00BE4543" w:rsidP="001E7C7A">
      <w:pPr>
        <w:pStyle w:val="Bodynumbercopy"/>
      </w:pPr>
      <w:r>
        <w:t>These lines cover the change of method of payment enquiries received during the report year and the time taken to respond to them.</w:t>
      </w:r>
    </w:p>
    <w:p w14:paraId="6E9E7CF7" w14:textId="17357678" w:rsidR="00BE4543" w:rsidRDefault="00BE4543" w:rsidP="00FA4BFA">
      <w:pPr>
        <w:pStyle w:val="Sectionsub-heading"/>
      </w:pPr>
      <w:r>
        <w:t xml:space="preserve">Common </w:t>
      </w:r>
      <w:r w:rsidR="00731E41">
        <w:t>d</w:t>
      </w:r>
      <w:r>
        <w:t>efinitions</w:t>
      </w:r>
    </w:p>
    <w:p w14:paraId="77C84D10" w14:textId="7C693ABF" w:rsidR="00BE4543" w:rsidRDefault="00BE4543" w:rsidP="001E7C7A">
      <w:pPr>
        <w:pStyle w:val="Bodynumbercopy"/>
      </w:pPr>
      <w:r w:rsidRPr="286C5C0D">
        <w:rPr>
          <w:b/>
          <w:bCs/>
        </w:rPr>
        <w:t>Response time</w:t>
      </w:r>
      <w:r>
        <w:t xml:space="preserve">: This is the number of working days between receipt of a contact by the </w:t>
      </w:r>
      <w:r w:rsidR="00906346">
        <w:t>Local</w:t>
      </w:r>
      <w:r w:rsidR="002E0E38">
        <w:t xml:space="preserve"> Authority</w:t>
      </w:r>
      <w:r>
        <w:t xml:space="preserve"> up to and including the day of despatch of a response. For the purpose of this calculation, the day of receipt is counted as day zero and the next working day as day one.</w:t>
      </w:r>
    </w:p>
    <w:p w14:paraId="188AF257" w14:textId="4B2D20F3" w:rsidR="00BE4543" w:rsidRDefault="00BE4543" w:rsidP="001E7C7A">
      <w:pPr>
        <w:pStyle w:val="Bodynumbercopy"/>
      </w:pPr>
      <w:r>
        <w:t xml:space="preserve">Where billing contacts are not dealt with at the end of the period the </w:t>
      </w:r>
      <w:r w:rsidR="00906346">
        <w:t>Local</w:t>
      </w:r>
      <w:r w:rsidR="002E0E38">
        <w:t xml:space="preserve"> Authority</w:t>
      </w:r>
      <w:r>
        <w:t xml:space="preserve"> is to use one of the following methods:</w:t>
      </w:r>
    </w:p>
    <w:p w14:paraId="257FBE63" w14:textId="5357F9FE" w:rsidR="00BE4543" w:rsidRDefault="00BE4543" w:rsidP="00C10211">
      <w:pPr>
        <w:pStyle w:val="Bodyromannumerals"/>
        <w:numPr>
          <w:ilvl w:val="0"/>
          <w:numId w:val="25"/>
        </w:numPr>
      </w:pPr>
      <w:r>
        <w:t xml:space="preserve">the contact is to be included in the total number of billing contacts received for the year in which it is </w:t>
      </w:r>
      <w:r w:rsidR="007048C0">
        <w:t>received,</w:t>
      </w:r>
      <w:r>
        <w:t xml:space="preserve"> and the response time is also to be included in that year's information although it may continue into the following year; or</w:t>
      </w:r>
    </w:p>
    <w:p w14:paraId="30B79A15" w14:textId="62AD699B" w:rsidR="00BE4543" w:rsidRDefault="00BE4543" w:rsidP="00C10211">
      <w:pPr>
        <w:pStyle w:val="Bodyromannumerals"/>
        <w:numPr>
          <w:ilvl w:val="0"/>
          <w:numId w:val="25"/>
        </w:numPr>
      </w:pPr>
      <w:r>
        <w:t xml:space="preserve">the contact is to be included in the total number of billing contacts received for the year in which it is dealt with and the response time is </w:t>
      </w:r>
      <w:r>
        <w:lastRenderedPageBreak/>
        <w:t>also to be included in that year's information although it may commence in the previous year.</w:t>
      </w:r>
    </w:p>
    <w:p w14:paraId="00385613" w14:textId="77777777" w:rsidR="00BE4543" w:rsidRDefault="00BE4543" w:rsidP="001E7C7A">
      <w:pPr>
        <w:pStyle w:val="Bodynumbercopy"/>
      </w:pPr>
      <w:r>
        <w:t>Whichever method is adopted, care should be taken to ensure that undercounting or double counting does not occur and that the method used is consistently applied in subsequent years.</w:t>
      </w:r>
    </w:p>
    <w:p w14:paraId="1D29E7B6" w14:textId="48625D4C" w:rsidR="00BE4543" w:rsidRDefault="00BE4543" w:rsidP="001E7C7A">
      <w:pPr>
        <w:pStyle w:val="Bodynumbercopy"/>
      </w:pPr>
      <w:r w:rsidRPr="286C5C0D">
        <w:rPr>
          <w:b/>
          <w:bCs/>
        </w:rPr>
        <w:t>Response</w:t>
      </w:r>
      <w:r>
        <w:t>: This is defined as a response to a billing contact which does one or more of the following:</w:t>
      </w:r>
    </w:p>
    <w:p w14:paraId="6BAAFB68" w14:textId="1207B208" w:rsidR="00BE4543" w:rsidRDefault="007B1215" w:rsidP="00C10211">
      <w:pPr>
        <w:pStyle w:val="Bodyromannumerals"/>
        <w:numPr>
          <w:ilvl w:val="0"/>
          <w:numId w:val="25"/>
        </w:numPr>
      </w:pPr>
      <w:r>
        <w:t>P</w:t>
      </w:r>
      <w:r w:rsidR="00BE4543">
        <w:t xml:space="preserve">rovides an explanation of the </w:t>
      </w:r>
      <w:r w:rsidR="00906346">
        <w:t>Local</w:t>
      </w:r>
      <w:r w:rsidR="002E0E38">
        <w:t xml:space="preserve"> Authority</w:t>
      </w:r>
      <w:r w:rsidR="00BE4543">
        <w:t xml:space="preserve">’s relevant policy or procedure and indicates why, in the </w:t>
      </w:r>
      <w:r w:rsidR="00906346">
        <w:t>Local</w:t>
      </w:r>
      <w:r w:rsidR="002E0E38">
        <w:t xml:space="preserve"> Authority</w:t>
      </w:r>
      <w:r w:rsidR="00E11310" w:rsidDel="00E11310">
        <w:t xml:space="preserve"> </w:t>
      </w:r>
      <w:r w:rsidR="00BE4543">
        <w:t>'s opinion, no further action on the customers billing contact is required; or</w:t>
      </w:r>
    </w:p>
    <w:p w14:paraId="197BB583" w14:textId="414BDB05" w:rsidR="00BE4543" w:rsidRDefault="007B1215" w:rsidP="00C10211">
      <w:pPr>
        <w:pStyle w:val="Bodyromannumerals"/>
        <w:numPr>
          <w:ilvl w:val="0"/>
          <w:numId w:val="25"/>
        </w:numPr>
      </w:pPr>
      <w:r>
        <w:t>R</w:t>
      </w:r>
      <w:r w:rsidR="00BE4543">
        <w:t>esults in requested action being taken on the customer’s account; or</w:t>
      </w:r>
    </w:p>
    <w:p w14:paraId="39EF340A" w14:textId="1E1EA5CD" w:rsidR="00BE4543" w:rsidRDefault="007B1215" w:rsidP="00C10211">
      <w:pPr>
        <w:pStyle w:val="Bodyromannumerals"/>
        <w:numPr>
          <w:ilvl w:val="0"/>
          <w:numId w:val="25"/>
        </w:numPr>
      </w:pPr>
      <w:r>
        <w:t>I</w:t>
      </w:r>
      <w:r w:rsidR="00BE4543">
        <w:t>nforms the customer of when action on his/her account will be taken if action cannot be taken immediately, for example customer needs to obtain clearance from third party, such as a landlord.</w:t>
      </w:r>
    </w:p>
    <w:p w14:paraId="6F8BE17C" w14:textId="6DC49719" w:rsidR="00BE4543" w:rsidRDefault="00BE4543" w:rsidP="00C10211">
      <w:pPr>
        <w:pStyle w:val="Bodynumbercopy"/>
      </w:pPr>
      <w:r w:rsidRPr="00C10211">
        <w:rPr>
          <w:b/>
          <w:bCs/>
        </w:rPr>
        <w:t>Holding reply</w:t>
      </w:r>
      <w:r>
        <w:t xml:space="preserve">: This is defined as a response to a billing contact which advises the customer that the </w:t>
      </w:r>
      <w:r w:rsidR="00906346">
        <w:t>Local</w:t>
      </w:r>
      <w:r w:rsidR="002E0E38">
        <w:t xml:space="preserve"> Authority</w:t>
      </w:r>
      <w:r>
        <w:t xml:space="preserve"> will need to undertake additional research or other actions before being able to respond to the customer's contact. A holding reply should include a date by which investigations or further actions will be complete and by when the customer will receive a further communication from the </w:t>
      </w:r>
      <w:r w:rsidR="00906346">
        <w:t>Local</w:t>
      </w:r>
      <w:r w:rsidR="002E0E38">
        <w:t xml:space="preserve"> Authority</w:t>
      </w:r>
      <w:r>
        <w:t>.</w:t>
      </w:r>
    </w:p>
    <w:p w14:paraId="5C56AD2C" w14:textId="77777777" w:rsidR="00BE4543" w:rsidRDefault="00BE4543" w:rsidP="004D4736">
      <w:pPr>
        <w:pStyle w:val="Sectionsub-heading"/>
      </w:pPr>
      <w:r>
        <w:t>Guidance</w:t>
      </w:r>
    </w:p>
    <w:p w14:paraId="4C216158" w14:textId="77777777" w:rsidR="00A558EA" w:rsidRPr="00C53163" w:rsidRDefault="00A558EA" w:rsidP="00C53163">
      <w:pPr>
        <w:pStyle w:val="Bodynumbercopy"/>
      </w:pPr>
      <w:r>
        <w:t>Where the content or tone of written communication indicates an element of dissatisfaction, however mildly worded or unjustified, it should be classified as a complaint.</w:t>
      </w:r>
    </w:p>
    <w:p w14:paraId="37A04F0D" w14:textId="65D8D13C" w:rsidR="00A558EA" w:rsidRPr="00C53163" w:rsidRDefault="00A558EA" w:rsidP="00A558EA">
      <w:pPr>
        <w:pStyle w:val="Bodynumbercopy"/>
      </w:pPr>
      <w:r>
        <w:t xml:space="preserve">The </w:t>
      </w:r>
      <w:r w:rsidR="00906346">
        <w:t>Local</w:t>
      </w:r>
      <w:r>
        <w:t xml:space="preserve"> Authority should provide a copy of any formal written procedures or guidance covering the allocation of customer contacts to customer care enquires or customer care complaints.</w:t>
      </w:r>
    </w:p>
    <w:p w14:paraId="043E6953" w14:textId="596C7C1C" w:rsidR="00BE4543" w:rsidRPr="00C53163" w:rsidRDefault="00BE4543" w:rsidP="001E7C7A">
      <w:pPr>
        <w:pStyle w:val="Bodynumbercopy"/>
      </w:pPr>
      <w:r w:rsidRPr="286C5C0D">
        <w:rPr>
          <w:b/>
          <w:bCs/>
        </w:rPr>
        <w:t>Response time:</w:t>
      </w:r>
      <w:r>
        <w:t xml:space="preserve"> The number of working days between receipt of a billing contact and the despatch of a response is calculated as follows:</w:t>
      </w:r>
    </w:p>
    <w:tbl>
      <w:tblPr>
        <w:tblStyle w:val="TableGrid"/>
        <w:tblW w:w="0" w:type="auto"/>
        <w:tblInd w:w="851" w:type="dxa"/>
        <w:tblBorders>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835"/>
        <w:gridCol w:w="2835"/>
        <w:gridCol w:w="1047"/>
      </w:tblGrid>
      <w:tr w:rsidR="005733CD" w:rsidRPr="00216F0E" w14:paraId="4426BF07" w14:textId="77777777" w:rsidTr="00C92266">
        <w:tc>
          <w:tcPr>
            <w:tcW w:w="2835" w:type="dxa"/>
            <w:shd w:val="clear" w:color="auto" w:fill="F2F2F2" w:themeFill="background1" w:themeFillShade="F2"/>
          </w:tcPr>
          <w:p w14:paraId="40EC3B93" w14:textId="692A9527" w:rsidR="005733CD" w:rsidRPr="005733CD" w:rsidRDefault="005733CD" w:rsidP="00C92266">
            <w:pPr>
              <w:pStyle w:val="USBodyText"/>
              <w:spacing w:before="0" w:after="0" w:line="240" w:lineRule="auto"/>
              <w:rPr>
                <w:rFonts w:ascii="Calibri" w:hAnsi="Calibri" w:cs="Calibri"/>
                <w:b/>
                <w:bCs/>
                <w:color w:val="182B46"/>
                <w:sz w:val="24"/>
                <w:szCs w:val="24"/>
              </w:rPr>
            </w:pPr>
            <w:r w:rsidRPr="005733CD">
              <w:rPr>
                <w:rFonts w:ascii="Calibri" w:hAnsi="Calibri" w:cs="Calibri"/>
                <w:b/>
                <w:bCs/>
                <w:color w:val="182B46"/>
                <w:sz w:val="24"/>
                <w:szCs w:val="24"/>
              </w:rPr>
              <w:t>TASK</w:t>
            </w:r>
          </w:p>
        </w:tc>
        <w:tc>
          <w:tcPr>
            <w:tcW w:w="2835" w:type="dxa"/>
            <w:shd w:val="clear" w:color="auto" w:fill="F2F2F2" w:themeFill="background1" w:themeFillShade="F2"/>
          </w:tcPr>
          <w:p w14:paraId="41B657A9" w14:textId="4A2AC08A" w:rsidR="005733CD" w:rsidRPr="005733CD" w:rsidRDefault="005733CD" w:rsidP="00C92266">
            <w:pPr>
              <w:rPr>
                <w:rFonts w:ascii="Calibri" w:hAnsi="Calibri" w:cs="Calibri"/>
                <w:b/>
                <w:bCs/>
                <w:color w:val="182B46"/>
                <w:sz w:val="24"/>
                <w:szCs w:val="24"/>
              </w:rPr>
            </w:pPr>
            <w:r w:rsidRPr="005733CD">
              <w:rPr>
                <w:rFonts w:ascii="Calibri" w:hAnsi="Calibri" w:cs="Calibri"/>
                <w:b/>
                <w:bCs/>
                <w:color w:val="182B46"/>
                <w:sz w:val="24"/>
                <w:szCs w:val="24"/>
              </w:rPr>
              <w:t>DATE</w:t>
            </w:r>
          </w:p>
        </w:tc>
        <w:tc>
          <w:tcPr>
            <w:tcW w:w="1047" w:type="dxa"/>
            <w:shd w:val="clear" w:color="auto" w:fill="F2F2F2" w:themeFill="background1" w:themeFillShade="F2"/>
          </w:tcPr>
          <w:p w14:paraId="0B4DD666" w14:textId="2870BA1A" w:rsidR="005733CD" w:rsidRPr="005733CD" w:rsidRDefault="00C92266" w:rsidP="00C92266">
            <w:pPr>
              <w:rPr>
                <w:rFonts w:ascii="Calibri" w:hAnsi="Calibri" w:cs="Calibri"/>
                <w:b/>
                <w:bCs/>
                <w:color w:val="182B46"/>
                <w:sz w:val="24"/>
                <w:szCs w:val="24"/>
              </w:rPr>
            </w:pPr>
            <w:r w:rsidRPr="005733CD">
              <w:rPr>
                <w:rFonts w:ascii="Calibri" w:hAnsi="Calibri" w:cs="Calibri"/>
                <w:b/>
                <w:bCs/>
                <w:color w:val="182B46"/>
                <w:sz w:val="24"/>
                <w:szCs w:val="24"/>
              </w:rPr>
              <w:t>NO. OF DAYS</w:t>
            </w:r>
          </w:p>
        </w:tc>
      </w:tr>
      <w:tr w:rsidR="005733CD" w:rsidRPr="00216F0E" w14:paraId="6AC0E814" w14:textId="77777777" w:rsidTr="005733CD">
        <w:tc>
          <w:tcPr>
            <w:tcW w:w="2835" w:type="dxa"/>
            <w:shd w:val="clear" w:color="auto" w:fill="FFFFFF" w:themeFill="background1"/>
          </w:tcPr>
          <w:p w14:paraId="6FF733CD" w14:textId="77777777" w:rsidR="005733CD" w:rsidRPr="005733CD" w:rsidRDefault="005733CD" w:rsidP="005733CD">
            <w:pPr>
              <w:rPr>
                <w:rFonts w:ascii="Calibri" w:hAnsi="Calibri" w:cs="Calibri"/>
                <w:sz w:val="21"/>
                <w:szCs w:val="21"/>
              </w:rPr>
            </w:pPr>
            <w:r w:rsidRPr="005733CD">
              <w:rPr>
                <w:rFonts w:ascii="Calibri" w:hAnsi="Calibri" w:cs="Calibri"/>
                <w:sz w:val="21"/>
                <w:szCs w:val="21"/>
              </w:rPr>
              <w:t>Contact received</w:t>
            </w:r>
          </w:p>
        </w:tc>
        <w:tc>
          <w:tcPr>
            <w:tcW w:w="2835" w:type="dxa"/>
            <w:vAlign w:val="center"/>
          </w:tcPr>
          <w:p w14:paraId="25ACF28C" w14:textId="77777777" w:rsidR="005733CD" w:rsidRPr="00DF561D" w:rsidRDefault="005733CD" w:rsidP="005733CD">
            <w:pPr>
              <w:rPr>
                <w:rFonts w:ascii="Calibri" w:hAnsi="Calibri" w:cs="Calibri"/>
                <w:sz w:val="21"/>
                <w:szCs w:val="21"/>
              </w:rPr>
            </w:pPr>
            <w:r w:rsidRPr="00DF561D">
              <w:rPr>
                <w:rFonts w:ascii="Calibri" w:hAnsi="Calibri" w:cs="Calibri"/>
                <w:sz w:val="21"/>
                <w:szCs w:val="21"/>
              </w:rPr>
              <w:t>Friday 24 February 2006</w:t>
            </w:r>
          </w:p>
        </w:tc>
        <w:tc>
          <w:tcPr>
            <w:tcW w:w="1047" w:type="dxa"/>
            <w:vAlign w:val="center"/>
          </w:tcPr>
          <w:p w14:paraId="798B296B" w14:textId="3A568EB1" w:rsidR="005733CD" w:rsidRPr="00DF561D" w:rsidRDefault="005733CD" w:rsidP="005733CD">
            <w:pPr>
              <w:rPr>
                <w:rFonts w:ascii="Calibri" w:hAnsi="Calibri" w:cs="Calibri"/>
                <w:sz w:val="21"/>
                <w:szCs w:val="21"/>
              </w:rPr>
            </w:pPr>
          </w:p>
        </w:tc>
      </w:tr>
      <w:tr w:rsidR="005733CD" w:rsidRPr="00216F0E" w14:paraId="2A0713A4" w14:textId="77777777" w:rsidTr="005733CD">
        <w:tc>
          <w:tcPr>
            <w:tcW w:w="2835" w:type="dxa"/>
            <w:shd w:val="clear" w:color="auto" w:fill="FFFFFF" w:themeFill="background1"/>
          </w:tcPr>
          <w:p w14:paraId="05942B00" w14:textId="77777777" w:rsidR="005733CD" w:rsidRPr="005733CD" w:rsidRDefault="005733CD" w:rsidP="005733CD">
            <w:pPr>
              <w:rPr>
                <w:rFonts w:ascii="Calibri" w:hAnsi="Calibri" w:cs="Calibri"/>
                <w:sz w:val="21"/>
                <w:szCs w:val="21"/>
              </w:rPr>
            </w:pPr>
            <w:r w:rsidRPr="005733CD">
              <w:rPr>
                <w:rFonts w:ascii="Calibri" w:hAnsi="Calibri" w:cs="Calibri"/>
                <w:sz w:val="21"/>
                <w:szCs w:val="21"/>
              </w:rPr>
              <w:t>Response despatched</w:t>
            </w:r>
          </w:p>
        </w:tc>
        <w:tc>
          <w:tcPr>
            <w:tcW w:w="2835" w:type="dxa"/>
            <w:vAlign w:val="center"/>
          </w:tcPr>
          <w:p w14:paraId="6385294B" w14:textId="77777777" w:rsidR="005733CD" w:rsidRPr="00DF561D" w:rsidRDefault="005733CD" w:rsidP="005733CD">
            <w:pPr>
              <w:rPr>
                <w:rFonts w:ascii="Calibri" w:hAnsi="Calibri" w:cs="Calibri"/>
                <w:sz w:val="21"/>
                <w:szCs w:val="21"/>
              </w:rPr>
            </w:pPr>
            <w:r w:rsidRPr="00DF561D">
              <w:rPr>
                <w:rFonts w:ascii="Calibri" w:hAnsi="Calibri" w:cs="Calibri"/>
                <w:sz w:val="21"/>
                <w:szCs w:val="21"/>
              </w:rPr>
              <w:t>Wednesday 1 March 2006</w:t>
            </w:r>
          </w:p>
        </w:tc>
        <w:tc>
          <w:tcPr>
            <w:tcW w:w="1047" w:type="dxa"/>
            <w:vAlign w:val="center"/>
          </w:tcPr>
          <w:p w14:paraId="20424969" w14:textId="4D4B799C" w:rsidR="005733CD" w:rsidRPr="00DF561D" w:rsidRDefault="005733CD" w:rsidP="005733CD">
            <w:pPr>
              <w:rPr>
                <w:rFonts w:ascii="Calibri" w:hAnsi="Calibri" w:cs="Calibri"/>
                <w:sz w:val="21"/>
                <w:szCs w:val="21"/>
              </w:rPr>
            </w:pPr>
          </w:p>
        </w:tc>
      </w:tr>
      <w:tr w:rsidR="005339D8" w:rsidRPr="00216F0E" w14:paraId="082CAD4F" w14:textId="77777777" w:rsidTr="005733CD">
        <w:tc>
          <w:tcPr>
            <w:tcW w:w="2835" w:type="dxa"/>
            <w:shd w:val="clear" w:color="auto" w:fill="FFFFFF" w:themeFill="background1"/>
          </w:tcPr>
          <w:p w14:paraId="6C8953E4" w14:textId="77777777" w:rsidR="005339D8" w:rsidRPr="005733CD" w:rsidRDefault="005339D8" w:rsidP="005733CD">
            <w:pPr>
              <w:rPr>
                <w:rFonts w:ascii="Calibri" w:hAnsi="Calibri" w:cs="Calibri"/>
                <w:sz w:val="21"/>
                <w:szCs w:val="21"/>
              </w:rPr>
            </w:pPr>
            <w:r w:rsidRPr="005733CD">
              <w:rPr>
                <w:rFonts w:ascii="Calibri" w:hAnsi="Calibri" w:cs="Calibri"/>
                <w:sz w:val="21"/>
                <w:szCs w:val="21"/>
              </w:rPr>
              <w:t>Total Days</w:t>
            </w:r>
          </w:p>
        </w:tc>
        <w:tc>
          <w:tcPr>
            <w:tcW w:w="2835" w:type="dxa"/>
            <w:vAlign w:val="center"/>
          </w:tcPr>
          <w:p w14:paraId="7FE2EEB9" w14:textId="7948600B" w:rsidR="005339D8" w:rsidRPr="00DF561D" w:rsidRDefault="005339D8" w:rsidP="005733CD">
            <w:pPr>
              <w:rPr>
                <w:rFonts w:ascii="Calibri" w:hAnsi="Calibri" w:cs="Calibri"/>
                <w:sz w:val="21"/>
                <w:szCs w:val="21"/>
              </w:rPr>
            </w:pPr>
            <w:r w:rsidRPr="00DF561D">
              <w:rPr>
                <w:rFonts w:ascii="Calibri" w:hAnsi="Calibri" w:cs="Calibri"/>
                <w:sz w:val="21"/>
                <w:szCs w:val="21"/>
              </w:rPr>
              <w:t>24/25/26/27/28 February</w:t>
            </w:r>
            <w:r w:rsidR="005733CD">
              <w:rPr>
                <w:rFonts w:ascii="Calibri" w:hAnsi="Calibri" w:cs="Calibri"/>
                <w:sz w:val="21"/>
                <w:szCs w:val="21"/>
              </w:rPr>
              <w:t>/</w:t>
            </w:r>
            <w:r w:rsidRPr="00DF561D">
              <w:rPr>
                <w:rFonts w:ascii="Calibri" w:hAnsi="Calibri" w:cs="Calibri"/>
                <w:sz w:val="21"/>
                <w:szCs w:val="21"/>
              </w:rPr>
              <w:t>1 March</w:t>
            </w:r>
          </w:p>
        </w:tc>
        <w:tc>
          <w:tcPr>
            <w:tcW w:w="1047" w:type="dxa"/>
            <w:vAlign w:val="center"/>
          </w:tcPr>
          <w:p w14:paraId="3FED2837" w14:textId="77777777" w:rsidR="005339D8" w:rsidRPr="005733CD" w:rsidRDefault="005339D8" w:rsidP="00202A4D">
            <w:pPr>
              <w:jc w:val="center"/>
              <w:rPr>
                <w:rFonts w:ascii="Calibri" w:hAnsi="Calibri" w:cs="Calibri"/>
                <w:b/>
                <w:bCs/>
                <w:sz w:val="21"/>
                <w:szCs w:val="21"/>
              </w:rPr>
            </w:pPr>
            <w:r w:rsidRPr="005733CD">
              <w:rPr>
                <w:rFonts w:ascii="Calibri" w:hAnsi="Calibri" w:cs="Calibri"/>
                <w:b/>
                <w:bCs/>
                <w:sz w:val="21"/>
                <w:szCs w:val="21"/>
              </w:rPr>
              <w:t>6</w:t>
            </w:r>
          </w:p>
        </w:tc>
      </w:tr>
      <w:tr w:rsidR="005339D8" w:rsidRPr="00216F0E" w14:paraId="7D67B58F" w14:textId="77777777" w:rsidTr="005733CD">
        <w:tc>
          <w:tcPr>
            <w:tcW w:w="2835" w:type="dxa"/>
            <w:shd w:val="clear" w:color="auto" w:fill="FFFFFF" w:themeFill="background1"/>
          </w:tcPr>
          <w:p w14:paraId="350175AF" w14:textId="77777777" w:rsidR="005339D8" w:rsidRPr="005733CD" w:rsidRDefault="005339D8" w:rsidP="005733CD">
            <w:pPr>
              <w:rPr>
                <w:rFonts w:ascii="Calibri" w:hAnsi="Calibri" w:cs="Calibri"/>
                <w:sz w:val="21"/>
                <w:szCs w:val="21"/>
              </w:rPr>
            </w:pPr>
            <w:r w:rsidRPr="005733CD">
              <w:rPr>
                <w:rFonts w:ascii="Calibri" w:hAnsi="Calibri" w:cs="Calibri"/>
                <w:sz w:val="21"/>
                <w:szCs w:val="21"/>
              </w:rPr>
              <w:t>Less day of receipt</w:t>
            </w:r>
          </w:p>
        </w:tc>
        <w:tc>
          <w:tcPr>
            <w:tcW w:w="2835" w:type="dxa"/>
            <w:vAlign w:val="center"/>
          </w:tcPr>
          <w:p w14:paraId="140C8714" w14:textId="77777777" w:rsidR="005339D8" w:rsidRPr="00DF561D" w:rsidRDefault="005339D8" w:rsidP="005733CD">
            <w:pPr>
              <w:rPr>
                <w:rFonts w:ascii="Calibri" w:hAnsi="Calibri" w:cs="Calibri"/>
                <w:sz w:val="21"/>
                <w:szCs w:val="21"/>
              </w:rPr>
            </w:pPr>
            <w:r w:rsidRPr="00DF561D">
              <w:rPr>
                <w:rFonts w:ascii="Calibri" w:hAnsi="Calibri" w:cs="Calibri"/>
                <w:sz w:val="21"/>
                <w:szCs w:val="21"/>
              </w:rPr>
              <w:t>24 February</w:t>
            </w:r>
          </w:p>
        </w:tc>
        <w:tc>
          <w:tcPr>
            <w:tcW w:w="1047" w:type="dxa"/>
            <w:vAlign w:val="center"/>
          </w:tcPr>
          <w:p w14:paraId="3FA6CF33" w14:textId="77777777" w:rsidR="005339D8" w:rsidRPr="005733CD" w:rsidRDefault="005339D8" w:rsidP="00202A4D">
            <w:pPr>
              <w:jc w:val="center"/>
              <w:rPr>
                <w:rFonts w:ascii="Calibri" w:hAnsi="Calibri" w:cs="Calibri"/>
                <w:b/>
                <w:bCs/>
                <w:sz w:val="21"/>
                <w:szCs w:val="21"/>
              </w:rPr>
            </w:pPr>
            <w:r w:rsidRPr="005733CD">
              <w:rPr>
                <w:rFonts w:ascii="Calibri" w:hAnsi="Calibri" w:cs="Calibri"/>
                <w:b/>
                <w:bCs/>
                <w:sz w:val="21"/>
                <w:szCs w:val="21"/>
              </w:rPr>
              <w:t>1</w:t>
            </w:r>
          </w:p>
        </w:tc>
      </w:tr>
      <w:tr w:rsidR="005733CD" w:rsidRPr="00216F0E" w14:paraId="1CF66D89" w14:textId="77777777" w:rsidTr="005733CD">
        <w:tc>
          <w:tcPr>
            <w:tcW w:w="2835" w:type="dxa"/>
            <w:shd w:val="clear" w:color="auto" w:fill="FFFFFF" w:themeFill="background1"/>
          </w:tcPr>
          <w:p w14:paraId="570A5ABD" w14:textId="77777777" w:rsidR="005733CD" w:rsidRPr="005733CD" w:rsidRDefault="005733CD" w:rsidP="005733CD">
            <w:pPr>
              <w:rPr>
                <w:rFonts w:ascii="Calibri" w:hAnsi="Calibri" w:cs="Calibri"/>
                <w:sz w:val="21"/>
                <w:szCs w:val="21"/>
              </w:rPr>
            </w:pPr>
            <w:r w:rsidRPr="005733CD">
              <w:rPr>
                <w:rFonts w:ascii="Calibri" w:hAnsi="Calibri" w:cs="Calibri"/>
                <w:sz w:val="21"/>
                <w:szCs w:val="21"/>
              </w:rPr>
              <w:t>=</w:t>
            </w:r>
          </w:p>
        </w:tc>
        <w:tc>
          <w:tcPr>
            <w:tcW w:w="2835" w:type="dxa"/>
            <w:shd w:val="clear" w:color="auto" w:fill="auto"/>
          </w:tcPr>
          <w:p w14:paraId="0EAD2D95" w14:textId="455B34EE" w:rsidR="005733CD" w:rsidRPr="002A6F25" w:rsidRDefault="005733CD" w:rsidP="005733CD">
            <w:pPr>
              <w:pStyle w:val="USBodyText"/>
              <w:spacing w:before="0" w:after="0" w:line="240" w:lineRule="auto"/>
              <w:rPr>
                <w:rFonts w:ascii="Calibri" w:hAnsi="Calibri" w:cs="Calibri"/>
                <w:b/>
                <w:bCs/>
                <w:color w:val="182B46"/>
                <w:sz w:val="24"/>
                <w:szCs w:val="24"/>
              </w:rPr>
            </w:pPr>
          </w:p>
        </w:tc>
        <w:tc>
          <w:tcPr>
            <w:tcW w:w="1047" w:type="dxa"/>
            <w:vAlign w:val="center"/>
          </w:tcPr>
          <w:p w14:paraId="24BA5FB5" w14:textId="77777777" w:rsidR="005733CD" w:rsidRPr="005733CD" w:rsidRDefault="005733CD" w:rsidP="00202A4D">
            <w:pPr>
              <w:jc w:val="center"/>
              <w:rPr>
                <w:rFonts w:ascii="Calibri" w:hAnsi="Calibri" w:cs="Calibri"/>
                <w:b/>
                <w:bCs/>
                <w:sz w:val="21"/>
                <w:szCs w:val="21"/>
              </w:rPr>
            </w:pPr>
            <w:r w:rsidRPr="005733CD">
              <w:rPr>
                <w:rFonts w:ascii="Calibri" w:hAnsi="Calibri" w:cs="Calibri"/>
                <w:b/>
                <w:bCs/>
                <w:sz w:val="21"/>
                <w:szCs w:val="21"/>
              </w:rPr>
              <w:t>5</w:t>
            </w:r>
          </w:p>
        </w:tc>
      </w:tr>
      <w:tr w:rsidR="005339D8" w:rsidRPr="00216F0E" w14:paraId="5C68159F" w14:textId="77777777" w:rsidTr="005733CD">
        <w:tc>
          <w:tcPr>
            <w:tcW w:w="2835" w:type="dxa"/>
            <w:shd w:val="clear" w:color="auto" w:fill="FFFFFF" w:themeFill="background1"/>
          </w:tcPr>
          <w:p w14:paraId="34D4DEE3" w14:textId="77777777" w:rsidR="005339D8" w:rsidRPr="005733CD" w:rsidRDefault="005339D8" w:rsidP="005733CD">
            <w:pPr>
              <w:rPr>
                <w:rFonts w:ascii="Calibri" w:hAnsi="Calibri" w:cs="Calibri"/>
                <w:sz w:val="21"/>
                <w:szCs w:val="21"/>
              </w:rPr>
            </w:pPr>
            <w:r w:rsidRPr="005733CD">
              <w:rPr>
                <w:rFonts w:ascii="Calibri" w:hAnsi="Calibri" w:cs="Calibri"/>
                <w:sz w:val="21"/>
                <w:szCs w:val="21"/>
              </w:rPr>
              <w:t>Less non-working days</w:t>
            </w:r>
          </w:p>
        </w:tc>
        <w:tc>
          <w:tcPr>
            <w:tcW w:w="2835" w:type="dxa"/>
            <w:vAlign w:val="center"/>
          </w:tcPr>
          <w:p w14:paraId="65777431" w14:textId="77777777" w:rsidR="005339D8" w:rsidRPr="00DF561D" w:rsidRDefault="005339D8" w:rsidP="005733CD">
            <w:pPr>
              <w:rPr>
                <w:rFonts w:ascii="Calibri" w:hAnsi="Calibri" w:cs="Calibri"/>
                <w:sz w:val="21"/>
                <w:szCs w:val="21"/>
              </w:rPr>
            </w:pPr>
            <w:r w:rsidRPr="00DF561D">
              <w:rPr>
                <w:rFonts w:ascii="Calibri" w:hAnsi="Calibri" w:cs="Calibri"/>
                <w:sz w:val="21"/>
                <w:szCs w:val="21"/>
              </w:rPr>
              <w:t>25/26 February</w:t>
            </w:r>
          </w:p>
        </w:tc>
        <w:tc>
          <w:tcPr>
            <w:tcW w:w="1047" w:type="dxa"/>
            <w:vAlign w:val="center"/>
          </w:tcPr>
          <w:p w14:paraId="32B171D0" w14:textId="77777777" w:rsidR="005339D8" w:rsidRPr="005733CD" w:rsidRDefault="005339D8" w:rsidP="00202A4D">
            <w:pPr>
              <w:jc w:val="center"/>
              <w:rPr>
                <w:rFonts w:ascii="Calibri" w:hAnsi="Calibri" w:cs="Calibri"/>
                <w:b/>
                <w:bCs/>
                <w:sz w:val="21"/>
                <w:szCs w:val="21"/>
              </w:rPr>
            </w:pPr>
            <w:r w:rsidRPr="005733CD">
              <w:rPr>
                <w:rFonts w:ascii="Calibri" w:hAnsi="Calibri" w:cs="Calibri"/>
                <w:b/>
                <w:bCs/>
                <w:sz w:val="21"/>
                <w:szCs w:val="21"/>
              </w:rPr>
              <w:t>2</w:t>
            </w:r>
          </w:p>
        </w:tc>
      </w:tr>
      <w:tr w:rsidR="005339D8" w:rsidRPr="00216F0E" w14:paraId="3616F2BB" w14:textId="77777777" w:rsidTr="005733CD">
        <w:tc>
          <w:tcPr>
            <w:tcW w:w="2835" w:type="dxa"/>
            <w:shd w:val="clear" w:color="auto" w:fill="FFFFFF" w:themeFill="background1"/>
          </w:tcPr>
          <w:p w14:paraId="20126588" w14:textId="77777777" w:rsidR="005339D8" w:rsidRPr="005733CD" w:rsidRDefault="005339D8" w:rsidP="005733CD">
            <w:pPr>
              <w:rPr>
                <w:rFonts w:ascii="Calibri" w:hAnsi="Calibri" w:cs="Calibri"/>
                <w:sz w:val="21"/>
                <w:szCs w:val="21"/>
              </w:rPr>
            </w:pPr>
            <w:r w:rsidRPr="005733CD">
              <w:rPr>
                <w:rFonts w:ascii="Calibri" w:hAnsi="Calibri" w:cs="Calibri"/>
                <w:sz w:val="21"/>
                <w:szCs w:val="21"/>
              </w:rPr>
              <w:t>Response time (working days)</w:t>
            </w:r>
          </w:p>
        </w:tc>
        <w:tc>
          <w:tcPr>
            <w:tcW w:w="2835" w:type="dxa"/>
            <w:vAlign w:val="center"/>
          </w:tcPr>
          <w:p w14:paraId="7CCDD40A" w14:textId="77777777" w:rsidR="005339D8" w:rsidRPr="00DF561D" w:rsidRDefault="005339D8" w:rsidP="005733CD">
            <w:pPr>
              <w:rPr>
                <w:rFonts w:ascii="Calibri" w:hAnsi="Calibri" w:cs="Calibri"/>
                <w:sz w:val="21"/>
                <w:szCs w:val="21"/>
              </w:rPr>
            </w:pPr>
          </w:p>
        </w:tc>
        <w:tc>
          <w:tcPr>
            <w:tcW w:w="1047" w:type="dxa"/>
            <w:vAlign w:val="center"/>
          </w:tcPr>
          <w:p w14:paraId="7F4C8854" w14:textId="77777777" w:rsidR="005339D8" w:rsidRPr="005733CD" w:rsidRDefault="005339D8" w:rsidP="00202A4D">
            <w:pPr>
              <w:jc w:val="center"/>
              <w:rPr>
                <w:rFonts w:ascii="Calibri" w:hAnsi="Calibri" w:cs="Calibri"/>
                <w:b/>
                <w:bCs/>
                <w:sz w:val="21"/>
                <w:szCs w:val="21"/>
              </w:rPr>
            </w:pPr>
            <w:r w:rsidRPr="005733CD">
              <w:rPr>
                <w:rFonts w:ascii="Calibri" w:hAnsi="Calibri" w:cs="Calibri"/>
                <w:b/>
                <w:bCs/>
                <w:sz w:val="21"/>
                <w:szCs w:val="21"/>
              </w:rPr>
              <w:t>3</w:t>
            </w:r>
          </w:p>
        </w:tc>
      </w:tr>
    </w:tbl>
    <w:p w14:paraId="581F7E2D" w14:textId="77777777" w:rsidR="00BE4543" w:rsidRDefault="00BE4543" w:rsidP="00BE4543">
      <w:pPr>
        <w:pStyle w:val="Bodyromannumerals"/>
      </w:pPr>
    </w:p>
    <w:p w14:paraId="4B3865FB" w14:textId="29DD8380" w:rsidR="00BE4543" w:rsidRDefault="00BE4543" w:rsidP="001E7C7A">
      <w:pPr>
        <w:pStyle w:val="Bodynumbercopy"/>
      </w:pPr>
      <w:r>
        <w:t xml:space="preserve">The date of receipt of a contact is the date it arrives at the </w:t>
      </w:r>
      <w:r w:rsidR="00906346">
        <w:t>Local</w:t>
      </w:r>
      <w:r w:rsidR="002E0E38">
        <w:t xml:space="preserve"> Authority</w:t>
      </w:r>
      <w:r>
        <w:t xml:space="preserve">, whether this is the usual inlet or not; it is not necessarily the date when it </w:t>
      </w:r>
      <w:r>
        <w:lastRenderedPageBreak/>
        <w:t xml:space="preserve">reaches a customer services section or the date when it is opened, both of which could be later than the date of arrival. Similarly, the date of despatch refers to the date a response is sent to the customer; it is not necessarily the date that it is printed or the date that the response leaves the customer services section, both of which could be earlier than the date of despatch. </w:t>
      </w:r>
    </w:p>
    <w:p w14:paraId="4DAD1BA9" w14:textId="57FDB2E9" w:rsidR="00BE4543" w:rsidRDefault="00BE4543" w:rsidP="001E7C7A">
      <w:pPr>
        <w:pStyle w:val="Bodynumbercopy"/>
      </w:pPr>
      <w:r>
        <w:t xml:space="preserve">Where billing contacts are not dealt with at the end of the period the </w:t>
      </w:r>
      <w:r w:rsidR="00906346">
        <w:t>Local</w:t>
      </w:r>
      <w:r w:rsidR="002E0E38">
        <w:t xml:space="preserve"> Authority</w:t>
      </w:r>
      <w:r>
        <w:t xml:space="preserve"> is to use one of the following methods:</w:t>
      </w:r>
    </w:p>
    <w:p w14:paraId="050AF532" w14:textId="451B296D" w:rsidR="00BE4543" w:rsidRDefault="00173CD9" w:rsidP="00C10211">
      <w:pPr>
        <w:pStyle w:val="Bodyromannumerals"/>
        <w:numPr>
          <w:ilvl w:val="0"/>
          <w:numId w:val="26"/>
        </w:numPr>
      </w:pPr>
      <w:r>
        <w:t>T</w:t>
      </w:r>
      <w:r w:rsidR="00BE4543">
        <w:t xml:space="preserve">he contact is to be included in the total number of billing contacts received for the year in which it is </w:t>
      </w:r>
      <w:r w:rsidR="00C92266">
        <w:t>received,</w:t>
      </w:r>
      <w:r w:rsidR="00BE4543">
        <w:t xml:space="preserve"> and the response time is also to be included in that year's information although it may continue into the following year; or</w:t>
      </w:r>
    </w:p>
    <w:p w14:paraId="106D27A1" w14:textId="7D57461F" w:rsidR="00BE4543" w:rsidRDefault="00173CD9" w:rsidP="00C10211">
      <w:pPr>
        <w:pStyle w:val="Bodyromannumerals"/>
        <w:numPr>
          <w:ilvl w:val="0"/>
          <w:numId w:val="26"/>
        </w:numPr>
      </w:pPr>
      <w:r>
        <w:t>T</w:t>
      </w:r>
      <w:r w:rsidR="00BE4543">
        <w:t>he contact is to be included in the total number of billing contacts received for the year in which it is dealt with and the response time is also to be included in that year's information although it may commence in the previous year.</w:t>
      </w:r>
    </w:p>
    <w:p w14:paraId="46960243" w14:textId="77777777" w:rsidR="00BE4543" w:rsidRDefault="00BE4543" w:rsidP="001E7C7A">
      <w:pPr>
        <w:pStyle w:val="Bodynumbercopy"/>
      </w:pPr>
      <w:r>
        <w:t>Whichever method is adopted, care should be taken to ensure that undercounting or double counting does not occur and that the method used is consistently applied in subsequent years.</w:t>
      </w:r>
    </w:p>
    <w:p w14:paraId="03E195B7" w14:textId="4687E641" w:rsidR="00BE4543" w:rsidRDefault="00BE4543" w:rsidP="001E7C7A">
      <w:pPr>
        <w:pStyle w:val="Bodynumbercopy"/>
      </w:pPr>
      <w:r w:rsidRPr="286C5C0D">
        <w:rPr>
          <w:b/>
          <w:bCs/>
        </w:rPr>
        <w:t>Reporting billing contacts received about another undertaker's</w:t>
      </w:r>
      <w:r w:rsidR="00A91493">
        <w:rPr>
          <w:b/>
          <w:bCs/>
        </w:rPr>
        <w:t>/responsible party’s</w:t>
      </w:r>
      <w:r w:rsidRPr="286C5C0D">
        <w:rPr>
          <w:b/>
          <w:bCs/>
        </w:rPr>
        <w:t xml:space="preserve"> policies and procedures:</w:t>
      </w:r>
      <w:r>
        <w:t xml:space="preserve"> Where the </w:t>
      </w:r>
      <w:r w:rsidR="00906346">
        <w:t>Local</w:t>
      </w:r>
      <w:r w:rsidR="002E0E38">
        <w:t xml:space="preserve"> Authority</w:t>
      </w:r>
      <w:r>
        <w:t xml:space="preserve"> bills on behalf of other undertakers</w:t>
      </w:r>
      <w:r w:rsidR="00A91493">
        <w:t>/responsible parties</w:t>
      </w:r>
      <w:r>
        <w:t>, care should be taken about how billing contacts are reported. While most billing contacts relate to the bill as a whole there are occasions where the contact will relate solely to the part which is billed on behalf of another undertaker</w:t>
      </w:r>
      <w:r w:rsidR="00A91493">
        <w:t>/responsible party</w:t>
      </w:r>
      <w:r>
        <w:t>.</w:t>
      </w:r>
    </w:p>
    <w:p w14:paraId="00394B00" w14:textId="00117B73" w:rsidR="00BE4543" w:rsidRDefault="00BE4543" w:rsidP="001E7C7A">
      <w:pPr>
        <w:pStyle w:val="Bodynumbercopy"/>
      </w:pPr>
      <w:r>
        <w:t xml:space="preserve">Where the </w:t>
      </w:r>
      <w:r w:rsidR="00906346">
        <w:t>Local</w:t>
      </w:r>
      <w:r w:rsidR="002E0E38">
        <w:t xml:space="preserve"> Authority</w:t>
      </w:r>
      <w:r>
        <w:t xml:space="preserve">, </w:t>
      </w:r>
      <w:r w:rsidR="00D3298C">
        <w:t>receives</w:t>
      </w:r>
      <w:r>
        <w:t xml:space="preserve"> queries about the other </w:t>
      </w:r>
      <w:r w:rsidR="007048C0">
        <w:t>undertakers’</w:t>
      </w:r>
      <w:r w:rsidR="00A91493">
        <w:t>/responsible parties’</w:t>
      </w:r>
      <w:r>
        <w:t xml:space="preserve"> tariffs, policies and procedures, these should be included within the customer care enquiries totals.</w:t>
      </w:r>
    </w:p>
    <w:p w14:paraId="0B3DF05E" w14:textId="6CD1BC66" w:rsidR="00DC2928" w:rsidRDefault="00DC2928" w:rsidP="001E7C7A">
      <w:pPr>
        <w:pStyle w:val="Bodynumbercopy"/>
      </w:pPr>
      <w:r>
        <w:t xml:space="preserve">Where the </w:t>
      </w:r>
      <w:r w:rsidR="00906346">
        <w:t>Local</w:t>
      </w:r>
      <w:r>
        <w:t xml:space="preserve"> Authority is unable to answer </w:t>
      </w:r>
      <w:r w:rsidR="00612EAB">
        <w:t>requests</w:t>
      </w:r>
      <w:r>
        <w:t>, and therefore refer them to the other undertaker</w:t>
      </w:r>
      <w:r w:rsidR="00A91493">
        <w:t>/responsible party</w:t>
      </w:r>
      <w:r>
        <w:t xml:space="preserve">, these should be excluded from the </w:t>
      </w:r>
      <w:r w:rsidR="00906346">
        <w:t>Local</w:t>
      </w:r>
      <w:r>
        <w:t xml:space="preserve"> Authority 's reported customer care </w:t>
      </w:r>
      <w:r w:rsidR="00612EAB">
        <w:t xml:space="preserve">requests </w:t>
      </w:r>
      <w:r>
        <w:t xml:space="preserve">totals. Where the </w:t>
      </w:r>
      <w:r w:rsidR="00906346">
        <w:t>Local</w:t>
      </w:r>
      <w:r>
        <w:t xml:space="preserve"> Authority advises the customer that the contact has been referred to the other undertaker</w:t>
      </w:r>
      <w:r w:rsidR="00A91493">
        <w:t>/responsible party</w:t>
      </w:r>
      <w:r>
        <w:t xml:space="preserve">, the advisory letter/telephone call should not be included in the customer care enquiries totals. This will prevent </w:t>
      </w:r>
      <w:r w:rsidR="007048C0">
        <w:t>double counting</w:t>
      </w:r>
      <w:r>
        <w:t xml:space="preserve"> of the same contact.</w:t>
      </w:r>
    </w:p>
    <w:p w14:paraId="4063DB96" w14:textId="0122CDFE" w:rsidR="00BE4543" w:rsidRDefault="00BE4543" w:rsidP="001E7C7A">
      <w:pPr>
        <w:pStyle w:val="Bodynumbercopy"/>
      </w:pPr>
      <w:r w:rsidRPr="286C5C0D">
        <w:rPr>
          <w:b/>
          <w:bCs/>
        </w:rPr>
        <w:t>Reporting billing contacts received from other undertakers or agents:</w:t>
      </w:r>
      <w:r>
        <w:t xml:space="preserve"> Billing contacts referred to the </w:t>
      </w:r>
      <w:r w:rsidR="00906346">
        <w:t>Local</w:t>
      </w:r>
      <w:r w:rsidR="002E0E38">
        <w:t xml:space="preserve"> Authority</w:t>
      </w:r>
      <w:r>
        <w:t xml:space="preserve"> by another undertaker</w:t>
      </w:r>
      <w:r w:rsidR="00A91493">
        <w:t>/responsible party</w:t>
      </w:r>
      <w:r>
        <w:t xml:space="preserve">, </w:t>
      </w:r>
      <w:r w:rsidR="00906346">
        <w:t>Local</w:t>
      </w:r>
      <w:r w:rsidR="00C86F52">
        <w:t xml:space="preserve"> A</w:t>
      </w:r>
      <w:r>
        <w:t xml:space="preserve">uthority, housing association or other agent should be included in the customer care enquiries totals of the </w:t>
      </w:r>
      <w:r w:rsidR="00906346">
        <w:t>Local</w:t>
      </w:r>
      <w:r w:rsidR="002E0E38">
        <w:t xml:space="preserve"> Authority</w:t>
      </w:r>
      <w:r>
        <w:t xml:space="preserve"> to which the billing contact is referred.</w:t>
      </w:r>
    </w:p>
    <w:p w14:paraId="51EBF1F1" w14:textId="073D90C1" w:rsidR="00BE4543" w:rsidRDefault="00906346" w:rsidP="001E7C7A">
      <w:pPr>
        <w:pStyle w:val="Bodynumbercopy"/>
      </w:pPr>
      <w:r>
        <w:rPr>
          <w:b/>
          <w:bCs/>
        </w:rPr>
        <w:t>Local</w:t>
      </w:r>
      <w:r w:rsidR="002E0E38" w:rsidRPr="286C5C0D">
        <w:rPr>
          <w:b/>
          <w:bCs/>
        </w:rPr>
        <w:t xml:space="preserve"> Authority</w:t>
      </w:r>
      <w:r w:rsidR="00BE4543" w:rsidRPr="286C5C0D">
        <w:rPr>
          <w:b/>
          <w:bCs/>
        </w:rPr>
        <w:t xml:space="preserve"> written billing contacts by telephone or by visit:</w:t>
      </w:r>
      <w:r w:rsidR="00BE4543">
        <w:t xml:space="preserve"> Where the </w:t>
      </w:r>
      <w:r>
        <w:t>Local</w:t>
      </w:r>
      <w:r w:rsidR="002E0E38">
        <w:t xml:space="preserve"> Authority</w:t>
      </w:r>
      <w:r w:rsidR="00BE4543">
        <w:t xml:space="preserve"> uses the telephone or make</w:t>
      </w:r>
      <w:r w:rsidR="001F13C4">
        <w:t>s</w:t>
      </w:r>
      <w:r w:rsidR="00BE4543">
        <w:t xml:space="preserve"> a visit to respond to a written billing contact, then the date of the telephone call or visit will count as the date of response for customer care enquires purposes.</w:t>
      </w:r>
    </w:p>
    <w:p w14:paraId="3F1D6DC1" w14:textId="77777777" w:rsidR="00BE4543" w:rsidRDefault="00BE4543" w:rsidP="001E7C7A">
      <w:pPr>
        <w:pStyle w:val="Bodynumbercopy"/>
      </w:pPr>
      <w:r w:rsidRPr="286C5C0D">
        <w:rPr>
          <w:b/>
          <w:bCs/>
        </w:rPr>
        <w:t>Assumptions</w:t>
      </w:r>
      <w:r>
        <w:t xml:space="preserve">: Any assumptions, including those which are made about the response times, for example to particular types of contacts, must clearly be stated in the commentary, together with the reasons for the assumptions. Similarly, if response times to billing contacts received by telephone are </w:t>
      </w:r>
      <w:r>
        <w:lastRenderedPageBreak/>
        <w:t xml:space="preserve">reported differently to billing contacts received in writing then this should be stated in the methodology section. </w:t>
      </w:r>
    </w:p>
    <w:p w14:paraId="67086DC9" w14:textId="38977472" w:rsidR="00BE4543" w:rsidRDefault="00BE4543" w:rsidP="0022097E">
      <w:pPr>
        <w:pStyle w:val="Sectionsub-heading"/>
      </w:pPr>
      <w:r w:rsidRPr="006E1140">
        <w:t>Lines B4.1 to B4.</w:t>
      </w:r>
      <w:r w:rsidR="00864733">
        <w:t>5</w:t>
      </w:r>
      <w:r w:rsidRPr="006E1140">
        <w:t xml:space="preserve">: Response to </w:t>
      </w:r>
      <w:r w:rsidR="009B304A">
        <w:t>b</w:t>
      </w:r>
      <w:r w:rsidRPr="006E1140">
        <w:t xml:space="preserve">illing / </w:t>
      </w:r>
      <w:r w:rsidR="009B304A">
        <w:t>c</w:t>
      </w:r>
      <w:r w:rsidRPr="006E1140">
        <w:t xml:space="preserve">harging / </w:t>
      </w:r>
      <w:r w:rsidR="009B304A">
        <w:t>m</w:t>
      </w:r>
      <w:r w:rsidRPr="006E1140">
        <w:t xml:space="preserve">etering </w:t>
      </w:r>
      <w:r w:rsidR="009B304A">
        <w:t>e</w:t>
      </w:r>
      <w:r w:rsidRPr="006E1140">
        <w:t>nquiries</w:t>
      </w:r>
    </w:p>
    <w:p w14:paraId="4968AEB5" w14:textId="77777777" w:rsidR="00BE4543" w:rsidRDefault="00BE4543" w:rsidP="0022097E">
      <w:pPr>
        <w:pStyle w:val="Sectionsub-heading"/>
      </w:pPr>
      <w:r>
        <w:t>Aim</w:t>
      </w:r>
    </w:p>
    <w:p w14:paraId="500324CD" w14:textId="77777777" w:rsidR="00BE4543" w:rsidRDefault="00BE4543" w:rsidP="001E7C7A">
      <w:pPr>
        <w:pStyle w:val="Bodynumbercopy"/>
      </w:pPr>
      <w:r>
        <w:t>To identify the total number of billing, charging and metering enquiries received during the report year and time taken to respond to them.</w:t>
      </w:r>
    </w:p>
    <w:p w14:paraId="23A7BE84" w14:textId="25DC7C0C" w:rsidR="00BE4543" w:rsidRDefault="00BE4543" w:rsidP="001E78B4">
      <w:pPr>
        <w:pStyle w:val="Sectionsub-heading"/>
      </w:pPr>
      <w:r>
        <w:t xml:space="preserve">Specific </w:t>
      </w:r>
      <w:r w:rsidR="005D4D97">
        <w:t>d</w:t>
      </w:r>
      <w:r>
        <w:t>efinitions</w:t>
      </w:r>
    </w:p>
    <w:p w14:paraId="754492F6" w14:textId="55D010E5" w:rsidR="00BE4543" w:rsidRDefault="00BE4543" w:rsidP="001E7C7A">
      <w:pPr>
        <w:pStyle w:val="Bodynumbercopy"/>
      </w:pPr>
      <w:r w:rsidRPr="286C5C0D">
        <w:rPr>
          <w:b/>
          <w:bCs/>
        </w:rPr>
        <w:t>Billing contact</w:t>
      </w:r>
      <w:r>
        <w:t xml:space="preserve">: This covers any communication from a customer regarding a bill which requires a response or an action by the </w:t>
      </w:r>
      <w:r w:rsidR="00906346">
        <w:t>Local</w:t>
      </w:r>
      <w:r w:rsidR="002E0E38">
        <w:t xml:space="preserve"> Authority</w:t>
      </w:r>
      <w:r>
        <w:t>.  It does not constitute a written complaint, which should be reported under customer care complaints and does not include change of payment enquiries. Billing contacts can be received by telephone, in writing, by electronic transmission and by personal visit. For example, billing contacts include:</w:t>
      </w:r>
    </w:p>
    <w:p w14:paraId="62C6CC5E" w14:textId="6732C721" w:rsidR="00BE4543" w:rsidRDefault="00173CD9" w:rsidP="00C10211">
      <w:pPr>
        <w:pStyle w:val="Bodyromannumerals"/>
        <w:numPr>
          <w:ilvl w:val="0"/>
          <w:numId w:val="27"/>
        </w:numPr>
      </w:pPr>
      <w:r w:rsidRPr="009B304A">
        <w:rPr>
          <w:b/>
          <w:bCs/>
        </w:rPr>
        <w:t>N</w:t>
      </w:r>
      <w:r w:rsidR="00BE4543" w:rsidRPr="009B304A">
        <w:rPr>
          <w:b/>
          <w:bCs/>
        </w:rPr>
        <w:t>otification of changes</w:t>
      </w:r>
      <w:r w:rsidR="00BE4543">
        <w:t xml:space="preserve"> - to address, name, bank details etc.;</w:t>
      </w:r>
    </w:p>
    <w:p w14:paraId="7F9B2CA7" w14:textId="77C30967" w:rsidR="00BE4543" w:rsidRDefault="00173CD9" w:rsidP="00C10211">
      <w:pPr>
        <w:pStyle w:val="Bodyromannumerals"/>
        <w:numPr>
          <w:ilvl w:val="0"/>
          <w:numId w:val="27"/>
        </w:numPr>
      </w:pPr>
      <w:r w:rsidRPr="009B304A">
        <w:rPr>
          <w:b/>
          <w:bCs/>
        </w:rPr>
        <w:t>C</w:t>
      </w:r>
      <w:r w:rsidR="00BE4543" w:rsidRPr="009B304A">
        <w:rPr>
          <w:b/>
          <w:bCs/>
        </w:rPr>
        <w:t>harges</w:t>
      </w:r>
      <w:r w:rsidR="00BE4543">
        <w:t xml:space="preserve"> - reasons for increases in charges</w:t>
      </w:r>
      <w:r w:rsidR="004A1298">
        <w:t xml:space="preserve"> </w:t>
      </w:r>
      <w:r w:rsidR="00BE4543">
        <w:t>queries about standing charges, queries about Rateable Values etc.;</w:t>
      </w:r>
    </w:p>
    <w:p w14:paraId="7F0D0231" w14:textId="5678BDA1" w:rsidR="00BE4543" w:rsidRDefault="00173CD9" w:rsidP="00C10211">
      <w:pPr>
        <w:pStyle w:val="Bodyromannumerals"/>
        <w:numPr>
          <w:ilvl w:val="0"/>
          <w:numId w:val="27"/>
        </w:numPr>
      </w:pPr>
      <w:r w:rsidRPr="009B304A">
        <w:rPr>
          <w:b/>
          <w:bCs/>
        </w:rPr>
        <w:t>B</w:t>
      </w:r>
      <w:r w:rsidR="00BE4543" w:rsidRPr="009B304A">
        <w:rPr>
          <w:b/>
          <w:bCs/>
        </w:rPr>
        <w:t>illing</w:t>
      </w:r>
      <w:r w:rsidR="00BE4543" w:rsidRPr="009B304A">
        <w:t xml:space="preserve"> </w:t>
      </w:r>
      <w:r w:rsidR="00BE4543">
        <w:t>- bills not received, bill amount incorrect, receipt of duplicate bill, receipt of two separate bills (for different amounts or services) etc.;</w:t>
      </w:r>
    </w:p>
    <w:p w14:paraId="311A1800" w14:textId="02A5C069" w:rsidR="00BE4543" w:rsidRDefault="00173CD9" w:rsidP="00C10211">
      <w:pPr>
        <w:pStyle w:val="Bodyromannumerals"/>
        <w:numPr>
          <w:ilvl w:val="0"/>
          <w:numId w:val="27"/>
        </w:numPr>
      </w:pPr>
      <w:r w:rsidRPr="0007555F">
        <w:rPr>
          <w:b/>
          <w:bCs/>
        </w:rPr>
        <w:t>M</w:t>
      </w:r>
      <w:r w:rsidR="00BE4543" w:rsidRPr="0007555F">
        <w:rPr>
          <w:b/>
          <w:bCs/>
        </w:rPr>
        <w:t>etered accounts</w:t>
      </w:r>
      <w:r w:rsidR="00BE4543">
        <w:t xml:space="preserve"> - delay in cancelling unmeasured bill following transfer to measured tariff, query high consumption, query receipt of estimated bills etc.;</w:t>
      </w:r>
    </w:p>
    <w:p w14:paraId="511777C3" w14:textId="62439C80" w:rsidR="00BE4543" w:rsidRDefault="00173CD9" w:rsidP="00C10211">
      <w:pPr>
        <w:pStyle w:val="Bodyromannumerals"/>
        <w:numPr>
          <w:ilvl w:val="0"/>
          <w:numId w:val="27"/>
        </w:numPr>
      </w:pPr>
      <w:r w:rsidRPr="009B304A">
        <w:rPr>
          <w:b/>
          <w:bCs/>
        </w:rPr>
        <w:t>D</w:t>
      </w:r>
      <w:r w:rsidR="00BE4543" w:rsidRPr="009B304A">
        <w:rPr>
          <w:b/>
          <w:bCs/>
        </w:rPr>
        <w:t>ebt recovery -</w:t>
      </w:r>
      <w:r w:rsidR="00BE4543">
        <w:t xml:space="preserve"> Final Notice incorrectly issued or not received, Summons incorrectly issued or not received, disconnection carried out despite payment of bill or agreed arrangement etc.;</w:t>
      </w:r>
    </w:p>
    <w:p w14:paraId="0C5A63C9" w14:textId="2E6485CD" w:rsidR="00BE4543" w:rsidRDefault="00173CD9" w:rsidP="00C10211">
      <w:pPr>
        <w:pStyle w:val="Bodyromannumerals"/>
        <w:numPr>
          <w:ilvl w:val="0"/>
          <w:numId w:val="27"/>
        </w:numPr>
      </w:pPr>
      <w:r w:rsidRPr="009B304A">
        <w:rPr>
          <w:b/>
          <w:bCs/>
        </w:rPr>
        <w:t>N</w:t>
      </w:r>
      <w:r w:rsidR="00BE4543" w:rsidRPr="009B304A">
        <w:rPr>
          <w:b/>
          <w:bCs/>
        </w:rPr>
        <w:t>ew connections -</w:t>
      </w:r>
      <w:r w:rsidR="00BE4543">
        <w:t xml:space="preserve"> charges for rechargeable works, such as requisitions of new mains or connections, Infrastructure Charges etc.; and</w:t>
      </w:r>
    </w:p>
    <w:p w14:paraId="02B2D7BC" w14:textId="784CB5A7" w:rsidR="00BE4543" w:rsidRDefault="00173CD9" w:rsidP="00C10211">
      <w:pPr>
        <w:pStyle w:val="Bodyromannumerals"/>
        <w:numPr>
          <w:ilvl w:val="0"/>
          <w:numId w:val="27"/>
        </w:numPr>
      </w:pPr>
      <w:r w:rsidRPr="009B304A">
        <w:rPr>
          <w:b/>
          <w:bCs/>
        </w:rPr>
        <w:t>O</w:t>
      </w:r>
      <w:r w:rsidR="00BE4543" w:rsidRPr="009B304A">
        <w:rPr>
          <w:b/>
          <w:bCs/>
        </w:rPr>
        <w:t>ther</w:t>
      </w:r>
      <w:r w:rsidR="00BE4543">
        <w:t xml:space="preserve"> - property not occupied but still receiving bills, property not connected to mains water/</w:t>
      </w:r>
      <w:r w:rsidR="009D138F">
        <w:t>wastewater</w:t>
      </w:r>
      <w:r w:rsidR="00BE4543">
        <w:t xml:space="preserve"> but still receiving bills etc.</w:t>
      </w:r>
    </w:p>
    <w:p w14:paraId="220B063D" w14:textId="255B040B" w:rsidR="00BE4543" w:rsidRDefault="00BE4543" w:rsidP="001B2E60">
      <w:pPr>
        <w:pStyle w:val="Sectionsub-heading"/>
      </w:pPr>
      <w:r>
        <w:t>Lines B4.14 to B4.</w:t>
      </w:r>
      <w:r w:rsidR="00840109">
        <w:t>18</w:t>
      </w:r>
      <w:r>
        <w:t xml:space="preserve">: Change of </w:t>
      </w:r>
      <w:r w:rsidR="009B304A">
        <w:t>p</w:t>
      </w:r>
      <w:r>
        <w:t xml:space="preserve">ayment </w:t>
      </w:r>
      <w:r w:rsidR="009B304A">
        <w:t>m</w:t>
      </w:r>
      <w:r>
        <w:t xml:space="preserve">ethod </w:t>
      </w:r>
      <w:r w:rsidR="009B304A">
        <w:t>e</w:t>
      </w:r>
      <w:r>
        <w:t>nquiries</w:t>
      </w:r>
    </w:p>
    <w:p w14:paraId="1BFB1BD2" w14:textId="77777777" w:rsidR="00BE4543" w:rsidRDefault="00BE4543" w:rsidP="001B2E60">
      <w:pPr>
        <w:pStyle w:val="Sectionsub-heading"/>
      </w:pPr>
      <w:r>
        <w:t>Aim</w:t>
      </w:r>
    </w:p>
    <w:p w14:paraId="0B67009D" w14:textId="053B4E56" w:rsidR="00BE4543" w:rsidRDefault="00BE4543" w:rsidP="001E7C7A">
      <w:pPr>
        <w:pStyle w:val="Bodynumbercopy"/>
      </w:pPr>
      <w:r>
        <w:t xml:space="preserve">To identify the total number of </w:t>
      </w:r>
      <w:r w:rsidR="007048C0">
        <w:t>changes</w:t>
      </w:r>
      <w:r>
        <w:t xml:space="preserve"> of payment method enquiries received during the report year and time taken to respond to them.</w:t>
      </w:r>
    </w:p>
    <w:p w14:paraId="098F38CB" w14:textId="77777777" w:rsidR="00BE4543" w:rsidRDefault="00BE4543" w:rsidP="00521EAD">
      <w:pPr>
        <w:pStyle w:val="Sectionsub-heading"/>
      </w:pPr>
      <w:r>
        <w:t>Specific definitions</w:t>
      </w:r>
    </w:p>
    <w:p w14:paraId="5682683C" w14:textId="0C514A1F" w:rsidR="00BE4543" w:rsidRDefault="00173CD9" w:rsidP="001E7C7A">
      <w:pPr>
        <w:pStyle w:val="Bodynumbercopy"/>
      </w:pPr>
      <w:r>
        <w:t>R</w:t>
      </w:r>
      <w:r w:rsidR="00BE4543">
        <w:t>equests to change payment methods - to/from Direct Debit, Standing Order, instalments, budget schemes, payment cards etc.;</w:t>
      </w:r>
    </w:p>
    <w:p w14:paraId="240C9F80" w14:textId="77777777" w:rsidR="00015469" w:rsidRDefault="00015469" w:rsidP="00ED39C9">
      <w:pPr>
        <w:pStyle w:val="Sectionsub-heading"/>
      </w:pPr>
      <w:r>
        <w:br w:type="page"/>
      </w:r>
    </w:p>
    <w:p w14:paraId="48DE4F45" w14:textId="7CF6D314" w:rsidR="00BE4543" w:rsidRDefault="00BE4543" w:rsidP="00ED39C9">
      <w:pPr>
        <w:pStyle w:val="Sectionsub-heading"/>
      </w:pPr>
      <w:r>
        <w:lastRenderedPageBreak/>
        <w:t>BLOCK 1: BILLING/CHARGING/METERING ENQUIRIES</w:t>
      </w:r>
    </w:p>
    <w:tbl>
      <w:tblPr>
        <w:tblStyle w:val="TableGrid"/>
        <w:tblW w:w="0" w:type="auto"/>
        <w:tblLook w:val="04A0" w:firstRow="1" w:lastRow="0" w:firstColumn="1" w:lastColumn="0" w:noHBand="0" w:noVBand="1"/>
      </w:tblPr>
      <w:tblGrid>
        <w:gridCol w:w="968"/>
        <w:gridCol w:w="985"/>
        <w:gridCol w:w="4482"/>
        <w:gridCol w:w="1123"/>
      </w:tblGrid>
      <w:tr w:rsidR="00175F4C" w:rsidRPr="00216F0E" w14:paraId="22D69ABA" w14:textId="77777777" w:rsidTr="00B529DC">
        <w:tc>
          <w:tcPr>
            <w:tcW w:w="968" w:type="dxa"/>
          </w:tcPr>
          <w:p w14:paraId="19F366AC" w14:textId="77777777" w:rsidR="00175F4C" w:rsidRPr="00802539" w:rsidRDefault="00175F4C" w:rsidP="00175F4C">
            <w:pPr>
              <w:pStyle w:val="Bodyromannumerals"/>
              <w:rPr>
                <w:b/>
                <w:bCs/>
                <w:lang w:val="en-US"/>
              </w:rPr>
            </w:pPr>
            <w:r w:rsidRPr="00802539">
              <w:rPr>
                <w:b/>
                <w:bCs/>
                <w:lang w:val="en-US"/>
              </w:rPr>
              <w:t>B4.1</w:t>
            </w:r>
          </w:p>
        </w:tc>
        <w:tc>
          <w:tcPr>
            <w:tcW w:w="5467" w:type="dxa"/>
            <w:gridSpan w:val="2"/>
          </w:tcPr>
          <w:p w14:paraId="29B68989" w14:textId="77777777" w:rsidR="00175F4C" w:rsidRPr="00802539" w:rsidRDefault="00175F4C" w:rsidP="00175F4C">
            <w:pPr>
              <w:pStyle w:val="Bodyromannumerals"/>
              <w:rPr>
                <w:b/>
                <w:bCs/>
                <w:lang w:val="en-US"/>
              </w:rPr>
            </w:pPr>
            <w:r w:rsidRPr="00802539">
              <w:rPr>
                <w:b/>
                <w:bCs/>
                <w:lang w:val="en-US"/>
              </w:rPr>
              <w:t>Total number of enquiries</w:t>
            </w:r>
          </w:p>
        </w:tc>
        <w:tc>
          <w:tcPr>
            <w:tcW w:w="1123" w:type="dxa"/>
          </w:tcPr>
          <w:p w14:paraId="5AC71752" w14:textId="33B2584B" w:rsidR="00175F4C" w:rsidRPr="00802539" w:rsidRDefault="00175F4C" w:rsidP="00175F4C">
            <w:pPr>
              <w:pStyle w:val="Bodyromannumerals"/>
              <w:rPr>
                <w:b/>
                <w:bCs/>
                <w:lang w:val="en-US"/>
              </w:rPr>
            </w:pPr>
            <w:r w:rsidRPr="00802539">
              <w:rPr>
                <w:b/>
                <w:bCs/>
                <w:lang w:val="en-US"/>
              </w:rPr>
              <w:t>Nr</w:t>
            </w:r>
            <w:r w:rsidR="00802539" w:rsidRPr="00802539">
              <w:rPr>
                <w:b/>
                <w:bCs/>
                <w:lang w:val="en-US"/>
              </w:rPr>
              <w:t>.</w:t>
            </w:r>
          </w:p>
        </w:tc>
      </w:tr>
      <w:tr w:rsidR="00175F4C" w:rsidRPr="00216F0E" w14:paraId="56C7F8C8" w14:textId="77777777" w:rsidTr="00B529DC">
        <w:tc>
          <w:tcPr>
            <w:tcW w:w="1953" w:type="dxa"/>
            <w:gridSpan w:val="2"/>
            <w:tcBorders>
              <w:left w:val="single" w:sz="4" w:space="0" w:color="FFFFFF"/>
              <w:bottom w:val="single" w:sz="4" w:space="0" w:color="FFFFFF"/>
              <w:right w:val="single" w:sz="4" w:space="0" w:color="FFFFFF"/>
            </w:tcBorders>
          </w:tcPr>
          <w:p w14:paraId="1DFAA7AA" w14:textId="77777777" w:rsidR="00175F4C" w:rsidRPr="00AF4AEA" w:rsidRDefault="00175F4C" w:rsidP="00175F4C">
            <w:pPr>
              <w:pStyle w:val="Bodyromannumerals"/>
              <w:rPr>
                <w:i/>
                <w:lang w:val="en-US"/>
              </w:rPr>
            </w:pPr>
            <w:r w:rsidRPr="00AF4AEA">
              <w:rPr>
                <w:i/>
                <w:lang w:val="en-US"/>
              </w:rPr>
              <w:t>Definition:</w:t>
            </w:r>
          </w:p>
        </w:tc>
        <w:tc>
          <w:tcPr>
            <w:tcW w:w="5605" w:type="dxa"/>
            <w:gridSpan w:val="2"/>
            <w:tcBorders>
              <w:left w:val="single" w:sz="4" w:space="0" w:color="FFFFFF"/>
              <w:bottom w:val="single" w:sz="4" w:space="0" w:color="FFFFFF"/>
              <w:right w:val="single" w:sz="4" w:space="0" w:color="FFFFFF"/>
            </w:tcBorders>
          </w:tcPr>
          <w:p w14:paraId="33FEF349" w14:textId="77777777" w:rsidR="00175F4C" w:rsidRPr="00AF4AEA" w:rsidRDefault="00175F4C" w:rsidP="00175F4C">
            <w:pPr>
              <w:pStyle w:val="Bodyromannumerals"/>
              <w:rPr>
                <w:lang w:val="en-US"/>
              </w:rPr>
            </w:pPr>
            <w:r w:rsidRPr="00AF4AEA">
              <w:rPr>
                <w:lang w:val="en-US"/>
              </w:rPr>
              <w:t>The total number billing/charging/metering enquiries received.</w:t>
            </w:r>
          </w:p>
        </w:tc>
      </w:tr>
      <w:tr w:rsidR="00175F4C" w:rsidRPr="00216F0E" w14:paraId="3AB2AFE4" w14:textId="77777777" w:rsidTr="00B529DC">
        <w:tc>
          <w:tcPr>
            <w:tcW w:w="1953" w:type="dxa"/>
            <w:gridSpan w:val="2"/>
            <w:tcBorders>
              <w:top w:val="single" w:sz="4" w:space="0" w:color="FFFFFF"/>
              <w:left w:val="single" w:sz="4" w:space="0" w:color="FFFFFF"/>
              <w:bottom w:val="single" w:sz="4" w:space="0" w:color="FFFFFF"/>
              <w:right w:val="single" w:sz="4" w:space="0" w:color="FFFFFF"/>
            </w:tcBorders>
          </w:tcPr>
          <w:p w14:paraId="509FF283" w14:textId="77777777" w:rsidR="00175F4C" w:rsidRPr="00AF4AEA" w:rsidRDefault="00175F4C" w:rsidP="00175F4C">
            <w:pPr>
              <w:pStyle w:val="Bodyromannumerals"/>
              <w:rPr>
                <w:i/>
                <w:lang w:val="en-US"/>
              </w:rPr>
            </w:pPr>
            <w:r w:rsidRPr="00AF4AEA">
              <w:rPr>
                <w:i/>
                <w:lang w:val="en-US"/>
              </w:rPr>
              <w:t>Processing Rules:</w:t>
            </w:r>
          </w:p>
        </w:tc>
        <w:tc>
          <w:tcPr>
            <w:tcW w:w="5605" w:type="dxa"/>
            <w:gridSpan w:val="2"/>
            <w:tcBorders>
              <w:top w:val="single" w:sz="4" w:space="0" w:color="FFFFFF"/>
              <w:left w:val="single" w:sz="4" w:space="0" w:color="FFFFFF"/>
              <w:bottom w:val="single" w:sz="4" w:space="0" w:color="FFFFFF"/>
              <w:right w:val="single" w:sz="4" w:space="0" w:color="FFFFFF"/>
            </w:tcBorders>
          </w:tcPr>
          <w:p w14:paraId="23276DF9" w14:textId="05BD95AC" w:rsidR="00175F4C" w:rsidRPr="00216F0E" w:rsidRDefault="00175F4C" w:rsidP="00175F4C">
            <w:pPr>
              <w:pStyle w:val="Bodyromannumerals"/>
              <w:rPr>
                <w:lang w:val="en-US"/>
              </w:rPr>
            </w:pPr>
            <w:r w:rsidRPr="00AF4AEA">
              <w:rPr>
                <w:lang w:val="en-US"/>
              </w:rPr>
              <w:t xml:space="preserve">Calculated field: </w:t>
            </w:r>
            <w:r w:rsidRPr="00AF4AEA">
              <w:rPr>
                <w:bCs/>
              </w:rPr>
              <w:t>SUM[B4.2; B4.</w:t>
            </w:r>
            <w:r w:rsidR="000E3F58">
              <w:rPr>
                <w:bCs/>
              </w:rPr>
              <w:t>5</w:t>
            </w:r>
            <w:r w:rsidRPr="00AF4AEA">
              <w:rPr>
                <w:bCs/>
              </w:rPr>
              <w:t>]</w:t>
            </w:r>
          </w:p>
        </w:tc>
      </w:tr>
      <w:tr w:rsidR="00175F4C" w:rsidRPr="00216F0E" w14:paraId="73A52EEA" w14:textId="77777777" w:rsidTr="00B529DC">
        <w:tc>
          <w:tcPr>
            <w:tcW w:w="968" w:type="dxa"/>
          </w:tcPr>
          <w:p w14:paraId="74128DC6" w14:textId="77777777" w:rsidR="00175F4C" w:rsidRPr="00802539" w:rsidRDefault="00175F4C" w:rsidP="00175F4C">
            <w:pPr>
              <w:pStyle w:val="Bodyromannumerals"/>
              <w:rPr>
                <w:b/>
                <w:bCs/>
                <w:lang w:val="en-US"/>
              </w:rPr>
            </w:pPr>
            <w:r w:rsidRPr="00802539">
              <w:rPr>
                <w:b/>
                <w:bCs/>
                <w:lang w:val="en-US"/>
              </w:rPr>
              <w:t>B4.2</w:t>
            </w:r>
          </w:p>
        </w:tc>
        <w:tc>
          <w:tcPr>
            <w:tcW w:w="5467" w:type="dxa"/>
            <w:gridSpan w:val="2"/>
          </w:tcPr>
          <w:p w14:paraId="06D5DDDE" w14:textId="77777777" w:rsidR="00175F4C" w:rsidRPr="00802539" w:rsidRDefault="00175F4C" w:rsidP="00175F4C">
            <w:pPr>
              <w:pStyle w:val="Bodyromannumerals"/>
              <w:rPr>
                <w:b/>
                <w:bCs/>
                <w:lang w:val="en-US"/>
              </w:rPr>
            </w:pPr>
            <w:r w:rsidRPr="00802539">
              <w:rPr>
                <w:b/>
                <w:bCs/>
                <w:lang w:val="en-US"/>
              </w:rPr>
              <w:t>Number dealt with within 2 working days</w:t>
            </w:r>
          </w:p>
        </w:tc>
        <w:tc>
          <w:tcPr>
            <w:tcW w:w="1123" w:type="dxa"/>
          </w:tcPr>
          <w:p w14:paraId="55AD47B8" w14:textId="5BF1F828" w:rsidR="00175F4C" w:rsidRPr="00802539" w:rsidRDefault="00175F4C" w:rsidP="00175F4C">
            <w:pPr>
              <w:pStyle w:val="Bodyromannumerals"/>
              <w:rPr>
                <w:b/>
                <w:bCs/>
                <w:lang w:val="en-US"/>
              </w:rPr>
            </w:pPr>
            <w:r w:rsidRPr="00802539">
              <w:rPr>
                <w:b/>
                <w:bCs/>
                <w:lang w:val="en-US"/>
              </w:rPr>
              <w:t>Nr</w:t>
            </w:r>
            <w:r w:rsidR="00802539" w:rsidRPr="00802539">
              <w:rPr>
                <w:b/>
                <w:bCs/>
                <w:lang w:val="en-US"/>
              </w:rPr>
              <w:t>.</w:t>
            </w:r>
          </w:p>
        </w:tc>
      </w:tr>
      <w:tr w:rsidR="00175F4C" w:rsidRPr="00216F0E" w14:paraId="4347422A" w14:textId="77777777" w:rsidTr="00B529DC">
        <w:tc>
          <w:tcPr>
            <w:tcW w:w="1953" w:type="dxa"/>
            <w:gridSpan w:val="2"/>
            <w:tcBorders>
              <w:left w:val="single" w:sz="4" w:space="0" w:color="FFFFFF"/>
              <w:bottom w:val="single" w:sz="4" w:space="0" w:color="FFFFFF"/>
              <w:right w:val="single" w:sz="4" w:space="0" w:color="FFFFFF"/>
            </w:tcBorders>
          </w:tcPr>
          <w:p w14:paraId="2305B561" w14:textId="77777777" w:rsidR="00175F4C" w:rsidRPr="00AF4AEA" w:rsidRDefault="00175F4C" w:rsidP="00175F4C">
            <w:pPr>
              <w:pStyle w:val="Bodyromannumerals"/>
              <w:rPr>
                <w:i/>
                <w:lang w:val="en-US"/>
              </w:rPr>
            </w:pPr>
            <w:r w:rsidRPr="00AF4AEA">
              <w:rPr>
                <w:i/>
                <w:lang w:val="en-US"/>
              </w:rPr>
              <w:t>Definition:</w:t>
            </w:r>
          </w:p>
        </w:tc>
        <w:tc>
          <w:tcPr>
            <w:tcW w:w="5605" w:type="dxa"/>
            <w:gridSpan w:val="2"/>
            <w:tcBorders>
              <w:left w:val="single" w:sz="4" w:space="0" w:color="FFFFFF"/>
              <w:bottom w:val="single" w:sz="4" w:space="0" w:color="FFFFFF"/>
              <w:right w:val="single" w:sz="4" w:space="0" w:color="FFFFFF"/>
            </w:tcBorders>
          </w:tcPr>
          <w:p w14:paraId="2D0C1325" w14:textId="77777777" w:rsidR="00175F4C" w:rsidRPr="00AF4AEA" w:rsidRDefault="00175F4C" w:rsidP="00175F4C">
            <w:pPr>
              <w:pStyle w:val="Bodyromannumerals"/>
              <w:rPr>
                <w:lang w:val="en-US"/>
              </w:rPr>
            </w:pPr>
            <w:r w:rsidRPr="00AF4AEA">
              <w:rPr>
                <w:lang w:val="en-US"/>
              </w:rPr>
              <w:t>The number of billing/charging/metering enquiries dealt with within two working days.</w:t>
            </w:r>
          </w:p>
        </w:tc>
      </w:tr>
      <w:tr w:rsidR="00175F4C" w:rsidRPr="00216F0E" w14:paraId="5C43ADA2" w14:textId="77777777" w:rsidTr="00B529DC">
        <w:tc>
          <w:tcPr>
            <w:tcW w:w="1953" w:type="dxa"/>
            <w:gridSpan w:val="2"/>
            <w:tcBorders>
              <w:top w:val="single" w:sz="4" w:space="0" w:color="FFFFFF"/>
              <w:left w:val="single" w:sz="4" w:space="0" w:color="FFFFFF"/>
              <w:bottom w:val="single" w:sz="4" w:space="0" w:color="FFFFFF"/>
              <w:right w:val="single" w:sz="4" w:space="0" w:color="FFFFFF"/>
            </w:tcBorders>
          </w:tcPr>
          <w:p w14:paraId="1FC2294A" w14:textId="77777777" w:rsidR="00175F4C" w:rsidRPr="00AF4AEA" w:rsidRDefault="00175F4C" w:rsidP="00175F4C">
            <w:pPr>
              <w:pStyle w:val="Bodyromannumerals"/>
              <w:rPr>
                <w:i/>
                <w:lang w:val="en-US"/>
              </w:rPr>
            </w:pPr>
            <w:r w:rsidRPr="00AF4AEA">
              <w:rPr>
                <w:i/>
                <w:lang w:val="en-US"/>
              </w:rPr>
              <w:t>Processing Rules:</w:t>
            </w:r>
          </w:p>
        </w:tc>
        <w:tc>
          <w:tcPr>
            <w:tcW w:w="5605" w:type="dxa"/>
            <w:gridSpan w:val="2"/>
            <w:tcBorders>
              <w:top w:val="single" w:sz="4" w:space="0" w:color="FFFFFF"/>
              <w:left w:val="single" w:sz="4" w:space="0" w:color="FFFFFF"/>
              <w:bottom w:val="single" w:sz="4" w:space="0" w:color="FFFFFF"/>
              <w:right w:val="single" w:sz="4" w:space="0" w:color="FFFFFF"/>
            </w:tcBorders>
          </w:tcPr>
          <w:p w14:paraId="76B6C22A" w14:textId="77777777" w:rsidR="00175F4C" w:rsidRPr="00AF4AEA" w:rsidRDefault="00175F4C" w:rsidP="00175F4C">
            <w:pPr>
              <w:pStyle w:val="Bodyromannumerals"/>
              <w:rPr>
                <w:lang w:val="en-US"/>
              </w:rPr>
            </w:pPr>
            <w:r w:rsidRPr="00AF4AEA">
              <w:rPr>
                <w:lang w:val="en-US"/>
              </w:rPr>
              <w:t>Input field</w:t>
            </w:r>
          </w:p>
        </w:tc>
      </w:tr>
      <w:tr w:rsidR="00175F4C" w:rsidRPr="00216F0E" w14:paraId="795BC6F8" w14:textId="77777777" w:rsidTr="00B529DC">
        <w:tc>
          <w:tcPr>
            <w:tcW w:w="968" w:type="dxa"/>
          </w:tcPr>
          <w:p w14:paraId="2B68FABE" w14:textId="77777777" w:rsidR="00175F4C" w:rsidRPr="00802539" w:rsidRDefault="00175F4C" w:rsidP="00175F4C">
            <w:pPr>
              <w:pStyle w:val="Bodyromannumerals"/>
              <w:rPr>
                <w:b/>
                <w:bCs/>
                <w:lang w:val="en-US"/>
              </w:rPr>
            </w:pPr>
            <w:r w:rsidRPr="00802539">
              <w:rPr>
                <w:b/>
                <w:bCs/>
                <w:lang w:val="en-US"/>
              </w:rPr>
              <w:t>B4.3</w:t>
            </w:r>
          </w:p>
        </w:tc>
        <w:tc>
          <w:tcPr>
            <w:tcW w:w="5467" w:type="dxa"/>
            <w:gridSpan w:val="2"/>
          </w:tcPr>
          <w:p w14:paraId="75680B29" w14:textId="77777777" w:rsidR="00175F4C" w:rsidRPr="00802539" w:rsidRDefault="00175F4C" w:rsidP="00175F4C">
            <w:pPr>
              <w:pStyle w:val="Bodyromannumerals"/>
              <w:rPr>
                <w:b/>
                <w:bCs/>
                <w:lang w:val="en-US"/>
              </w:rPr>
            </w:pPr>
            <w:r w:rsidRPr="00802539">
              <w:rPr>
                <w:b/>
                <w:bCs/>
                <w:lang w:val="en-US"/>
              </w:rPr>
              <w:t>Number dealt with in more than 2 but within 5 working days</w:t>
            </w:r>
          </w:p>
        </w:tc>
        <w:tc>
          <w:tcPr>
            <w:tcW w:w="1123" w:type="dxa"/>
          </w:tcPr>
          <w:p w14:paraId="33811051" w14:textId="6CC9F83C" w:rsidR="00175F4C" w:rsidRPr="00802539" w:rsidRDefault="00175F4C" w:rsidP="00175F4C">
            <w:pPr>
              <w:pStyle w:val="Bodyromannumerals"/>
              <w:rPr>
                <w:b/>
                <w:bCs/>
                <w:lang w:val="en-US"/>
              </w:rPr>
            </w:pPr>
            <w:r w:rsidRPr="00802539">
              <w:rPr>
                <w:b/>
                <w:bCs/>
                <w:lang w:val="en-US"/>
              </w:rPr>
              <w:t>Nr</w:t>
            </w:r>
            <w:r w:rsidR="00802539" w:rsidRPr="00802539">
              <w:rPr>
                <w:b/>
                <w:bCs/>
                <w:lang w:val="en-US"/>
              </w:rPr>
              <w:t>.</w:t>
            </w:r>
          </w:p>
        </w:tc>
      </w:tr>
      <w:tr w:rsidR="00175F4C" w:rsidRPr="00216F0E" w14:paraId="375CCCA3" w14:textId="77777777" w:rsidTr="00B529DC">
        <w:tc>
          <w:tcPr>
            <w:tcW w:w="1953" w:type="dxa"/>
            <w:gridSpan w:val="2"/>
            <w:tcBorders>
              <w:left w:val="single" w:sz="4" w:space="0" w:color="FFFFFF"/>
              <w:bottom w:val="single" w:sz="4" w:space="0" w:color="FFFFFF"/>
              <w:right w:val="single" w:sz="4" w:space="0" w:color="FFFFFF"/>
            </w:tcBorders>
          </w:tcPr>
          <w:p w14:paraId="50ED063D" w14:textId="77777777" w:rsidR="00175F4C" w:rsidRPr="00AF4AEA" w:rsidRDefault="00175F4C" w:rsidP="00175F4C">
            <w:pPr>
              <w:pStyle w:val="Bodyromannumerals"/>
              <w:rPr>
                <w:i/>
                <w:lang w:val="en-US"/>
              </w:rPr>
            </w:pPr>
            <w:r w:rsidRPr="00AF4AEA">
              <w:rPr>
                <w:i/>
                <w:lang w:val="en-US"/>
              </w:rPr>
              <w:t>Definition:</w:t>
            </w:r>
          </w:p>
        </w:tc>
        <w:tc>
          <w:tcPr>
            <w:tcW w:w="5605" w:type="dxa"/>
            <w:gridSpan w:val="2"/>
            <w:tcBorders>
              <w:left w:val="single" w:sz="4" w:space="0" w:color="FFFFFF"/>
              <w:bottom w:val="single" w:sz="4" w:space="0" w:color="FFFFFF"/>
              <w:right w:val="single" w:sz="4" w:space="0" w:color="FFFFFF"/>
            </w:tcBorders>
          </w:tcPr>
          <w:p w14:paraId="30152C9A" w14:textId="77777777" w:rsidR="00175F4C" w:rsidRPr="00AF4AEA" w:rsidRDefault="00175F4C" w:rsidP="00175F4C">
            <w:pPr>
              <w:pStyle w:val="Bodyromannumerals"/>
              <w:rPr>
                <w:lang w:val="en-US"/>
              </w:rPr>
            </w:pPr>
            <w:r w:rsidRPr="00AF4AEA">
              <w:rPr>
                <w:lang w:val="en-US"/>
              </w:rPr>
              <w:t>The number of billing/charging/metering enquiries dealt with in more than 2 but within 5 working days.</w:t>
            </w:r>
          </w:p>
        </w:tc>
      </w:tr>
      <w:tr w:rsidR="00175F4C" w:rsidRPr="00216F0E" w14:paraId="1B57F5A7" w14:textId="77777777" w:rsidTr="00B529DC">
        <w:tc>
          <w:tcPr>
            <w:tcW w:w="1953" w:type="dxa"/>
            <w:gridSpan w:val="2"/>
            <w:tcBorders>
              <w:top w:val="single" w:sz="4" w:space="0" w:color="FFFFFF"/>
              <w:left w:val="single" w:sz="4" w:space="0" w:color="FFFFFF"/>
              <w:bottom w:val="single" w:sz="4" w:space="0" w:color="FFFFFF"/>
              <w:right w:val="single" w:sz="4" w:space="0" w:color="FFFFFF"/>
            </w:tcBorders>
          </w:tcPr>
          <w:p w14:paraId="7E2367FF" w14:textId="77777777" w:rsidR="00175F4C" w:rsidRPr="00AF4AEA" w:rsidRDefault="00175F4C" w:rsidP="00175F4C">
            <w:pPr>
              <w:pStyle w:val="Bodyromannumerals"/>
              <w:rPr>
                <w:i/>
                <w:lang w:val="en-US"/>
              </w:rPr>
            </w:pPr>
            <w:r w:rsidRPr="00AF4AEA">
              <w:rPr>
                <w:i/>
                <w:lang w:val="en-US"/>
              </w:rPr>
              <w:t>Processing Rules:</w:t>
            </w:r>
          </w:p>
        </w:tc>
        <w:tc>
          <w:tcPr>
            <w:tcW w:w="5605" w:type="dxa"/>
            <w:gridSpan w:val="2"/>
            <w:tcBorders>
              <w:top w:val="single" w:sz="4" w:space="0" w:color="FFFFFF"/>
              <w:left w:val="single" w:sz="4" w:space="0" w:color="FFFFFF"/>
              <w:bottom w:val="single" w:sz="4" w:space="0" w:color="FFFFFF"/>
              <w:right w:val="single" w:sz="4" w:space="0" w:color="FFFFFF"/>
            </w:tcBorders>
          </w:tcPr>
          <w:p w14:paraId="2F599939" w14:textId="77777777" w:rsidR="00175F4C" w:rsidRPr="00AF4AEA" w:rsidRDefault="00175F4C" w:rsidP="00175F4C">
            <w:pPr>
              <w:pStyle w:val="Bodyromannumerals"/>
              <w:rPr>
                <w:lang w:val="en-US"/>
              </w:rPr>
            </w:pPr>
            <w:r w:rsidRPr="00AF4AEA">
              <w:rPr>
                <w:lang w:val="en-US"/>
              </w:rPr>
              <w:t>Input field</w:t>
            </w:r>
          </w:p>
        </w:tc>
      </w:tr>
      <w:tr w:rsidR="00175F4C" w:rsidRPr="00216F0E" w14:paraId="17629ECF" w14:textId="77777777" w:rsidTr="00B529DC">
        <w:tc>
          <w:tcPr>
            <w:tcW w:w="968" w:type="dxa"/>
          </w:tcPr>
          <w:p w14:paraId="1877C842" w14:textId="77777777" w:rsidR="00175F4C" w:rsidRPr="00802539" w:rsidRDefault="00175F4C" w:rsidP="00175F4C">
            <w:pPr>
              <w:pStyle w:val="Bodyromannumerals"/>
              <w:rPr>
                <w:b/>
                <w:bCs/>
                <w:lang w:val="en-US"/>
              </w:rPr>
            </w:pPr>
            <w:r w:rsidRPr="00802539">
              <w:rPr>
                <w:b/>
                <w:bCs/>
                <w:lang w:val="en-US"/>
              </w:rPr>
              <w:t>B4.4</w:t>
            </w:r>
          </w:p>
        </w:tc>
        <w:tc>
          <w:tcPr>
            <w:tcW w:w="5467" w:type="dxa"/>
            <w:gridSpan w:val="2"/>
          </w:tcPr>
          <w:p w14:paraId="464A557B" w14:textId="77777777" w:rsidR="00175F4C" w:rsidRPr="00802539" w:rsidRDefault="00175F4C" w:rsidP="00175F4C">
            <w:pPr>
              <w:pStyle w:val="Bodyromannumerals"/>
              <w:rPr>
                <w:b/>
                <w:bCs/>
                <w:lang w:val="en-US"/>
              </w:rPr>
            </w:pPr>
            <w:r w:rsidRPr="00802539">
              <w:rPr>
                <w:b/>
                <w:bCs/>
                <w:lang w:val="en-US"/>
              </w:rPr>
              <w:t>Number dealt with in more than 5 but within 10 working days</w:t>
            </w:r>
          </w:p>
        </w:tc>
        <w:tc>
          <w:tcPr>
            <w:tcW w:w="1123" w:type="dxa"/>
          </w:tcPr>
          <w:p w14:paraId="2CBE30CB" w14:textId="1B45109B" w:rsidR="00175F4C" w:rsidRPr="00802539" w:rsidRDefault="00175F4C" w:rsidP="00175F4C">
            <w:pPr>
              <w:pStyle w:val="Bodyromannumerals"/>
              <w:rPr>
                <w:b/>
                <w:bCs/>
                <w:lang w:val="en-US"/>
              </w:rPr>
            </w:pPr>
            <w:r w:rsidRPr="00802539">
              <w:rPr>
                <w:b/>
                <w:bCs/>
                <w:lang w:val="en-US"/>
              </w:rPr>
              <w:t>Nr</w:t>
            </w:r>
            <w:r w:rsidR="00802539" w:rsidRPr="00802539">
              <w:rPr>
                <w:b/>
                <w:bCs/>
                <w:lang w:val="en-US"/>
              </w:rPr>
              <w:t>.</w:t>
            </w:r>
          </w:p>
        </w:tc>
      </w:tr>
      <w:tr w:rsidR="00175F4C" w:rsidRPr="00216F0E" w14:paraId="30FAB9E4" w14:textId="77777777" w:rsidTr="00B529DC">
        <w:tc>
          <w:tcPr>
            <w:tcW w:w="1953" w:type="dxa"/>
            <w:gridSpan w:val="2"/>
            <w:tcBorders>
              <w:left w:val="single" w:sz="4" w:space="0" w:color="FFFFFF"/>
              <w:bottom w:val="single" w:sz="4" w:space="0" w:color="FFFFFF"/>
              <w:right w:val="single" w:sz="4" w:space="0" w:color="FFFFFF"/>
            </w:tcBorders>
          </w:tcPr>
          <w:p w14:paraId="3D73347B" w14:textId="77777777" w:rsidR="00175F4C" w:rsidRPr="00AF4AEA" w:rsidRDefault="00175F4C" w:rsidP="00175F4C">
            <w:pPr>
              <w:pStyle w:val="Bodyromannumerals"/>
              <w:rPr>
                <w:i/>
                <w:lang w:val="en-US"/>
              </w:rPr>
            </w:pPr>
            <w:r w:rsidRPr="00AF4AEA">
              <w:rPr>
                <w:i/>
                <w:lang w:val="en-US"/>
              </w:rPr>
              <w:t>Definition:</w:t>
            </w:r>
          </w:p>
        </w:tc>
        <w:tc>
          <w:tcPr>
            <w:tcW w:w="5605" w:type="dxa"/>
            <w:gridSpan w:val="2"/>
            <w:tcBorders>
              <w:left w:val="single" w:sz="4" w:space="0" w:color="FFFFFF"/>
              <w:bottom w:val="single" w:sz="4" w:space="0" w:color="FFFFFF"/>
              <w:right w:val="single" w:sz="4" w:space="0" w:color="FFFFFF"/>
            </w:tcBorders>
          </w:tcPr>
          <w:p w14:paraId="07B11EE4" w14:textId="77777777" w:rsidR="00175F4C" w:rsidRPr="00AF4AEA" w:rsidRDefault="00175F4C" w:rsidP="00175F4C">
            <w:pPr>
              <w:pStyle w:val="Bodyromannumerals"/>
              <w:rPr>
                <w:lang w:val="en-US"/>
              </w:rPr>
            </w:pPr>
            <w:r w:rsidRPr="00AF4AEA">
              <w:rPr>
                <w:lang w:val="en-US"/>
              </w:rPr>
              <w:t>The number of billing/charging/metering enquiries dealt with in more than 5 but within 10 working days.</w:t>
            </w:r>
          </w:p>
        </w:tc>
      </w:tr>
      <w:tr w:rsidR="00175F4C" w:rsidRPr="00216F0E" w14:paraId="5E4A74F0" w14:textId="77777777" w:rsidTr="00B529DC">
        <w:tc>
          <w:tcPr>
            <w:tcW w:w="1953" w:type="dxa"/>
            <w:gridSpan w:val="2"/>
            <w:tcBorders>
              <w:top w:val="single" w:sz="4" w:space="0" w:color="FFFFFF"/>
              <w:left w:val="single" w:sz="4" w:space="0" w:color="FFFFFF"/>
              <w:bottom w:val="single" w:sz="4" w:space="0" w:color="FFFFFF"/>
              <w:right w:val="single" w:sz="4" w:space="0" w:color="FFFFFF"/>
            </w:tcBorders>
          </w:tcPr>
          <w:p w14:paraId="1DBA27FD" w14:textId="77777777" w:rsidR="00175F4C" w:rsidRPr="00AF4AEA" w:rsidRDefault="00175F4C" w:rsidP="00175F4C">
            <w:pPr>
              <w:pStyle w:val="Bodyromannumerals"/>
              <w:rPr>
                <w:i/>
                <w:lang w:val="en-US"/>
              </w:rPr>
            </w:pPr>
            <w:r w:rsidRPr="00AF4AEA">
              <w:rPr>
                <w:i/>
                <w:lang w:val="en-US"/>
              </w:rPr>
              <w:t>Processing Rules:</w:t>
            </w:r>
          </w:p>
        </w:tc>
        <w:tc>
          <w:tcPr>
            <w:tcW w:w="5605" w:type="dxa"/>
            <w:gridSpan w:val="2"/>
            <w:tcBorders>
              <w:top w:val="single" w:sz="4" w:space="0" w:color="FFFFFF"/>
              <w:left w:val="single" w:sz="4" w:space="0" w:color="FFFFFF"/>
              <w:bottom w:val="single" w:sz="4" w:space="0" w:color="FFFFFF"/>
              <w:right w:val="single" w:sz="4" w:space="0" w:color="FFFFFF"/>
            </w:tcBorders>
          </w:tcPr>
          <w:p w14:paraId="099CC551" w14:textId="77777777" w:rsidR="00175F4C" w:rsidRPr="00AF4AEA" w:rsidRDefault="00175F4C" w:rsidP="00175F4C">
            <w:pPr>
              <w:pStyle w:val="Bodyromannumerals"/>
              <w:rPr>
                <w:lang w:val="en-US"/>
              </w:rPr>
            </w:pPr>
            <w:r w:rsidRPr="00AF4AEA">
              <w:rPr>
                <w:lang w:val="en-US"/>
              </w:rPr>
              <w:t>Input field</w:t>
            </w:r>
          </w:p>
        </w:tc>
      </w:tr>
      <w:tr w:rsidR="00175F4C" w:rsidRPr="00216F0E" w14:paraId="2493757F" w14:textId="72897B9E" w:rsidTr="00B529DC">
        <w:tc>
          <w:tcPr>
            <w:tcW w:w="968" w:type="dxa"/>
          </w:tcPr>
          <w:p w14:paraId="69750416" w14:textId="6535C982" w:rsidR="00175F4C" w:rsidRPr="00802539" w:rsidRDefault="00175F4C" w:rsidP="00175F4C">
            <w:pPr>
              <w:pStyle w:val="Bodyromannumerals"/>
              <w:rPr>
                <w:b/>
                <w:bCs/>
                <w:lang w:val="en-US"/>
              </w:rPr>
            </w:pPr>
            <w:r w:rsidRPr="00802539">
              <w:rPr>
                <w:b/>
                <w:bCs/>
                <w:lang w:val="en-US"/>
              </w:rPr>
              <w:t>B4.5</w:t>
            </w:r>
          </w:p>
        </w:tc>
        <w:tc>
          <w:tcPr>
            <w:tcW w:w="5467" w:type="dxa"/>
            <w:gridSpan w:val="2"/>
          </w:tcPr>
          <w:p w14:paraId="492AA538" w14:textId="78D2F5AB" w:rsidR="00175F4C" w:rsidRPr="00802539" w:rsidRDefault="00175F4C" w:rsidP="00175F4C">
            <w:pPr>
              <w:pStyle w:val="Bodyromannumerals"/>
              <w:rPr>
                <w:b/>
                <w:bCs/>
                <w:lang w:val="en-US"/>
              </w:rPr>
            </w:pPr>
            <w:r w:rsidRPr="00802539">
              <w:rPr>
                <w:b/>
                <w:bCs/>
                <w:lang w:val="en-US"/>
              </w:rPr>
              <w:t>Number dealt with in more than 10 working days</w:t>
            </w:r>
          </w:p>
        </w:tc>
        <w:tc>
          <w:tcPr>
            <w:tcW w:w="1123" w:type="dxa"/>
          </w:tcPr>
          <w:p w14:paraId="04113E66" w14:textId="510CC90B" w:rsidR="00175F4C" w:rsidRPr="00802539" w:rsidRDefault="00175F4C" w:rsidP="00175F4C">
            <w:pPr>
              <w:pStyle w:val="Bodyromannumerals"/>
              <w:rPr>
                <w:b/>
                <w:bCs/>
                <w:lang w:val="en-US"/>
              </w:rPr>
            </w:pPr>
            <w:r w:rsidRPr="00802539">
              <w:rPr>
                <w:b/>
                <w:bCs/>
                <w:lang w:val="en-US"/>
              </w:rPr>
              <w:t>Nr</w:t>
            </w:r>
            <w:r w:rsidR="00802539" w:rsidRPr="00802539">
              <w:rPr>
                <w:b/>
                <w:bCs/>
                <w:lang w:val="en-US"/>
              </w:rPr>
              <w:t>.</w:t>
            </w:r>
          </w:p>
        </w:tc>
      </w:tr>
      <w:tr w:rsidR="00175F4C" w:rsidRPr="00216F0E" w14:paraId="034284FB" w14:textId="3DD741E8" w:rsidTr="00B529DC">
        <w:tc>
          <w:tcPr>
            <w:tcW w:w="1953" w:type="dxa"/>
            <w:gridSpan w:val="2"/>
            <w:tcBorders>
              <w:left w:val="single" w:sz="4" w:space="0" w:color="FFFFFF"/>
              <w:bottom w:val="single" w:sz="4" w:space="0" w:color="FFFFFF"/>
              <w:right w:val="single" w:sz="4" w:space="0" w:color="FFFFFF"/>
            </w:tcBorders>
          </w:tcPr>
          <w:p w14:paraId="480F4395" w14:textId="18B4F66C" w:rsidR="00175F4C" w:rsidRPr="00AF4AEA" w:rsidRDefault="00175F4C" w:rsidP="00175F4C">
            <w:pPr>
              <w:pStyle w:val="Bodyromannumerals"/>
              <w:rPr>
                <w:i/>
                <w:lang w:val="en-US"/>
              </w:rPr>
            </w:pPr>
            <w:r w:rsidRPr="00AF4AEA">
              <w:rPr>
                <w:i/>
                <w:lang w:val="en-US"/>
              </w:rPr>
              <w:t>Definition:</w:t>
            </w:r>
          </w:p>
        </w:tc>
        <w:tc>
          <w:tcPr>
            <w:tcW w:w="5605" w:type="dxa"/>
            <w:gridSpan w:val="2"/>
            <w:tcBorders>
              <w:left w:val="single" w:sz="4" w:space="0" w:color="FFFFFF"/>
              <w:bottom w:val="single" w:sz="4" w:space="0" w:color="FFFFFF"/>
              <w:right w:val="single" w:sz="4" w:space="0" w:color="FFFFFF"/>
            </w:tcBorders>
          </w:tcPr>
          <w:p w14:paraId="0CA078AF" w14:textId="50279675" w:rsidR="00175F4C" w:rsidRPr="00AF4AEA" w:rsidRDefault="00175F4C" w:rsidP="00175F4C">
            <w:pPr>
              <w:pStyle w:val="Bodyromannumerals"/>
              <w:rPr>
                <w:lang w:val="en-US"/>
              </w:rPr>
            </w:pPr>
            <w:r w:rsidRPr="00AF4AEA">
              <w:rPr>
                <w:lang w:val="en-US"/>
              </w:rPr>
              <w:t>The number of billing/charging/metering enquiries dealt with in more than 10 working days.</w:t>
            </w:r>
          </w:p>
        </w:tc>
      </w:tr>
      <w:tr w:rsidR="00175F4C" w:rsidRPr="00216F0E" w14:paraId="20D6C3A8" w14:textId="44494D8F" w:rsidTr="00B529DC">
        <w:tc>
          <w:tcPr>
            <w:tcW w:w="1953" w:type="dxa"/>
            <w:gridSpan w:val="2"/>
            <w:tcBorders>
              <w:top w:val="single" w:sz="4" w:space="0" w:color="FFFFFF"/>
              <w:left w:val="single" w:sz="4" w:space="0" w:color="FFFFFF"/>
              <w:bottom w:val="single" w:sz="4" w:space="0" w:color="FFFFFF"/>
              <w:right w:val="single" w:sz="4" w:space="0" w:color="FFFFFF"/>
            </w:tcBorders>
          </w:tcPr>
          <w:p w14:paraId="29F43587" w14:textId="065AB438" w:rsidR="00175F4C" w:rsidRPr="00AF4AEA" w:rsidRDefault="00175F4C" w:rsidP="00175F4C">
            <w:pPr>
              <w:pStyle w:val="Bodyromannumerals"/>
              <w:rPr>
                <w:i/>
                <w:lang w:val="en-US"/>
              </w:rPr>
            </w:pPr>
            <w:r w:rsidRPr="00AF4AEA">
              <w:rPr>
                <w:i/>
                <w:lang w:val="en-US"/>
              </w:rPr>
              <w:t>Processing Rules:</w:t>
            </w:r>
          </w:p>
        </w:tc>
        <w:tc>
          <w:tcPr>
            <w:tcW w:w="5605" w:type="dxa"/>
            <w:gridSpan w:val="2"/>
            <w:tcBorders>
              <w:top w:val="single" w:sz="4" w:space="0" w:color="FFFFFF"/>
              <w:left w:val="single" w:sz="4" w:space="0" w:color="FFFFFF"/>
              <w:bottom w:val="single" w:sz="4" w:space="0" w:color="FFFFFF"/>
              <w:right w:val="single" w:sz="4" w:space="0" w:color="FFFFFF"/>
            </w:tcBorders>
          </w:tcPr>
          <w:p w14:paraId="18B63332" w14:textId="54EA86FC" w:rsidR="00175F4C" w:rsidRPr="00AF4AEA" w:rsidRDefault="00175F4C" w:rsidP="00175F4C">
            <w:pPr>
              <w:pStyle w:val="Bodyromannumerals"/>
              <w:rPr>
                <w:lang w:val="en-US"/>
              </w:rPr>
            </w:pPr>
            <w:r w:rsidRPr="00AF4AEA">
              <w:rPr>
                <w:lang w:val="en-US"/>
              </w:rPr>
              <w:t>Input field</w:t>
            </w:r>
          </w:p>
        </w:tc>
      </w:tr>
    </w:tbl>
    <w:p w14:paraId="1B09F6E6" w14:textId="22FF23B5" w:rsidR="00BE4543" w:rsidRDefault="00BE4543" w:rsidP="004661F1">
      <w:pPr>
        <w:pStyle w:val="Sectionsub-heading"/>
      </w:pPr>
      <w:r>
        <w:t>BLOCK 2: CHANGE OF PAYMENT METHOD ENQUIRIES</w:t>
      </w:r>
    </w:p>
    <w:tbl>
      <w:tblPr>
        <w:tblStyle w:val="TableGrid"/>
        <w:tblW w:w="7558" w:type="dxa"/>
        <w:tblLook w:val="04A0" w:firstRow="1" w:lastRow="0" w:firstColumn="1" w:lastColumn="0" w:noHBand="0" w:noVBand="1"/>
      </w:tblPr>
      <w:tblGrid>
        <w:gridCol w:w="1035"/>
        <w:gridCol w:w="957"/>
        <w:gridCol w:w="4460"/>
        <w:gridCol w:w="1106"/>
      </w:tblGrid>
      <w:tr w:rsidR="00182AC7" w:rsidRPr="00216F0E" w14:paraId="004C5018" w14:textId="77777777" w:rsidTr="286C5C0D">
        <w:tc>
          <w:tcPr>
            <w:tcW w:w="1035" w:type="dxa"/>
          </w:tcPr>
          <w:p w14:paraId="0BF98E48" w14:textId="77777777" w:rsidR="00182AC7" w:rsidRPr="00802539" w:rsidRDefault="00182AC7" w:rsidP="00182AC7">
            <w:pPr>
              <w:pStyle w:val="Bodyromannumerals"/>
              <w:rPr>
                <w:b/>
                <w:bCs/>
                <w:lang w:val="en-US"/>
              </w:rPr>
            </w:pPr>
            <w:r w:rsidRPr="00802539">
              <w:rPr>
                <w:b/>
                <w:bCs/>
                <w:lang w:val="en-US"/>
              </w:rPr>
              <w:t>B4.14</w:t>
            </w:r>
          </w:p>
        </w:tc>
        <w:tc>
          <w:tcPr>
            <w:tcW w:w="5417" w:type="dxa"/>
            <w:gridSpan w:val="2"/>
          </w:tcPr>
          <w:p w14:paraId="7FD40970" w14:textId="77777777" w:rsidR="00182AC7" w:rsidRPr="00802539" w:rsidRDefault="00182AC7" w:rsidP="00182AC7">
            <w:pPr>
              <w:pStyle w:val="Bodyromannumerals"/>
              <w:rPr>
                <w:b/>
                <w:bCs/>
                <w:lang w:val="en-US"/>
              </w:rPr>
            </w:pPr>
            <w:r w:rsidRPr="00802539">
              <w:rPr>
                <w:b/>
                <w:bCs/>
                <w:lang w:val="en-US"/>
              </w:rPr>
              <w:t>Total number of enquiries</w:t>
            </w:r>
          </w:p>
        </w:tc>
        <w:tc>
          <w:tcPr>
            <w:tcW w:w="1106" w:type="dxa"/>
          </w:tcPr>
          <w:p w14:paraId="047B111E" w14:textId="15A50256" w:rsidR="00182AC7" w:rsidRPr="00802539" w:rsidRDefault="00182AC7" w:rsidP="00182AC7">
            <w:pPr>
              <w:pStyle w:val="Bodyromannumerals"/>
              <w:rPr>
                <w:b/>
                <w:bCs/>
                <w:lang w:val="en-US"/>
              </w:rPr>
            </w:pPr>
            <w:r w:rsidRPr="00802539">
              <w:rPr>
                <w:b/>
                <w:bCs/>
                <w:lang w:val="en-US"/>
              </w:rPr>
              <w:t>Nr</w:t>
            </w:r>
            <w:r w:rsidR="00802539" w:rsidRPr="00802539">
              <w:rPr>
                <w:b/>
                <w:bCs/>
                <w:lang w:val="en-US"/>
              </w:rPr>
              <w:t>.</w:t>
            </w:r>
          </w:p>
        </w:tc>
      </w:tr>
      <w:tr w:rsidR="00182AC7" w:rsidRPr="00216F0E" w14:paraId="7D7E3D7C" w14:textId="77777777" w:rsidTr="286C5C0D">
        <w:tc>
          <w:tcPr>
            <w:tcW w:w="1992" w:type="dxa"/>
            <w:gridSpan w:val="2"/>
            <w:tcBorders>
              <w:left w:val="single" w:sz="4" w:space="0" w:color="FFFFFF" w:themeColor="background2"/>
              <w:bottom w:val="single" w:sz="4" w:space="0" w:color="FFFFFF" w:themeColor="background2"/>
              <w:right w:val="single" w:sz="4" w:space="0" w:color="FFFFFF" w:themeColor="background2"/>
            </w:tcBorders>
          </w:tcPr>
          <w:p w14:paraId="0AA951EF" w14:textId="77777777" w:rsidR="00182AC7" w:rsidRPr="00AF4AEA" w:rsidRDefault="00182AC7" w:rsidP="00182AC7">
            <w:pPr>
              <w:pStyle w:val="Bodyromannumerals"/>
              <w:rPr>
                <w:i/>
                <w:lang w:val="en-US"/>
              </w:rPr>
            </w:pPr>
            <w:r w:rsidRPr="00AF4AEA">
              <w:rPr>
                <w:i/>
                <w:lang w:val="en-US"/>
              </w:rPr>
              <w:t>Definition:</w:t>
            </w:r>
          </w:p>
        </w:tc>
        <w:tc>
          <w:tcPr>
            <w:tcW w:w="5566" w:type="dxa"/>
            <w:gridSpan w:val="2"/>
            <w:tcBorders>
              <w:left w:val="single" w:sz="4" w:space="0" w:color="FFFFFF" w:themeColor="background2"/>
              <w:bottom w:val="single" w:sz="4" w:space="0" w:color="FFFFFF" w:themeColor="background2"/>
              <w:right w:val="single" w:sz="4" w:space="0" w:color="FFFFFF" w:themeColor="background2"/>
            </w:tcBorders>
          </w:tcPr>
          <w:p w14:paraId="1CB8ED8F" w14:textId="51780E27" w:rsidR="00182AC7" w:rsidRPr="00AF4AEA" w:rsidRDefault="00182AC7" w:rsidP="00182AC7">
            <w:pPr>
              <w:pStyle w:val="Bodyromannumerals"/>
              <w:rPr>
                <w:lang w:val="en-US"/>
              </w:rPr>
            </w:pPr>
            <w:r w:rsidRPr="00AF4AEA">
              <w:rPr>
                <w:lang w:val="en-US"/>
              </w:rPr>
              <w:t xml:space="preserve">The total number of </w:t>
            </w:r>
            <w:r w:rsidR="007048C0" w:rsidRPr="00AF4AEA">
              <w:rPr>
                <w:lang w:val="en-US"/>
              </w:rPr>
              <w:t>changes</w:t>
            </w:r>
            <w:r w:rsidRPr="00AF4AEA">
              <w:rPr>
                <w:lang w:val="en-US"/>
              </w:rPr>
              <w:t xml:space="preserve"> of payment enquiries received.</w:t>
            </w:r>
          </w:p>
        </w:tc>
      </w:tr>
      <w:tr w:rsidR="00182AC7" w:rsidRPr="00216F0E" w14:paraId="6FBA1343" w14:textId="77777777" w:rsidTr="286C5C0D">
        <w:tc>
          <w:tcPr>
            <w:tcW w:w="19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09B7FD" w14:textId="77777777" w:rsidR="00182AC7" w:rsidRPr="00AF4AEA" w:rsidRDefault="00182AC7" w:rsidP="00182AC7">
            <w:pPr>
              <w:pStyle w:val="Bodyromannumerals"/>
              <w:rPr>
                <w:i/>
                <w:lang w:val="en-US"/>
              </w:rPr>
            </w:pPr>
            <w:r w:rsidRPr="00AF4AEA">
              <w:rPr>
                <w:i/>
                <w:lang w:val="en-US"/>
              </w:rPr>
              <w:t>Processing Rules:</w:t>
            </w:r>
          </w:p>
        </w:tc>
        <w:tc>
          <w:tcPr>
            <w:tcW w:w="556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2E469C2" w14:textId="19C3F1BB" w:rsidR="00182AC7" w:rsidRPr="00216F0E" w:rsidRDefault="00182AC7" w:rsidP="00182AC7">
            <w:pPr>
              <w:pStyle w:val="Bodyromannumerals"/>
              <w:rPr>
                <w:lang w:val="en-US"/>
              </w:rPr>
            </w:pPr>
            <w:r w:rsidRPr="00AF4AEA">
              <w:rPr>
                <w:lang w:val="en-US"/>
              </w:rPr>
              <w:t xml:space="preserve">Calculated field: </w:t>
            </w:r>
            <w:r w:rsidRPr="00AF4AEA">
              <w:rPr>
                <w:bCs/>
              </w:rPr>
              <w:t>SUM[B4.15; B4.</w:t>
            </w:r>
            <w:r w:rsidR="006C4454">
              <w:rPr>
                <w:bCs/>
              </w:rPr>
              <w:t>18</w:t>
            </w:r>
            <w:r w:rsidRPr="00AF4AEA">
              <w:rPr>
                <w:bCs/>
              </w:rPr>
              <w:t>]</w:t>
            </w:r>
          </w:p>
        </w:tc>
      </w:tr>
      <w:tr w:rsidR="00182AC7" w:rsidRPr="00216F0E" w14:paraId="4B29E86C" w14:textId="77777777" w:rsidTr="286C5C0D">
        <w:tc>
          <w:tcPr>
            <w:tcW w:w="1035" w:type="dxa"/>
          </w:tcPr>
          <w:p w14:paraId="5081DEBC" w14:textId="77777777" w:rsidR="00182AC7" w:rsidRPr="00802539" w:rsidRDefault="00182AC7" w:rsidP="00182AC7">
            <w:pPr>
              <w:pStyle w:val="Bodyromannumerals"/>
              <w:rPr>
                <w:b/>
                <w:bCs/>
                <w:lang w:val="en-US"/>
              </w:rPr>
            </w:pPr>
            <w:r w:rsidRPr="00802539">
              <w:rPr>
                <w:b/>
                <w:bCs/>
                <w:lang w:val="en-US"/>
              </w:rPr>
              <w:t>B4.15</w:t>
            </w:r>
          </w:p>
        </w:tc>
        <w:tc>
          <w:tcPr>
            <w:tcW w:w="5417" w:type="dxa"/>
            <w:gridSpan w:val="2"/>
          </w:tcPr>
          <w:p w14:paraId="214AB3A2" w14:textId="77777777" w:rsidR="00182AC7" w:rsidRPr="00802539" w:rsidRDefault="00182AC7" w:rsidP="00182AC7">
            <w:pPr>
              <w:pStyle w:val="Bodyromannumerals"/>
              <w:rPr>
                <w:b/>
                <w:bCs/>
                <w:lang w:val="en-US"/>
              </w:rPr>
            </w:pPr>
            <w:r w:rsidRPr="00802539">
              <w:rPr>
                <w:b/>
                <w:bCs/>
                <w:lang w:val="en-US"/>
              </w:rPr>
              <w:t>Number dealt with within 2 working days</w:t>
            </w:r>
          </w:p>
        </w:tc>
        <w:tc>
          <w:tcPr>
            <w:tcW w:w="1106" w:type="dxa"/>
          </w:tcPr>
          <w:p w14:paraId="49D9FF74" w14:textId="7657591B" w:rsidR="00182AC7" w:rsidRPr="00802539" w:rsidRDefault="00182AC7" w:rsidP="00182AC7">
            <w:pPr>
              <w:pStyle w:val="Bodyromannumerals"/>
              <w:rPr>
                <w:b/>
                <w:bCs/>
                <w:lang w:val="en-US"/>
              </w:rPr>
            </w:pPr>
            <w:r w:rsidRPr="00802539">
              <w:rPr>
                <w:b/>
                <w:bCs/>
                <w:lang w:val="en-US"/>
              </w:rPr>
              <w:t>Nr</w:t>
            </w:r>
            <w:r w:rsidR="00802539" w:rsidRPr="00802539">
              <w:rPr>
                <w:b/>
                <w:bCs/>
                <w:lang w:val="en-US"/>
              </w:rPr>
              <w:t>.</w:t>
            </w:r>
          </w:p>
        </w:tc>
      </w:tr>
      <w:tr w:rsidR="00182AC7" w:rsidRPr="00216F0E" w14:paraId="30A3280D" w14:textId="77777777" w:rsidTr="286C5C0D">
        <w:tc>
          <w:tcPr>
            <w:tcW w:w="1992" w:type="dxa"/>
            <w:gridSpan w:val="2"/>
            <w:tcBorders>
              <w:left w:val="single" w:sz="4" w:space="0" w:color="FFFFFF" w:themeColor="background2"/>
              <w:bottom w:val="single" w:sz="4" w:space="0" w:color="FFFFFF" w:themeColor="background2"/>
              <w:right w:val="single" w:sz="4" w:space="0" w:color="FFFFFF" w:themeColor="background2"/>
            </w:tcBorders>
          </w:tcPr>
          <w:p w14:paraId="21C64490" w14:textId="77777777" w:rsidR="00182AC7" w:rsidRPr="00AF4AEA" w:rsidRDefault="00182AC7" w:rsidP="00182AC7">
            <w:pPr>
              <w:pStyle w:val="Bodyromannumerals"/>
              <w:rPr>
                <w:i/>
                <w:lang w:val="en-US"/>
              </w:rPr>
            </w:pPr>
            <w:r w:rsidRPr="00AF4AEA">
              <w:rPr>
                <w:i/>
                <w:lang w:val="en-US"/>
              </w:rPr>
              <w:t>Definition:</w:t>
            </w:r>
          </w:p>
        </w:tc>
        <w:tc>
          <w:tcPr>
            <w:tcW w:w="5566" w:type="dxa"/>
            <w:gridSpan w:val="2"/>
            <w:tcBorders>
              <w:left w:val="single" w:sz="4" w:space="0" w:color="FFFFFF" w:themeColor="background2"/>
              <w:bottom w:val="single" w:sz="4" w:space="0" w:color="FFFFFF" w:themeColor="background2"/>
              <w:right w:val="single" w:sz="4" w:space="0" w:color="FFFFFF" w:themeColor="background2"/>
            </w:tcBorders>
          </w:tcPr>
          <w:p w14:paraId="4E410D2C" w14:textId="77777777" w:rsidR="00182AC7" w:rsidRPr="00AF4AEA" w:rsidRDefault="00182AC7" w:rsidP="00182AC7">
            <w:pPr>
              <w:pStyle w:val="Bodyromannumerals"/>
              <w:rPr>
                <w:lang w:val="en-US"/>
              </w:rPr>
            </w:pPr>
            <w:r w:rsidRPr="00AF4AEA">
              <w:rPr>
                <w:lang w:val="en-US"/>
              </w:rPr>
              <w:t>The number of change of payment enquiries dealt with within two working days.</w:t>
            </w:r>
          </w:p>
        </w:tc>
      </w:tr>
      <w:tr w:rsidR="00182AC7" w:rsidRPr="00216F0E" w14:paraId="78B35237" w14:textId="77777777" w:rsidTr="286C5C0D">
        <w:tc>
          <w:tcPr>
            <w:tcW w:w="19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44571B" w14:textId="77777777" w:rsidR="00182AC7" w:rsidRPr="00AF4AEA" w:rsidRDefault="00182AC7" w:rsidP="00182AC7">
            <w:pPr>
              <w:pStyle w:val="Bodyromannumerals"/>
              <w:rPr>
                <w:i/>
                <w:lang w:val="en-US"/>
              </w:rPr>
            </w:pPr>
            <w:r w:rsidRPr="00AF4AEA">
              <w:rPr>
                <w:i/>
                <w:lang w:val="en-US"/>
              </w:rPr>
              <w:t>Processing Rules:</w:t>
            </w:r>
          </w:p>
        </w:tc>
        <w:tc>
          <w:tcPr>
            <w:tcW w:w="556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ECEA597" w14:textId="77777777" w:rsidR="00182AC7" w:rsidRPr="00AF4AEA" w:rsidRDefault="00182AC7" w:rsidP="00182AC7">
            <w:pPr>
              <w:pStyle w:val="Bodyromannumerals"/>
              <w:rPr>
                <w:lang w:val="en-US"/>
              </w:rPr>
            </w:pPr>
            <w:r w:rsidRPr="00AF4AEA">
              <w:rPr>
                <w:lang w:val="en-US"/>
              </w:rPr>
              <w:t>Input field</w:t>
            </w:r>
          </w:p>
        </w:tc>
      </w:tr>
    </w:tbl>
    <w:p w14:paraId="76A32100" w14:textId="77777777" w:rsidR="00015469" w:rsidRDefault="00015469">
      <w:r>
        <w:br w:type="page"/>
      </w:r>
    </w:p>
    <w:tbl>
      <w:tblPr>
        <w:tblStyle w:val="TableGrid"/>
        <w:tblW w:w="7558" w:type="dxa"/>
        <w:tblLook w:val="04A0" w:firstRow="1" w:lastRow="0" w:firstColumn="1" w:lastColumn="0" w:noHBand="0" w:noVBand="1"/>
      </w:tblPr>
      <w:tblGrid>
        <w:gridCol w:w="1035"/>
        <w:gridCol w:w="957"/>
        <w:gridCol w:w="4460"/>
        <w:gridCol w:w="1106"/>
      </w:tblGrid>
      <w:tr w:rsidR="00182AC7" w:rsidRPr="00216F0E" w14:paraId="6952A37D" w14:textId="77777777" w:rsidTr="286C5C0D">
        <w:tc>
          <w:tcPr>
            <w:tcW w:w="1035" w:type="dxa"/>
          </w:tcPr>
          <w:p w14:paraId="1266094F" w14:textId="134FC772" w:rsidR="00182AC7" w:rsidRPr="00802539" w:rsidRDefault="00182AC7" w:rsidP="00182AC7">
            <w:pPr>
              <w:pStyle w:val="Bodyromannumerals"/>
              <w:rPr>
                <w:b/>
                <w:bCs/>
                <w:lang w:val="en-US"/>
              </w:rPr>
            </w:pPr>
            <w:r w:rsidRPr="00802539">
              <w:rPr>
                <w:b/>
                <w:bCs/>
                <w:lang w:val="en-US"/>
              </w:rPr>
              <w:lastRenderedPageBreak/>
              <w:t>B4.16</w:t>
            </w:r>
          </w:p>
        </w:tc>
        <w:tc>
          <w:tcPr>
            <w:tcW w:w="5417" w:type="dxa"/>
            <w:gridSpan w:val="2"/>
          </w:tcPr>
          <w:p w14:paraId="6F7FE2F4" w14:textId="77777777" w:rsidR="00182AC7" w:rsidRPr="00802539" w:rsidRDefault="00182AC7" w:rsidP="00182AC7">
            <w:pPr>
              <w:pStyle w:val="Bodyromannumerals"/>
              <w:rPr>
                <w:b/>
                <w:bCs/>
                <w:lang w:val="en-US"/>
              </w:rPr>
            </w:pPr>
            <w:r w:rsidRPr="00802539">
              <w:rPr>
                <w:b/>
                <w:bCs/>
                <w:lang w:val="en-US"/>
              </w:rPr>
              <w:t>Number dealt with in more than 2 but within 5 working days</w:t>
            </w:r>
          </w:p>
        </w:tc>
        <w:tc>
          <w:tcPr>
            <w:tcW w:w="1106" w:type="dxa"/>
          </w:tcPr>
          <w:p w14:paraId="1832A0E1" w14:textId="10026609" w:rsidR="00182AC7" w:rsidRPr="00802539" w:rsidRDefault="00182AC7" w:rsidP="00182AC7">
            <w:pPr>
              <w:pStyle w:val="Bodyromannumerals"/>
              <w:rPr>
                <w:b/>
                <w:bCs/>
                <w:lang w:val="en-US"/>
              </w:rPr>
            </w:pPr>
            <w:r w:rsidRPr="00802539">
              <w:rPr>
                <w:b/>
                <w:bCs/>
                <w:lang w:val="en-US"/>
              </w:rPr>
              <w:t>Nr</w:t>
            </w:r>
            <w:r w:rsidR="00802539" w:rsidRPr="00802539">
              <w:rPr>
                <w:b/>
                <w:bCs/>
                <w:lang w:val="en-US"/>
              </w:rPr>
              <w:t>.</w:t>
            </w:r>
          </w:p>
        </w:tc>
      </w:tr>
      <w:tr w:rsidR="00182AC7" w:rsidRPr="00216F0E" w14:paraId="60776D5E" w14:textId="77777777" w:rsidTr="286C5C0D">
        <w:tc>
          <w:tcPr>
            <w:tcW w:w="1992" w:type="dxa"/>
            <w:gridSpan w:val="2"/>
            <w:tcBorders>
              <w:left w:val="single" w:sz="4" w:space="0" w:color="FFFFFF" w:themeColor="background2"/>
              <w:bottom w:val="single" w:sz="4" w:space="0" w:color="FFFFFF" w:themeColor="background2"/>
              <w:right w:val="single" w:sz="4" w:space="0" w:color="FFFFFF" w:themeColor="background2"/>
            </w:tcBorders>
          </w:tcPr>
          <w:p w14:paraId="2256E4C1" w14:textId="77777777" w:rsidR="00182AC7" w:rsidRPr="00AF4AEA" w:rsidRDefault="00182AC7" w:rsidP="00182AC7">
            <w:pPr>
              <w:pStyle w:val="Bodyromannumerals"/>
              <w:rPr>
                <w:i/>
                <w:lang w:val="en-US"/>
              </w:rPr>
            </w:pPr>
            <w:r w:rsidRPr="00AF4AEA">
              <w:rPr>
                <w:i/>
                <w:lang w:val="en-US"/>
              </w:rPr>
              <w:t>Definition:</w:t>
            </w:r>
          </w:p>
        </w:tc>
        <w:tc>
          <w:tcPr>
            <w:tcW w:w="5566" w:type="dxa"/>
            <w:gridSpan w:val="2"/>
            <w:tcBorders>
              <w:left w:val="single" w:sz="4" w:space="0" w:color="FFFFFF" w:themeColor="background2"/>
              <w:bottom w:val="single" w:sz="4" w:space="0" w:color="FFFFFF" w:themeColor="background2"/>
              <w:right w:val="single" w:sz="4" w:space="0" w:color="FFFFFF" w:themeColor="background2"/>
            </w:tcBorders>
          </w:tcPr>
          <w:p w14:paraId="7A927AA1" w14:textId="77777777" w:rsidR="00182AC7" w:rsidRPr="00AF4AEA" w:rsidRDefault="00182AC7" w:rsidP="00182AC7">
            <w:pPr>
              <w:pStyle w:val="Bodyromannumerals"/>
              <w:rPr>
                <w:lang w:val="en-US"/>
              </w:rPr>
            </w:pPr>
            <w:r w:rsidRPr="00AF4AEA">
              <w:rPr>
                <w:lang w:val="en-US"/>
              </w:rPr>
              <w:t>The number of change of payment enquiries dealt with in more than 2 but within 5 working days</w:t>
            </w:r>
          </w:p>
        </w:tc>
      </w:tr>
      <w:tr w:rsidR="00182AC7" w:rsidRPr="00216F0E" w14:paraId="73D582A8" w14:textId="77777777" w:rsidTr="286C5C0D">
        <w:tc>
          <w:tcPr>
            <w:tcW w:w="19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0ABAB27" w14:textId="77777777" w:rsidR="00182AC7" w:rsidRPr="00AF4AEA" w:rsidRDefault="00182AC7" w:rsidP="00182AC7">
            <w:pPr>
              <w:pStyle w:val="Bodyromannumerals"/>
              <w:rPr>
                <w:i/>
                <w:lang w:val="en-US"/>
              </w:rPr>
            </w:pPr>
            <w:r w:rsidRPr="00AF4AEA">
              <w:rPr>
                <w:i/>
                <w:lang w:val="en-US"/>
              </w:rPr>
              <w:t>Processing Rules:</w:t>
            </w:r>
          </w:p>
        </w:tc>
        <w:tc>
          <w:tcPr>
            <w:tcW w:w="556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4D1E89C" w14:textId="77777777" w:rsidR="00182AC7" w:rsidRPr="00AF4AEA" w:rsidRDefault="00182AC7" w:rsidP="00182AC7">
            <w:pPr>
              <w:pStyle w:val="Bodyromannumerals"/>
              <w:rPr>
                <w:lang w:val="en-US"/>
              </w:rPr>
            </w:pPr>
            <w:r w:rsidRPr="00AF4AEA">
              <w:rPr>
                <w:lang w:val="en-US"/>
              </w:rPr>
              <w:t>Input field</w:t>
            </w:r>
          </w:p>
        </w:tc>
      </w:tr>
      <w:tr w:rsidR="00182AC7" w:rsidRPr="00216F0E" w14:paraId="00483F64" w14:textId="77777777" w:rsidTr="286C5C0D">
        <w:tc>
          <w:tcPr>
            <w:tcW w:w="1035" w:type="dxa"/>
          </w:tcPr>
          <w:p w14:paraId="61026D00" w14:textId="77777777" w:rsidR="00182AC7" w:rsidRPr="00802539" w:rsidRDefault="00182AC7" w:rsidP="00182AC7">
            <w:pPr>
              <w:pStyle w:val="Bodyromannumerals"/>
              <w:rPr>
                <w:b/>
                <w:bCs/>
                <w:lang w:val="en-US"/>
              </w:rPr>
            </w:pPr>
            <w:r w:rsidRPr="00802539">
              <w:rPr>
                <w:b/>
                <w:bCs/>
                <w:lang w:val="en-US"/>
              </w:rPr>
              <w:t>B4.17</w:t>
            </w:r>
          </w:p>
        </w:tc>
        <w:tc>
          <w:tcPr>
            <w:tcW w:w="5417" w:type="dxa"/>
            <w:gridSpan w:val="2"/>
          </w:tcPr>
          <w:p w14:paraId="351C9083" w14:textId="77777777" w:rsidR="00182AC7" w:rsidRPr="00802539" w:rsidRDefault="00182AC7" w:rsidP="00182AC7">
            <w:pPr>
              <w:pStyle w:val="Bodyromannumerals"/>
              <w:rPr>
                <w:b/>
                <w:bCs/>
                <w:lang w:val="en-US"/>
              </w:rPr>
            </w:pPr>
            <w:r w:rsidRPr="00802539">
              <w:rPr>
                <w:b/>
                <w:bCs/>
                <w:lang w:val="en-US"/>
              </w:rPr>
              <w:t>Number dealt with in more than 5 but within 10 working days</w:t>
            </w:r>
          </w:p>
        </w:tc>
        <w:tc>
          <w:tcPr>
            <w:tcW w:w="1106" w:type="dxa"/>
          </w:tcPr>
          <w:p w14:paraId="23E0C091" w14:textId="4711193F" w:rsidR="00182AC7" w:rsidRPr="00802539" w:rsidRDefault="00182AC7" w:rsidP="00182AC7">
            <w:pPr>
              <w:pStyle w:val="Bodyromannumerals"/>
              <w:rPr>
                <w:b/>
                <w:bCs/>
                <w:lang w:val="en-US"/>
              </w:rPr>
            </w:pPr>
            <w:r w:rsidRPr="00802539">
              <w:rPr>
                <w:b/>
                <w:bCs/>
                <w:lang w:val="en-US"/>
              </w:rPr>
              <w:t>Nr</w:t>
            </w:r>
            <w:r w:rsidR="00802539" w:rsidRPr="00802539">
              <w:rPr>
                <w:b/>
                <w:bCs/>
                <w:lang w:val="en-US"/>
              </w:rPr>
              <w:t>.</w:t>
            </w:r>
          </w:p>
        </w:tc>
      </w:tr>
      <w:tr w:rsidR="00182AC7" w:rsidRPr="00216F0E" w14:paraId="1059B776" w14:textId="77777777" w:rsidTr="286C5C0D">
        <w:tc>
          <w:tcPr>
            <w:tcW w:w="1992" w:type="dxa"/>
            <w:gridSpan w:val="2"/>
            <w:tcBorders>
              <w:left w:val="single" w:sz="4" w:space="0" w:color="FFFFFF" w:themeColor="background2"/>
              <w:bottom w:val="single" w:sz="4" w:space="0" w:color="FFFFFF" w:themeColor="background2"/>
              <w:right w:val="single" w:sz="4" w:space="0" w:color="FFFFFF" w:themeColor="background2"/>
            </w:tcBorders>
          </w:tcPr>
          <w:p w14:paraId="6EB48218" w14:textId="77777777" w:rsidR="00182AC7" w:rsidRPr="00AF4AEA" w:rsidRDefault="00182AC7" w:rsidP="00182AC7">
            <w:pPr>
              <w:pStyle w:val="Bodyromannumerals"/>
              <w:rPr>
                <w:i/>
                <w:lang w:val="en-US"/>
              </w:rPr>
            </w:pPr>
            <w:r w:rsidRPr="00AF4AEA">
              <w:rPr>
                <w:i/>
                <w:lang w:val="en-US"/>
              </w:rPr>
              <w:t>Definition:</w:t>
            </w:r>
          </w:p>
        </w:tc>
        <w:tc>
          <w:tcPr>
            <w:tcW w:w="5566" w:type="dxa"/>
            <w:gridSpan w:val="2"/>
            <w:tcBorders>
              <w:left w:val="single" w:sz="4" w:space="0" w:color="FFFFFF" w:themeColor="background2"/>
              <w:bottom w:val="single" w:sz="4" w:space="0" w:color="FFFFFF" w:themeColor="background2"/>
              <w:right w:val="single" w:sz="4" w:space="0" w:color="FFFFFF" w:themeColor="background2"/>
            </w:tcBorders>
          </w:tcPr>
          <w:p w14:paraId="1DEFB75A" w14:textId="77777777" w:rsidR="00182AC7" w:rsidRPr="00AF4AEA" w:rsidRDefault="00182AC7" w:rsidP="00182AC7">
            <w:pPr>
              <w:pStyle w:val="Bodyromannumerals"/>
              <w:rPr>
                <w:lang w:val="en-US"/>
              </w:rPr>
            </w:pPr>
            <w:r w:rsidRPr="00AF4AEA">
              <w:rPr>
                <w:lang w:val="en-US"/>
              </w:rPr>
              <w:t>The number of change of payment enquiries dealt with in more than 5 but within 10 working days.</w:t>
            </w:r>
          </w:p>
        </w:tc>
      </w:tr>
      <w:tr w:rsidR="00182AC7" w:rsidRPr="00216F0E" w14:paraId="77CF54B6" w14:textId="77777777" w:rsidTr="286C5C0D">
        <w:tc>
          <w:tcPr>
            <w:tcW w:w="19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CDFF372" w14:textId="77777777" w:rsidR="00182AC7" w:rsidRPr="00AF4AEA" w:rsidRDefault="00182AC7" w:rsidP="00182AC7">
            <w:pPr>
              <w:pStyle w:val="Bodyromannumerals"/>
              <w:rPr>
                <w:i/>
                <w:lang w:val="en-US"/>
              </w:rPr>
            </w:pPr>
            <w:r w:rsidRPr="00AF4AEA">
              <w:rPr>
                <w:i/>
                <w:lang w:val="en-US"/>
              </w:rPr>
              <w:t>Processing Rules:</w:t>
            </w:r>
          </w:p>
        </w:tc>
        <w:tc>
          <w:tcPr>
            <w:tcW w:w="556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68B447E" w14:textId="77777777" w:rsidR="00182AC7" w:rsidRPr="00AF4AEA" w:rsidRDefault="00182AC7" w:rsidP="00182AC7">
            <w:pPr>
              <w:pStyle w:val="Bodyromannumerals"/>
              <w:rPr>
                <w:lang w:val="en-US"/>
              </w:rPr>
            </w:pPr>
            <w:r w:rsidRPr="00AF4AEA">
              <w:rPr>
                <w:lang w:val="en-US"/>
              </w:rPr>
              <w:t>Input field</w:t>
            </w:r>
          </w:p>
        </w:tc>
      </w:tr>
      <w:tr w:rsidR="00182AC7" w:rsidRPr="00216F0E" w14:paraId="036EFD4D" w14:textId="1AF8116B" w:rsidTr="286C5C0D">
        <w:tc>
          <w:tcPr>
            <w:tcW w:w="1035" w:type="dxa"/>
          </w:tcPr>
          <w:p w14:paraId="67F1BA22" w14:textId="51A0D62A" w:rsidR="00182AC7" w:rsidRPr="00802539" w:rsidRDefault="00182AC7" w:rsidP="00182AC7">
            <w:pPr>
              <w:pStyle w:val="Bodyromannumerals"/>
              <w:rPr>
                <w:b/>
                <w:bCs/>
                <w:lang w:val="en-US"/>
              </w:rPr>
            </w:pPr>
            <w:r w:rsidRPr="00802539">
              <w:rPr>
                <w:b/>
                <w:bCs/>
                <w:lang w:val="en-US"/>
              </w:rPr>
              <w:t>B4.18</w:t>
            </w:r>
          </w:p>
        </w:tc>
        <w:tc>
          <w:tcPr>
            <w:tcW w:w="5417" w:type="dxa"/>
            <w:gridSpan w:val="2"/>
          </w:tcPr>
          <w:p w14:paraId="3F7E9978" w14:textId="0D1D43A4" w:rsidR="00182AC7" w:rsidRPr="00802539" w:rsidRDefault="00182AC7" w:rsidP="00182AC7">
            <w:pPr>
              <w:pStyle w:val="Bodyromannumerals"/>
              <w:rPr>
                <w:b/>
                <w:bCs/>
                <w:lang w:val="en-US"/>
              </w:rPr>
            </w:pPr>
            <w:r w:rsidRPr="00802539">
              <w:rPr>
                <w:b/>
                <w:bCs/>
                <w:lang w:val="en-US"/>
              </w:rPr>
              <w:t>Number dealt with in more than 10 working days</w:t>
            </w:r>
          </w:p>
        </w:tc>
        <w:tc>
          <w:tcPr>
            <w:tcW w:w="1106" w:type="dxa"/>
          </w:tcPr>
          <w:p w14:paraId="76D278BE" w14:textId="643D33C6" w:rsidR="00182AC7" w:rsidRPr="00802539" w:rsidRDefault="00182AC7" w:rsidP="00182AC7">
            <w:pPr>
              <w:pStyle w:val="Bodyromannumerals"/>
              <w:rPr>
                <w:b/>
                <w:bCs/>
                <w:lang w:val="en-US"/>
              </w:rPr>
            </w:pPr>
            <w:r w:rsidRPr="00802539">
              <w:rPr>
                <w:b/>
                <w:bCs/>
                <w:lang w:val="en-US"/>
              </w:rPr>
              <w:t>Nr</w:t>
            </w:r>
            <w:r w:rsidR="00802539" w:rsidRPr="00802539">
              <w:rPr>
                <w:b/>
                <w:bCs/>
                <w:lang w:val="en-US"/>
              </w:rPr>
              <w:t>.</w:t>
            </w:r>
          </w:p>
        </w:tc>
      </w:tr>
      <w:tr w:rsidR="00182AC7" w:rsidRPr="00216F0E" w14:paraId="1896F5B1" w14:textId="3A0AA795" w:rsidTr="286C5C0D">
        <w:tc>
          <w:tcPr>
            <w:tcW w:w="1992" w:type="dxa"/>
            <w:gridSpan w:val="2"/>
            <w:tcBorders>
              <w:left w:val="single" w:sz="4" w:space="0" w:color="FFFFFF" w:themeColor="background2"/>
              <w:bottom w:val="single" w:sz="4" w:space="0" w:color="FFFFFF" w:themeColor="background2"/>
              <w:right w:val="single" w:sz="4" w:space="0" w:color="FFFFFF" w:themeColor="background2"/>
            </w:tcBorders>
          </w:tcPr>
          <w:p w14:paraId="53F81238" w14:textId="390CA9C5" w:rsidR="00182AC7" w:rsidRPr="00AF4AEA" w:rsidRDefault="00182AC7" w:rsidP="00182AC7">
            <w:pPr>
              <w:pStyle w:val="Bodyromannumerals"/>
              <w:rPr>
                <w:i/>
                <w:lang w:val="en-US"/>
              </w:rPr>
            </w:pPr>
            <w:r w:rsidRPr="00AF4AEA">
              <w:rPr>
                <w:i/>
                <w:lang w:val="en-US"/>
              </w:rPr>
              <w:t>Definition:</w:t>
            </w:r>
          </w:p>
        </w:tc>
        <w:tc>
          <w:tcPr>
            <w:tcW w:w="5566" w:type="dxa"/>
            <w:gridSpan w:val="2"/>
            <w:tcBorders>
              <w:left w:val="single" w:sz="4" w:space="0" w:color="FFFFFF" w:themeColor="background2"/>
              <w:bottom w:val="single" w:sz="4" w:space="0" w:color="FFFFFF" w:themeColor="background2"/>
              <w:right w:val="single" w:sz="4" w:space="0" w:color="FFFFFF" w:themeColor="background2"/>
            </w:tcBorders>
          </w:tcPr>
          <w:p w14:paraId="6EDFBE5D" w14:textId="36B8A09A" w:rsidR="00182AC7" w:rsidRPr="00AF4AEA" w:rsidRDefault="00182AC7" w:rsidP="00182AC7">
            <w:pPr>
              <w:pStyle w:val="Bodyromannumerals"/>
              <w:rPr>
                <w:lang w:val="en-US"/>
              </w:rPr>
            </w:pPr>
            <w:r w:rsidRPr="00AF4AEA">
              <w:rPr>
                <w:lang w:val="en-US"/>
              </w:rPr>
              <w:t>The number of change of payment enquiries dealt with in more than 10 working days.</w:t>
            </w:r>
          </w:p>
        </w:tc>
      </w:tr>
      <w:tr w:rsidR="00182AC7" w:rsidRPr="00216F0E" w14:paraId="3DE9DAC5" w14:textId="1F2819ED" w:rsidTr="286C5C0D">
        <w:tc>
          <w:tcPr>
            <w:tcW w:w="199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5C3D2C" w14:textId="3985F370" w:rsidR="00182AC7" w:rsidRPr="00AF4AEA" w:rsidRDefault="00182AC7" w:rsidP="00182AC7">
            <w:pPr>
              <w:pStyle w:val="Bodyromannumerals"/>
              <w:rPr>
                <w:i/>
                <w:lang w:val="en-US"/>
              </w:rPr>
            </w:pPr>
            <w:r w:rsidRPr="00AF4AEA">
              <w:rPr>
                <w:i/>
                <w:lang w:val="en-US"/>
              </w:rPr>
              <w:t>Processing Rules:</w:t>
            </w:r>
          </w:p>
        </w:tc>
        <w:tc>
          <w:tcPr>
            <w:tcW w:w="556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7A3B1D3" w14:textId="33535672" w:rsidR="00182AC7" w:rsidRPr="00AF4AEA" w:rsidRDefault="00182AC7" w:rsidP="00182AC7">
            <w:pPr>
              <w:pStyle w:val="Bodyromannumerals"/>
              <w:rPr>
                <w:lang w:val="en-US"/>
              </w:rPr>
            </w:pPr>
            <w:r w:rsidRPr="00AF4AEA">
              <w:rPr>
                <w:lang w:val="en-US"/>
              </w:rPr>
              <w:t>Input field</w:t>
            </w:r>
          </w:p>
        </w:tc>
      </w:tr>
    </w:tbl>
    <w:p w14:paraId="0F49A83C" w14:textId="77777777" w:rsidR="00BE4543" w:rsidRDefault="00BE4543" w:rsidP="00BE4543">
      <w:pPr>
        <w:pStyle w:val="Bodyromannumerals"/>
      </w:pPr>
    </w:p>
    <w:p w14:paraId="5ABF62C2" w14:textId="77777777" w:rsidR="00344B62" w:rsidRDefault="00344B62">
      <w:pPr>
        <w:spacing w:after="160" w:line="259" w:lineRule="auto"/>
        <w:rPr>
          <w:rFonts w:ascii="Calibri" w:hAnsi="Calibri" w:cs="Calibri"/>
          <w:sz w:val="21"/>
          <w:szCs w:val="21"/>
        </w:rPr>
      </w:pPr>
      <w:r>
        <w:br w:type="page"/>
      </w:r>
    </w:p>
    <w:p w14:paraId="07469750" w14:textId="37E832D7" w:rsidR="00BE4543" w:rsidRDefault="00BE4543" w:rsidP="00344B62">
      <w:pPr>
        <w:pStyle w:val="Title1"/>
      </w:pPr>
      <w:r>
        <w:lastRenderedPageBreak/>
        <w:t xml:space="preserve">TABLE B5: CUSTOMER CARE – </w:t>
      </w:r>
      <w:r w:rsidR="007039C4">
        <w:t xml:space="preserve">CONTACTS AND </w:t>
      </w:r>
      <w:r>
        <w:t>COMPLAINTS</w:t>
      </w:r>
      <w:r w:rsidR="001C7D78">
        <w:t xml:space="preserve"> </w:t>
      </w:r>
      <w:r w:rsidR="0032281F">
        <w:t>(THREE WATERS)</w:t>
      </w:r>
      <w:r w:rsidR="00612EAB" w:rsidRPr="00612EAB">
        <w:rPr>
          <w:rStyle w:val="CommentReference"/>
          <w:rFonts w:ascii="Arial" w:hAnsi="Arial" w:cstheme="minorBidi"/>
          <w:b w:val="0"/>
          <w:bCs w:val="0"/>
          <w:color w:val="auto"/>
        </w:rPr>
        <w:t xml:space="preserve"> </w:t>
      </w:r>
    </w:p>
    <w:p w14:paraId="5BCD2C69" w14:textId="77777777" w:rsidR="00794375" w:rsidRDefault="00794375" w:rsidP="00794375">
      <w:pPr>
        <w:pStyle w:val="Sectionsub-heading"/>
      </w:pPr>
      <w:r>
        <w:t>Overall guidance</w:t>
      </w:r>
    </w:p>
    <w:p w14:paraId="4B67410F" w14:textId="77777777" w:rsidR="00512AE8" w:rsidRDefault="00512AE8" w:rsidP="00911155">
      <w:pPr>
        <w:pStyle w:val="Bodynumbercopy"/>
        <w:numPr>
          <w:ilvl w:val="0"/>
          <w:numId w:val="48"/>
        </w:numPr>
      </w:pPr>
      <w:r>
        <w:t xml:space="preserve">If the information is not available for the measure requested, Local Authorities should provide their </w:t>
      </w:r>
      <w:proofErr w:type="gramStart"/>
      <w:r>
        <w:t>best informed</w:t>
      </w:r>
      <w:proofErr w:type="gramEnd"/>
      <w:r>
        <w:t xml:space="preserve"> guess based on the information available and reflect the uncertainty in selecting the appropriate confidence grade.</w:t>
      </w:r>
    </w:p>
    <w:p w14:paraId="5337C3A0" w14:textId="218A763B" w:rsidR="00512AE8" w:rsidRDefault="00512AE8" w:rsidP="00512AE8">
      <w:pPr>
        <w:pStyle w:val="Bodynumbercopy"/>
      </w:pPr>
      <w:r w:rsidRPr="009D4FE0">
        <w:t>Using unplanned interruptions</w:t>
      </w:r>
      <w:r>
        <w:t xml:space="preserve"> in Table B2</w:t>
      </w:r>
      <w:r w:rsidRPr="009D4FE0">
        <w:t xml:space="preserve"> as an example, if the Local Authority has collected information which shows that 150 properties were restored within 8 hours then this would serve as a maximum for the number of properties restored within six hours in line B2.43. A Local Authority could therefore make an informed guess that 100 properties were restored within 6 hours and apply a confidence grade of D5 which would suggest that the reported performance is within +/-50% of the actual performance in the year.  This would result in a maximum of 150 properties (100 + (100 * 50%)) in line with the </w:t>
      </w:r>
      <w:r>
        <w:t xml:space="preserve">known </w:t>
      </w:r>
      <w:r w:rsidRPr="009D4FE0">
        <w:t>properties restored within 8 hours.</w:t>
      </w:r>
    </w:p>
    <w:p w14:paraId="57E66F80" w14:textId="5403805E" w:rsidR="00C4441D" w:rsidRPr="009D4FE0" w:rsidRDefault="00C4441D" w:rsidP="00C4441D">
      <w:pPr>
        <w:pStyle w:val="Bodynumbercopy"/>
      </w:pPr>
      <w:r>
        <w:t>Tables B4, B5 and B6 collect customer care metrics for Three Waters services which are required for benchmarking of levels of service.</w:t>
      </w:r>
    </w:p>
    <w:p w14:paraId="3A279C66" w14:textId="1CA723E7" w:rsidR="00BE4543" w:rsidRDefault="009A40E0" w:rsidP="00911155">
      <w:pPr>
        <w:pStyle w:val="Bodynumbercopy"/>
        <w:numPr>
          <w:ilvl w:val="0"/>
          <w:numId w:val="42"/>
        </w:numPr>
      </w:pPr>
      <w:r>
        <w:t>This table is specific to the Three Waters service</w:t>
      </w:r>
      <w:r w:rsidR="0032281F">
        <w:t>s</w:t>
      </w:r>
      <w:r>
        <w:t xml:space="preserve">. </w:t>
      </w:r>
      <w:r w:rsidR="00BE4543">
        <w:t>This table covers:</w:t>
      </w:r>
    </w:p>
    <w:p w14:paraId="1CA7C1B5" w14:textId="4283B36E" w:rsidR="00BE4543" w:rsidRDefault="00BE4543" w:rsidP="00344B62">
      <w:pPr>
        <w:pStyle w:val="Sectionsub-heading"/>
      </w:pPr>
      <w:r>
        <w:t xml:space="preserve">Written </w:t>
      </w:r>
      <w:r w:rsidR="00F01BE9">
        <w:t xml:space="preserve">contacts and </w:t>
      </w:r>
      <w:r w:rsidR="00647AD4">
        <w:t>c</w:t>
      </w:r>
      <w:r>
        <w:t>omplaints</w:t>
      </w:r>
    </w:p>
    <w:p w14:paraId="6ABF0F9F" w14:textId="1C7C1CE4" w:rsidR="00BE4543" w:rsidRPr="00C10211" w:rsidRDefault="00BE4543" w:rsidP="00911155">
      <w:pPr>
        <w:pStyle w:val="Bodynumbercopy"/>
        <w:rPr>
          <w:rFonts w:asciiTheme="minorHAnsi" w:eastAsiaTheme="minorEastAsia" w:hAnsiTheme="minorHAnsi" w:cstheme="minorBidi"/>
        </w:rPr>
      </w:pPr>
      <w:r>
        <w:t xml:space="preserve">This covers the number of written </w:t>
      </w:r>
      <w:r w:rsidR="00F01BE9">
        <w:t xml:space="preserve">contacts and </w:t>
      </w:r>
      <w:r>
        <w:t>complaints received during the report year and the time taken to respond to them.</w:t>
      </w:r>
    </w:p>
    <w:p w14:paraId="3EC742EB" w14:textId="7FC99ADC" w:rsidR="00BE4543" w:rsidRDefault="00BE4543" w:rsidP="00C43087">
      <w:pPr>
        <w:pStyle w:val="Sectionsub-heading"/>
      </w:pPr>
      <w:r>
        <w:t>Telephone</w:t>
      </w:r>
      <w:r w:rsidR="00F01BE9">
        <w:t xml:space="preserve"> contacts and</w:t>
      </w:r>
      <w:r>
        <w:t xml:space="preserve"> </w:t>
      </w:r>
      <w:r w:rsidR="00647AD4">
        <w:t>c</w:t>
      </w:r>
      <w:r>
        <w:t>omplaints</w:t>
      </w:r>
    </w:p>
    <w:p w14:paraId="585279EA" w14:textId="1CE2B505" w:rsidR="00712A2A" w:rsidRDefault="00BE4543" w:rsidP="00AD7EC2">
      <w:pPr>
        <w:pStyle w:val="Bodynumbercopy"/>
      </w:pPr>
      <w:r>
        <w:t xml:space="preserve">This covers the number of telephone </w:t>
      </w:r>
      <w:r w:rsidR="00F01BE9">
        <w:t xml:space="preserve">contacts and </w:t>
      </w:r>
      <w:r>
        <w:t>complaints where a written response is requested received during the report year and the time taken to respond to them.</w:t>
      </w:r>
    </w:p>
    <w:p w14:paraId="421E49B6" w14:textId="0B9D21EB" w:rsidR="00BE4543" w:rsidRDefault="00BE4543" w:rsidP="00C43087">
      <w:pPr>
        <w:pStyle w:val="Sectionsub-heading"/>
      </w:pPr>
      <w:r>
        <w:t xml:space="preserve">Complaints by </w:t>
      </w:r>
      <w:r w:rsidR="00647AD4">
        <w:t>c</w:t>
      </w:r>
      <w:r>
        <w:t>ategory</w:t>
      </w:r>
    </w:p>
    <w:p w14:paraId="1EFEAB8D" w14:textId="7D64B60C" w:rsidR="00BE4543" w:rsidRDefault="00BE4543" w:rsidP="001E7C7A">
      <w:pPr>
        <w:pStyle w:val="Bodynumbercopy"/>
      </w:pPr>
      <w:r>
        <w:t xml:space="preserve">This covers the total number of </w:t>
      </w:r>
      <w:r w:rsidR="00D20583">
        <w:t xml:space="preserve">contacts and </w:t>
      </w:r>
      <w:r>
        <w:t>complaints received during the report year by category by telephone or written contact.</w:t>
      </w:r>
    </w:p>
    <w:p w14:paraId="6F8C589D" w14:textId="35299039" w:rsidR="00BE4543" w:rsidRDefault="00BE4543" w:rsidP="001E7C7A">
      <w:pPr>
        <w:pStyle w:val="Bodynumbercopy"/>
      </w:pPr>
      <w:r>
        <w:t xml:space="preserve">Exclusions – The </w:t>
      </w:r>
      <w:r w:rsidR="00906346">
        <w:t>Local</w:t>
      </w:r>
      <w:r w:rsidR="002E0E38">
        <w:t xml:space="preserve"> Authority</w:t>
      </w:r>
      <w:r>
        <w:t xml:space="preserve"> can exclude from the reported figures those written </w:t>
      </w:r>
      <w:r w:rsidR="00D20583">
        <w:t xml:space="preserve">contacts and </w:t>
      </w:r>
      <w:r>
        <w:t>complaints which are anonymous; about the activities of other undertakers</w:t>
      </w:r>
      <w:r w:rsidR="00A91493">
        <w:t>/responsible parties</w:t>
      </w:r>
      <w:r>
        <w:t xml:space="preserve">; and not about the services or the functions of the </w:t>
      </w:r>
      <w:r w:rsidR="00906346">
        <w:t>Local</w:t>
      </w:r>
      <w:r w:rsidR="009F352B">
        <w:t xml:space="preserve"> </w:t>
      </w:r>
      <w:r w:rsidR="00574567">
        <w:t>A</w:t>
      </w:r>
      <w:r>
        <w:t xml:space="preserve">uthority. </w:t>
      </w:r>
    </w:p>
    <w:p w14:paraId="76306E3A" w14:textId="2DB318BA" w:rsidR="00BE4543" w:rsidRDefault="00BE4543" w:rsidP="00391629">
      <w:pPr>
        <w:pStyle w:val="Sectionsub-heading"/>
      </w:pPr>
      <w:r>
        <w:t>Lines B5.1 to B5.</w:t>
      </w:r>
      <w:r w:rsidR="00201AE0">
        <w:t>7</w:t>
      </w:r>
      <w:r>
        <w:t xml:space="preserve">: Response to </w:t>
      </w:r>
      <w:r w:rsidR="008927DB">
        <w:t>w</w:t>
      </w:r>
      <w:r>
        <w:t xml:space="preserve">ritten </w:t>
      </w:r>
      <w:r w:rsidR="00F01BE9">
        <w:t xml:space="preserve">contacts and </w:t>
      </w:r>
      <w:r w:rsidR="008927DB">
        <w:t>c</w:t>
      </w:r>
      <w:r>
        <w:t>omplaints</w:t>
      </w:r>
    </w:p>
    <w:p w14:paraId="3B019631" w14:textId="77777777" w:rsidR="00BE4543" w:rsidRDefault="00BE4543" w:rsidP="00391629">
      <w:pPr>
        <w:pStyle w:val="Sectionsub-heading"/>
      </w:pPr>
      <w:r>
        <w:t>Aim</w:t>
      </w:r>
    </w:p>
    <w:p w14:paraId="46EB97AA" w14:textId="310142C2" w:rsidR="00BE4543" w:rsidRDefault="00BE4543" w:rsidP="001E7C7A">
      <w:pPr>
        <w:pStyle w:val="Bodynumbercopy"/>
      </w:pPr>
      <w:r>
        <w:t>To identify the total number of written</w:t>
      </w:r>
      <w:r w:rsidR="00D20583">
        <w:t xml:space="preserve"> contacts and</w:t>
      </w:r>
      <w:r>
        <w:t xml:space="preserve"> complaints received during the report year and time taken to respond to them.</w:t>
      </w:r>
    </w:p>
    <w:p w14:paraId="0ECCE1D5" w14:textId="77777777" w:rsidR="00015469" w:rsidRDefault="00015469" w:rsidP="001625DC">
      <w:pPr>
        <w:pStyle w:val="Sectionsub-heading"/>
      </w:pPr>
    </w:p>
    <w:p w14:paraId="572621A2" w14:textId="6B35ECDE" w:rsidR="00BE4543" w:rsidRDefault="00BE4543" w:rsidP="001625DC">
      <w:pPr>
        <w:pStyle w:val="Sectionsub-heading"/>
      </w:pPr>
      <w:r>
        <w:t xml:space="preserve">Common </w:t>
      </w:r>
      <w:r w:rsidR="00647AD4">
        <w:t>d</w:t>
      </w:r>
      <w:r>
        <w:t>efinitions</w:t>
      </w:r>
    </w:p>
    <w:p w14:paraId="2EC788EB" w14:textId="15680311" w:rsidR="00BE4543" w:rsidRDefault="00BE4543" w:rsidP="008927DB">
      <w:pPr>
        <w:pStyle w:val="Bodynumbercopy"/>
      </w:pPr>
      <w:r w:rsidRPr="286C5C0D">
        <w:rPr>
          <w:b/>
          <w:bCs/>
        </w:rPr>
        <w:t xml:space="preserve">Written </w:t>
      </w:r>
      <w:r w:rsidR="00B41FC9">
        <w:rPr>
          <w:b/>
          <w:bCs/>
        </w:rPr>
        <w:t xml:space="preserve">contacts and </w:t>
      </w:r>
      <w:r w:rsidRPr="286C5C0D">
        <w:rPr>
          <w:b/>
          <w:bCs/>
        </w:rPr>
        <w:t>complaints</w:t>
      </w:r>
      <w:r>
        <w:t xml:space="preserve">: This covers any written communication from a customer or alleging that an action or inaction of the </w:t>
      </w:r>
      <w:r w:rsidR="00906346">
        <w:t>Local</w:t>
      </w:r>
      <w:r w:rsidR="002E0E38">
        <w:t xml:space="preserve"> Authority</w:t>
      </w:r>
      <w:r>
        <w:t xml:space="preserve">, or a service or lack of service provided by the </w:t>
      </w:r>
      <w:r w:rsidR="00906346">
        <w:t>Local</w:t>
      </w:r>
      <w:r w:rsidR="002E0E38">
        <w:t xml:space="preserve"> Authority</w:t>
      </w:r>
      <w:r>
        <w:t xml:space="preserve"> or agent/contractor has fallen below his/her expectation, even if written in mild and friendly terms. </w:t>
      </w:r>
      <w:r w:rsidRPr="009A1945">
        <w:rPr>
          <w:u w:val="single"/>
        </w:rPr>
        <w:t>Written</w:t>
      </w:r>
      <w:r w:rsidR="00B41FC9">
        <w:rPr>
          <w:u w:val="single"/>
        </w:rPr>
        <w:t xml:space="preserve"> contacts and</w:t>
      </w:r>
      <w:r w:rsidRPr="009A1945">
        <w:rPr>
          <w:u w:val="single"/>
        </w:rPr>
        <w:t xml:space="preserve"> complaints include those made by letter, fax and electronic mail</w:t>
      </w:r>
      <w:r>
        <w:t>. For example, written</w:t>
      </w:r>
      <w:r w:rsidR="00D20583">
        <w:t xml:space="preserve"> contacts and</w:t>
      </w:r>
      <w:r>
        <w:t xml:space="preserve"> complaints include those about:</w:t>
      </w:r>
    </w:p>
    <w:p w14:paraId="37DC7983" w14:textId="028A1832" w:rsidR="00BE4543" w:rsidRDefault="0044613C" w:rsidP="00C10211">
      <w:pPr>
        <w:pStyle w:val="Bodyromannumerals"/>
        <w:numPr>
          <w:ilvl w:val="0"/>
          <w:numId w:val="28"/>
        </w:numPr>
      </w:pPr>
      <w:r w:rsidRPr="00D35279">
        <w:rPr>
          <w:b/>
        </w:rPr>
        <w:t>W</w:t>
      </w:r>
      <w:r w:rsidR="00BE4543" w:rsidRPr="00D35279">
        <w:rPr>
          <w:b/>
        </w:rPr>
        <w:t>ater supply</w:t>
      </w:r>
      <w:r w:rsidR="00BE4543">
        <w:t xml:space="preserve"> - adequacy, interruptions, restrictions, pressure levels etc.;</w:t>
      </w:r>
    </w:p>
    <w:p w14:paraId="202E5DC6" w14:textId="3E433E67" w:rsidR="00BE4543" w:rsidRDefault="0072605A" w:rsidP="00C10211">
      <w:pPr>
        <w:pStyle w:val="Bodyromannumerals"/>
        <w:numPr>
          <w:ilvl w:val="0"/>
          <w:numId w:val="28"/>
        </w:numPr>
      </w:pPr>
      <w:r w:rsidRPr="00D35279">
        <w:rPr>
          <w:b/>
        </w:rPr>
        <w:t>W</w:t>
      </w:r>
      <w:r w:rsidR="00BE4543" w:rsidRPr="00D35279">
        <w:rPr>
          <w:b/>
        </w:rPr>
        <w:t>ater mains and pipes</w:t>
      </w:r>
      <w:r w:rsidR="00BE4543">
        <w:t xml:space="preserve"> - liability, connections, damage, reinstatement, flooding, leakage etc.;</w:t>
      </w:r>
    </w:p>
    <w:p w14:paraId="2DD03DD6" w14:textId="6E8EA220" w:rsidR="00BE4543" w:rsidRDefault="0072605A" w:rsidP="00C10211">
      <w:pPr>
        <w:pStyle w:val="Bodyromannumerals"/>
        <w:numPr>
          <w:ilvl w:val="0"/>
          <w:numId w:val="28"/>
        </w:numPr>
      </w:pPr>
      <w:r w:rsidRPr="00D35279">
        <w:rPr>
          <w:b/>
        </w:rPr>
        <w:t>W</w:t>
      </w:r>
      <w:r w:rsidR="00BE4543" w:rsidRPr="00D35279">
        <w:rPr>
          <w:b/>
        </w:rPr>
        <w:t>ater quality</w:t>
      </w:r>
      <w:r w:rsidR="00BE4543">
        <w:t xml:space="preserve"> - discolouration, taste, odour etc.;</w:t>
      </w:r>
    </w:p>
    <w:p w14:paraId="28E10A78" w14:textId="70396BC4" w:rsidR="00BE4543" w:rsidRDefault="00612EAB" w:rsidP="00C10211">
      <w:pPr>
        <w:pStyle w:val="Bodyromannumerals"/>
        <w:numPr>
          <w:ilvl w:val="0"/>
          <w:numId w:val="28"/>
        </w:numPr>
      </w:pPr>
      <w:r w:rsidRPr="00D35279">
        <w:rPr>
          <w:b/>
        </w:rPr>
        <w:t xml:space="preserve">Wastewater </w:t>
      </w:r>
      <w:r w:rsidR="00BE4543" w:rsidRPr="00D35279">
        <w:rPr>
          <w:b/>
        </w:rPr>
        <w:t xml:space="preserve">and </w:t>
      </w:r>
      <w:r w:rsidRPr="00D35279">
        <w:rPr>
          <w:b/>
        </w:rPr>
        <w:t>stormwater</w:t>
      </w:r>
      <w:r>
        <w:t xml:space="preserve"> </w:t>
      </w:r>
      <w:r w:rsidR="00777CF5">
        <w:t xml:space="preserve">- </w:t>
      </w:r>
      <w:r w:rsidR="00BE4543">
        <w:t>liability, connections, damage, flooding etc.;</w:t>
      </w:r>
    </w:p>
    <w:p w14:paraId="5C5B5B42" w14:textId="126975BE" w:rsidR="00BE4543" w:rsidRDefault="00906346" w:rsidP="00C10211">
      <w:pPr>
        <w:pStyle w:val="Bodyromannumerals"/>
        <w:numPr>
          <w:ilvl w:val="0"/>
          <w:numId w:val="28"/>
        </w:numPr>
      </w:pPr>
      <w:r w:rsidRPr="00D35279">
        <w:rPr>
          <w:b/>
        </w:rPr>
        <w:t>Wastewater</w:t>
      </w:r>
      <w:r w:rsidR="00BE4543" w:rsidRPr="00D35279">
        <w:rPr>
          <w:b/>
        </w:rPr>
        <w:t xml:space="preserve"> treatment and disposal</w:t>
      </w:r>
      <w:r w:rsidR="00BE4543">
        <w:t xml:space="preserve"> - noise/odour from </w:t>
      </w:r>
      <w:r w:rsidR="00A12D8A">
        <w:t>plants</w:t>
      </w:r>
      <w:r w:rsidR="00BE4543">
        <w:t>, disposal routes etc.;</w:t>
      </w:r>
    </w:p>
    <w:p w14:paraId="37C8DFA0" w14:textId="4BBA0B0B" w:rsidR="00BE4543" w:rsidRDefault="0072605A" w:rsidP="00C10211">
      <w:pPr>
        <w:pStyle w:val="Bodyromannumerals"/>
        <w:numPr>
          <w:ilvl w:val="0"/>
          <w:numId w:val="28"/>
        </w:numPr>
      </w:pPr>
      <w:r w:rsidRPr="00D35279">
        <w:rPr>
          <w:b/>
        </w:rPr>
        <w:t>C</w:t>
      </w:r>
      <w:r w:rsidR="00BE4543" w:rsidRPr="00D35279">
        <w:rPr>
          <w:b/>
        </w:rPr>
        <w:t>onstruction and maintenance</w:t>
      </w:r>
      <w:r w:rsidR="00BE4543">
        <w:t xml:space="preserve"> - noise, nuisance, inconvenience caused by construction and maintenance work;</w:t>
      </w:r>
    </w:p>
    <w:p w14:paraId="3037BF23" w14:textId="7A6FA4EE" w:rsidR="00BE4543" w:rsidRDefault="0072605A" w:rsidP="00C10211">
      <w:pPr>
        <w:pStyle w:val="Bodyromannumerals"/>
        <w:numPr>
          <w:ilvl w:val="0"/>
          <w:numId w:val="28"/>
        </w:numPr>
      </w:pPr>
      <w:r w:rsidRPr="00D35279">
        <w:rPr>
          <w:b/>
        </w:rPr>
        <w:t>C</w:t>
      </w:r>
      <w:r w:rsidR="00BE4543" w:rsidRPr="00D35279">
        <w:rPr>
          <w:b/>
        </w:rPr>
        <w:t>harges</w:t>
      </w:r>
      <w:r w:rsidR="00BE4543">
        <w:t xml:space="preserve"> </w:t>
      </w:r>
      <w:r w:rsidR="00A70024">
        <w:t>-</w:t>
      </w:r>
      <w:r w:rsidR="00BE4543">
        <w:t xml:space="preserve"> billing errors, disputed liability, debt recovery, objections to standing charges, continuing use of Rateable Values, compulsory metering, level of charges etc.;</w:t>
      </w:r>
    </w:p>
    <w:p w14:paraId="65AC7C87" w14:textId="786BD6B6" w:rsidR="00BE4543" w:rsidRDefault="00676DDA" w:rsidP="00C10211">
      <w:pPr>
        <w:pStyle w:val="Bodyromannumerals"/>
        <w:numPr>
          <w:ilvl w:val="0"/>
          <w:numId w:val="28"/>
        </w:numPr>
      </w:pPr>
      <w:r w:rsidRPr="00D35279">
        <w:rPr>
          <w:b/>
        </w:rPr>
        <w:t>M</w:t>
      </w:r>
      <w:r w:rsidR="00BE4543" w:rsidRPr="00D35279">
        <w:rPr>
          <w:b/>
        </w:rPr>
        <w:t>eters</w:t>
      </w:r>
      <w:r w:rsidR="00BE4543">
        <w:t xml:space="preserve"> - cost, installation, positioning, reading, testing etc.;</w:t>
      </w:r>
    </w:p>
    <w:p w14:paraId="25322694" w14:textId="4737AA91" w:rsidR="00BE4543" w:rsidRDefault="00676DDA" w:rsidP="00C10211">
      <w:pPr>
        <w:pStyle w:val="Bodyromannumerals"/>
        <w:numPr>
          <w:ilvl w:val="0"/>
          <w:numId w:val="28"/>
        </w:numPr>
      </w:pPr>
      <w:r w:rsidRPr="00D35279">
        <w:rPr>
          <w:b/>
        </w:rPr>
        <w:t>A</w:t>
      </w:r>
      <w:r w:rsidR="00BE4543" w:rsidRPr="00D35279">
        <w:rPr>
          <w:b/>
        </w:rPr>
        <w:t>dministration</w:t>
      </w:r>
      <w:r w:rsidR="00BE4543">
        <w:t xml:space="preserve"> - appointments, staff attitudes, poor advice, authority literature etc.</w:t>
      </w:r>
    </w:p>
    <w:p w14:paraId="0FFEC5F3" w14:textId="49AD50A2" w:rsidR="00BE4543" w:rsidRDefault="00BE4543" w:rsidP="00C10211">
      <w:pPr>
        <w:pStyle w:val="Bodynumbercopy"/>
      </w:pPr>
      <w:r>
        <w:t xml:space="preserve">General statements of complaint are to be counted even though a standard type of reply may be sent. Customers may complain unfairly or unjustifiably; nevertheless, such a letter is a complaint. Some complaints may be frivolous or vexatious; nevertheless, these should be reported, although the </w:t>
      </w:r>
      <w:r w:rsidR="00906346">
        <w:t>Local</w:t>
      </w:r>
      <w:r w:rsidR="002E0E38">
        <w:t xml:space="preserve"> Authority</w:t>
      </w:r>
      <w:r>
        <w:t xml:space="preserve"> may take a contemporaneous decision that further correspondence on the same subject need not be reported.</w:t>
      </w:r>
    </w:p>
    <w:p w14:paraId="21AF5261" w14:textId="4A64250C" w:rsidR="00392978" w:rsidRDefault="00392978" w:rsidP="00392978">
      <w:pPr>
        <w:pStyle w:val="Bodynumbercopy"/>
      </w:pPr>
      <w:r>
        <w:t xml:space="preserve">This table excludes written contact or enquiries for a new </w:t>
      </w:r>
      <w:r w:rsidR="000511AC">
        <w:t xml:space="preserve">request for </w:t>
      </w:r>
      <w:r>
        <w:t>service (e.g. a request for a connection or a new toby box).</w:t>
      </w:r>
    </w:p>
    <w:p w14:paraId="3BFCA803" w14:textId="7CAEF7EF" w:rsidR="00BE4543" w:rsidRDefault="00392978" w:rsidP="001E7C7A">
      <w:pPr>
        <w:pStyle w:val="Bodynumbercopy"/>
      </w:pPr>
      <w:r w:rsidRPr="0007555F">
        <w:t>Other e</w:t>
      </w:r>
      <w:r w:rsidR="00BE4543" w:rsidRPr="0007555F">
        <w:t>xclusions</w:t>
      </w:r>
      <w:r w:rsidRPr="0007555F">
        <w:t xml:space="preserve"> include</w:t>
      </w:r>
      <w:r w:rsidR="00BE4543">
        <w:t xml:space="preserve"> written complaints which are:</w:t>
      </w:r>
    </w:p>
    <w:p w14:paraId="66C63F6C" w14:textId="72CD6CE3" w:rsidR="00BE4543" w:rsidRDefault="00676DDA" w:rsidP="00C10211">
      <w:pPr>
        <w:pStyle w:val="Bodyromannumerals"/>
        <w:numPr>
          <w:ilvl w:val="0"/>
          <w:numId w:val="29"/>
        </w:numPr>
      </w:pPr>
      <w:r>
        <w:t>A</w:t>
      </w:r>
      <w:r w:rsidR="00BE4543">
        <w:t>nonymous;</w:t>
      </w:r>
    </w:p>
    <w:p w14:paraId="5E7C053F" w14:textId="69751AE6" w:rsidR="00BE4543" w:rsidRDefault="00676DDA" w:rsidP="00C10211">
      <w:pPr>
        <w:pStyle w:val="Bodyromannumerals"/>
        <w:numPr>
          <w:ilvl w:val="0"/>
          <w:numId w:val="29"/>
        </w:numPr>
      </w:pPr>
      <w:r>
        <w:t>A</w:t>
      </w:r>
      <w:r w:rsidR="00BE4543">
        <w:t>bout the activities of other undertakers</w:t>
      </w:r>
      <w:r w:rsidR="00A91493">
        <w:t>/responsible parties</w:t>
      </w:r>
      <w:r w:rsidR="00BE4543">
        <w:t xml:space="preserve"> or other utilities, for example signage around trenches;</w:t>
      </w:r>
    </w:p>
    <w:p w14:paraId="56E23B1F" w14:textId="289D7DDD" w:rsidR="00BE4543" w:rsidRDefault="00676DDA" w:rsidP="00C10211">
      <w:pPr>
        <w:pStyle w:val="Bodyromannumerals"/>
        <w:numPr>
          <w:ilvl w:val="0"/>
          <w:numId w:val="29"/>
        </w:numPr>
      </w:pPr>
      <w:r>
        <w:t>N</w:t>
      </w:r>
      <w:r w:rsidR="00BE4543">
        <w:t xml:space="preserve">ot about the services or functions of the </w:t>
      </w:r>
      <w:r w:rsidR="00906346">
        <w:t>Local</w:t>
      </w:r>
      <w:r w:rsidR="002E0E38">
        <w:t xml:space="preserve"> Authority</w:t>
      </w:r>
      <w:r w:rsidR="00BE4543">
        <w:t>, for example complaints about executive salaries, sponsorship activities and authority advertising campaigns;</w:t>
      </w:r>
    </w:p>
    <w:p w14:paraId="4002EA0E" w14:textId="572212DA" w:rsidR="00BE4543" w:rsidRDefault="00676DDA" w:rsidP="00C10211">
      <w:pPr>
        <w:pStyle w:val="Bodyromannumerals"/>
        <w:numPr>
          <w:ilvl w:val="0"/>
          <w:numId w:val="29"/>
        </w:numPr>
      </w:pPr>
      <w:r>
        <w:t>A</w:t>
      </w:r>
      <w:r w:rsidR="00BE4543">
        <w:t>bout non-appointed activities, such as plumbing services, consultancies etc; and</w:t>
      </w:r>
    </w:p>
    <w:p w14:paraId="4AD9F41A" w14:textId="283D4360" w:rsidR="00BE4543" w:rsidRDefault="00676DDA" w:rsidP="00C10211">
      <w:pPr>
        <w:pStyle w:val="Bodyromannumerals"/>
        <w:numPr>
          <w:ilvl w:val="0"/>
          <w:numId w:val="29"/>
        </w:numPr>
      </w:pPr>
      <w:r>
        <w:lastRenderedPageBreak/>
        <w:t>A</w:t>
      </w:r>
      <w:r w:rsidR="00BE4543">
        <w:t>bout recreational and amenity activities</w:t>
      </w:r>
      <w:r w:rsidR="00B14595">
        <w:t>,</w:t>
      </w:r>
      <w:r w:rsidR="00F35618">
        <w:t xml:space="preserve"> </w:t>
      </w:r>
      <w:r w:rsidR="00BE4543">
        <w:t>for example visitor centres at authority sites, water skiing, angling etc.</w:t>
      </w:r>
    </w:p>
    <w:p w14:paraId="25954729" w14:textId="383A492C" w:rsidR="00BE4543" w:rsidRDefault="00BE4543" w:rsidP="008170B3">
      <w:pPr>
        <w:pStyle w:val="Bodynumbercopy"/>
      </w:pPr>
      <w:r w:rsidRPr="286C5C0D">
        <w:rPr>
          <w:b/>
          <w:bCs/>
        </w:rPr>
        <w:t>Response time</w:t>
      </w:r>
      <w:r>
        <w:t xml:space="preserve">: This is the number of working days between receipt of a query by the </w:t>
      </w:r>
      <w:r w:rsidR="00906346">
        <w:t>Local</w:t>
      </w:r>
      <w:r w:rsidR="002E0E38">
        <w:t xml:space="preserve"> Authority</w:t>
      </w:r>
      <w:r>
        <w:t xml:space="preserve"> up to and including the day of despatch of a response. For the purpose of this calculation, the day of receipt is counted as day zero and the next working day as day one. The despatch of a holding reply does not affect the total response time.  </w:t>
      </w:r>
    </w:p>
    <w:p w14:paraId="6AD7B9FF" w14:textId="77777777" w:rsidR="00BE4543" w:rsidRDefault="00BE4543" w:rsidP="001E7C7A">
      <w:pPr>
        <w:pStyle w:val="Bodynumbercopy"/>
      </w:pPr>
      <w:r w:rsidRPr="286C5C0D">
        <w:rPr>
          <w:b/>
          <w:bCs/>
        </w:rPr>
        <w:t>Response</w:t>
      </w:r>
      <w:r>
        <w:t>: This is defined as a response to a written complaint which does one or more of the following:</w:t>
      </w:r>
    </w:p>
    <w:p w14:paraId="71075E20" w14:textId="66E35163" w:rsidR="00BE4543" w:rsidRDefault="00676DDA" w:rsidP="00C10211">
      <w:pPr>
        <w:pStyle w:val="Bodyromannumerals"/>
        <w:numPr>
          <w:ilvl w:val="0"/>
          <w:numId w:val="30"/>
        </w:numPr>
      </w:pPr>
      <w:r>
        <w:t>P</w:t>
      </w:r>
      <w:r w:rsidR="00BE4543">
        <w:t xml:space="preserve">rovides an explanation of the </w:t>
      </w:r>
      <w:r w:rsidR="00906346">
        <w:t>Local</w:t>
      </w:r>
      <w:r w:rsidR="002E0E38">
        <w:t xml:space="preserve"> Authority</w:t>
      </w:r>
      <w:r w:rsidR="003A67A7" w:rsidDel="003A67A7">
        <w:t xml:space="preserve"> </w:t>
      </w:r>
      <w:r w:rsidR="00BE4543">
        <w:t xml:space="preserve">'s relevant policy or procedure and indicates why, in the </w:t>
      </w:r>
      <w:r w:rsidR="00906346">
        <w:t>Local</w:t>
      </w:r>
      <w:r w:rsidR="002E0E38">
        <w:t xml:space="preserve"> Authority</w:t>
      </w:r>
      <w:r w:rsidR="00BE4543">
        <w:t>’s opinion, no further action on the customers complaint is required; or</w:t>
      </w:r>
    </w:p>
    <w:p w14:paraId="42B2E072" w14:textId="4A452DCE" w:rsidR="00BE4543" w:rsidRDefault="00676DDA" w:rsidP="00C10211">
      <w:pPr>
        <w:pStyle w:val="Bodyromannumerals"/>
        <w:numPr>
          <w:ilvl w:val="0"/>
          <w:numId w:val="30"/>
        </w:numPr>
      </w:pPr>
      <w:r>
        <w:t>I</w:t>
      </w:r>
      <w:r w:rsidR="00BE4543">
        <w:t>nforms the customer that action to resolve the complaint has been taken and identifies when the action occurred, for example flushing of mains; or</w:t>
      </w:r>
    </w:p>
    <w:p w14:paraId="635941C4" w14:textId="6C88CF87" w:rsidR="00BE4543" w:rsidRDefault="00676DDA" w:rsidP="00C10211">
      <w:pPr>
        <w:pStyle w:val="Bodyromannumerals"/>
        <w:numPr>
          <w:ilvl w:val="0"/>
          <w:numId w:val="30"/>
        </w:numPr>
      </w:pPr>
      <w:r>
        <w:t>I</w:t>
      </w:r>
      <w:r w:rsidR="00BE4543">
        <w:t>nforms the customer of when action to resolve his/her complaint will be taken if action cannot be taken immediately; for example, “programmed capital works are not scheduled to until month and year and should be completed by month and year”.</w:t>
      </w:r>
    </w:p>
    <w:p w14:paraId="723CD990" w14:textId="62C5E6A0" w:rsidR="00BE4543" w:rsidRDefault="00BE4543" w:rsidP="001E7C7A">
      <w:pPr>
        <w:pStyle w:val="Bodynumbercopy"/>
      </w:pPr>
      <w:r w:rsidRPr="286C5C0D">
        <w:rPr>
          <w:b/>
          <w:bCs/>
        </w:rPr>
        <w:t>Holding reply</w:t>
      </w:r>
      <w:r>
        <w:t xml:space="preserve">: This is defined as a reply to a written complaint which advises the customer that the </w:t>
      </w:r>
      <w:r w:rsidR="00906346">
        <w:t>Local</w:t>
      </w:r>
      <w:r w:rsidR="002E0E38">
        <w:t xml:space="preserve"> Authority</w:t>
      </w:r>
      <w:r>
        <w:t xml:space="preserve"> need to undertake additional research before being able to respond to the customer’s complaint. A holding reply should include a date by which investigations or research will be complete and by which the customer will receive further communication from the </w:t>
      </w:r>
      <w:r w:rsidR="00906346">
        <w:t>Local</w:t>
      </w:r>
      <w:r w:rsidR="002E0E38">
        <w:t xml:space="preserve"> Authority</w:t>
      </w:r>
      <w:r>
        <w:t>.</w:t>
      </w:r>
    </w:p>
    <w:p w14:paraId="23734F97" w14:textId="77777777" w:rsidR="00BE4543" w:rsidRDefault="00BE4543" w:rsidP="00AD3F42">
      <w:pPr>
        <w:pStyle w:val="Sectionsub-heading"/>
      </w:pPr>
      <w:r>
        <w:t>Guidance</w:t>
      </w:r>
    </w:p>
    <w:p w14:paraId="19C12B73" w14:textId="2E5E7FB5" w:rsidR="00BE4543" w:rsidRDefault="00BE4543" w:rsidP="001E7C7A">
      <w:pPr>
        <w:pStyle w:val="Bodynumbercopy"/>
      </w:pPr>
      <w:r w:rsidRPr="286C5C0D">
        <w:rPr>
          <w:b/>
          <w:bCs/>
        </w:rPr>
        <w:t>Response time</w:t>
      </w:r>
      <w:r>
        <w:t>: The number of working days between receipt of a written complaint and the despatch of a response is calculated as follows:</w:t>
      </w:r>
    </w:p>
    <w:tbl>
      <w:tblPr>
        <w:tblStyle w:val="TableGrid"/>
        <w:tblW w:w="0" w:type="auto"/>
        <w:tblInd w:w="851" w:type="dxa"/>
        <w:tblBorders>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835"/>
        <w:gridCol w:w="2835"/>
        <w:gridCol w:w="1047"/>
      </w:tblGrid>
      <w:tr w:rsidR="002E1E00" w:rsidRPr="00216F0E" w14:paraId="6EA2D13D" w14:textId="77777777" w:rsidTr="00295F96">
        <w:tc>
          <w:tcPr>
            <w:tcW w:w="2835" w:type="dxa"/>
            <w:shd w:val="clear" w:color="auto" w:fill="F2F2F2" w:themeFill="background1" w:themeFillShade="F2"/>
          </w:tcPr>
          <w:p w14:paraId="1D572A08" w14:textId="77777777" w:rsidR="002E1E00" w:rsidRPr="005733CD" w:rsidRDefault="002E1E00" w:rsidP="00295F96">
            <w:pPr>
              <w:pStyle w:val="USBodyText"/>
              <w:spacing w:before="0" w:after="0" w:line="240" w:lineRule="auto"/>
              <w:rPr>
                <w:rFonts w:ascii="Calibri" w:hAnsi="Calibri" w:cs="Calibri"/>
                <w:b/>
                <w:bCs/>
                <w:color w:val="182B46"/>
                <w:sz w:val="24"/>
                <w:szCs w:val="24"/>
              </w:rPr>
            </w:pPr>
            <w:r w:rsidRPr="005733CD">
              <w:rPr>
                <w:rFonts w:ascii="Calibri" w:hAnsi="Calibri" w:cs="Calibri"/>
                <w:b/>
                <w:bCs/>
                <w:color w:val="182B46"/>
                <w:sz w:val="24"/>
                <w:szCs w:val="24"/>
              </w:rPr>
              <w:t>TASK</w:t>
            </w:r>
          </w:p>
        </w:tc>
        <w:tc>
          <w:tcPr>
            <w:tcW w:w="2835" w:type="dxa"/>
            <w:shd w:val="clear" w:color="auto" w:fill="F2F2F2" w:themeFill="background1" w:themeFillShade="F2"/>
          </w:tcPr>
          <w:p w14:paraId="33F4484D" w14:textId="77777777" w:rsidR="002E1E00" w:rsidRPr="005733CD" w:rsidRDefault="002E1E00" w:rsidP="00295F96">
            <w:pPr>
              <w:rPr>
                <w:rFonts w:ascii="Calibri" w:hAnsi="Calibri" w:cs="Calibri"/>
                <w:b/>
                <w:bCs/>
                <w:color w:val="182B46"/>
                <w:sz w:val="24"/>
                <w:szCs w:val="24"/>
              </w:rPr>
            </w:pPr>
            <w:r w:rsidRPr="005733CD">
              <w:rPr>
                <w:rFonts w:ascii="Calibri" w:hAnsi="Calibri" w:cs="Calibri"/>
                <w:b/>
                <w:bCs/>
                <w:color w:val="182B46"/>
                <w:sz w:val="24"/>
                <w:szCs w:val="24"/>
              </w:rPr>
              <w:t>DATE</w:t>
            </w:r>
          </w:p>
        </w:tc>
        <w:tc>
          <w:tcPr>
            <w:tcW w:w="1047" w:type="dxa"/>
            <w:shd w:val="clear" w:color="auto" w:fill="F2F2F2" w:themeFill="background1" w:themeFillShade="F2"/>
          </w:tcPr>
          <w:p w14:paraId="3D86922E" w14:textId="77777777" w:rsidR="002E1E00" w:rsidRPr="005733CD" w:rsidRDefault="002E1E00" w:rsidP="00295F96">
            <w:pPr>
              <w:rPr>
                <w:rFonts w:ascii="Calibri" w:hAnsi="Calibri" w:cs="Calibri"/>
                <w:b/>
                <w:bCs/>
                <w:color w:val="182B46"/>
                <w:sz w:val="24"/>
                <w:szCs w:val="24"/>
              </w:rPr>
            </w:pPr>
            <w:r w:rsidRPr="005733CD">
              <w:rPr>
                <w:rFonts w:ascii="Calibri" w:hAnsi="Calibri" w:cs="Calibri"/>
                <w:b/>
                <w:bCs/>
                <w:color w:val="182B46"/>
                <w:sz w:val="24"/>
                <w:szCs w:val="24"/>
              </w:rPr>
              <w:t>NO. OF DAYS</w:t>
            </w:r>
          </w:p>
        </w:tc>
      </w:tr>
      <w:tr w:rsidR="002E1E00" w:rsidRPr="00216F0E" w14:paraId="5F7C0F44" w14:textId="77777777" w:rsidTr="00295F96">
        <w:tc>
          <w:tcPr>
            <w:tcW w:w="2835" w:type="dxa"/>
            <w:shd w:val="clear" w:color="auto" w:fill="FFFFFF" w:themeFill="background1"/>
          </w:tcPr>
          <w:p w14:paraId="77420BE4" w14:textId="77777777" w:rsidR="002E1E00" w:rsidRPr="005733CD" w:rsidRDefault="002E1E00" w:rsidP="00295F96">
            <w:pPr>
              <w:rPr>
                <w:rFonts w:ascii="Calibri" w:hAnsi="Calibri" w:cs="Calibri"/>
                <w:sz w:val="21"/>
                <w:szCs w:val="21"/>
              </w:rPr>
            </w:pPr>
            <w:r w:rsidRPr="005733CD">
              <w:rPr>
                <w:rFonts w:ascii="Calibri" w:hAnsi="Calibri" w:cs="Calibri"/>
                <w:sz w:val="21"/>
                <w:szCs w:val="21"/>
              </w:rPr>
              <w:t>Contact received</w:t>
            </w:r>
          </w:p>
        </w:tc>
        <w:tc>
          <w:tcPr>
            <w:tcW w:w="2835" w:type="dxa"/>
            <w:vAlign w:val="center"/>
          </w:tcPr>
          <w:p w14:paraId="3BCF180C" w14:textId="77777777" w:rsidR="002E1E00" w:rsidRPr="00DF561D" w:rsidRDefault="002E1E00" w:rsidP="00295F96">
            <w:pPr>
              <w:rPr>
                <w:rFonts w:ascii="Calibri" w:hAnsi="Calibri" w:cs="Calibri"/>
                <w:sz w:val="21"/>
                <w:szCs w:val="21"/>
              </w:rPr>
            </w:pPr>
            <w:r w:rsidRPr="00DF561D">
              <w:rPr>
                <w:rFonts w:ascii="Calibri" w:hAnsi="Calibri" w:cs="Calibri"/>
                <w:sz w:val="21"/>
                <w:szCs w:val="21"/>
              </w:rPr>
              <w:t>Friday 24 February 2006</w:t>
            </w:r>
          </w:p>
        </w:tc>
        <w:tc>
          <w:tcPr>
            <w:tcW w:w="1047" w:type="dxa"/>
            <w:vAlign w:val="center"/>
          </w:tcPr>
          <w:p w14:paraId="12DA65B2" w14:textId="77777777" w:rsidR="002E1E00" w:rsidRPr="00DF561D" w:rsidRDefault="002E1E00" w:rsidP="00295F96">
            <w:pPr>
              <w:rPr>
                <w:rFonts w:ascii="Calibri" w:hAnsi="Calibri" w:cs="Calibri"/>
                <w:sz w:val="21"/>
                <w:szCs w:val="21"/>
              </w:rPr>
            </w:pPr>
          </w:p>
        </w:tc>
      </w:tr>
      <w:tr w:rsidR="002E1E00" w:rsidRPr="00216F0E" w14:paraId="704EC0DC" w14:textId="77777777" w:rsidTr="00295F96">
        <w:tc>
          <w:tcPr>
            <w:tcW w:w="2835" w:type="dxa"/>
            <w:shd w:val="clear" w:color="auto" w:fill="FFFFFF" w:themeFill="background1"/>
          </w:tcPr>
          <w:p w14:paraId="356286FC" w14:textId="77777777" w:rsidR="002E1E00" w:rsidRPr="005733CD" w:rsidRDefault="002E1E00" w:rsidP="00295F96">
            <w:pPr>
              <w:rPr>
                <w:rFonts w:ascii="Calibri" w:hAnsi="Calibri" w:cs="Calibri"/>
                <w:sz w:val="21"/>
                <w:szCs w:val="21"/>
              </w:rPr>
            </w:pPr>
            <w:r w:rsidRPr="005733CD">
              <w:rPr>
                <w:rFonts w:ascii="Calibri" w:hAnsi="Calibri" w:cs="Calibri"/>
                <w:sz w:val="21"/>
                <w:szCs w:val="21"/>
              </w:rPr>
              <w:t>Response despatched</w:t>
            </w:r>
          </w:p>
        </w:tc>
        <w:tc>
          <w:tcPr>
            <w:tcW w:w="2835" w:type="dxa"/>
            <w:vAlign w:val="center"/>
          </w:tcPr>
          <w:p w14:paraId="1FE13EE0" w14:textId="77777777" w:rsidR="002E1E00" w:rsidRPr="00DF561D" w:rsidRDefault="002E1E00" w:rsidP="00295F96">
            <w:pPr>
              <w:rPr>
                <w:rFonts w:ascii="Calibri" w:hAnsi="Calibri" w:cs="Calibri"/>
                <w:sz w:val="21"/>
                <w:szCs w:val="21"/>
              </w:rPr>
            </w:pPr>
            <w:r w:rsidRPr="00DF561D">
              <w:rPr>
                <w:rFonts w:ascii="Calibri" w:hAnsi="Calibri" w:cs="Calibri"/>
                <w:sz w:val="21"/>
                <w:szCs w:val="21"/>
              </w:rPr>
              <w:t>Wednesday 1 March 2006</w:t>
            </w:r>
          </w:p>
        </w:tc>
        <w:tc>
          <w:tcPr>
            <w:tcW w:w="1047" w:type="dxa"/>
            <w:vAlign w:val="center"/>
          </w:tcPr>
          <w:p w14:paraId="1F35DC3D" w14:textId="77777777" w:rsidR="002E1E00" w:rsidRPr="00DF561D" w:rsidRDefault="002E1E00" w:rsidP="00295F96">
            <w:pPr>
              <w:rPr>
                <w:rFonts w:ascii="Calibri" w:hAnsi="Calibri" w:cs="Calibri"/>
                <w:sz w:val="21"/>
                <w:szCs w:val="21"/>
              </w:rPr>
            </w:pPr>
          </w:p>
        </w:tc>
      </w:tr>
      <w:tr w:rsidR="002E1E00" w:rsidRPr="00216F0E" w14:paraId="083FE503" w14:textId="77777777" w:rsidTr="00295F96">
        <w:tc>
          <w:tcPr>
            <w:tcW w:w="2835" w:type="dxa"/>
            <w:shd w:val="clear" w:color="auto" w:fill="FFFFFF" w:themeFill="background1"/>
          </w:tcPr>
          <w:p w14:paraId="1849BAAD" w14:textId="069511A5" w:rsidR="002E1E00" w:rsidRPr="005733CD" w:rsidRDefault="002E1E00" w:rsidP="00295F96">
            <w:pPr>
              <w:rPr>
                <w:rFonts w:ascii="Calibri" w:hAnsi="Calibri" w:cs="Calibri"/>
                <w:sz w:val="21"/>
                <w:szCs w:val="21"/>
              </w:rPr>
            </w:pPr>
            <w:r w:rsidRPr="005733CD">
              <w:rPr>
                <w:rFonts w:ascii="Calibri" w:hAnsi="Calibri" w:cs="Calibri"/>
                <w:sz w:val="21"/>
                <w:szCs w:val="21"/>
              </w:rPr>
              <w:t xml:space="preserve">Total </w:t>
            </w:r>
            <w:r>
              <w:rPr>
                <w:rFonts w:ascii="Calibri" w:hAnsi="Calibri" w:cs="Calibri"/>
                <w:sz w:val="21"/>
                <w:szCs w:val="21"/>
              </w:rPr>
              <w:t>d</w:t>
            </w:r>
            <w:r w:rsidRPr="005733CD">
              <w:rPr>
                <w:rFonts w:ascii="Calibri" w:hAnsi="Calibri" w:cs="Calibri"/>
                <w:sz w:val="21"/>
                <w:szCs w:val="21"/>
              </w:rPr>
              <w:t>ays</w:t>
            </w:r>
          </w:p>
        </w:tc>
        <w:tc>
          <w:tcPr>
            <w:tcW w:w="2835" w:type="dxa"/>
            <w:vAlign w:val="center"/>
          </w:tcPr>
          <w:p w14:paraId="5F8B30F9" w14:textId="77777777" w:rsidR="002E1E00" w:rsidRPr="00DF561D" w:rsidRDefault="002E1E00" w:rsidP="00295F96">
            <w:pPr>
              <w:rPr>
                <w:rFonts w:ascii="Calibri" w:hAnsi="Calibri" w:cs="Calibri"/>
                <w:sz w:val="21"/>
                <w:szCs w:val="21"/>
              </w:rPr>
            </w:pPr>
            <w:r w:rsidRPr="00DF561D">
              <w:rPr>
                <w:rFonts w:ascii="Calibri" w:hAnsi="Calibri" w:cs="Calibri"/>
                <w:sz w:val="21"/>
                <w:szCs w:val="21"/>
              </w:rPr>
              <w:t>24/25/26/27/28 February</w:t>
            </w:r>
            <w:r>
              <w:rPr>
                <w:rFonts w:ascii="Calibri" w:hAnsi="Calibri" w:cs="Calibri"/>
                <w:sz w:val="21"/>
                <w:szCs w:val="21"/>
              </w:rPr>
              <w:t>/</w:t>
            </w:r>
            <w:r w:rsidRPr="00DF561D">
              <w:rPr>
                <w:rFonts w:ascii="Calibri" w:hAnsi="Calibri" w:cs="Calibri"/>
                <w:sz w:val="21"/>
                <w:szCs w:val="21"/>
              </w:rPr>
              <w:t>1 March</w:t>
            </w:r>
          </w:p>
        </w:tc>
        <w:tc>
          <w:tcPr>
            <w:tcW w:w="1047" w:type="dxa"/>
            <w:vAlign w:val="center"/>
          </w:tcPr>
          <w:p w14:paraId="79E2AE26" w14:textId="77777777" w:rsidR="002E1E00" w:rsidRPr="005733CD" w:rsidRDefault="002E1E00" w:rsidP="00295F96">
            <w:pPr>
              <w:jc w:val="center"/>
              <w:rPr>
                <w:rFonts w:ascii="Calibri" w:hAnsi="Calibri" w:cs="Calibri"/>
                <w:b/>
                <w:bCs/>
                <w:sz w:val="21"/>
                <w:szCs w:val="21"/>
              </w:rPr>
            </w:pPr>
            <w:r w:rsidRPr="005733CD">
              <w:rPr>
                <w:rFonts w:ascii="Calibri" w:hAnsi="Calibri" w:cs="Calibri"/>
                <w:b/>
                <w:bCs/>
                <w:sz w:val="21"/>
                <w:szCs w:val="21"/>
              </w:rPr>
              <w:t>6</w:t>
            </w:r>
          </w:p>
        </w:tc>
      </w:tr>
      <w:tr w:rsidR="002E1E00" w:rsidRPr="00216F0E" w14:paraId="3E442FC6" w14:textId="77777777" w:rsidTr="00295F96">
        <w:tc>
          <w:tcPr>
            <w:tcW w:w="2835" w:type="dxa"/>
            <w:shd w:val="clear" w:color="auto" w:fill="FFFFFF" w:themeFill="background1"/>
          </w:tcPr>
          <w:p w14:paraId="16416BA6" w14:textId="77777777" w:rsidR="002E1E00" w:rsidRPr="005733CD" w:rsidRDefault="002E1E00" w:rsidP="00295F96">
            <w:pPr>
              <w:rPr>
                <w:rFonts w:ascii="Calibri" w:hAnsi="Calibri" w:cs="Calibri"/>
                <w:sz w:val="21"/>
                <w:szCs w:val="21"/>
              </w:rPr>
            </w:pPr>
            <w:r w:rsidRPr="005733CD">
              <w:rPr>
                <w:rFonts w:ascii="Calibri" w:hAnsi="Calibri" w:cs="Calibri"/>
                <w:sz w:val="21"/>
                <w:szCs w:val="21"/>
              </w:rPr>
              <w:t>Less day of receipt</w:t>
            </w:r>
          </w:p>
        </w:tc>
        <w:tc>
          <w:tcPr>
            <w:tcW w:w="2835" w:type="dxa"/>
            <w:vAlign w:val="center"/>
          </w:tcPr>
          <w:p w14:paraId="66CB84B0" w14:textId="77777777" w:rsidR="002E1E00" w:rsidRPr="00DF561D" w:rsidRDefault="002E1E00" w:rsidP="00295F96">
            <w:pPr>
              <w:rPr>
                <w:rFonts w:ascii="Calibri" w:hAnsi="Calibri" w:cs="Calibri"/>
                <w:sz w:val="21"/>
                <w:szCs w:val="21"/>
              </w:rPr>
            </w:pPr>
            <w:r w:rsidRPr="00DF561D">
              <w:rPr>
                <w:rFonts w:ascii="Calibri" w:hAnsi="Calibri" w:cs="Calibri"/>
                <w:sz w:val="21"/>
                <w:szCs w:val="21"/>
              </w:rPr>
              <w:t>24 February</w:t>
            </w:r>
          </w:p>
        </w:tc>
        <w:tc>
          <w:tcPr>
            <w:tcW w:w="1047" w:type="dxa"/>
            <w:vAlign w:val="center"/>
          </w:tcPr>
          <w:p w14:paraId="28AE356C" w14:textId="77777777" w:rsidR="002E1E00" w:rsidRPr="005733CD" w:rsidRDefault="002E1E00" w:rsidP="00295F96">
            <w:pPr>
              <w:jc w:val="center"/>
              <w:rPr>
                <w:rFonts w:ascii="Calibri" w:hAnsi="Calibri" w:cs="Calibri"/>
                <w:b/>
                <w:bCs/>
                <w:sz w:val="21"/>
                <w:szCs w:val="21"/>
              </w:rPr>
            </w:pPr>
            <w:r w:rsidRPr="005733CD">
              <w:rPr>
                <w:rFonts w:ascii="Calibri" w:hAnsi="Calibri" w:cs="Calibri"/>
                <w:b/>
                <w:bCs/>
                <w:sz w:val="21"/>
                <w:szCs w:val="21"/>
              </w:rPr>
              <w:t>1</w:t>
            </w:r>
          </w:p>
        </w:tc>
      </w:tr>
      <w:tr w:rsidR="002E1E00" w:rsidRPr="00216F0E" w14:paraId="6D3B22B1" w14:textId="77777777" w:rsidTr="00295F96">
        <w:tc>
          <w:tcPr>
            <w:tcW w:w="2835" w:type="dxa"/>
            <w:shd w:val="clear" w:color="auto" w:fill="FFFFFF" w:themeFill="background1"/>
          </w:tcPr>
          <w:p w14:paraId="58E999F7" w14:textId="77777777" w:rsidR="002E1E00" w:rsidRPr="005733CD" w:rsidRDefault="002E1E00" w:rsidP="00295F96">
            <w:pPr>
              <w:rPr>
                <w:rFonts w:ascii="Calibri" w:hAnsi="Calibri" w:cs="Calibri"/>
                <w:sz w:val="21"/>
                <w:szCs w:val="21"/>
              </w:rPr>
            </w:pPr>
            <w:r w:rsidRPr="005733CD">
              <w:rPr>
                <w:rFonts w:ascii="Calibri" w:hAnsi="Calibri" w:cs="Calibri"/>
                <w:sz w:val="21"/>
                <w:szCs w:val="21"/>
              </w:rPr>
              <w:t>=</w:t>
            </w:r>
          </w:p>
        </w:tc>
        <w:tc>
          <w:tcPr>
            <w:tcW w:w="2835" w:type="dxa"/>
            <w:shd w:val="clear" w:color="auto" w:fill="auto"/>
          </w:tcPr>
          <w:p w14:paraId="14C48D2C" w14:textId="77777777" w:rsidR="002E1E00" w:rsidRPr="002A6F25" w:rsidRDefault="002E1E00" w:rsidP="00295F96">
            <w:pPr>
              <w:pStyle w:val="USBodyText"/>
              <w:spacing w:before="0" w:after="0" w:line="240" w:lineRule="auto"/>
              <w:rPr>
                <w:rFonts w:ascii="Calibri" w:hAnsi="Calibri" w:cs="Calibri"/>
                <w:b/>
                <w:bCs/>
                <w:color w:val="182B46"/>
                <w:sz w:val="24"/>
                <w:szCs w:val="24"/>
              </w:rPr>
            </w:pPr>
          </w:p>
        </w:tc>
        <w:tc>
          <w:tcPr>
            <w:tcW w:w="1047" w:type="dxa"/>
            <w:vAlign w:val="center"/>
          </w:tcPr>
          <w:p w14:paraId="53688ECD" w14:textId="77777777" w:rsidR="002E1E00" w:rsidRPr="005733CD" w:rsidRDefault="002E1E00" w:rsidP="00295F96">
            <w:pPr>
              <w:jc w:val="center"/>
              <w:rPr>
                <w:rFonts w:ascii="Calibri" w:hAnsi="Calibri" w:cs="Calibri"/>
                <w:b/>
                <w:bCs/>
                <w:sz w:val="21"/>
                <w:szCs w:val="21"/>
              </w:rPr>
            </w:pPr>
            <w:r w:rsidRPr="005733CD">
              <w:rPr>
                <w:rFonts w:ascii="Calibri" w:hAnsi="Calibri" w:cs="Calibri"/>
                <w:b/>
                <w:bCs/>
                <w:sz w:val="21"/>
                <w:szCs w:val="21"/>
              </w:rPr>
              <w:t>5</w:t>
            </w:r>
          </w:p>
        </w:tc>
      </w:tr>
      <w:tr w:rsidR="002E1E00" w:rsidRPr="00216F0E" w14:paraId="49FFB93A" w14:textId="77777777" w:rsidTr="00295F96">
        <w:tc>
          <w:tcPr>
            <w:tcW w:w="2835" w:type="dxa"/>
            <w:shd w:val="clear" w:color="auto" w:fill="FFFFFF" w:themeFill="background1"/>
          </w:tcPr>
          <w:p w14:paraId="10AEC070" w14:textId="77777777" w:rsidR="002E1E00" w:rsidRPr="005733CD" w:rsidRDefault="002E1E00" w:rsidP="00295F96">
            <w:pPr>
              <w:rPr>
                <w:rFonts w:ascii="Calibri" w:hAnsi="Calibri" w:cs="Calibri"/>
                <w:sz w:val="21"/>
                <w:szCs w:val="21"/>
              </w:rPr>
            </w:pPr>
            <w:r w:rsidRPr="005733CD">
              <w:rPr>
                <w:rFonts w:ascii="Calibri" w:hAnsi="Calibri" w:cs="Calibri"/>
                <w:sz w:val="21"/>
                <w:szCs w:val="21"/>
              </w:rPr>
              <w:t>Less non-working days</w:t>
            </w:r>
          </w:p>
        </w:tc>
        <w:tc>
          <w:tcPr>
            <w:tcW w:w="2835" w:type="dxa"/>
            <w:vAlign w:val="center"/>
          </w:tcPr>
          <w:p w14:paraId="1B193DF7" w14:textId="77777777" w:rsidR="002E1E00" w:rsidRPr="00DF561D" w:rsidRDefault="002E1E00" w:rsidP="00295F96">
            <w:pPr>
              <w:rPr>
                <w:rFonts w:ascii="Calibri" w:hAnsi="Calibri" w:cs="Calibri"/>
                <w:sz w:val="21"/>
                <w:szCs w:val="21"/>
              </w:rPr>
            </w:pPr>
            <w:r w:rsidRPr="00DF561D">
              <w:rPr>
                <w:rFonts w:ascii="Calibri" w:hAnsi="Calibri" w:cs="Calibri"/>
                <w:sz w:val="21"/>
                <w:szCs w:val="21"/>
              </w:rPr>
              <w:t>25/26 February</w:t>
            </w:r>
          </w:p>
        </w:tc>
        <w:tc>
          <w:tcPr>
            <w:tcW w:w="1047" w:type="dxa"/>
            <w:vAlign w:val="center"/>
          </w:tcPr>
          <w:p w14:paraId="326AE5D4" w14:textId="77777777" w:rsidR="002E1E00" w:rsidRPr="005733CD" w:rsidRDefault="002E1E00" w:rsidP="00295F96">
            <w:pPr>
              <w:jc w:val="center"/>
              <w:rPr>
                <w:rFonts w:ascii="Calibri" w:hAnsi="Calibri" w:cs="Calibri"/>
                <w:b/>
                <w:bCs/>
                <w:sz w:val="21"/>
                <w:szCs w:val="21"/>
              </w:rPr>
            </w:pPr>
            <w:r w:rsidRPr="005733CD">
              <w:rPr>
                <w:rFonts w:ascii="Calibri" w:hAnsi="Calibri" w:cs="Calibri"/>
                <w:b/>
                <w:bCs/>
                <w:sz w:val="21"/>
                <w:szCs w:val="21"/>
              </w:rPr>
              <w:t>2</w:t>
            </w:r>
          </w:p>
        </w:tc>
      </w:tr>
      <w:tr w:rsidR="002E1E00" w:rsidRPr="00216F0E" w14:paraId="15F2EBED" w14:textId="77777777" w:rsidTr="00295F96">
        <w:tc>
          <w:tcPr>
            <w:tcW w:w="2835" w:type="dxa"/>
            <w:shd w:val="clear" w:color="auto" w:fill="FFFFFF" w:themeFill="background1"/>
          </w:tcPr>
          <w:p w14:paraId="7271BD49" w14:textId="77777777" w:rsidR="002E1E00" w:rsidRPr="005733CD" w:rsidRDefault="002E1E00" w:rsidP="00295F96">
            <w:pPr>
              <w:rPr>
                <w:rFonts w:ascii="Calibri" w:hAnsi="Calibri" w:cs="Calibri"/>
                <w:sz w:val="21"/>
                <w:szCs w:val="21"/>
              </w:rPr>
            </w:pPr>
            <w:r w:rsidRPr="005733CD">
              <w:rPr>
                <w:rFonts w:ascii="Calibri" w:hAnsi="Calibri" w:cs="Calibri"/>
                <w:sz w:val="21"/>
                <w:szCs w:val="21"/>
              </w:rPr>
              <w:t>Response time (working days)</w:t>
            </w:r>
          </w:p>
        </w:tc>
        <w:tc>
          <w:tcPr>
            <w:tcW w:w="2835" w:type="dxa"/>
            <w:vAlign w:val="center"/>
          </w:tcPr>
          <w:p w14:paraId="107783D9" w14:textId="77777777" w:rsidR="002E1E00" w:rsidRPr="00DF561D" w:rsidRDefault="002E1E00" w:rsidP="00295F96">
            <w:pPr>
              <w:rPr>
                <w:rFonts w:ascii="Calibri" w:hAnsi="Calibri" w:cs="Calibri"/>
                <w:sz w:val="21"/>
                <w:szCs w:val="21"/>
              </w:rPr>
            </w:pPr>
          </w:p>
        </w:tc>
        <w:tc>
          <w:tcPr>
            <w:tcW w:w="1047" w:type="dxa"/>
            <w:vAlign w:val="center"/>
          </w:tcPr>
          <w:p w14:paraId="5409C5B7" w14:textId="77777777" w:rsidR="002E1E00" w:rsidRPr="005733CD" w:rsidRDefault="002E1E00" w:rsidP="00295F96">
            <w:pPr>
              <w:jc w:val="center"/>
              <w:rPr>
                <w:rFonts w:ascii="Calibri" w:hAnsi="Calibri" w:cs="Calibri"/>
                <w:b/>
                <w:bCs/>
                <w:sz w:val="21"/>
                <w:szCs w:val="21"/>
              </w:rPr>
            </w:pPr>
            <w:r w:rsidRPr="005733CD">
              <w:rPr>
                <w:rFonts w:ascii="Calibri" w:hAnsi="Calibri" w:cs="Calibri"/>
                <w:b/>
                <w:bCs/>
                <w:sz w:val="21"/>
                <w:szCs w:val="21"/>
              </w:rPr>
              <w:t>3</w:t>
            </w:r>
          </w:p>
        </w:tc>
      </w:tr>
    </w:tbl>
    <w:p w14:paraId="1EF75E54" w14:textId="77777777" w:rsidR="00BE4543" w:rsidRDefault="00BE4543" w:rsidP="00BE4543">
      <w:pPr>
        <w:pStyle w:val="Bodyromannumerals"/>
      </w:pPr>
    </w:p>
    <w:p w14:paraId="12EA90AA" w14:textId="3660D55D" w:rsidR="00BE4543" w:rsidRDefault="00BE4543" w:rsidP="001E7C7A">
      <w:pPr>
        <w:pStyle w:val="Bodynumbercopy"/>
      </w:pPr>
      <w:r>
        <w:t xml:space="preserve">The date of receipt is the date that the written complaint arrives at the </w:t>
      </w:r>
      <w:r w:rsidR="00906346">
        <w:t>Local</w:t>
      </w:r>
      <w:r w:rsidR="002E0E38">
        <w:t xml:space="preserve"> Authority</w:t>
      </w:r>
      <w:r>
        <w:t xml:space="preserve">, whether or not this is the usual inlet.  It is not therefore necessarily the date when it reaches a customer services section or the date when it is opened, both of which could be later than the date of arrival. </w:t>
      </w:r>
      <w:r>
        <w:lastRenderedPageBreak/>
        <w:t>Similarly, the date of despatch refers to the date a response is sent to the customer. It is not necessarily the date that the response is printed or the date that the response leaves the customer services section, both of which could be earlier than the date of despatch.</w:t>
      </w:r>
    </w:p>
    <w:p w14:paraId="4BBC7C8F" w14:textId="77777777" w:rsidR="00BE4543" w:rsidRDefault="00BE4543" w:rsidP="001E7C7A">
      <w:pPr>
        <w:pStyle w:val="Bodynumbercopy"/>
      </w:pPr>
      <w:r>
        <w:t>Where a complaint necessitates a period of correspondence each letter from the customer is to be counted as a complaint and recorded separately.</w:t>
      </w:r>
    </w:p>
    <w:p w14:paraId="190359A3" w14:textId="03E1FD22" w:rsidR="00BE4543" w:rsidRDefault="00BE4543" w:rsidP="001E7C7A">
      <w:pPr>
        <w:pStyle w:val="Bodynumbercopy"/>
      </w:pPr>
      <w:r>
        <w:t xml:space="preserve">If after a period of correspondence, a contemporaneous recorded decision is made that the original complaint has been dealt with as far as the </w:t>
      </w:r>
      <w:r w:rsidR="00906346">
        <w:t>Local</w:t>
      </w:r>
      <w:r w:rsidR="002E0E38">
        <w:t xml:space="preserve"> Authority</w:t>
      </w:r>
      <w:r>
        <w:t xml:space="preserve"> is able any future correspondence regarding the complaint need not be reported. The number of such decisions must be recorded in the commentary.</w:t>
      </w:r>
    </w:p>
    <w:p w14:paraId="309273F8" w14:textId="49A3D773" w:rsidR="00BE4543" w:rsidRDefault="00BE4543" w:rsidP="001E7C7A">
      <w:pPr>
        <w:pStyle w:val="Bodynumbercopy"/>
      </w:pPr>
      <w:r>
        <w:t>Where written</w:t>
      </w:r>
      <w:r w:rsidR="00D20583">
        <w:t xml:space="preserve"> contacts and</w:t>
      </w:r>
      <w:r>
        <w:t xml:space="preserve"> complaints are not dealt with at the end of the period, the </w:t>
      </w:r>
      <w:r w:rsidR="00906346">
        <w:t>Local</w:t>
      </w:r>
      <w:r w:rsidR="002E0E38">
        <w:t xml:space="preserve"> Authority</w:t>
      </w:r>
      <w:r>
        <w:t xml:space="preserve"> is to use one of the following methods:</w:t>
      </w:r>
    </w:p>
    <w:p w14:paraId="7D77BBF2" w14:textId="35DC70C3" w:rsidR="00BE4543" w:rsidRDefault="00676DDA" w:rsidP="00C10211">
      <w:pPr>
        <w:pStyle w:val="Bodyromannumerals"/>
        <w:numPr>
          <w:ilvl w:val="0"/>
          <w:numId w:val="31"/>
        </w:numPr>
      </w:pPr>
      <w:r>
        <w:t>T</w:t>
      </w:r>
      <w:r w:rsidR="00BE4543">
        <w:t>he complaint is to be included in the total number of</w:t>
      </w:r>
      <w:r w:rsidR="00D20583">
        <w:t xml:space="preserve"> contacts and</w:t>
      </w:r>
      <w:r w:rsidR="00BE4543">
        <w:t xml:space="preserve"> complaints received for the year in which it is </w:t>
      </w:r>
      <w:r w:rsidR="00F356D2">
        <w:t>received,</w:t>
      </w:r>
      <w:r w:rsidR="00BE4543">
        <w:t xml:space="preserve"> and the response time is also to be included in that year's information although it may continue into the following year; or</w:t>
      </w:r>
    </w:p>
    <w:p w14:paraId="75721E5C" w14:textId="094A0D48" w:rsidR="00BE4543" w:rsidRDefault="00676DDA" w:rsidP="00C10211">
      <w:pPr>
        <w:pStyle w:val="Bodyromannumerals"/>
        <w:numPr>
          <w:ilvl w:val="0"/>
          <w:numId w:val="31"/>
        </w:numPr>
      </w:pPr>
      <w:r>
        <w:t>T</w:t>
      </w:r>
      <w:r w:rsidR="00BE4543">
        <w:t xml:space="preserve">he complaint is to be included in the total number of </w:t>
      </w:r>
      <w:r w:rsidR="00D20583">
        <w:t xml:space="preserve">contacts and </w:t>
      </w:r>
      <w:r w:rsidR="00BE4543">
        <w:t>complaints received for the year in which it is dealt with and the response time is also to be included in that year's information although it may commence in the previous year.</w:t>
      </w:r>
    </w:p>
    <w:p w14:paraId="36039B8B" w14:textId="77777777" w:rsidR="00BE4543" w:rsidRDefault="00BE4543" w:rsidP="001E7C7A">
      <w:pPr>
        <w:pStyle w:val="Bodynumbercopy"/>
      </w:pPr>
      <w:r>
        <w:t>Whichever method is adopted, care should be taken to ensure that undercounting or double counting does not occur and that the method used is consistently applied in subsequent years.</w:t>
      </w:r>
    </w:p>
    <w:p w14:paraId="43730188" w14:textId="23773F0C" w:rsidR="00BE4543" w:rsidRDefault="00BE4543" w:rsidP="001E7C7A">
      <w:pPr>
        <w:pStyle w:val="Bodynumbercopy"/>
      </w:pPr>
      <w:r w:rsidRPr="286C5C0D">
        <w:rPr>
          <w:b/>
          <w:bCs/>
        </w:rPr>
        <w:t xml:space="preserve">Reporting written billing complaints received about another </w:t>
      </w:r>
      <w:r w:rsidR="00A76151" w:rsidRPr="286C5C0D">
        <w:rPr>
          <w:b/>
          <w:bCs/>
        </w:rPr>
        <w:t>undertakers’</w:t>
      </w:r>
      <w:r w:rsidR="00A91493">
        <w:rPr>
          <w:b/>
          <w:bCs/>
        </w:rPr>
        <w:t xml:space="preserve">/responsible parties’ </w:t>
      </w:r>
      <w:r w:rsidRPr="286C5C0D">
        <w:rPr>
          <w:b/>
          <w:bCs/>
        </w:rPr>
        <w:t>policies and procedures</w:t>
      </w:r>
      <w:r>
        <w:t xml:space="preserve">: Where the </w:t>
      </w:r>
      <w:r w:rsidR="00906346">
        <w:t>Local</w:t>
      </w:r>
      <w:r w:rsidR="002E0E38">
        <w:t xml:space="preserve"> Authority</w:t>
      </w:r>
      <w:r>
        <w:t xml:space="preserve"> bills on behalf of other </w:t>
      </w:r>
      <w:r w:rsidR="00F356D2">
        <w:t>undertakers</w:t>
      </w:r>
      <w:r w:rsidR="00A91493">
        <w:t>/responsible parties</w:t>
      </w:r>
      <w:r w:rsidR="00A7424C">
        <w:t>,</w:t>
      </w:r>
      <w:r>
        <w:t xml:space="preserve"> care should be taken about how written billing complaints are reported. While most billing complaints relate to the bill as a whole there are occasions where the complaint will relate solely to the part which is billed on behalf of another undertaker</w:t>
      </w:r>
      <w:r w:rsidR="00A91493">
        <w:t>/responsible parties</w:t>
      </w:r>
      <w:r>
        <w:t>.</w:t>
      </w:r>
    </w:p>
    <w:p w14:paraId="2E0E96AC" w14:textId="5ECF5212" w:rsidR="00BE4543" w:rsidRDefault="00BE4543" w:rsidP="001E7C7A">
      <w:pPr>
        <w:pStyle w:val="Bodynumbercopy"/>
      </w:pPr>
      <w:r>
        <w:t xml:space="preserve">Where the </w:t>
      </w:r>
      <w:r w:rsidR="00906346">
        <w:t>Local</w:t>
      </w:r>
      <w:r w:rsidR="002E0E38">
        <w:t xml:space="preserve"> Authority</w:t>
      </w:r>
      <w:r w:rsidR="00547C78">
        <w:t xml:space="preserve"> </w:t>
      </w:r>
      <w:r>
        <w:t>answer</w:t>
      </w:r>
      <w:r w:rsidR="00601D60">
        <w:t>s</w:t>
      </w:r>
      <w:r>
        <w:t xml:space="preserve"> complaints about the other undertakers</w:t>
      </w:r>
      <w:r w:rsidR="00B14595">
        <w:t>’</w:t>
      </w:r>
      <w:r w:rsidR="00A91493">
        <w:t>/responsible parties’</w:t>
      </w:r>
      <w:r>
        <w:t xml:space="preserve"> tariffs, policies and procedures, these should be included within the </w:t>
      </w:r>
      <w:r w:rsidR="00906346">
        <w:t>Local</w:t>
      </w:r>
      <w:r w:rsidR="002E0E38">
        <w:t xml:space="preserve"> Authority</w:t>
      </w:r>
      <w:r w:rsidR="003A67A7">
        <w:t xml:space="preserve"> </w:t>
      </w:r>
      <w:r>
        <w:t>'s customer care complaints totals.</w:t>
      </w:r>
    </w:p>
    <w:p w14:paraId="00B71D47" w14:textId="35023DF6" w:rsidR="00BE4543" w:rsidRDefault="00BE4543" w:rsidP="001E7C7A">
      <w:pPr>
        <w:pStyle w:val="Bodynumbercopy"/>
      </w:pPr>
      <w:r>
        <w:t xml:space="preserve">Where the </w:t>
      </w:r>
      <w:r w:rsidR="00906346">
        <w:t>Local</w:t>
      </w:r>
      <w:r w:rsidR="002E0E38">
        <w:t xml:space="preserve"> Authority</w:t>
      </w:r>
      <w:r>
        <w:t xml:space="preserve"> is unable to answer </w:t>
      </w:r>
      <w:r w:rsidR="00883446">
        <w:t xml:space="preserve">contacts and </w:t>
      </w:r>
      <w:r>
        <w:t>complaints, and therefore refer them to the other undertaker</w:t>
      </w:r>
      <w:r w:rsidR="00A91493">
        <w:t>/responsible party</w:t>
      </w:r>
      <w:r>
        <w:t xml:space="preserve">, these should be excluded from the </w:t>
      </w:r>
      <w:r w:rsidR="00906346">
        <w:t>Local</w:t>
      </w:r>
      <w:r w:rsidR="002E0E38">
        <w:t xml:space="preserve"> Authority</w:t>
      </w:r>
      <w:r w:rsidR="003A67A7">
        <w:t xml:space="preserve"> </w:t>
      </w:r>
      <w:r>
        <w:t xml:space="preserve">'s reported customer care </w:t>
      </w:r>
      <w:r w:rsidR="00883446">
        <w:t xml:space="preserve">contacts and </w:t>
      </w:r>
      <w:r>
        <w:t xml:space="preserve">complaints totals. Where the </w:t>
      </w:r>
      <w:r w:rsidR="00906346">
        <w:t>Local</w:t>
      </w:r>
      <w:r w:rsidR="002E0E38">
        <w:t xml:space="preserve"> Authority</w:t>
      </w:r>
      <w:r>
        <w:t xml:space="preserve"> advises the customer that the complaint has been referred to the other undertaker</w:t>
      </w:r>
      <w:r w:rsidR="00A91493">
        <w:t>/responsible party</w:t>
      </w:r>
      <w:r>
        <w:t xml:space="preserve">, the advisory letter or telephone call should not be included in the </w:t>
      </w:r>
      <w:r w:rsidR="00906346">
        <w:t>Local</w:t>
      </w:r>
      <w:r w:rsidR="002E0E38">
        <w:t xml:space="preserve"> Authority</w:t>
      </w:r>
      <w:r w:rsidR="003A67A7">
        <w:t xml:space="preserve"> </w:t>
      </w:r>
      <w:r>
        <w:t>'s customer care</w:t>
      </w:r>
      <w:r w:rsidR="00883446">
        <w:t xml:space="preserve"> contacts and</w:t>
      </w:r>
      <w:r>
        <w:t xml:space="preserve"> complaints totals. This will prevent </w:t>
      </w:r>
      <w:r w:rsidR="00F356D2">
        <w:t>double counting</w:t>
      </w:r>
      <w:r>
        <w:t xml:space="preserve"> of the same</w:t>
      </w:r>
      <w:r w:rsidR="00883446">
        <w:t xml:space="preserve"> contacts and</w:t>
      </w:r>
      <w:r>
        <w:t xml:space="preserve"> complaints.</w:t>
      </w:r>
    </w:p>
    <w:p w14:paraId="0BEAE9A3" w14:textId="62B6C09A" w:rsidR="00BE4543" w:rsidRDefault="00BE4543" w:rsidP="001E7C7A">
      <w:pPr>
        <w:pStyle w:val="Bodynumbercopy"/>
      </w:pPr>
      <w:r>
        <w:t>Reporting written complaints received from other undertakers</w:t>
      </w:r>
      <w:r w:rsidR="00A91493">
        <w:t>/responsible parties</w:t>
      </w:r>
      <w:r>
        <w:t xml:space="preserve"> or agents: Written complaints referred to the </w:t>
      </w:r>
      <w:r w:rsidR="00906346">
        <w:t>Local</w:t>
      </w:r>
      <w:r w:rsidR="002E0E38">
        <w:t xml:space="preserve"> Authority</w:t>
      </w:r>
      <w:r>
        <w:t xml:space="preserve"> by another undertaker</w:t>
      </w:r>
      <w:r w:rsidR="00A91493">
        <w:t>/responsible party</w:t>
      </w:r>
      <w:r>
        <w:t xml:space="preserve">, local authority, housing association </w:t>
      </w:r>
      <w:r>
        <w:lastRenderedPageBreak/>
        <w:t xml:space="preserve">or other agent should be included in the customer care complaints totals of the </w:t>
      </w:r>
      <w:r w:rsidR="00906346">
        <w:t>Local</w:t>
      </w:r>
      <w:r w:rsidR="002E0E38">
        <w:t xml:space="preserve"> Authority</w:t>
      </w:r>
      <w:r>
        <w:t xml:space="preserve"> to which the complaint is referred.</w:t>
      </w:r>
    </w:p>
    <w:p w14:paraId="4E11D893" w14:textId="06756EEA" w:rsidR="00BE4543" w:rsidRDefault="00BE4543" w:rsidP="001E7C7A">
      <w:pPr>
        <w:pStyle w:val="Bodynumbercopy"/>
      </w:pPr>
      <w:r w:rsidRPr="00D35279">
        <w:rPr>
          <w:b/>
        </w:rPr>
        <w:t xml:space="preserve">Answering written </w:t>
      </w:r>
      <w:r w:rsidR="00D15130" w:rsidRPr="00D35279">
        <w:rPr>
          <w:b/>
        </w:rPr>
        <w:t xml:space="preserve">contacts and </w:t>
      </w:r>
      <w:r w:rsidRPr="00D35279">
        <w:rPr>
          <w:b/>
        </w:rPr>
        <w:t xml:space="preserve">complaints by telephone or by visit: </w:t>
      </w:r>
      <w:r>
        <w:t xml:space="preserve">Where the </w:t>
      </w:r>
      <w:r w:rsidR="00906346">
        <w:t>Local</w:t>
      </w:r>
      <w:r w:rsidR="002E0E38">
        <w:t xml:space="preserve"> Authority</w:t>
      </w:r>
      <w:r>
        <w:t xml:space="preserve"> uses the telephone or make a visit to respond to a written complaint, then the date of the telephone call or visit will count as the date of response for customer care complaints purposes.</w:t>
      </w:r>
    </w:p>
    <w:p w14:paraId="2F5C756A" w14:textId="1E444EF8" w:rsidR="00BE4543" w:rsidRDefault="00BE4543" w:rsidP="001E7C7A">
      <w:pPr>
        <w:pStyle w:val="Bodynumbercopy"/>
      </w:pPr>
      <w:r w:rsidRPr="286C5C0D">
        <w:rPr>
          <w:b/>
          <w:bCs/>
        </w:rPr>
        <w:t>Reporting complaints to/about contractors</w:t>
      </w:r>
      <w:r>
        <w:t xml:space="preserve">: Complaints to contractors or other agents about work being undertaken on behalf of the </w:t>
      </w:r>
      <w:r w:rsidR="00906346">
        <w:t>Local</w:t>
      </w:r>
      <w:r w:rsidR="002E0E38">
        <w:t xml:space="preserve"> Authority</w:t>
      </w:r>
      <w:r>
        <w:t xml:space="preserve"> must be reported under customer care complaints, even if the contractor or agent deals directly with the complaint.</w:t>
      </w:r>
    </w:p>
    <w:p w14:paraId="09112F90" w14:textId="77777777" w:rsidR="00BE4543" w:rsidRDefault="00BE4543" w:rsidP="001E7C7A">
      <w:pPr>
        <w:pStyle w:val="Bodynumbercopy"/>
      </w:pPr>
      <w:r>
        <w:t>Complaints about contractors or other agents must also be reported under customer care complaints, even if the complaint is referred to the contractor to resolve.</w:t>
      </w:r>
    </w:p>
    <w:p w14:paraId="735A68CC" w14:textId="77777777" w:rsidR="00BE4543" w:rsidRDefault="00BE4543" w:rsidP="001E7C7A">
      <w:pPr>
        <w:pStyle w:val="Bodynumbercopy"/>
      </w:pPr>
      <w:r w:rsidRPr="286C5C0D">
        <w:rPr>
          <w:b/>
          <w:bCs/>
        </w:rPr>
        <w:t>Sampling</w:t>
      </w:r>
      <w:r>
        <w:t>: Where the information for this indicator is derived from a sample basis the basis of sampling is to be varied and frequent enough to ensure that sampling is statistically representative of the total population.</w:t>
      </w:r>
    </w:p>
    <w:p w14:paraId="6E7350DE" w14:textId="77777777" w:rsidR="00BE4543" w:rsidRDefault="00BE4543" w:rsidP="001E7C7A">
      <w:pPr>
        <w:pStyle w:val="Bodynumbercopy"/>
      </w:pPr>
      <w:r w:rsidRPr="286C5C0D">
        <w:rPr>
          <w:b/>
          <w:bCs/>
        </w:rPr>
        <w:t>Assumptions</w:t>
      </w:r>
      <w:r>
        <w:t>: Any assumptions, including those which are made about the response times, for example to particular types of written complaints, must be clearly stated in the methodology section.</w:t>
      </w:r>
    </w:p>
    <w:p w14:paraId="58F2511A" w14:textId="3F0C9707" w:rsidR="00BE4543" w:rsidRDefault="00BE4543" w:rsidP="00506710">
      <w:pPr>
        <w:pStyle w:val="Sectionsub-heading"/>
      </w:pPr>
      <w:r>
        <w:t>Lines B5.</w:t>
      </w:r>
      <w:r w:rsidR="00B43E9B">
        <w:t xml:space="preserve">16 </w:t>
      </w:r>
      <w:r>
        <w:t>to B5.</w:t>
      </w:r>
      <w:r w:rsidR="00B43E9B">
        <w:t>22</w:t>
      </w:r>
      <w:r>
        <w:t xml:space="preserve">: Response to </w:t>
      </w:r>
      <w:r w:rsidR="00CB431A">
        <w:t>t</w:t>
      </w:r>
      <w:r>
        <w:t>elephone</w:t>
      </w:r>
      <w:r w:rsidR="00482533">
        <w:t xml:space="preserve"> contacts and</w:t>
      </w:r>
      <w:r>
        <w:t xml:space="preserve"> </w:t>
      </w:r>
      <w:r w:rsidR="00CB431A">
        <w:t>c</w:t>
      </w:r>
      <w:r>
        <w:t>omplaints</w:t>
      </w:r>
    </w:p>
    <w:p w14:paraId="631E4768" w14:textId="77777777" w:rsidR="00BE4543" w:rsidRDefault="00BE4543" w:rsidP="00506710">
      <w:pPr>
        <w:pStyle w:val="Sectionsub-heading"/>
      </w:pPr>
      <w:r>
        <w:t>Aim</w:t>
      </w:r>
    </w:p>
    <w:p w14:paraId="1BA64F61" w14:textId="77777777" w:rsidR="00BE4543" w:rsidRDefault="00BE4543" w:rsidP="001E7C7A">
      <w:pPr>
        <w:pStyle w:val="Bodynumbercopy"/>
      </w:pPr>
      <w:r>
        <w:t>To identify the total number of telephone complaints received during the report year and time taken to respond to them.</w:t>
      </w:r>
    </w:p>
    <w:p w14:paraId="563FF39C" w14:textId="3D78066B" w:rsidR="00BE4543" w:rsidRPr="00647AD4" w:rsidRDefault="00BE4543" w:rsidP="00647AD4">
      <w:pPr>
        <w:pStyle w:val="Sectionsub-heading"/>
      </w:pPr>
      <w:r w:rsidRPr="00647AD4">
        <w:t xml:space="preserve">Common </w:t>
      </w:r>
      <w:r w:rsidR="008054D0">
        <w:t>d</w:t>
      </w:r>
      <w:r w:rsidRPr="00647AD4">
        <w:t>efinitions</w:t>
      </w:r>
    </w:p>
    <w:p w14:paraId="6E718A6D" w14:textId="2B30AD59" w:rsidR="00BE4543" w:rsidRDefault="00BE4543" w:rsidP="001E7C7A">
      <w:pPr>
        <w:pStyle w:val="Bodynumbercopy"/>
      </w:pPr>
      <w:r>
        <w:t>As for lines B5.1 to B5.</w:t>
      </w:r>
      <w:r w:rsidR="00B43E9B">
        <w:t>7</w:t>
      </w:r>
    </w:p>
    <w:p w14:paraId="287964A8" w14:textId="59588E89" w:rsidR="00482533" w:rsidRDefault="00482533" w:rsidP="00482533">
      <w:pPr>
        <w:pStyle w:val="Bodynumbercopy"/>
      </w:pPr>
      <w:r>
        <w:t>This table excludes telephone contact or enquiries for a new</w:t>
      </w:r>
      <w:r w:rsidR="000511AC">
        <w:t xml:space="preserve"> request for</w:t>
      </w:r>
      <w:r>
        <w:t xml:space="preserve"> service (e.g. a request for a connection or a new toby box).</w:t>
      </w:r>
    </w:p>
    <w:p w14:paraId="571A569B" w14:textId="77777777" w:rsidR="00482533" w:rsidRDefault="00482533" w:rsidP="00D35279">
      <w:pPr>
        <w:pStyle w:val="Bodynumbercopy"/>
        <w:numPr>
          <w:ilvl w:val="0"/>
          <w:numId w:val="0"/>
        </w:numPr>
        <w:ind w:left="780"/>
      </w:pPr>
    </w:p>
    <w:p w14:paraId="77E798C0" w14:textId="77777777" w:rsidR="008B30C3" w:rsidRDefault="008B30C3">
      <w:pPr>
        <w:spacing w:after="160" w:line="259" w:lineRule="auto"/>
        <w:rPr>
          <w:rFonts w:ascii="Calibri" w:hAnsi="Calibri" w:cs="Calibri"/>
          <w:b/>
          <w:color w:val="182B46"/>
          <w:sz w:val="26"/>
        </w:rPr>
      </w:pPr>
      <w:r>
        <w:br w:type="page"/>
      </w:r>
    </w:p>
    <w:p w14:paraId="6EE3C541" w14:textId="7B98581E" w:rsidR="00BE4543" w:rsidRDefault="00BE4543" w:rsidP="00C0121D">
      <w:pPr>
        <w:pStyle w:val="Sectionsub-heading"/>
      </w:pPr>
      <w:r>
        <w:lastRenderedPageBreak/>
        <w:t xml:space="preserve">BLOCK 1: </w:t>
      </w:r>
      <w:r w:rsidR="000B3086">
        <w:t xml:space="preserve">NEW </w:t>
      </w:r>
      <w:r>
        <w:t xml:space="preserve">WRITTEN </w:t>
      </w:r>
      <w:r w:rsidR="000B0E58">
        <w:t xml:space="preserve">CONTACTS AND </w:t>
      </w:r>
      <w:r>
        <w:t>COMPLAINTS</w:t>
      </w:r>
    </w:p>
    <w:tbl>
      <w:tblPr>
        <w:tblStyle w:val="TableGrid"/>
        <w:tblW w:w="0" w:type="auto"/>
        <w:tblLook w:val="04A0" w:firstRow="1" w:lastRow="0" w:firstColumn="1" w:lastColumn="0" w:noHBand="0" w:noVBand="1"/>
      </w:tblPr>
      <w:tblGrid>
        <w:gridCol w:w="967"/>
        <w:gridCol w:w="1358"/>
        <w:gridCol w:w="4155"/>
        <w:gridCol w:w="15"/>
        <w:gridCol w:w="16"/>
        <w:gridCol w:w="1047"/>
      </w:tblGrid>
      <w:tr w:rsidR="006C39F4" w:rsidRPr="00216F0E" w14:paraId="216D8F20" w14:textId="77777777" w:rsidTr="00B529DC">
        <w:tc>
          <w:tcPr>
            <w:tcW w:w="967" w:type="dxa"/>
          </w:tcPr>
          <w:p w14:paraId="79E71B4F" w14:textId="77777777" w:rsidR="006C39F4" w:rsidRPr="00CE19CF" w:rsidRDefault="006C39F4" w:rsidP="006C39F4">
            <w:pPr>
              <w:pStyle w:val="Bodyromannumerals"/>
              <w:rPr>
                <w:b/>
                <w:bCs/>
                <w:lang w:val="en-US"/>
              </w:rPr>
            </w:pPr>
            <w:r w:rsidRPr="00CE19CF">
              <w:rPr>
                <w:b/>
                <w:bCs/>
                <w:lang w:val="en-US"/>
              </w:rPr>
              <w:t>B5.1</w:t>
            </w:r>
          </w:p>
        </w:tc>
        <w:tc>
          <w:tcPr>
            <w:tcW w:w="5513" w:type="dxa"/>
            <w:gridSpan w:val="2"/>
          </w:tcPr>
          <w:p w14:paraId="320F8F94" w14:textId="04C09CD6" w:rsidR="006C39F4" w:rsidRPr="00CE19CF" w:rsidRDefault="006C39F4" w:rsidP="006C39F4">
            <w:pPr>
              <w:pStyle w:val="Bodyromannumerals"/>
              <w:rPr>
                <w:b/>
                <w:bCs/>
                <w:lang w:val="en-US"/>
              </w:rPr>
            </w:pPr>
            <w:r w:rsidRPr="00CE19CF">
              <w:rPr>
                <w:b/>
                <w:bCs/>
                <w:lang w:val="en-US"/>
              </w:rPr>
              <w:t xml:space="preserve">Total number of new written </w:t>
            </w:r>
            <w:r w:rsidR="00625969">
              <w:rPr>
                <w:b/>
                <w:bCs/>
                <w:lang w:val="en-US"/>
              </w:rPr>
              <w:t xml:space="preserve">contacts and </w:t>
            </w:r>
            <w:r w:rsidRPr="00CE19CF">
              <w:rPr>
                <w:b/>
                <w:bCs/>
                <w:lang w:val="en-US"/>
              </w:rPr>
              <w:t>complaints received</w:t>
            </w:r>
          </w:p>
        </w:tc>
        <w:tc>
          <w:tcPr>
            <w:tcW w:w="1078" w:type="dxa"/>
            <w:gridSpan w:val="3"/>
          </w:tcPr>
          <w:p w14:paraId="1A03DE22" w14:textId="5A0B3128" w:rsidR="006C39F4" w:rsidRPr="00CE19CF" w:rsidRDefault="006C39F4" w:rsidP="006C39F4">
            <w:pPr>
              <w:pStyle w:val="Bodyromannumerals"/>
              <w:rPr>
                <w:b/>
                <w:bCs/>
                <w:lang w:val="en-US"/>
              </w:rPr>
            </w:pPr>
            <w:r w:rsidRPr="00CE19CF">
              <w:rPr>
                <w:b/>
                <w:bCs/>
                <w:lang w:val="en-US"/>
              </w:rPr>
              <w:t>Nr</w:t>
            </w:r>
            <w:r w:rsidR="00CE19CF" w:rsidRPr="00CE19CF">
              <w:rPr>
                <w:b/>
                <w:bCs/>
                <w:lang w:val="en-US"/>
              </w:rPr>
              <w:t>.</w:t>
            </w:r>
          </w:p>
        </w:tc>
      </w:tr>
      <w:tr w:rsidR="006C39F4" w:rsidRPr="00216F0E" w14:paraId="49889406" w14:textId="77777777" w:rsidTr="00B529DC">
        <w:tc>
          <w:tcPr>
            <w:tcW w:w="2325" w:type="dxa"/>
            <w:gridSpan w:val="2"/>
            <w:tcBorders>
              <w:left w:val="single" w:sz="4" w:space="0" w:color="FFFFFF"/>
              <w:bottom w:val="single" w:sz="4" w:space="0" w:color="FFFFFF"/>
              <w:right w:val="single" w:sz="4" w:space="0" w:color="FFFFFF"/>
            </w:tcBorders>
          </w:tcPr>
          <w:p w14:paraId="03189120" w14:textId="77777777" w:rsidR="006C39F4" w:rsidRPr="00AF4AEA" w:rsidRDefault="006C39F4" w:rsidP="006C39F4">
            <w:pPr>
              <w:pStyle w:val="Bodyromannumerals"/>
              <w:rPr>
                <w:i/>
                <w:lang w:val="en-US"/>
              </w:rPr>
            </w:pPr>
            <w:r w:rsidRPr="00AF4AEA">
              <w:rPr>
                <w:i/>
                <w:lang w:val="en-US"/>
              </w:rPr>
              <w:t>Definition:</w:t>
            </w:r>
          </w:p>
        </w:tc>
        <w:tc>
          <w:tcPr>
            <w:tcW w:w="5233" w:type="dxa"/>
            <w:gridSpan w:val="4"/>
            <w:tcBorders>
              <w:left w:val="single" w:sz="4" w:space="0" w:color="FFFFFF"/>
              <w:bottom w:val="single" w:sz="4" w:space="0" w:color="FFFFFF"/>
              <w:right w:val="single" w:sz="4" w:space="0" w:color="FFFFFF"/>
            </w:tcBorders>
          </w:tcPr>
          <w:p w14:paraId="4C0772FB" w14:textId="59E674D3" w:rsidR="006C39F4" w:rsidRDefault="006C39F4" w:rsidP="006C39F4">
            <w:pPr>
              <w:pStyle w:val="Bodyromannumerals"/>
              <w:rPr>
                <w:lang w:val="en-US"/>
              </w:rPr>
            </w:pPr>
            <w:r w:rsidRPr="00AF4AEA">
              <w:rPr>
                <w:lang w:val="en-US"/>
              </w:rPr>
              <w:t xml:space="preserve">Total number of new written complaints received by authority. </w:t>
            </w:r>
            <w:r w:rsidR="00FC0630">
              <w:rPr>
                <w:lang w:val="en-US"/>
              </w:rPr>
              <w:t>‘</w:t>
            </w:r>
            <w:r w:rsidR="007B5E41">
              <w:rPr>
                <w:rFonts w:eastAsia="Calibri" w:cs="Times New Roman"/>
                <w:lang w:val="en-US"/>
              </w:rPr>
              <w:t xml:space="preserve">New’ in this context means that a new issue is raised. </w:t>
            </w:r>
            <w:r w:rsidRPr="00AF4AEA">
              <w:rPr>
                <w:lang w:val="en-US"/>
              </w:rPr>
              <w:t>A new complaint should be counted even if the customer has an ‘ongoing’ complaint if in the correspondence any new issue is raised.</w:t>
            </w:r>
            <w:r w:rsidR="00827304">
              <w:rPr>
                <w:lang w:val="en-US"/>
              </w:rPr>
              <w:t xml:space="preserve"> </w:t>
            </w:r>
          </w:p>
          <w:p w14:paraId="152B47AC" w14:textId="77777777" w:rsidR="00782EFE" w:rsidRDefault="00884665" w:rsidP="00782EFE">
            <w:pPr>
              <w:pStyle w:val="Bodyromannumerals"/>
              <w:rPr>
                <w:u w:val="single"/>
              </w:rPr>
            </w:pPr>
            <w:r w:rsidRPr="00492FEF">
              <w:rPr>
                <w:u w:val="single"/>
              </w:rPr>
              <w:t>Written complaints include those made by letter, fax and electronic mail</w:t>
            </w:r>
            <w:r>
              <w:rPr>
                <w:u w:val="single"/>
              </w:rPr>
              <w:t>.</w:t>
            </w:r>
          </w:p>
          <w:p w14:paraId="3DA8AC1A" w14:textId="4BD49334" w:rsidR="00782EFE" w:rsidRDefault="00782EFE" w:rsidP="0007555F">
            <w:pPr>
              <w:pStyle w:val="Bodyromannumerals"/>
            </w:pPr>
            <w:r>
              <w:t xml:space="preserve">This line excludes written contact or </w:t>
            </w:r>
            <w:r w:rsidR="00223A73">
              <w:t>enquiries for a new request for service</w:t>
            </w:r>
            <w:r>
              <w:t xml:space="preserve"> (e.g. a request for a connection or a new toby box).</w:t>
            </w:r>
          </w:p>
          <w:p w14:paraId="60842B93" w14:textId="51C4C4BB" w:rsidR="00782EFE" w:rsidRPr="00AF4AEA" w:rsidRDefault="00782EFE" w:rsidP="00884665">
            <w:pPr>
              <w:pStyle w:val="Bodyromannumerals"/>
              <w:rPr>
                <w:lang w:val="en-US"/>
              </w:rPr>
            </w:pPr>
          </w:p>
        </w:tc>
      </w:tr>
      <w:tr w:rsidR="006C39F4" w:rsidRPr="00216F0E" w14:paraId="2A45DEC7" w14:textId="77777777" w:rsidTr="00B529DC">
        <w:tc>
          <w:tcPr>
            <w:tcW w:w="2325" w:type="dxa"/>
            <w:gridSpan w:val="2"/>
            <w:tcBorders>
              <w:top w:val="single" w:sz="4" w:space="0" w:color="FFFFFF"/>
              <w:left w:val="single" w:sz="4" w:space="0" w:color="FFFFFF"/>
              <w:bottom w:val="single" w:sz="4" w:space="0" w:color="FFFFFF"/>
              <w:right w:val="single" w:sz="4" w:space="0" w:color="FFFFFF"/>
            </w:tcBorders>
          </w:tcPr>
          <w:p w14:paraId="17A3910F" w14:textId="77777777" w:rsidR="006C39F4" w:rsidRPr="00AF4AEA" w:rsidRDefault="006C39F4" w:rsidP="006C39F4">
            <w:pPr>
              <w:pStyle w:val="Bodyromannumerals"/>
              <w:rPr>
                <w:i/>
                <w:lang w:val="en-US"/>
              </w:rPr>
            </w:pPr>
            <w:r w:rsidRPr="00AF4AEA">
              <w:rPr>
                <w:i/>
                <w:lang w:val="en-US"/>
              </w:rPr>
              <w:t>Processing Rules:</w:t>
            </w:r>
          </w:p>
        </w:tc>
        <w:tc>
          <w:tcPr>
            <w:tcW w:w="5233" w:type="dxa"/>
            <w:gridSpan w:val="4"/>
            <w:tcBorders>
              <w:top w:val="single" w:sz="4" w:space="0" w:color="FFFFFF"/>
              <w:left w:val="single" w:sz="4" w:space="0" w:color="FFFFFF"/>
              <w:bottom w:val="single" w:sz="4" w:space="0" w:color="FFFFFF"/>
              <w:right w:val="single" w:sz="4" w:space="0" w:color="FFFFFF"/>
            </w:tcBorders>
          </w:tcPr>
          <w:p w14:paraId="7900AEFB" w14:textId="6B83A836" w:rsidR="006C39F4" w:rsidRPr="00AF4AEA" w:rsidRDefault="006C39F4" w:rsidP="006C39F4">
            <w:pPr>
              <w:pStyle w:val="Bodyromannumerals"/>
              <w:rPr>
                <w:lang w:val="en-US"/>
              </w:rPr>
            </w:pPr>
            <w:r w:rsidRPr="00AF4AEA">
              <w:rPr>
                <w:lang w:val="en-US"/>
              </w:rPr>
              <w:t>Calculated field: SUM[B5.4; B5.</w:t>
            </w:r>
            <w:r w:rsidR="00B3072E">
              <w:rPr>
                <w:lang w:val="en-US"/>
              </w:rPr>
              <w:t>7</w:t>
            </w:r>
            <w:r w:rsidRPr="00AF4AEA">
              <w:rPr>
                <w:lang w:val="en-US"/>
              </w:rPr>
              <w:t>]</w:t>
            </w:r>
          </w:p>
        </w:tc>
      </w:tr>
      <w:tr w:rsidR="006C39F4" w:rsidRPr="00216F0E" w14:paraId="140EE7D1" w14:textId="77777777" w:rsidTr="00B529DC">
        <w:tc>
          <w:tcPr>
            <w:tcW w:w="967" w:type="dxa"/>
          </w:tcPr>
          <w:p w14:paraId="55803B0E" w14:textId="77777777" w:rsidR="006C39F4" w:rsidRPr="00CE19CF" w:rsidRDefault="006C39F4" w:rsidP="006C39F4">
            <w:pPr>
              <w:pStyle w:val="Bodyromannumerals"/>
              <w:rPr>
                <w:b/>
                <w:bCs/>
                <w:lang w:val="en-US"/>
              </w:rPr>
            </w:pPr>
            <w:r w:rsidRPr="00CE19CF">
              <w:rPr>
                <w:b/>
                <w:bCs/>
                <w:lang w:val="en-US"/>
              </w:rPr>
              <w:t>B5.2</w:t>
            </w:r>
          </w:p>
        </w:tc>
        <w:tc>
          <w:tcPr>
            <w:tcW w:w="5528" w:type="dxa"/>
            <w:gridSpan w:val="3"/>
          </w:tcPr>
          <w:p w14:paraId="33665BDB" w14:textId="1842EB82" w:rsidR="006C39F4" w:rsidRPr="00CE19CF" w:rsidRDefault="006C39F4" w:rsidP="006C39F4">
            <w:pPr>
              <w:pStyle w:val="Bodyromannumerals"/>
              <w:rPr>
                <w:b/>
                <w:bCs/>
                <w:lang w:val="en-US"/>
              </w:rPr>
            </w:pPr>
            <w:r w:rsidRPr="00CE19CF">
              <w:rPr>
                <w:b/>
                <w:bCs/>
                <w:lang w:val="en-US"/>
              </w:rPr>
              <w:t xml:space="preserve">Total number of written </w:t>
            </w:r>
            <w:r w:rsidR="00625969">
              <w:rPr>
                <w:b/>
                <w:bCs/>
                <w:lang w:val="en-US"/>
              </w:rPr>
              <w:t xml:space="preserve">contact and </w:t>
            </w:r>
            <w:r w:rsidRPr="00CE19CF">
              <w:rPr>
                <w:b/>
                <w:bCs/>
                <w:lang w:val="en-US"/>
              </w:rPr>
              <w:t>complaint correspondence</w:t>
            </w:r>
          </w:p>
        </w:tc>
        <w:tc>
          <w:tcPr>
            <w:tcW w:w="1063" w:type="dxa"/>
            <w:gridSpan w:val="2"/>
          </w:tcPr>
          <w:p w14:paraId="78DEBD3E" w14:textId="7A69A1B2" w:rsidR="006C39F4" w:rsidRPr="00CE19CF" w:rsidRDefault="006C39F4" w:rsidP="006C39F4">
            <w:pPr>
              <w:pStyle w:val="Bodyromannumerals"/>
              <w:rPr>
                <w:b/>
                <w:bCs/>
                <w:lang w:val="en-US"/>
              </w:rPr>
            </w:pPr>
            <w:r w:rsidRPr="00CE19CF">
              <w:rPr>
                <w:b/>
                <w:bCs/>
                <w:lang w:val="en-US"/>
              </w:rPr>
              <w:t>Nr</w:t>
            </w:r>
            <w:r w:rsidR="00CE19CF" w:rsidRPr="00CE19CF">
              <w:rPr>
                <w:b/>
                <w:bCs/>
                <w:lang w:val="en-US"/>
              </w:rPr>
              <w:t>.</w:t>
            </w:r>
          </w:p>
        </w:tc>
      </w:tr>
      <w:tr w:rsidR="006C39F4" w:rsidRPr="00216F0E" w14:paraId="76C97DFD" w14:textId="77777777" w:rsidTr="00B529DC">
        <w:tc>
          <w:tcPr>
            <w:tcW w:w="2325" w:type="dxa"/>
            <w:gridSpan w:val="2"/>
            <w:tcBorders>
              <w:left w:val="single" w:sz="4" w:space="0" w:color="FFFFFF"/>
              <w:bottom w:val="single" w:sz="4" w:space="0" w:color="FFFFFF"/>
              <w:right w:val="single" w:sz="4" w:space="0" w:color="FFFFFF"/>
            </w:tcBorders>
          </w:tcPr>
          <w:p w14:paraId="1ADFECCF" w14:textId="77777777" w:rsidR="006C39F4" w:rsidRPr="00AF4AEA" w:rsidRDefault="006C39F4" w:rsidP="006C39F4">
            <w:pPr>
              <w:pStyle w:val="Bodyromannumerals"/>
              <w:rPr>
                <w:i/>
                <w:lang w:val="en-US"/>
              </w:rPr>
            </w:pPr>
            <w:r w:rsidRPr="00AF4AEA">
              <w:rPr>
                <w:i/>
                <w:lang w:val="en-US"/>
              </w:rPr>
              <w:t>Definition:</w:t>
            </w:r>
          </w:p>
        </w:tc>
        <w:tc>
          <w:tcPr>
            <w:tcW w:w="5233" w:type="dxa"/>
            <w:gridSpan w:val="4"/>
            <w:tcBorders>
              <w:left w:val="single" w:sz="4" w:space="0" w:color="FFFFFF"/>
              <w:bottom w:val="single" w:sz="4" w:space="0" w:color="FFFFFF"/>
              <w:right w:val="single" w:sz="4" w:space="0" w:color="FFFFFF"/>
            </w:tcBorders>
          </w:tcPr>
          <w:p w14:paraId="75E5220B" w14:textId="77777777" w:rsidR="006C39F4" w:rsidRDefault="006C39F4" w:rsidP="006C39F4">
            <w:pPr>
              <w:pStyle w:val="Bodyromannumerals"/>
              <w:rPr>
                <w:lang w:val="en-US"/>
              </w:rPr>
            </w:pPr>
            <w:r w:rsidRPr="00AF4AEA">
              <w:rPr>
                <w:lang w:val="en-US"/>
              </w:rPr>
              <w:t>All items of written correspondence from a customer or customer representative regarding a new or ongoing complaint.  This includes receipt of further information or completed claim forms etc.  Written complaints include those made by letter, fax, and electronic mail.</w:t>
            </w:r>
          </w:p>
          <w:p w14:paraId="7257F99A" w14:textId="6C199CC1" w:rsidR="00782EFE" w:rsidRDefault="00782EFE" w:rsidP="00782EFE">
            <w:pPr>
              <w:pStyle w:val="Bodyromannumerals"/>
            </w:pPr>
            <w:r>
              <w:t xml:space="preserve">This line excludes written contact or </w:t>
            </w:r>
            <w:r w:rsidR="00223A73">
              <w:t xml:space="preserve">enquiries for a new request for service </w:t>
            </w:r>
            <w:r>
              <w:t>(e.g. a request for a connection or a new toby box).</w:t>
            </w:r>
          </w:p>
          <w:p w14:paraId="1B8C774D" w14:textId="2F589F54" w:rsidR="00782EFE" w:rsidRPr="00AF4AEA" w:rsidRDefault="00782EFE" w:rsidP="006C39F4">
            <w:pPr>
              <w:pStyle w:val="Bodyromannumerals"/>
              <w:rPr>
                <w:lang w:val="en-US"/>
              </w:rPr>
            </w:pPr>
          </w:p>
        </w:tc>
      </w:tr>
      <w:tr w:rsidR="006C39F4" w:rsidRPr="00216F0E" w14:paraId="2D0E9CDA" w14:textId="77777777" w:rsidTr="00B529DC">
        <w:tc>
          <w:tcPr>
            <w:tcW w:w="2325" w:type="dxa"/>
            <w:gridSpan w:val="2"/>
            <w:tcBorders>
              <w:top w:val="single" w:sz="4" w:space="0" w:color="FFFFFF"/>
              <w:left w:val="single" w:sz="4" w:space="0" w:color="FFFFFF"/>
              <w:bottom w:val="single" w:sz="4" w:space="0" w:color="FFFFFF"/>
              <w:right w:val="single" w:sz="4" w:space="0" w:color="FFFFFF"/>
            </w:tcBorders>
          </w:tcPr>
          <w:p w14:paraId="2AF35BE1" w14:textId="77777777" w:rsidR="006C39F4" w:rsidRPr="00AF4AEA" w:rsidRDefault="006C39F4" w:rsidP="006C39F4">
            <w:pPr>
              <w:pStyle w:val="Bodyromannumerals"/>
              <w:rPr>
                <w:i/>
                <w:lang w:val="en-US"/>
              </w:rPr>
            </w:pPr>
            <w:r w:rsidRPr="00AF4AEA">
              <w:rPr>
                <w:i/>
                <w:lang w:val="en-US"/>
              </w:rPr>
              <w:t>Processing Rules:</w:t>
            </w:r>
          </w:p>
        </w:tc>
        <w:tc>
          <w:tcPr>
            <w:tcW w:w="5233" w:type="dxa"/>
            <w:gridSpan w:val="4"/>
            <w:tcBorders>
              <w:top w:val="single" w:sz="4" w:space="0" w:color="FFFFFF"/>
              <w:left w:val="single" w:sz="4" w:space="0" w:color="FFFFFF"/>
              <w:bottom w:val="single" w:sz="4" w:space="0" w:color="FFFFFF"/>
              <w:right w:val="single" w:sz="4" w:space="0" w:color="FFFFFF"/>
            </w:tcBorders>
          </w:tcPr>
          <w:p w14:paraId="5518A213" w14:textId="77777777" w:rsidR="006C39F4" w:rsidRPr="00AF4AEA" w:rsidRDefault="006C39F4" w:rsidP="006C39F4">
            <w:pPr>
              <w:pStyle w:val="Bodyromannumerals"/>
              <w:rPr>
                <w:lang w:val="en-US"/>
              </w:rPr>
            </w:pPr>
            <w:r w:rsidRPr="00AF4AEA">
              <w:rPr>
                <w:lang w:val="en-US"/>
              </w:rPr>
              <w:t>Input field</w:t>
            </w:r>
          </w:p>
        </w:tc>
      </w:tr>
      <w:tr w:rsidR="006C39F4" w:rsidRPr="00216F0E" w14:paraId="1BAA8827" w14:textId="77777777" w:rsidTr="00B529DC">
        <w:tc>
          <w:tcPr>
            <w:tcW w:w="967" w:type="dxa"/>
          </w:tcPr>
          <w:p w14:paraId="24A42AE4" w14:textId="77777777" w:rsidR="006C39F4" w:rsidRPr="00CE19CF" w:rsidRDefault="006C39F4" w:rsidP="006C39F4">
            <w:pPr>
              <w:pStyle w:val="Bodyromannumerals"/>
              <w:rPr>
                <w:b/>
                <w:bCs/>
                <w:lang w:val="en-US"/>
              </w:rPr>
            </w:pPr>
            <w:r w:rsidRPr="00CE19CF">
              <w:rPr>
                <w:b/>
                <w:bCs/>
                <w:lang w:val="en-US"/>
              </w:rPr>
              <w:t>B5.3</w:t>
            </w:r>
          </w:p>
        </w:tc>
        <w:tc>
          <w:tcPr>
            <w:tcW w:w="5544" w:type="dxa"/>
            <w:gridSpan w:val="4"/>
          </w:tcPr>
          <w:p w14:paraId="490E428C" w14:textId="77777777" w:rsidR="006C39F4" w:rsidRPr="00CE19CF" w:rsidRDefault="006C39F4" w:rsidP="006C39F4">
            <w:pPr>
              <w:pStyle w:val="Bodyromannumerals"/>
              <w:rPr>
                <w:b/>
                <w:bCs/>
                <w:lang w:val="en-US"/>
              </w:rPr>
            </w:pPr>
            <w:r w:rsidRPr="00CE19CF">
              <w:rPr>
                <w:b/>
                <w:bCs/>
                <w:lang w:val="en-US"/>
              </w:rPr>
              <w:t>Number of items of correspondence/complaints</w:t>
            </w:r>
          </w:p>
        </w:tc>
        <w:tc>
          <w:tcPr>
            <w:tcW w:w="1047" w:type="dxa"/>
          </w:tcPr>
          <w:p w14:paraId="431BC6E8" w14:textId="416D2585" w:rsidR="006C39F4" w:rsidRPr="00CE19CF" w:rsidRDefault="006C39F4" w:rsidP="006C39F4">
            <w:pPr>
              <w:pStyle w:val="Bodyromannumerals"/>
              <w:rPr>
                <w:b/>
                <w:bCs/>
                <w:lang w:val="en-US"/>
              </w:rPr>
            </w:pPr>
            <w:r w:rsidRPr="00CE19CF">
              <w:rPr>
                <w:b/>
                <w:bCs/>
                <w:lang w:val="en-US"/>
              </w:rPr>
              <w:t>Nr</w:t>
            </w:r>
            <w:r w:rsidR="00CE19CF" w:rsidRPr="00CE19CF">
              <w:rPr>
                <w:b/>
                <w:bCs/>
                <w:lang w:val="en-US"/>
              </w:rPr>
              <w:t>.</w:t>
            </w:r>
          </w:p>
        </w:tc>
      </w:tr>
      <w:tr w:rsidR="006C39F4" w:rsidRPr="00216F0E" w14:paraId="60BA9575" w14:textId="77777777" w:rsidTr="00B529DC">
        <w:tc>
          <w:tcPr>
            <w:tcW w:w="2325" w:type="dxa"/>
            <w:gridSpan w:val="2"/>
            <w:tcBorders>
              <w:left w:val="single" w:sz="4" w:space="0" w:color="FFFFFF"/>
              <w:bottom w:val="single" w:sz="4" w:space="0" w:color="FFFFFF"/>
              <w:right w:val="single" w:sz="4" w:space="0" w:color="FFFFFF"/>
            </w:tcBorders>
          </w:tcPr>
          <w:p w14:paraId="7835F9C9" w14:textId="77777777" w:rsidR="006C39F4" w:rsidRPr="00AF4AEA" w:rsidRDefault="006C39F4" w:rsidP="006C39F4">
            <w:pPr>
              <w:pStyle w:val="Bodyromannumerals"/>
              <w:rPr>
                <w:i/>
                <w:lang w:val="en-US"/>
              </w:rPr>
            </w:pPr>
            <w:r w:rsidRPr="00AF4AEA">
              <w:rPr>
                <w:i/>
                <w:lang w:val="en-US"/>
              </w:rPr>
              <w:t>Definition:</w:t>
            </w:r>
          </w:p>
        </w:tc>
        <w:tc>
          <w:tcPr>
            <w:tcW w:w="5233" w:type="dxa"/>
            <w:gridSpan w:val="4"/>
            <w:tcBorders>
              <w:left w:val="single" w:sz="4" w:space="0" w:color="FFFFFF"/>
              <w:bottom w:val="single" w:sz="4" w:space="0" w:color="FFFFFF"/>
              <w:right w:val="single" w:sz="4" w:space="0" w:color="FFFFFF"/>
            </w:tcBorders>
          </w:tcPr>
          <w:p w14:paraId="2C23CC84" w14:textId="77777777" w:rsidR="006C39F4" w:rsidRDefault="006C39F4" w:rsidP="006C39F4">
            <w:pPr>
              <w:pStyle w:val="Bodyromannumerals"/>
              <w:rPr>
                <w:lang w:val="en-US"/>
              </w:rPr>
            </w:pPr>
            <w:r w:rsidRPr="00AF4AEA">
              <w:rPr>
                <w:lang w:val="en-US"/>
              </w:rPr>
              <w:t>Number of items of correspondence per complaint</w:t>
            </w:r>
            <w:r w:rsidR="00A3588D">
              <w:rPr>
                <w:lang w:val="en-US"/>
              </w:rPr>
              <w:t>.</w:t>
            </w:r>
          </w:p>
          <w:p w14:paraId="7469AEF4" w14:textId="59A6E698" w:rsidR="00782EFE" w:rsidRDefault="00782EFE" w:rsidP="00782EFE">
            <w:pPr>
              <w:pStyle w:val="Bodyromannumerals"/>
            </w:pPr>
            <w:r>
              <w:t xml:space="preserve">This line excludes written contact or </w:t>
            </w:r>
            <w:r w:rsidR="00223A73">
              <w:t>enquiries for a new request for service</w:t>
            </w:r>
            <w:r>
              <w:t xml:space="preserve"> (e.g. a request for a connection or a new toby box).</w:t>
            </w:r>
          </w:p>
          <w:p w14:paraId="49BC8802" w14:textId="51EDD57C" w:rsidR="00782EFE" w:rsidRPr="00AF4AEA" w:rsidRDefault="00782EFE" w:rsidP="006C39F4">
            <w:pPr>
              <w:pStyle w:val="Bodyromannumerals"/>
              <w:rPr>
                <w:lang w:val="en-US"/>
              </w:rPr>
            </w:pPr>
          </w:p>
        </w:tc>
      </w:tr>
      <w:tr w:rsidR="006C39F4" w:rsidRPr="00216F0E" w14:paraId="76231F29" w14:textId="77777777" w:rsidTr="00B529DC">
        <w:tc>
          <w:tcPr>
            <w:tcW w:w="2325" w:type="dxa"/>
            <w:gridSpan w:val="2"/>
            <w:tcBorders>
              <w:top w:val="single" w:sz="4" w:space="0" w:color="FFFFFF"/>
              <w:left w:val="single" w:sz="4" w:space="0" w:color="FFFFFF"/>
              <w:bottom w:val="single" w:sz="4" w:space="0" w:color="FFFFFF"/>
              <w:right w:val="single" w:sz="4" w:space="0" w:color="FFFFFF"/>
            </w:tcBorders>
          </w:tcPr>
          <w:p w14:paraId="71049672" w14:textId="77777777" w:rsidR="006C39F4" w:rsidRPr="00AF4AEA" w:rsidRDefault="006C39F4" w:rsidP="006C39F4">
            <w:pPr>
              <w:pStyle w:val="Bodyromannumerals"/>
              <w:rPr>
                <w:i/>
                <w:lang w:val="en-US"/>
              </w:rPr>
            </w:pPr>
            <w:r w:rsidRPr="00AF4AEA">
              <w:rPr>
                <w:i/>
                <w:lang w:val="en-US"/>
              </w:rPr>
              <w:t>Processing Rules:</w:t>
            </w:r>
          </w:p>
        </w:tc>
        <w:tc>
          <w:tcPr>
            <w:tcW w:w="5233" w:type="dxa"/>
            <w:gridSpan w:val="4"/>
            <w:tcBorders>
              <w:top w:val="single" w:sz="4" w:space="0" w:color="FFFFFF"/>
              <w:left w:val="single" w:sz="4" w:space="0" w:color="FFFFFF"/>
              <w:bottom w:val="single" w:sz="4" w:space="0" w:color="FFFFFF"/>
              <w:right w:val="single" w:sz="4" w:space="0" w:color="FFFFFF"/>
            </w:tcBorders>
          </w:tcPr>
          <w:p w14:paraId="580C97A9" w14:textId="77777777" w:rsidR="006C39F4" w:rsidRPr="00AF4AEA" w:rsidRDefault="006C39F4" w:rsidP="006C39F4">
            <w:pPr>
              <w:pStyle w:val="Bodyromannumerals"/>
              <w:rPr>
                <w:lang w:val="en-US"/>
              </w:rPr>
            </w:pPr>
            <w:r w:rsidRPr="00AF4AEA">
              <w:rPr>
                <w:lang w:val="en-US"/>
              </w:rPr>
              <w:t>Calculated field: B5.2/B5.1</w:t>
            </w:r>
          </w:p>
        </w:tc>
      </w:tr>
      <w:tr w:rsidR="006C39F4" w:rsidRPr="00216F0E" w14:paraId="5CFF9A98" w14:textId="77777777" w:rsidTr="00B529DC">
        <w:tc>
          <w:tcPr>
            <w:tcW w:w="967" w:type="dxa"/>
          </w:tcPr>
          <w:p w14:paraId="3C6F4FE5" w14:textId="77777777" w:rsidR="006C39F4" w:rsidRPr="00CE19CF" w:rsidRDefault="006C39F4" w:rsidP="006C39F4">
            <w:pPr>
              <w:pStyle w:val="Bodyromannumerals"/>
              <w:rPr>
                <w:b/>
                <w:bCs/>
                <w:lang w:val="en-US"/>
              </w:rPr>
            </w:pPr>
            <w:r w:rsidRPr="00CE19CF">
              <w:rPr>
                <w:b/>
                <w:bCs/>
                <w:lang w:val="en-US"/>
              </w:rPr>
              <w:t>B5.4</w:t>
            </w:r>
          </w:p>
        </w:tc>
        <w:tc>
          <w:tcPr>
            <w:tcW w:w="5544" w:type="dxa"/>
            <w:gridSpan w:val="4"/>
          </w:tcPr>
          <w:p w14:paraId="1558E287" w14:textId="77777777" w:rsidR="006C39F4" w:rsidRPr="00CE19CF" w:rsidRDefault="006C39F4" w:rsidP="006C39F4">
            <w:pPr>
              <w:pStyle w:val="Bodyromannumerals"/>
              <w:rPr>
                <w:b/>
                <w:bCs/>
                <w:lang w:val="en-US"/>
              </w:rPr>
            </w:pPr>
            <w:r w:rsidRPr="00CE19CF">
              <w:rPr>
                <w:b/>
                <w:bCs/>
                <w:lang w:val="en-US"/>
              </w:rPr>
              <w:t>Number dealt with within 2 working days</w:t>
            </w:r>
          </w:p>
        </w:tc>
        <w:tc>
          <w:tcPr>
            <w:tcW w:w="1047" w:type="dxa"/>
          </w:tcPr>
          <w:p w14:paraId="0DF722D2" w14:textId="134542E6" w:rsidR="006C39F4" w:rsidRPr="00CE19CF" w:rsidRDefault="006C39F4" w:rsidP="006C39F4">
            <w:pPr>
              <w:pStyle w:val="Bodyromannumerals"/>
              <w:rPr>
                <w:b/>
                <w:bCs/>
                <w:lang w:val="en-US"/>
              </w:rPr>
            </w:pPr>
            <w:r w:rsidRPr="00CE19CF">
              <w:rPr>
                <w:b/>
                <w:bCs/>
                <w:lang w:val="en-US"/>
              </w:rPr>
              <w:t>Nr</w:t>
            </w:r>
            <w:r w:rsidR="00CE19CF" w:rsidRPr="00CE19CF">
              <w:rPr>
                <w:b/>
                <w:bCs/>
                <w:lang w:val="en-US"/>
              </w:rPr>
              <w:t>.</w:t>
            </w:r>
          </w:p>
        </w:tc>
      </w:tr>
      <w:tr w:rsidR="006C39F4" w:rsidRPr="00216F0E" w14:paraId="4D1710CC" w14:textId="77777777" w:rsidTr="00B529DC">
        <w:tc>
          <w:tcPr>
            <w:tcW w:w="2325" w:type="dxa"/>
            <w:gridSpan w:val="2"/>
            <w:tcBorders>
              <w:left w:val="single" w:sz="4" w:space="0" w:color="FFFFFF"/>
              <w:bottom w:val="single" w:sz="4" w:space="0" w:color="FFFFFF"/>
              <w:right w:val="single" w:sz="4" w:space="0" w:color="FFFFFF"/>
            </w:tcBorders>
          </w:tcPr>
          <w:p w14:paraId="54DA9DEC" w14:textId="77777777" w:rsidR="006C39F4" w:rsidRPr="00AF4AEA" w:rsidRDefault="006C39F4" w:rsidP="006C39F4">
            <w:pPr>
              <w:pStyle w:val="Bodyromannumerals"/>
              <w:rPr>
                <w:i/>
                <w:lang w:val="en-US"/>
              </w:rPr>
            </w:pPr>
            <w:r w:rsidRPr="00AF4AEA">
              <w:rPr>
                <w:i/>
                <w:lang w:val="en-US"/>
              </w:rPr>
              <w:t>Definition:</w:t>
            </w:r>
          </w:p>
        </w:tc>
        <w:tc>
          <w:tcPr>
            <w:tcW w:w="5233" w:type="dxa"/>
            <w:gridSpan w:val="4"/>
            <w:tcBorders>
              <w:left w:val="single" w:sz="4" w:space="0" w:color="FFFFFF"/>
              <w:bottom w:val="single" w:sz="4" w:space="0" w:color="FFFFFF"/>
              <w:right w:val="single" w:sz="4" w:space="0" w:color="FFFFFF"/>
            </w:tcBorders>
          </w:tcPr>
          <w:p w14:paraId="1A64F68D" w14:textId="77777777" w:rsidR="006C39F4" w:rsidRDefault="006C39F4" w:rsidP="006C39F4">
            <w:pPr>
              <w:pStyle w:val="Bodyromannumerals"/>
              <w:rPr>
                <w:lang w:val="en-US"/>
              </w:rPr>
            </w:pPr>
            <w:r w:rsidRPr="00AF4AEA">
              <w:rPr>
                <w:lang w:val="en-US"/>
              </w:rPr>
              <w:t>Number of written complaints dealt with within two working days.</w:t>
            </w:r>
          </w:p>
          <w:p w14:paraId="4C4226DE" w14:textId="75F8CD0B" w:rsidR="00931531" w:rsidRDefault="00931531" w:rsidP="00931531">
            <w:pPr>
              <w:pStyle w:val="Bodyromannumerals"/>
            </w:pPr>
            <w:r>
              <w:t xml:space="preserve">This line excludes written contact or </w:t>
            </w:r>
            <w:r w:rsidR="00223A73">
              <w:t>enquiries for a new request for service</w:t>
            </w:r>
            <w:r>
              <w:t xml:space="preserve"> (e.g. a request for a connection or a new toby box).</w:t>
            </w:r>
          </w:p>
          <w:p w14:paraId="61E9455E" w14:textId="21822F80" w:rsidR="00931531" w:rsidRPr="00AF4AEA" w:rsidRDefault="00931531" w:rsidP="006C39F4">
            <w:pPr>
              <w:pStyle w:val="Bodyromannumerals"/>
              <w:rPr>
                <w:lang w:val="en-US"/>
              </w:rPr>
            </w:pPr>
          </w:p>
        </w:tc>
      </w:tr>
      <w:tr w:rsidR="006C39F4" w:rsidRPr="00216F0E" w14:paraId="34D30354" w14:textId="77777777" w:rsidTr="00B529DC">
        <w:tc>
          <w:tcPr>
            <w:tcW w:w="2325" w:type="dxa"/>
            <w:gridSpan w:val="2"/>
            <w:tcBorders>
              <w:top w:val="single" w:sz="4" w:space="0" w:color="FFFFFF"/>
              <w:left w:val="single" w:sz="4" w:space="0" w:color="FFFFFF"/>
              <w:bottom w:val="single" w:sz="4" w:space="0" w:color="FFFFFF"/>
              <w:right w:val="single" w:sz="4" w:space="0" w:color="FFFFFF"/>
            </w:tcBorders>
          </w:tcPr>
          <w:p w14:paraId="08EC404C" w14:textId="77777777" w:rsidR="006C39F4" w:rsidRPr="00AF4AEA" w:rsidRDefault="006C39F4" w:rsidP="006C39F4">
            <w:pPr>
              <w:pStyle w:val="Bodyromannumerals"/>
              <w:rPr>
                <w:i/>
                <w:lang w:val="en-US"/>
              </w:rPr>
            </w:pPr>
            <w:r w:rsidRPr="00AF4AEA">
              <w:rPr>
                <w:i/>
                <w:lang w:val="en-US"/>
              </w:rPr>
              <w:lastRenderedPageBreak/>
              <w:t>Processing Rules:</w:t>
            </w:r>
          </w:p>
        </w:tc>
        <w:tc>
          <w:tcPr>
            <w:tcW w:w="5233" w:type="dxa"/>
            <w:gridSpan w:val="4"/>
            <w:tcBorders>
              <w:top w:val="single" w:sz="4" w:space="0" w:color="FFFFFF"/>
              <w:left w:val="single" w:sz="4" w:space="0" w:color="FFFFFF"/>
              <w:bottom w:val="single" w:sz="4" w:space="0" w:color="FFFFFF"/>
              <w:right w:val="single" w:sz="4" w:space="0" w:color="FFFFFF"/>
            </w:tcBorders>
          </w:tcPr>
          <w:p w14:paraId="6A6B6372" w14:textId="77777777" w:rsidR="006C39F4" w:rsidRPr="00AF4AEA" w:rsidRDefault="006C39F4" w:rsidP="006C39F4">
            <w:pPr>
              <w:pStyle w:val="Bodyromannumerals"/>
              <w:rPr>
                <w:lang w:val="en-US"/>
              </w:rPr>
            </w:pPr>
            <w:r w:rsidRPr="00AF4AEA">
              <w:rPr>
                <w:lang w:val="en-US"/>
              </w:rPr>
              <w:t>Input field</w:t>
            </w:r>
          </w:p>
        </w:tc>
      </w:tr>
      <w:tr w:rsidR="006C39F4" w:rsidRPr="00216F0E" w14:paraId="278CDBF0" w14:textId="77777777" w:rsidTr="00B529DC">
        <w:tc>
          <w:tcPr>
            <w:tcW w:w="967" w:type="dxa"/>
          </w:tcPr>
          <w:p w14:paraId="1E336B1C" w14:textId="77777777" w:rsidR="006C39F4" w:rsidRPr="00CE19CF" w:rsidRDefault="006C39F4" w:rsidP="006C39F4">
            <w:pPr>
              <w:pStyle w:val="Bodyromannumerals"/>
              <w:rPr>
                <w:b/>
                <w:bCs/>
                <w:lang w:val="en-US"/>
              </w:rPr>
            </w:pPr>
            <w:r w:rsidRPr="00CE19CF">
              <w:rPr>
                <w:b/>
                <w:bCs/>
                <w:lang w:val="en-US"/>
              </w:rPr>
              <w:t>B5.5</w:t>
            </w:r>
          </w:p>
        </w:tc>
        <w:tc>
          <w:tcPr>
            <w:tcW w:w="5544" w:type="dxa"/>
            <w:gridSpan w:val="4"/>
          </w:tcPr>
          <w:p w14:paraId="35A0D07D" w14:textId="77777777" w:rsidR="006C39F4" w:rsidRPr="00CE19CF" w:rsidRDefault="006C39F4" w:rsidP="006C39F4">
            <w:pPr>
              <w:pStyle w:val="Bodyromannumerals"/>
              <w:rPr>
                <w:b/>
                <w:bCs/>
                <w:lang w:val="en-US"/>
              </w:rPr>
            </w:pPr>
            <w:r w:rsidRPr="00CE19CF">
              <w:rPr>
                <w:b/>
                <w:bCs/>
                <w:lang w:val="en-US"/>
              </w:rPr>
              <w:t>Number dealt with in more than 2 but within 5 working days</w:t>
            </w:r>
          </w:p>
        </w:tc>
        <w:tc>
          <w:tcPr>
            <w:tcW w:w="1047" w:type="dxa"/>
          </w:tcPr>
          <w:p w14:paraId="756B118A" w14:textId="63243464" w:rsidR="006C39F4" w:rsidRPr="00CE19CF" w:rsidRDefault="006C39F4" w:rsidP="006C39F4">
            <w:pPr>
              <w:pStyle w:val="Bodyromannumerals"/>
              <w:rPr>
                <w:b/>
                <w:bCs/>
                <w:lang w:val="en-US"/>
              </w:rPr>
            </w:pPr>
            <w:r w:rsidRPr="00CE19CF">
              <w:rPr>
                <w:b/>
                <w:bCs/>
                <w:lang w:val="en-US"/>
              </w:rPr>
              <w:t>Nr</w:t>
            </w:r>
            <w:r w:rsidR="00CE19CF" w:rsidRPr="00CE19CF">
              <w:rPr>
                <w:b/>
                <w:bCs/>
                <w:lang w:val="en-US"/>
              </w:rPr>
              <w:t>.</w:t>
            </w:r>
          </w:p>
        </w:tc>
      </w:tr>
      <w:tr w:rsidR="006C39F4" w:rsidRPr="00216F0E" w14:paraId="7FD39FCA" w14:textId="77777777" w:rsidTr="00B529DC">
        <w:tc>
          <w:tcPr>
            <w:tcW w:w="2325" w:type="dxa"/>
            <w:gridSpan w:val="2"/>
            <w:tcBorders>
              <w:left w:val="single" w:sz="4" w:space="0" w:color="FFFFFF"/>
              <w:bottom w:val="single" w:sz="4" w:space="0" w:color="FFFFFF"/>
              <w:right w:val="single" w:sz="4" w:space="0" w:color="FFFFFF"/>
            </w:tcBorders>
          </w:tcPr>
          <w:p w14:paraId="61DE42F4" w14:textId="77777777" w:rsidR="006C39F4" w:rsidRPr="00AF4AEA" w:rsidRDefault="006C39F4" w:rsidP="006C39F4">
            <w:pPr>
              <w:pStyle w:val="Bodyromannumerals"/>
              <w:rPr>
                <w:i/>
                <w:lang w:val="en-US"/>
              </w:rPr>
            </w:pPr>
            <w:r w:rsidRPr="00AF4AEA">
              <w:rPr>
                <w:i/>
                <w:lang w:val="en-US"/>
              </w:rPr>
              <w:t>Definition:</w:t>
            </w:r>
          </w:p>
        </w:tc>
        <w:tc>
          <w:tcPr>
            <w:tcW w:w="5233" w:type="dxa"/>
            <w:gridSpan w:val="4"/>
            <w:tcBorders>
              <w:left w:val="single" w:sz="4" w:space="0" w:color="FFFFFF"/>
              <w:bottom w:val="single" w:sz="4" w:space="0" w:color="FFFFFF"/>
              <w:right w:val="single" w:sz="4" w:space="0" w:color="FFFFFF"/>
            </w:tcBorders>
          </w:tcPr>
          <w:p w14:paraId="5D09D57C" w14:textId="77777777" w:rsidR="006C39F4" w:rsidRDefault="006C39F4" w:rsidP="006C39F4">
            <w:pPr>
              <w:pStyle w:val="Bodyromannumerals"/>
              <w:rPr>
                <w:lang w:val="en-US"/>
              </w:rPr>
            </w:pPr>
            <w:r w:rsidRPr="00AF4AEA">
              <w:rPr>
                <w:lang w:val="en-US"/>
              </w:rPr>
              <w:t>Number of written complaints dealt with in more than two working days but within five working days.</w:t>
            </w:r>
          </w:p>
          <w:p w14:paraId="5D4FD7E7" w14:textId="5B4D20D9" w:rsidR="00931531" w:rsidRDefault="00931531" w:rsidP="00931531">
            <w:pPr>
              <w:pStyle w:val="Bodyromannumerals"/>
            </w:pPr>
            <w:r>
              <w:t xml:space="preserve">This line excludes written contact or </w:t>
            </w:r>
            <w:r w:rsidR="00223A73">
              <w:t>enquiries for a new request for service</w:t>
            </w:r>
            <w:r>
              <w:t xml:space="preserve"> (e.g. a request for a connection or a new toby box).</w:t>
            </w:r>
          </w:p>
          <w:p w14:paraId="26BB7065" w14:textId="62C28F8C" w:rsidR="00931531" w:rsidRPr="00AF4AEA" w:rsidRDefault="00931531" w:rsidP="006C39F4">
            <w:pPr>
              <w:pStyle w:val="Bodyromannumerals"/>
              <w:rPr>
                <w:lang w:val="en-US"/>
              </w:rPr>
            </w:pPr>
          </w:p>
        </w:tc>
      </w:tr>
      <w:tr w:rsidR="006C39F4" w:rsidRPr="00216F0E" w14:paraId="178497DD" w14:textId="77777777" w:rsidTr="00B529DC">
        <w:tc>
          <w:tcPr>
            <w:tcW w:w="2325" w:type="dxa"/>
            <w:gridSpan w:val="2"/>
            <w:tcBorders>
              <w:top w:val="single" w:sz="4" w:space="0" w:color="FFFFFF"/>
              <w:left w:val="single" w:sz="4" w:space="0" w:color="FFFFFF"/>
              <w:bottom w:val="single" w:sz="4" w:space="0" w:color="FFFFFF"/>
              <w:right w:val="single" w:sz="4" w:space="0" w:color="FFFFFF"/>
            </w:tcBorders>
          </w:tcPr>
          <w:p w14:paraId="74A60510" w14:textId="77777777" w:rsidR="006C39F4" w:rsidRPr="00AF4AEA" w:rsidRDefault="006C39F4" w:rsidP="006C39F4">
            <w:pPr>
              <w:pStyle w:val="Bodyromannumerals"/>
              <w:rPr>
                <w:i/>
                <w:lang w:val="en-US"/>
              </w:rPr>
            </w:pPr>
            <w:r w:rsidRPr="00AF4AEA">
              <w:rPr>
                <w:i/>
                <w:lang w:val="en-US"/>
              </w:rPr>
              <w:t>Processing Rules:</w:t>
            </w:r>
          </w:p>
        </w:tc>
        <w:tc>
          <w:tcPr>
            <w:tcW w:w="5233" w:type="dxa"/>
            <w:gridSpan w:val="4"/>
            <w:tcBorders>
              <w:top w:val="single" w:sz="4" w:space="0" w:color="FFFFFF"/>
              <w:left w:val="single" w:sz="4" w:space="0" w:color="FFFFFF"/>
              <w:bottom w:val="single" w:sz="4" w:space="0" w:color="FFFFFF"/>
              <w:right w:val="single" w:sz="4" w:space="0" w:color="FFFFFF"/>
            </w:tcBorders>
          </w:tcPr>
          <w:p w14:paraId="201D1A3F" w14:textId="77777777" w:rsidR="006C39F4" w:rsidRPr="00AF4AEA" w:rsidRDefault="006C39F4" w:rsidP="006C39F4">
            <w:pPr>
              <w:pStyle w:val="Bodyromannumerals"/>
              <w:rPr>
                <w:lang w:val="en-US"/>
              </w:rPr>
            </w:pPr>
            <w:r w:rsidRPr="00AF4AEA">
              <w:rPr>
                <w:lang w:val="en-US"/>
              </w:rPr>
              <w:t>Input field</w:t>
            </w:r>
          </w:p>
        </w:tc>
      </w:tr>
      <w:tr w:rsidR="006C39F4" w:rsidRPr="00216F0E" w14:paraId="62C34F00" w14:textId="77777777" w:rsidTr="00B529DC">
        <w:tc>
          <w:tcPr>
            <w:tcW w:w="967" w:type="dxa"/>
          </w:tcPr>
          <w:p w14:paraId="54C2BCDF" w14:textId="77777777" w:rsidR="006C39F4" w:rsidRPr="00CE19CF" w:rsidRDefault="006C39F4" w:rsidP="006C39F4">
            <w:pPr>
              <w:pStyle w:val="Bodyromannumerals"/>
              <w:rPr>
                <w:b/>
                <w:bCs/>
                <w:lang w:val="en-US"/>
              </w:rPr>
            </w:pPr>
            <w:r w:rsidRPr="00CE19CF">
              <w:rPr>
                <w:b/>
                <w:bCs/>
                <w:lang w:val="en-US"/>
              </w:rPr>
              <w:t>B5.6</w:t>
            </w:r>
          </w:p>
        </w:tc>
        <w:tc>
          <w:tcPr>
            <w:tcW w:w="5544" w:type="dxa"/>
            <w:gridSpan w:val="4"/>
          </w:tcPr>
          <w:p w14:paraId="4DD48AB5" w14:textId="77777777" w:rsidR="006C39F4" w:rsidRPr="00CE19CF" w:rsidRDefault="006C39F4" w:rsidP="006C39F4">
            <w:pPr>
              <w:pStyle w:val="Bodyromannumerals"/>
              <w:rPr>
                <w:b/>
                <w:bCs/>
                <w:lang w:val="en-US"/>
              </w:rPr>
            </w:pPr>
            <w:r w:rsidRPr="00CE19CF">
              <w:rPr>
                <w:b/>
                <w:bCs/>
                <w:lang w:val="en-US"/>
              </w:rPr>
              <w:t>Number dealt with in more than 5 but within 10 working days</w:t>
            </w:r>
          </w:p>
        </w:tc>
        <w:tc>
          <w:tcPr>
            <w:tcW w:w="1047" w:type="dxa"/>
          </w:tcPr>
          <w:p w14:paraId="6DDA1778" w14:textId="7EFABB10" w:rsidR="006C39F4" w:rsidRPr="00CE19CF" w:rsidRDefault="006C39F4" w:rsidP="006C39F4">
            <w:pPr>
              <w:pStyle w:val="Bodyromannumerals"/>
              <w:rPr>
                <w:b/>
                <w:bCs/>
                <w:lang w:val="en-US"/>
              </w:rPr>
            </w:pPr>
            <w:r w:rsidRPr="00CE19CF">
              <w:rPr>
                <w:b/>
                <w:bCs/>
                <w:lang w:val="en-US"/>
              </w:rPr>
              <w:t>Nr</w:t>
            </w:r>
            <w:r w:rsidR="00CE19CF" w:rsidRPr="00CE19CF">
              <w:rPr>
                <w:b/>
                <w:bCs/>
                <w:lang w:val="en-US"/>
              </w:rPr>
              <w:t>.</w:t>
            </w:r>
          </w:p>
        </w:tc>
      </w:tr>
      <w:tr w:rsidR="006C39F4" w:rsidRPr="00216F0E" w14:paraId="1137228A" w14:textId="77777777" w:rsidTr="00B529DC">
        <w:tc>
          <w:tcPr>
            <w:tcW w:w="2325" w:type="dxa"/>
            <w:gridSpan w:val="2"/>
            <w:tcBorders>
              <w:left w:val="single" w:sz="4" w:space="0" w:color="FFFFFF"/>
              <w:bottom w:val="single" w:sz="4" w:space="0" w:color="FFFFFF"/>
              <w:right w:val="single" w:sz="4" w:space="0" w:color="FFFFFF"/>
            </w:tcBorders>
          </w:tcPr>
          <w:p w14:paraId="79BAAF4E" w14:textId="77777777" w:rsidR="006C39F4" w:rsidRPr="00AF4AEA" w:rsidRDefault="006C39F4" w:rsidP="006C39F4">
            <w:pPr>
              <w:pStyle w:val="Bodyromannumerals"/>
              <w:rPr>
                <w:i/>
                <w:lang w:val="en-US"/>
              </w:rPr>
            </w:pPr>
            <w:r w:rsidRPr="00AF4AEA">
              <w:rPr>
                <w:i/>
                <w:lang w:val="en-US"/>
              </w:rPr>
              <w:t>Definition:</w:t>
            </w:r>
          </w:p>
        </w:tc>
        <w:tc>
          <w:tcPr>
            <w:tcW w:w="5233" w:type="dxa"/>
            <w:gridSpan w:val="4"/>
            <w:tcBorders>
              <w:left w:val="single" w:sz="4" w:space="0" w:color="FFFFFF"/>
              <w:bottom w:val="single" w:sz="4" w:space="0" w:color="FFFFFF"/>
              <w:right w:val="single" w:sz="4" w:space="0" w:color="FFFFFF"/>
            </w:tcBorders>
          </w:tcPr>
          <w:p w14:paraId="602428BA" w14:textId="77777777" w:rsidR="006C39F4" w:rsidRDefault="006C39F4" w:rsidP="006C39F4">
            <w:pPr>
              <w:pStyle w:val="Bodyromannumerals"/>
              <w:rPr>
                <w:lang w:val="en-US"/>
              </w:rPr>
            </w:pPr>
            <w:r w:rsidRPr="00AF4AEA">
              <w:rPr>
                <w:lang w:val="en-US"/>
              </w:rPr>
              <w:t>Number of written complaints dealt with in more than five working days but within ten working days.</w:t>
            </w:r>
          </w:p>
          <w:p w14:paraId="663B6081" w14:textId="1EF52DA1" w:rsidR="00931531" w:rsidRDefault="00931531" w:rsidP="00931531">
            <w:pPr>
              <w:pStyle w:val="Bodyromannumerals"/>
            </w:pPr>
            <w:r>
              <w:t xml:space="preserve">This line excludes written contact or </w:t>
            </w:r>
            <w:r w:rsidR="00223A73">
              <w:t xml:space="preserve">enquiries for a new request for service </w:t>
            </w:r>
            <w:r>
              <w:t>(e.g. a request for a connection or a new toby box).</w:t>
            </w:r>
          </w:p>
          <w:p w14:paraId="09E42A4B" w14:textId="26C49F68" w:rsidR="00931531" w:rsidRPr="00AF4AEA" w:rsidRDefault="00931531" w:rsidP="006C39F4">
            <w:pPr>
              <w:pStyle w:val="Bodyromannumerals"/>
              <w:rPr>
                <w:lang w:val="en-US"/>
              </w:rPr>
            </w:pPr>
          </w:p>
        </w:tc>
      </w:tr>
      <w:tr w:rsidR="006C39F4" w:rsidRPr="00216F0E" w14:paraId="7DF9156A" w14:textId="77777777" w:rsidTr="00B529DC">
        <w:tc>
          <w:tcPr>
            <w:tcW w:w="2325" w:type="dxa"/>
            <w:gridSpan w:val="2"/>
            <w:tcBorders>
              <w:top w:val="single" w:sz="4" w:space="0" w:color="FFFFFF"/>
              <w:left w:val="single" w:sz="4" w:space="0" w:color="FFFFFF"/>
              <w:bottom w:val="single" w:sz="4" w:space="0" w:color="FFFFFF"/>
              <w:right w:val="single" w:sz="4" w:space="0" w:color="FFFFFF"/>
            </w:tcBorders>
          </w:tcPr>
          <w:p w14:paraId="0B34D0D1" w14:textId="77777777" w:rsidR="006C39F4" w:rsidRPr="00AF4AEA" w:rsidRDefault="006C39F4" w:rsidP="006C39F4">
            <w:pPr>
              <w:pStyle w:val="Bodyromannumerals"/>
              <w:rPr>
                <w:i/>
                <w:lang w:val="en-US"/>
              </w:rPr>
            </w:pPr>
            <w:r w:rsidRPr="00AF4AEA">
              <w:rPr>
                <w:i/>
                <w:lang w:val="en-US"/>
              </w:rPr>
              <w:t>Processing Rules:</w:t>
            </w:r>
          </w:p>
        </w:tc>
        <w:tc>
          <w:tcPr>
            <w:tcW w:w="5233" w:type="dxa"/>
            <w:gridSpan w:val="4"/>
            <w:tcBorders>
              <w:top w:val="single" w:sz="4" w:space="0" w:color="FFFFFF"/>
              <w:left w:val="single" w:sz="4" w:space="0" w:color="FFFFFF"/>
              <w:bottom w:val="single" w:sz="4" w:space="0" w:color="FFFFFF"/>
              <w:right w:val="single" w:sz="4" w:space="0" w:color="FFFFFF"/>
            </w:tcBorders>
          </w:tcPr>
          <w:p w14:paraId="043B9CC0" w14:textId="77777777" w:rsidR="006C39F4" w:rsidRPr="00AF4AEA" w:rsidRDefault="006C39F4" w:rsidP="006C39F4">
            <w:pPr>
              <w:pStyle w:val="Bodyromannumerals"/>
              <w:rPr>
                <w:lang w:val="en-US"/>
              </w:rPr>
            </w:pPr>
            <w:r w:rsidRPr="00AF4AEA">
              <w:rPr>
                <w:lang w:val="en-US"/>
              </w:rPr>
              <w:t>Input field</w:t>
            </w:r>
          </w:p>
        </w:tc>
      </w:tr>
      <w:tr w:rsidR="006C39F4" w:rsidRPr="00216F0E" w14:paraId="62AAF015" w14:textId="77777777" w:rsidTr="00B529DC">
        <w:tc>
          <w:tcPr>
            <w:tcW w:w="967" w:type="dxa"/>
          </w:tcPr>
          <w:p w14:paraId="57B76F07" w14:textId="77777777" w:rsidR="006C39F4" w:rsidRPr="00CE19CF" w:rsidRDefault="006C39F4" w:rsidP="006C39F4">
            <w:pPr>
              <w:pStyle w:val="Bodyromannumerals"/>
              <w:rPr>
                <w:b/>
                <w:bCs/>
                <w:lang w:val="en-US"/>
              </w:rPr>
            </w:pPr>
            <w:r w:rsidRPr="00CE19CF">
              <w:rPr>
                <w:b/>
                <w:bCs/>
                <w:lang w:val="en-US"/>
              </w:rPr>
              <w:t>B5.7</w:t>
            </w:r>
          </w:p>
        </w:tc>
        <w:tc>
          <w:tcPr>
            <w:tcW w:w="5544" w:type="dxa"/>
            <w:gridSpan w:val="4"/>
          </w:tcPr>
          <w:p w14:paraId="332B528F" w14:textId="5A2DA362" w:rsidR="006C39F4" w:rsidRPr="00CE19CF" w:rsidRDefault="006C39F4" w:rsidP="006C39F4">
            <w:pPr>
              <w:pStyle w:val="Bodyromannumerals"/>
              <w:rPr>
                <w:b/>
                <w:bCs/>
                <w:lang w:val="en-US"/>
              </w:rPr>
            </w:pPr>
            <w:r w:rsidRPr="00CE19CF">
              <w:rPr>
                <w:b/>
                <w:bCs/>
                <w:lang w:val="en-US"/>
              </w:rPr>
              <w:t xml:space="preserve">Number dealt with in more than </w:t>
            </w:r>
            <w:r w:rsidR="002257ED">
              <w:rPr>
                <w:b/>
                <w:bCs/>
                <w:lang w:val="en-US"/>
              </w:rPr>
              <w:t xml:space="preserve">10 </w:t>
            </w:r>
            <w:r w:rsidRPr="00CE19CF">
              <w:rPr>
                <w:b/>
                <w:bCs/>
                <w:lang w:val="en-US"/>
              </w:rPr>
              <w:t>working days</w:t>
            </w:r>
          </w:p>
        </w:tc>
        <w:tc>
          <w:tcPr>
            <w:tcW w:w="1047" w:type="dxa"/>
          </w:tcPr>
          <w:p w14:paraId="200B0AD2" w14:textId="73E753BD" w:rsidR="006C39F4" w:rsidRPr="00CE19CF" w:rsidRDefault="006C39F4" w:rsidP="006C39F4">
            <w:pPr>
              <w:pStyle w:val="Bodyromannumerals"/>
              <w:rPr>
                <w:b/>
                <w:bCs/>
                <w:lang w:val="en-US"/>
              </w:rPr>
            </w:pPr>
            <w:r w:rsidRPr="00CE19CF">
              <w:rPr>
                <w:b/>
                <w:bCs/>
                <w:lang w:val="en-US"/>
              </w:rPr>
              <w:t>Nr</w:t>
            </w:r>
            <w:r w:rsidR="00CE19CF" w:rsidRPr="00CE19CF">
              <w:rPr>
                <w:b/>
                <w:bCs/>
                <w:lang w:val="en-US"/>
              </w:rPr>
              <w:t>.</w:t>
            </w:r>
          </w:p>
        </w:tc>
      </w:tr>
      <w:tr w:rsidR="006C39F4" w:rsidRPr="00216F0E" w14:paraId="6357DD4B" w14:textId="77777777" w:rsidTr="00B529DC">
        <w:tc>
          <w:tcPr>
            <w:tcW w:w="2325" w:type="dxa"/>
            <w:gridSpan w:val="2"/>
            <w:tcBorders>
              <w:left w:val="single" w:sz="4" w:space="0" w:color="FFFFFF"/>
              <w:bottom w:val="single" w:sz="4" w:space="0" w:color="FFFFFF"/>
              <w:right w:val="single" w:sz="4" w:space="0" w:color="FFFFFF"/>
            </w:tcBorders>
          </w:tcPr>
          <w:p w14:paraId="52C92EA5" w14:textId="77777777" w:rsidR="006C39F4" w:rsidRPr="00AF4AEA" w:rsidRDefault="006C39F4" w:rsidP="006C39F4">
            <w:pPr>
              <w:pStyle w:val="Bodyromannumerals"/>
              <w:rPr>
                <w:i/>
                <w:lang w:val="en-US"/>
              </w:rPr>
            </w:pPr>
            <w:r w:rsidRPr="00AF4AEA">
              <w:rPr>
                <w:i/>
                <w:lang w:val="en-US"/>
              </w:rPr>
              <w:t>Definition:</w:t>
            </w:r>
          </w:p>
        </w:tc>
        <w:tc>
          <w:tcPr>
            <w:tcW w:w="5233" w:type="dxa"/>
            <w:gridSpan w:val="4"/>
            <w:tcBorders>
              <w:left w:val="single" w:sz="4" w:space="0" w:color="FFFFFF"/>
              <w:bottom w:val="single" w:sz="4" w:space="0" w:color="FFFFFF"/>
              <w:right w:val="single" w:sz="4" w:space="0" w:color="FFFFFF"/>
            </w:tcBorders>
          </w:tcPr>
          <w:p w14:paraId="4EB08ECC" w14:textId="77777777" w:rsidR="006C39F4" w:rsidRDefault="006C39F4" w:rsidP="006C39F4">
            <w:pPr>
              <w:pStyle w:val="Bodyromannumerals"/>
              <w:rPr>
                <w:lang w:val="en-US"/>
              </w:rPr>
            </w:pPr>
            <w:r w:rsidRPr="00AF4AEA">
              <w:rPr>
                <w:lang w:val="en-US"/>
              </w:rPr>
              <w:t>Number of written complaints dealt with in more than ten working days.</w:t>
            </w:r>
          </w:p>
          <w:p w14:paraId="666316A0" w14:textId="520E17DE" w:rsidR="00931531" w:rsidRDefault="00931531" w:rsidP="00931531">
            <w:pPr>
              <w:pStyle w:val="Bodyromannumerals"/>
            </w:pPr>
            <w:r>
              <w:t xml:space="preserve">This line excludes written contact or </w:t>
            </w:r>
            <w:r w:rsidR="00223A73">
              <w:t>enquiries for a new request for service</w:t>
            </w:r>
            <w:r>
              <w:t xml:space="preserve"> (e.g. a request for a connection or a new toby box).</w:t>
            </w:r>
          </w:p>
          <w:p w14:paraId="0B0F41B1" w14:textId="782215F0" w:rsidR="00931531" w:rsidRPr="00AF4AEA" w:rsidRDefault="00931531" w:rsidP="006C39F4">
            <w:pPr>
              <w:pStyle w:val="Bodyromannumerals"/>
              <w:rPr>
                <w:lang w:val="en-US"/>
              </w:rPr>
            </w:pPr>
          </w:p>
        </w:tc>
      </w:tr>
      <w:tr w:rsidR="006C39F4" w:rsidRPr="00216F0E" w14:paraId="5FA42720" w14:textId="77777777" w:rsidTr="00B529DC">
        <w:tc>
          <w:tcPr>
            <w:tcW w:w="2325" w:type="dxa"/>
            <w:gridSpan w:val="2"/>
            <w:tcBorders>
              <w:top w:val="single" w:sz="4" w:space="0" w:color="FFFFFF"/>
              <w:left w:val="single" w:sz="4" w:space="0" w:color="FFFFFF"/>
              <w:bottom w:val="single" w:sz="4" w:space="0" w:color="FFFFFF"/>
              <w:right w:val="single" w:sz="4" w:space="0" w:color="FFFFFF"/>
            </w:tcBorders>
          </w:tcPr>
          <w:p w14:paraId="3CD176B7" w14:textId="77777777" w:rsidR="006C39F4" w:rsidRPr="00AF4AEA" w:rsidRDefault="006C39F4" w:rsidP="006C39F4">
            <w:pPr>
              <w:pStyle w:val="Bodyromannumerals"/>
              <w:rPr>
                <w:i/>
                <w:lang w:val="en-US"/>
              </w:rPr>
            </w:pPr>
            <w:r w:rsidRPr="00AF4AEA">
              <w:rPr>
                <w:i/>
                <w:lang w:val="en-US"/>
              </w:rPr>
              <w:t>Processing Rules:</w:t>
            </w:r>
          </w:p>
        </w:tc>
        <w:tc>
          <w:tcPr>
            <w:tcW w:w="5233" w:type="dxa"/>
            <w:gridSpan w:val="4"/>
            <w:tcBorders>
              <w:top w:val="single" w:sz="4" w:space="0" w:color="FFFFFF"/>
              <w:left w:val="single" w:sz="4" w:space="0" w:color="FFFFFF"/>
              <w:bottom w:val="single" w:sz="4" w:space="0" w:color="FFFFFF"/>
              <w:right w:val="single" w:sz="4" w:space="0" w:color="FFFFFF"/>
            </w:tcBorders>
          </w:tcPr>
          <w:p w14:paraId="4AC4169B" w14:textId="77777777" w:rsidR="006C39F4" w:rsidRPr="00AF4AEA" w:rsidRDefault="006C39F4" w:rsidP="006C39F4">
            <w:pPr>
              <w:pStyle w:val="Bodyromannumerals"/>
              <w:rPr>
                <w:lang w:val="en-US"/>
              </w:rPr>
            </w:pPr>
            <w:r w:rsidRPr="00AF4AEA">
              <w:rPr>
                <w:lang w:val="en-US"/>
              </w:rPr>
              <w:t>Input field</w:t>
            </w:r>
          </w:p>
        </w:tc>
      </w:tr>
    </w:tbl>
    <w:p w14:paraId="18E152B9" w14:textId="0B2F6431" w:rsidR="00BE4543" w:rsidRDefault="00BE4543" w:rsidP="00A22414">
      <w:pPr>
        <w:pStyle w:val="Sectionsub-heading"/>
      </w:pPr>
      <w:r>
        <w:t xml:space="preserve">BLOCK 2: </w:t>
      </w:r>
      <w:r w:rsidR="00A858A5">
        <w:t xml:space="preserve">NEW </w:t>
      </w:r>
      <w:r>
        <w:t xml:space="preserve">TELEPHONE </w:t>
      </w:r>
      <w:r w:rsidR="00681299">
        <w:t>CONTACTS AND</w:t>
      </w:r>
      <w:r>
        <w:t xml:space="preserve"> COMPLAINTS</w:t>
      </w:r>
    </w:p>
    <w:tbl>
      <w:tblPr>
        <w:tblStyle w:val="TableGrid"/>
        <w:tblW w:w="0" w:type="auto"/>
        <w:tblLook w:val="04A0" w:firstRow="1" w:lastRow="0" w:firstColumn="1" w:lastColumn="0" w:noHBand="0" w:noVBand="1"/>
      </w:tblPr>
      <w:tblGrid>
        <w:gridCol w:w="904"/>
        <w:gridCol w:w="1321"/>
        <w:gridCol w:w="4300"/>
        <w:gridCol w:w="1033"/>
      </w:tblGrid>
      <w:tr w:rsidR="00922E14" w:rsidRPr="0001174F" w14:paraId="4D6E4C68" w14:textId="77777777" w:rsidTr="00B529DC">
        <w:tc>
          <w:tcPr>
            <w:tcW w:w="904" w:type="dxa"/>
          </w:tcPr>
          <w:p w14:paraId="7B9BCC69"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B5.16</w:t>
            </w:r>
          </w:p>
        </w:tc>
        <w:tc>
          <w:tcPr>
            <w:tcW w:w="5621" w:type="dxa"/>
            <w:gridSpan w:val="2"/>
          </w:tcPr>
          <w:p w14:paraId="22FDDD4B" w14:textId="5264A32B" w:rsidR="00922E14" w:rsidRPr="0001174F" w:rsidRDefault="00922E14" w:rsidP="00202A4D">
            <w:pPr>
              <w:tabs>
                <w:tab w:val="left" w:pos="1245"/>
              </w:tabs>
              <w:spacing w:after="120"/>
              <w:rPr>
                <w:rFonts w:ascii="Calibri" w:eastAsia="Calibri" w:hAnsi="Calibri" w:cs="Times New Roman"/>
                <w:b/>
                <w:lang w:val="en-US"/>
              </w:rPr>
            </w:pPr>
            <w:r w:rsidRPr="002E3CAE">
              <w:rPr>
                <w:rFonts w:ascii="Calibri" w:eastAsia="Calibri" w:hAnsi="Calibri" w:cs="Times New Roman"/>
                <w:b/>
                <w:lang w:val="en-US"/>
              </w:rPr>
              <w:t>Total number of new telephone</w:t>
            </w:r>
            <w:r w:rsidR="00123B16">
              <w:rPr>
                <w:rFonts w:ascii="Calibri" w:eastAsia="Calibri" w:hAnsi="Calibri" w:cs="Times New Roman"/>
                <w:b/>
                <w:lang w:val="en-US"/>
              </w:rPr>
              <w:t xml:space="preserve"> contacts and</w:t>
            </w:r>
            <w:r w:rsidRPr="002E3CAE">
              <w:rPr>
                <w:rFonts w:ascii="Calibri" w:eastAsia="Calibri" w:hAnsi="Calibri" w:cs="Times New Roman"/>
                <w:b/>
                <w:lang w:val="en-US"/>
              </w:rPr>
              <w:t xml:space="preserve"> complaints received</w:t>
            </w:r>
          </w:p>
        </w:tc>
        <w:tc>
          <w:tcPr>
            <w:tcW w:w="1033" w:type="dxa"/>
          </w:tcPr>
          <w:p w14:paraId="001F578C"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Nr</w:t>
            </w:r>
          </w:p>
        </w:tc>
      </w:tr>
      <w:tr w:rsidR="00922E14" w:rsidRPr="0001174F" w14:paraId="05E299C4" w14:textId="77777777" w:rsidTr="00B529DC">
        <w:tc>
          <w:tcPr>
            <w:tcW w:w="2225" w:type="dxa"/>
            <w:gridSpan w:val="2"/>
            <w:tcBorders>
              <w:left w:val="single" w:sz="4" w:space="0" w:color="FFFFFF"/>
              <w:bottom w:val="single" w:sz="4" w:space="0" w:color="FFFFFF"/>
              <w:right w:val="single" w:sz="4" w:space="0" w:color="FFFFFF"/>
            </w:tcBorders>
          </w:tcPr>
          <w:p w14:paraId="1B76149E"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Definition:</w:t>
            </w:r>
          </w:p>
        </w:tc>
        <w:tc>
          <w:tcPr>
            <w:tcW w:w="5333" w:type="dxa"/>
            <w:gridSpan w:val="2"/>
            <w:tcBorders>
              <w:left w:val="single" w:sz="4" w:space="0" w:color="FFFFFF"/>
              <w:bottom w:val="single" w:sz="4" w:space="0" w:color="FFFFFF"/>
              <w:right w:val="single" w:sz="4" w:space="0" w:color="FFFFFF"/>
            </w:tcBorders>
          </w:tcPr>
          <w:p w14:paraId="46112A7C" w14:textId="77777777" w:rsidR="00931531" w:rsidRDefault="00922E14" w:rsidP="00931531">
            <w:pPr>
              <w:spacing w:after="160"/>
              <w:rPr>
                <w:rFonts w:ascii="Calibri" w:eastAsia="Calibri" w:hAnsi="Calibri" w:cs="Times New Roman"/>
                <w:lang w:val="en-US"/>
              </w:rPr>
            </w:pPr>
            <w:r w:rsidRPr="002E3CAE">
              <w:rPr>
                <w:rFonts w:ascii="Calibri" w:eastAsia="Calibri" w:hAnsi="Calibri" w:cs="Times New Roman"/>
                <w:lang w:val="en-US"/>
              </w:rPr>
              <w:t xml:space="preserve">All telephone complaints from a customer or a customer’s representatives even if in mild and friendly terms.  </w:t>
            </w:r>
            <w:r w:rsidR="00737688">
              <w:rPr>
                <w:rFonts w:ascii="Calibri" w:eastAsia="Calibri" w:hAnsi="Calibri" w:cs="Times New Roman"/>
                <w:lang w:val="en-US"/>
              </w:rPr>
              <w:t xml:space="preserve">‘New’ in this </w:t>
            </w:r>
            <w:r w:rsidR="004A0253">
              <w:rPr>
                <w:rFonts w:ascii="Calibri" w:eastAsia="Calibri" w:hAnsi="Calibri" w:cs="Times New Roman"/>
                <w:lang w:val="en-US"/>
              </w:rPr>
              <w:t>context</w:t>
            </w:r>
            <w:r w:rsidR="00737688">
              <w:rPr>
                <w:rFonts w:ascii="Calibri" w:eastAsia="Calibri" w:hAnsi="Calibri" w:cs="Times New Roman"/>
                <w:lang w:val="en-US"/>
              </w:rPr>
              <w:t xml:space="preserve"> means that a new issue </w:t>
            </w:r>
            <w:r w:rsidR="00154B55">
              <w:rPr>
                <w:rFonts w:ascii="Calibri" w:eastAsia="Calibri" w:hAnsi="Calibri" w:cs="Times New Roman"/>
                <w:lang w:val="en-US"/>
              </w:rPr>
              <w:t xml:space="preserve">is raised. </w:t>
            </w:r>
            <w:r w:rsidR="004A0253">
              <w:rPr>
                <w:rFonts w:ascii="Calibri" w:eastAsia="Calibri" w:hAnsi="Calibri" w:cs="Times New Roman"/>
                <w:lang w:val="en-US"/>
              </w:rPr>
              <w:t>For example, a</w:t>
            </w:r>
            <w:r w:rsidRPr="002E3CAE">
              <w:rPr>
                <w:rFonts w:ascii="Calibri" w:eastAsia="Calibri" w:hAnsi="Calibri" w:cs="Times New Roman"/>
                <w:lang w:val="en-US"/>
              </w:rPr>
              <w:t xml:space="preserve"> new complaint should be counted even if the customer has an ‘ongoing’ complaint if any new issue is raised</w:t>
            </w:r>
            <w:r>
              <w:rPr>
                <w:rFonts w:ascii="Calibri" w:eastAsia="Calibri" w:hAnsi="Calibri" w:cs="Times New Roman"/>
                <w:lang w:val="en-US"/>
              </w:rPr>
              <w:t>.</w:t>
            </w:r>
          </w:p>
          <w:p w14:paraId="744FD171" w14:textId="3DAA54E7" w:rsidR="00931531" w:rsidRPr="0007555F" w:rsidRDefault="00931531" w:rsidP="0007555F">
            <w:pPr>
              <w:spacing w:after="160"/>
              <w:rPr>
                <w:rFonts w:eastAsia="Calibri" w:cs="Times New Roman"/>
                <w:lang w:val="en-US"/>
              </w:rPr>
            </w:pPr>
            <w:r w:rsidRPr="0007555F">
              <w:rPr>
                <w:rFonts w:ascii="Calibri" w:eastAsia="Calibri" w:hAnsi="Calibri" w:cs="Times New Roman"/>
                <w:lang w:val="en-US"/>
              </w:rPr>
              <w:t xml:space="preserve">This line excludes telephone contact or </w:t>
            </w:r>
            <w:r w:rsidR="00223A73" w:rsidRPr="0007555F">
              <w:rPr>
                <w:rFonts w:ascii="Calibri" w:eastAsia="Calibri" w:hAnsi="Calibri" w:cs="Times New Roman"/>
                <w:lang w:val="en-US"/>
              </w:rPr>
              <w:t>enquiries for a new request for service</w:t>
            </w:r>
            <w:r w:rsidR="00223A73" w:rsidRPr="00223A73">
              <w:rPr>
                <w:rFonts w:ascii="Calibri" w:eastAsia="Calibri" w:hAnsi="Calibri" w:cs="Times New Roman"/>
                <w:lang w:val="en-US"/>
              </w:rPr>
              <w:t xml:space="preserve"> </w:t>
            </w:r>
            <w:r w:rsidRPr="0007555F">
              <w:rPr>
                <w:rFonts w:ascii="Calibri" w:eastAsia="Calibri" w:hAnsi="Calibri" w:cs="Times New Roman"/>
                <w:lang w:val="en-US"/>
              </w:rPr>
              <w:t>(e.g. a request for a connection or a new toby box).</w:t>
            </w:r>
          </w:p>
          <w:p w14:paraId="1C01A34E" w14:textId="3D319550" w:rsidR="00931531" w:rsidRPr="0001174F" w:rsidRDefault="00931531" w:rsidP="00202A4D">
            <w:pPr>
              <w:spacing w:after="160"/>
              <w:rPr>
                <w:rFonts w:ascii="Calibri" w:eastAsia="Calibri" w:hAnsi="Calibri" w:cs="Times New Roman"/>
                <w:lang w:val="en-US"/>
              </w:rPr>
            </w:pPr>
          </w:p>
        </w:tc>
      </w:tr>
      <w:tr w:rsidR="00922E14" w:rsidRPr="0001174F" w14:paraId="27D05ED3" w14:textId="77777777" w:rsidTr="00B529DC">
        <w:tc>
          <w:tcPr>
            <w:tcW w:w="2225" w:type="dxa"/>
            <w:gridSpan w:val="2"/>
            <w:tcBorders>
              <w:top w:val="single" w:sz="4" w:space="0" w:color="FFFFFF"/>
              <w:left w:val="single" w:sz="4" w:space="0" w:color="FFFFFF"/>
              <w:bottom w:val="single" w:sz="4" w:space="0" w:color="FFFFFF"/>
              <w:right w:val="single" w:sz="4" w:space="0" w:color="FFFFFF"/>
            </w:tcBorders>
          </w:tcPr>
          <w:p w14:paraId="6131B10B"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lastRenderedPageBreak/>
              <w:t>Processing Rules:</w:t>
            </w:r>
          </w:p>
        </w:tc>
        <w:tc>
          <w:tcPr>
            <w:tcW w:w="5333" w:type="dxa"/>
            <w:gridSpan w:val="2"/>
            <w:tcBorders>
              <w:top w:val="single" w:sz="4" w:space="0" w:color="FFFFFF"/>
              <w:left w:val="single" w:sz="4" w:space="0" w:color="FFFFFF"/>
              <w:bottom w:val="single" w:sz="4" w:space="0" w:color="FFFFFF"/>
              <w:right w:val="single" w:sz="4" w:space="0" w:color="FFFFFF"/>
            </w:tcBorders>
          </w:tcPr>
          <w:p w14:paraId="4A61DFB7" w14:textId="214794DC" w:rsidR="00922E14" w:rsidRPr="0001174F" w:rsidRDefault="00922E14" w:rsidP="00202A4D">
            <w:pPr>
              <w:spacing w:after="160"/>
              <w:rPr>
                <w:rFonts w:ascii="Calibri" w:eastAsia="Calibri" w:hAnsi="Calibri" w:cs="Times New Roman"/>
                <w:lang w:val="en-US"/>
              </w:rPr>
            </w:pPr>
            <w:r w:rsidRPr="002E3CAE">
              <w:rPr>
                <w:rFonts w:ascii="Calibri" w:eastAsia="Calibri" w:hAnsi="Calibri" w:cs="Times New Roman"/>
                <w:lang w:val="en-US"/>
              </w:rPr>
              <w:t xml:space="preserve">Calculated field: </w:t>
            </w:r>
            <w:r>
              <w:rPr>
                <w:rFonts w:ascii="Calibri" w:eastAsia="Calibri" w:hAnsi="Calibri" w:cs="Times New Roman"/>
                <w:lang w:val="en-US"/>
              </w:rPr>
              <w:t>SUM[B5.19; B5.</w:t>
            </w:r>
            <w:r w:rsidR="00B3072E">
              <w:rPr>
                <w:rFonts w:ascii="Calibri" w:eastAsia="Calibri" w:hAnsi="Calibri" w:cs="Times New Roman"/>
                <w:lang w:val="en-US"/>
              </w:rPr>
              <w:t>22</w:t>
            </w:r>
            <w:r>
              <w:rPr>
                <w:rFonts w:ascii="Calibri" w:eastAsia="Calibri" w:hAnsi="Calibri" w:cs="Times New Roman"/>
                <w:lang w:val="en-US"/>
              </w:rPr>
              <w:t>]</w:t>
            </w:r>
          </w:p>
        </w:tc>
      </w:tr>
      <w:tr w:rsidR="00922E14" w:rsidRPr="0001174F" w14:paraId="60719B8B" w14:textId="77777777" w:rsidTr="00B529DC">
        <w:tc>
          <w:tcPr>
            <w:tcW w:w="904" w:type="dxa"/>
          </w:tcPr>
          <w:p w14:paraId="7FD29B57"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B5.17</w:t>
            </w:r>
          </w:p>
        </w:tc>
        <w:tc>
          <w:tcPr>
            <w:tcW w:w="5621" w:type="dxa"/>
            <w:gridSpan w:val="2"/>
          </w:tcPr>
          <w:p w14:paraId="4D9E5EE0" w14:textId="6BB716D8" w:rsidR="00922E14" w:rsidRPr="0001174F" w:rsidRDefault="00922E14" w:rsidP="00202A4D">
            <w:pPr>
              <w:spacing w:after="120"/>
              <w:rPr>
                <w:rFonts w:ascii="Calibri" w:eastAsia="Calibri" w:hAnsi="Calibri" w:cs="Times New Roman"/>
                <w:b/>
                <w:lang w:val="en-US"/>
              </w:rPr>
            </w:pPr>
            <w:r w:rsidRPr="002E3CAE">
              <w:rPr>
                <w:rFonts w:ascii="Calibri" w:eastAsia="Calibri" w:hAnsi="Calibri" w:cs="Times New Roman"/>
                <w:b/>
                <w:lang w:val="en-US"/>
              </w:rPr>
              <w:t>Total number of telephone contacts</w:t>
            </w:r>
          </w:p>
        </w:tc>
        <w:tc>
          <w:tcPr>
            <w:tcW w:w="1033" w:type="dxa"/>
          </w:tcPr>
          <w:p w14:paraId="4FAAA465"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Nr</w:t>
            </w:r>
          </w:p>
        </w:tc>
      </w:tr>
      <w:tr w:rsidR="00922E14" w:rsidRPr="0001174F" w14:paraId="56395C10" w14:textId="77777777" w:rsidTr="00B529DC">
        <w:tc>
          <w:tcPr>
            <w:tcW w:w="2225" w:type="dxa"/>
            <w:gridSpan w:val="2"/>
            <w:tcBorders>
              <w:left w:val="single" w:sz="4" w:space="0" w:color="FFFFFF"/>
              <w:bottom w:val="single" w:sz="4" w:space="0" w:color="FFFFFF"/>
              <w:right w:val="single" w:sz="4" w:space="0" w:color="FFFFFF"/>
            </w:tcBorders>
          </w:tcPr>
          <w:p w14:paraId="01691012"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Definition:</w:t>
            </w:r>
          </w:p>
        </w:tc>
        <w:tc>
          <w:tcPr>
            <w:tcW w:w="5333" w:type="dxa"/>
            <w:gridSpan w:val="2"/>
            <w:tcBorders>
              <w:left w:val="single" w:sz="4" w:space="0" w:color="FFFFFF"/>
              <w:bottom w:val="single" w:sz="4" w:space="0" w:color="FFFFFF"/>
              <w:right w:val="single" w:sz="4" w:space="0" w:color="FFFFFF"/>
            </w:tcBorders>
          </w:tcPr>
          <w:p w14:paraId="057ADA0B" w14:textId="77777777" w:rsidR="00922E14" w:rsidRDefault="00922E14" w:rsidP="00202A4D">
            <w:pPr>
              <w:spacing w:after="160"/>
              <w:rPr>
                <w:rFonts w:ascii="Calibri" w:eastAsia="Calibri" w:hAnsi="Calibri" w:cs="Times New Roman"/>
                <w:lang w:val="en-US"/>
              </w:rPr>
            </w:pPr>
            <w:r w:rsidRPr="002E3CAE">
              <w:rPr>
                <w:rFonts w:ascii="Calibri" w:eastAsia="Calibri" w:hAnsi="Calibri" w:cs="Times New Roman"/>
                <w:lang w:val="en-US"/>
              </w:rPr>
              <w:t>All telephone contacts from a customer or a customer’s representative regarding a new or ongoing complaint.  This includes receipt of further information, chasing etc.</w:t>
            </w:r>
          </w:p>
          <w:p w14:paraId="5501B00D" w14:textId="77777777" w:rsidR="00223A73" w:rsidRPr="00851EE4" w:rsidRDefault="00223A73" w:rsidP="00223A73">
            <w:pPr>
              <w:spacing w:after="160"/>
              <w:rPr>
                <w:rFonts w:eastAsia="Calibri" w:cs="Times New Roman"/>
                <w:lang w:val="en-US"/>
              </w:rPr>
            </w:pPr>
            <w:r w:rsidRPr="00851EE4">
              <w:rPr>
                <w:rFonts w:ascii="Calibri" w:eastAsia="Calibri" w:hAnsi="Calibri" w:cs="Times New Roman"/>
                <w:lang w:val="en-US"/>
              </w:rPr>
              <w:t>This line excludes telephone contact or enquiries for a new request for service</w:t>
            </w:r>
            <w:r w:rsidRPr="00223A73">
              <w:rPr>
                <w:rFonts w:ascii="Calibri" w:eastAsia="Calibri" w:hAnsi="Calibri" w:cs="Times New Roman"/>
                <w:lang w:val="en-US"/>
              </w:rPr>
              <w:t xml:space="preserve"> </w:t>
            </w:r>
            <w:r w:rsidRPr="00851EE4">
              <w:rPr>
                <w:rFonts w:ascii="Calibri" w:eastAsia="Calibri" w:hAnsi="Calibri" w:cs="Times New Roman"/>
                <w:lang w:val="en-US"/>
              </w:rPr>
              <w:t>(e.g. a request for a connection or a new toby box).</w:t>
            </w:r>
          </w:p>
          <w:p w14:paraId="369A3D95" w14:textId="13A6EA65" w:rsidR="00931531" w:rsidRPr="0001174F" w:rsidRDefault="00931531" w:rsidP="00202A4D">
            <w:pPr>
              <w:spacing w:after="160"/>
              <w:rPr>
                <w:rFonts w:ascii="Calibri" w:eastAsia="Calibri" w:hAnsi="Calibri" w:cs="Times New Roman"/>
                <w:lang w:val="en-US"/>
              </w:rPr>
            </w:pPr>
          </w:p>
        </w:tc>
      </w:tr>
      <w:tr w:rsidR="00922E14" w:rsidRPr="0001174F" w14:paraId="680045A7" w14:textId="77777777" w:rsidTr="00B529DC">
        <w:tc>
          <w:tcPr>
            <w:tcW w:w="2225" w:type="dxa"/>
            <w:gridSpan w:val="2"/>
            <w:tcBorders>
              <w:top w:val="single" w:sz="4" w:space="0" w:color="FFFFFF"/>
              <w:left w:val="single" w:sz="4" w:space="0" w:color="FFFFFF"/>
              <w:bottom w:val="single" w:sz="4" w:space="0" w:color="FFFFFF"/>
              <w:right w:val="single" w:sz="4" w:space="0" w:color="FFFFFF"/>
            </w:tcBorders>
          </w:tcPr>
          <w:p w14:paraId="718DBC6F"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Processing Rules:</w:t>
            </w:r>
          </w:p>
        </w:tc>
        <w:tc>
          <w:tcPr>
            <w:tcW w:w="5333" w:type="dxa"/>
            <w:gridSpan w:val="2"/>
            <w:tcBorders>
              <w:top w:val="single" w:sz="4" w:space="0" w:color="FFFFFF"/>
              <w:left w:val="single" w:sz="4" w:space="0" w:color="FFFFFF"/>
              <w:bottom w:val="single" w:sz="4" w:space="0" w:color="FFFFFF"/>
              <w:right w:val="single" w:sz="4" w:space="0" w:color="FFFFFF"/>
            </w:tcBorders>
          </w:tcPr>
          <w:p w14:paraId="6582DA5E" w14:textId="77777777" w:rsidR="00922E14" w:rsidRPr="0001174F" w:rsidRDefault="00922E14" w:rsidP="00202A4D">
            <w:pPr>
              <w:spacing w:after="160"/>
              <w:rPr>
                <w:rFonts w:ascii="Calibri" w:eastAsia="Calibri" w:hAnsi="Calibri" w:cs="Times New Roman"/>
                <w:lang w:val="en-US"/>
              </w:rPr>
            </w:pPr>
            <w:r w:rsidRPr="002E3CAE">
              <w:rPr>
                <w:rFonts w:ascii="Calibri" w:eastAsia="Calibri" w:hAnsi="Calibri" w:cs="Times New Roman"/>
                <w:lang w:val="en-US"/>
              </w:rPr>
              <w:t>Input field</w:t>
            </w:r>
          </w:p>
        </w:tc>
      </w:tr>
      <w:tr w:rsidR="00922E14" w:rsidRPr="0001174F" w14:paraId="5F502CD6" w14:textId="77777777" w:rsidTr="00B529DC">
        <w:tc>
          <w:tcPr>
            <w:tcW w:w="904" w:type="dxa"/>
          </w:tcPr>
          <w:p w14:paraId="6D7CFB05"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B5.18</w:t>
            </w:r>
          </w:p>
        </w:tc>
        <w:tc>
          <w:tcPr>
            <w:tcW w:w="5621" w:type="dxa"/>
            <w:gridSpan w:val="2"/>
          </w:tcPr>
          <w:p w14:paraId="6EB6E979" w14:textId="77777777" w:rsidR="00922E14" w:rsidRPr="0001174F" w:rsidRDefault="00922E14" w:rsidP="00202A4D">
            <w:pPr>
              <w:spacing w:after="120"/>
              <w:rPr>
                <w:rFonts w:ascii="Calibri" w:eastAsia="Calibri" w:hAnsi="Calibri" w:cs="Times New Roman"/>
                <w:b/>
                <w:lang w:val="en-US"/>
              </w:rPr>
            </w:pPr>
            <w:r w:rsidRPr="002E3CAE">
              <w:rPr>
                <w:rFonts w:ascii="Calibri" w:eastAsia="Calibri" w:hAnsi="Calibri" w:cs="Times New Roman"/>
                <w:b/>
                <w:lang w:val="en-US"/>
              </w:rPr>
              <w:t>Number of telephone contacts/complaints</w:t>
            </w:r>
          </w:p>
        </w:tc>
        <w:tc>
          <w:tcPr>
            <w:tcW w:w="1033" w:type="dxa"/>
          </w:tcPr>
          <w:p w14:paraId="7A27AE21"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Nr</w:t>
            </w:r>
          </w:p>
        </w:tc>
      </w:tr>
      <w:tr w:rsidR="00922E14" w:rsidRPr="0001174F" w14:paraId="79492304" w14:textId="77777777" w:rsidTr="00B529DC">
        <w:tc>
          <w:tcPr>
            <w:tcW w:w="2225" w:type="dxa"/>
            <w:gridSpan w:val="2"/>
            <w:tcBorders>
              <w:left w:val="single" w:sz="4" w:space="0" w:color="FFFFFF"/>
              <w:bottom w:val="single" w:sz="4" w:space="0" w:color="FFFFFF"/>
              <w:right w:val="single" w:sz="4" w:space="0" w:color="FFFFFF"/>
            </w:tcBorders>
          </w:tcPr>
          <w:p w14:paraId="21D4E988"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Definition:</w:t>
            </w:r>
          </w:p>
        </w:tc>
        <w:tc>
          <w:tcPr>
            <w:tcW w:w="5333" w:type="dxa"/>
            <w:gridSpan w:val="2"/>
            <w:tcBorders>
              <w:left w:val="single" w:sz="4" w:space="0" w:color="FFFFFF"/>
              <w:bottom w:val="single" w:sz="4" w:space="0" w:color="FFFFFF"/>
              <w:right w:val="single" w:sz="4" w:space="0" w:color="FFFFFF"/>
            </w:tcBorders>
          </w:tcPr>
          <w:p w14:paraId="4F2D1F07" w14:textId="77777777" w:rsidR="00922E14" w:rsidRDefault="00922E14" w:rsidP="00202A4D">
            <w:pPr>
              <w:spacing w:after="160"/>
              <w:rPr>
                <w:rFonts w:ascii="Calibri" w:eastAsia="Calibri" w:hAnsi="Calibri" w:cs="Times New Roman"/>
                <w:lang w:val="en-US"/>
              </w:rPr>
            </w:pPr>
            <w:r w:rsidRPr="002E3CAE">
              <w:rPr>
                <w:rFonts w:ascii="Calibri" w:eastAsia="Calibri" w:hAnsi="Calibri" w:cs="Times New Roman"/>
                <w:lang w:val="en-US"/>
              </w:rPr>
              <w:t>Number of telephone contacts per complaint</w:t>
            </w:r>
            <w:r>
              <w:rPr>
                <w:rFonts w:ascii="Calibri" w:eastAsia="Calibri" w:hAnsi="Calibri" w:cs="Times New Roman"/>
                <w:lang w:val="en-US"/>
              </w:rPr>
              <w:t>.</w:t>
            </w:r>
          </w:p>
          <w:p w14:paraId="00C8D318" w14:textId="77777777" w:rsidR="00223A73" w:rsidRPr="00851EE4" w:rsidRDefault="00223A73" w:rsidP="00223A73">
            <w:pPr>
              <w:spacing w:after="160"/>
              <w:rPr>
                <w:rFonts w:eastAsia="Calibri" w:cs="Times New Roman"/>
                <w:lang w:val="en-US"/>
              </w:rPr>
            </w:pPr>
            <w:r w:rsidRPr="00851EE4">
              <w:rPr>
                <w:rFonts w:ascii="Calibri" w:eastAsia="Calibri" w:hAnsi="Calibri" w:cs="Times New Roman"/>
                <w:lang w:val="en-US"/>
              </w:rPr>
              <w:t>This line excludes telephone contact or enquiries for a new request for service</w:t>
            </w:r>
            <w:r w:rsidRPr="00223A73">
              <w:rPr>
                <w:rFonts w:ascii="Calibri" w:eastAsia="Calibri" w:hAnsi="Calibri" w:cs="Times New Roman"/>
                <w:lang w:val="en-US"/>
              </w:rPr>
              <w:t xml:space="preserve"> </w:t>
            </w:r>
            <w:r w:rsidRPr="00851EE4">
              <w:rPr>
                <w:rFonts w:ascii="Calibri" w:eastAsia="Calibri" w:hAnsi="Calibri" w:cs="Times New Roman"/>
                <w:lang w:val="en-US"/>
              </w:rPr>
              <w:t>(e.g. a request for a connection or a new toby box).</w:t>
            </w:r>
          </w:p>
          <w:p w14:paraId="000FCD71" w14:textId="6C59E182" w:rsidR="00931531" w:rsidRPr="0001174F" w:rsidRDefault="00931531" w:rsidP="00202A4D">
            <w:pPr>
              <w:spacing w:after="160"/>
              <w:rPr>
                <w:rFonts w:ascii="Calibri" w:eastAsia="Calibri" w:hAnsi="Calibri" w:cs="Times New Roman"/>
                <w:lang w:val="en-US"/>
              </w:rPr>
            </w:pPr>
          </w:p>
        </w:tc>
      </w:tr>
      <w:tr w:rsidR="00922E14" w:rsidRPr="0001174F" w14:paraId="224179B8" w14:textId="77777777" w:rsidTr="00B529DC">
        <w:tc>
          <w:tcPr>
            <w:tcW w:w="2225" w:type="dxa"/>
            <w:gridSpan w:val="2"/>
            <w:tcBorders>
              <w:top w:val="single" w:sz="4" w:space="0" w:color="FFFFFF"/>
              <w:left w:val="single" w:sz="4" w:space="0" w:color="FFFFFF"/>
              <w:bottom w:val="single" w:sz="4" w:space="0" w:color="FFFFFF"/>
              <w:right w:val="single" w:sz="4" w:space="0" w:color="FFFFFF"/>
            </w:tcBorders>
          </w:tcPr>
          <w:p w14:paraId="05D14ECA"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Processing Rules:</w:t>
            </w:r>
          </w:p>
        </w:tc>
        <w:tc>
          <w:tcPr>
            <w:tcW w:w="5333" w:type="dxa"/>
            <w:gridSpan w:val="2"/>
            <w:tcBorders>
              <w:top w:val="single" w:sz="4" w:space="0" w:color="FFFFFF"/>
              <w:left w:val="single" w:sz="4" w:space="0" w:color="FFFFFF"/>
              <w:bottom w:val="single" w:sz="4" w:space="0" w:color="FFFFFF"/>
              <w:right w:val="single" w:sz="4" w:space="0" w:color="FFFFFF"/>
            </w:tcBorders>
          </w:tcPr>
          <w:p w14:paraId="49C83FB9" w14:textId="77777777" w:rsidR="00922E14" w:rsidRPr="0001174F" w:rsidRDefault="00922E14" w:rsidP="00202A4D">
            <w:pPr>
              <w:spacing w:after="160"/>
              <w:rPr>
                <w:rFonts w:ascii="Calibri" w:eastAsia="Calibri" w:hAnsi="Calibri" w:cs="Times New Roman"/>
                <w:lang w:val="en-US"/>
              </w:rPr>
            </w:pPr>
            <w:r w:rsidRPr="002E3CAE">
              <w:rPr>
                <w:rFonts w:ascii="Calibri" w:eastAsia="Calibri" w:hAnsi="Calibri" w:cs="Times New Roman"/>
                <w:lang w:val="en-US"/>
              </w:rPr>
              <w:t xml:space="preserve">Calculated field: </w:t>
            </w:r>
            <w:r>
              <w:rPr>
                <w:rFonts w:ascii="Calibri" w:eastAsia="Calibri" w:hAnsi="Calibri" w:cs="Times New Roman"/>
                <w:lang w:val="en-US"/>
              </w:rPr>
              <w:t>B5.17/B5.16</w:t>
            </w:r>
          </w:p>
        </w:tc>
      </w:tr>
      <w:tr w:rsidR="00922E14" w:rsidRPr="0001174F" w14:paraId="1A8DBBA7" w14:textId="77777777" w:rsidTr="00B529DC">
        <w:tc>
          <w:tcPr>
            <w:tcW w:w="904" w:type="dxa"/>
          </w:tcPr>
          <w:p w14:paraId="44E755B2"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B5.19</w:t>
            </w:r>
          </w:p>
        </w:tc>
        <w:tc>
          <w:tcPr>
            <w:tcW w:w="5621" w:type="dxa"/>
            <w:gridSpan w:val="2"/>
          </w:tcPr>
          <w:p w14:paraId="79CF5CEF" w14:textId="77777777" w:rsidR="00922E14" w:rsidRPr="0001174F" w:rsidRDefault="00922E14" w:rsidP="00202A4D">
            <w:pPr>
              <w:spacing w:after="120"/>
              <w:rPr>
                <w:rFonts w:ascii="Calibri" w:eastAsia="Calibri" w:hAnsi="Calibri" w:cs="Times New Roman"/>
                <w:b/>
                <w:lang w:val="en-US"/>
              </w:rPr>
            </w:pPr>
            <w:r w:rsidRPr="00D75210">
              <w:rPr>
                <w:rFonts w:ascii="Calibri" w:eastAsia="Calibri" w:hAnsi="Calibri" w:cs="Times New Roman"/>
                <w:b/>
                <w:lang w:val="en-US"/>
              </w:rPr>
              <w:t>Number dealt with within 2 working days</w:t>
            </w:r>
          </w:p>
        </w:tc>
        <w:tc>
          <w:tcPr>
            <w:tcW w:w="1033" w:type="dxa"/>
          </w:tcPr>
          <w:p w14:paraId="232D43C6"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Nr</w:t>
            </w:r>
          </w:p>
        </w:tc>
      </w:tr>
      <w:tr w:rsidR="00922E14" w:rsidRPr="0001174F" w14:paraId="3008F9D4" w14:textId="77777777" w:rsidTr="00B529DC">
        <w:tc>
          <w:tcPr>
            <w:tcW w:w="2225" w:type="dxa"/>
            <w:gridSpan w:val="2"/>
            <w:tcBorders>
              <w:left w:val="single" w:sz="4" w:space="0" w:color="FFFFFF"/>
              <w:bottom w:val="single" w:sz="4" w:space="0" w:color="FFFFFF"/>
              <w:right w:val="single" w:sz="4" w:space="0" w:color="FFFFFF"/>
            </w:tcBorders>
          </w:tcPr>
          <w:p w14:paraId="4A64BC66"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Definition:</w:t>
            </w:r>
          </w:p>
        </w:tc>
        <w:tc>
          <w:tcPr>
            <w:tcW w:w="5333" w:type="dxa"/>
            <w:gridSpan w:val="2"/>
            <w:tcBorders>
              <w:left w:val="single" w:sz="4" w:space="0" w:color="FFFFFF"/>
              <w:bottom w:val="single" w:sz="4" w:space="0" w:color="FFFFFF"/>
              <w:right w:val="single" w:sz="4" w:space="0" w:color="FFFFFF"/>
            </w:tcBorders>
          </w:tcPr>
          <w:p w14:paraId="43B6706A" w14:textId="77777777" w:rsidR="00922E14" w:rsidRDefault="00922E14" w:rsidP="00202A4D">
            <w:pPr>
              <w:spacing w:after="160"/>
              <w:rPr>
                <w:rFonts w:ascii="Calibri" w:eastAsia="Calibri" w:hAnsi="Calibri" w:cs="Times New Roman"/>
                <w:lang w:val="en-US"/>
              </w:rPr>
            </w:pPr>
            <w:r w:rsidRPr="002E3CAE">
              <w:rPr>
                <w:rFonts w:ascii="Calibri" w:eastAsia="Calibri" w:hAnsi="Calibri" w:cs="Times New Roman"/>
                <w:lang w:val="en-US"/>
              </w:rPr>
              <w:t>Number of telephone complaints where a written response is requested dealt with within two working days.</w:t>
            </w:r>
          </w:p>
          <w:p w14:paraId="4EACCB02" w14:textId="77777777" w:rsidR="00223A73" w:rsidRPr="00851EE4" w:rsidRDefault="00223A73" w:rsidP="00223A73">
            <w:pPr>
              <w:spacing w:after="160"/>
              <w:rPr>
                <w:rFonts w:eastAsia="Calibri" w:cs="Times New Roman"/>
                <w:lang w:val="en-US"/>
              </w:rPr>
            </w:pPr>
            <w:r w:rsidRPr="00851EE4">
              <w:rPr>
                <w:rFonts w:ascii="Calibri" w:eastAsia="Calibri" w:hAnsi="Calibri" w:cs="Times New Roman"/>
                <w:lang w:val="en-US"/>
              </w:rPr>
              <w:t>This line excludes telephone contact or enquiries for a new request for service</w:t>
            </w:r>
            <w:r w:rsidRPr="00223A73">
              <w:rPr>
                <w:rFonts w:ascii="Calibri" w:eastAsia="Calibri" w:hAnsi="Calibri" w:cs="Times New Roman"/>
                <w:lang w:val="en-US"/>
              </w:rPr>
              <w:t xml:space="preserve"> </w:t>
            </w:r>
            <w:r w:rsidRPr="00851EE4">
              <w:rPr>
                <w:rFonts w:ascii="Calibri" w:eastAsia="Calibri" w:hAnsi="Calibri" w:cs="Times New Roman"/>
                <w:lang w:val="en-US"/>
              </w:rPr>
              <w:t>(e.g. a request for a connection or a new toby box).</w:t>
            </w:r>
          </w:p>
          <w:p w14:paraId="159C80E1" w14:textId="02C11104" w:rsidR="00931531" w:rsidRPr="0001174F" w:rsidRDefault="00931531" w:rsidP="00202A4D">
            <w:pPr>
              <w:spacing w:after="160"/>
              <w:rPr>
                <w:rFonts w:ascii="Calibri" w:eastAsia="Calibri" w:hAnsi="Calibri" w:cs="Times New Roman"/>
                <w:lang w:val="en-US"/>
              </w:rPr>
            </w:pPr>
          </w:p>
        </w:tc>
      </w:tr>
      <w:tr w:rsidR="00922E14" w:rsidRPr="0001174F" w14:paraId="3392E337" w14:textId="77777777" w:rsidTr="00B529DC">
        <w:tc>
          <w:tcPr>
            <w:tcW w:w="2225" w:type="dxa"/>
            <w:gridSpan w:val="2"/>
            <w:tcBorders>
              <w:top w:val="single" w:sz="4" w:space="0" w:color="FFFFFF"/>
              <w:left w:val="single" w:sz="4" w:space="0" w:color="FFFFFF"/>
              <w:bottom w:val="single" w:sz="4" w:space="0" w:color="FFFFFF"/>
              <w:right w:val="single" w:sz="4" w:space="0" w:color="FFFFFF"/>
            </w:tcBorders>
          </w:tcPr>
          <w:p w14:paraId="6364F56F"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Processing Rules:</w:t>
            </w:r>
          </w:p>
        </w:tc>
        <w:tc>
          <w:tcPr>
            <w:tcW w:w="5333" w:type="dxa"/>
            <w:gridSpan w:val="2"/>
            <w:tcBorders>
              <w:top w:val="single" w:sz="4" w:space="0" w:color="FFFFFF"/>
              <w:left w:val="single" w:sz="4" w:space="0" w:color="FFFFFF"/>
              <w:bottom w:val="single" w:sz="4" w:space="0" w:color="FFFFFF"/>
              <w:right w:val="single" w:sz="4" w:space="0" w:color="FFFFFF"/>
            </w:tcBorders>
          </w:tcPr>
          <w:p w14:paraId="33287EBD" w14:textId="77777777" w:rsidR="00922E14" w:rsidRPr="0001174F" w:rsidRDefault="00922E14" w:rsidP="00202A4D">
            <w:pPr>
              <w:spacing w:after="160"/>
              <w:rPr>
                <w:rFonts w:ascii="Calibri" w:eastAsia="Calibri" w:hAnsi="Calibri" w:cs="Times New Roman"/>
                <w:lang w:val="en-US"/>
              </w:rPr>
            </w:pPr>
            <w:r w:rsidRPr="00BE44E0">
              <w:rPr>
                <w:rFonts w:ascii="Calibri" w:eastAsia="Calibri" w:hAnsi="Calibri" w:cs="Times New Roman"/>
                <w:lang w:val="en-US"/>
              </w:rPr>
              <w:t>Input field</w:t>
            </w:r>
          </w:p>
        </w:tc>
      </w:tr>
      <w:tr w:rsidR="00922E14" w:rsidRPr="0001174F" w14:paraId="22B229ED" w14:textId="77777777" w:rsidTr="00B529DC">
        <w:tc>
          <w:tcPr>
            <w:tcW w:w="904" w:type="dxa"/>
          </w:tcPr>
          <w:p w14:paraId="2523848E"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B5.20</w:t>
            </w:r>
          </w:p>
        </w:tc>
        <w:tc>
          <w:tcPr>
            <w:tcW w:w="5621" w:type="dxa"/>
            <w:gridSpan w:val="2"/>
          </w:tcPr>
          <w:p w14:paraId="5EA111AD" w14:textId="77777777" w:rsidR="00922E14" w:rsidRPr="0001174F" w:rsidRDefault="00922E14" w:rsidP="00202A4D">
            <w:pPr>
              <w:spacing w:after="120"/>
              <w:rPr>
                <w:rFonts w:ascii="Calibri" w:eastAsia="Calibri" w:hAnsi="Calibri" w:cs="Times New Roman"/>
                <w:b/>
                <w:lang w:val="en-US"/>
              </w:rPr>
            </w:pPr>
            <w:r w:rsidRPr="00D75210">
              <w:rPr>
                <w:rFonts w:ascii="Calibri" w:eastAsia="Calibri" w:hAnsi="Calibri" w:cs="Times New Roman"/>
                <w:b/>
                <w:lang w:val="en-US"/>
              </w:rPr>
              <w:t>Number dealt with in more than 2 but within 5 working days</w:t>
            </w:r>
          </w:p>
        </w:tc>
        <w:tc>
          <w:tcPr>
            <w:tcW w:w="1033" w:type="dxa"/>
          </w:tcPr>
          <w:p w14:paraId="64300EBC"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Nr</w:t>
            </w:r>
          </w:p>
        </w:tc>
      </w:tr>
      <w:tr w:rsidR="00922E14" w:rsidRPr="0001174F" w14:paraId="5D55C597" w14:textId="77777777" w:rsidTr="00B529DC">
        <w:tc>
          <w:tcPr>
            <w:tcW w:w="2225" w:type="dxa"/>
            <w:gridSpan w:val="2"/>
            <w:tcBorders>
              <w:left w:val="single" w:sz="4" w:space="0" w:color="FFFFFF"/>
              <w:bottom w:val="single" w:sz="4" w:space="0" w:color="FFFFFF"/>
              <w:right w:val="single" w:sz="4" w:space="0" w:color="FFFFFF"/>
            </w:tcBorders>
          </w:tcPr>
          <w:p w14:paraId="27FF2498"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Definition:</w:t>
            </w:r>
          </w:p>
        </w:tc>
        <w:tc>
          <w:tcPr>
            <w:tcW w:w="5333" w:type="dxa"/>
            <w:gridSpan w:val="2"/>
            <w:tcBorders>
              <w:left w:val="single" w:sz="4" w:space="0" w:color="FFFFFF"/>
              <w:bottom w:val="single" w:sz="4" w:space="0" w:color="FFFFFF"/>
              <w:right w:val="single" w:sz="4" w:space="0" w:color="FFFFFF"/>
            </w:tcBorders>
          </w:tcPr>
          <w:p w14:paraId="4CC2C093" w14:textId="77777777" w:rsidR="00922E14" w:rsidRDefault="00922E14" w:rsidP="00202A4D">
            <w:pPr>
              <w:spacing w:after="120"/>
              <w:rPr>
                <w:rFonts w:ascii="Calibri" w:eastAsia="Calibri" w:hAnsi="Calibri" w:cs="Times New Roman"/>
                <w:lang w:val="en-US"/>
              </w:rPr>
            </w:pPr>
            <w:r w:rsidRPr="002E3CAE">
              <w:rPr>
                <w:rFonts w:ascii="Calibri" w:eastAsia="Calibri" w:hAnsi="Calibri" w:cs="Times New Roman"/>
                <w:lang w:val="en-US"/>
              </w:rPr>
              <w:t>Number of telephone complaints where a written response is requested dealt with in more than two working days but within five working days.</w:t>
            </w:r>
          </w:p>
          <w:p w14:paraId="0812E3CC" w14:textId="77777777" w:rsidR="00223A73" w:rsidRPr="00851EE4" w:rsidRDefault="00223A73" w:rsidP="00223A73">
            <w:pPr>
              <w:spacing w:after="160"/>
              <w:rPr>
                <w:rFonts w:eastAsia="Calibri" w:cs="Times New Roman"/>
                <w:lang w:val="en-US"/>
              </w:rPr>
            </w:pPr>
            <w:r w:rsidRPr="00851EE4">
              <w:rPr>
                <w:rFonts w:ascii="Calibri" w:eastAsia="Calibri" w:hAnsi="Calibri" w:cs="Times New Roman"/>
                <w:lang w:val="en-US"/>
              </w:rPr>
              <w:t>This line excludes telephone contact or enquiries for a new request for service</w:t>
            </w:r>
            <w:r w:rsidRPr="00223A73">
              <w:rPr>
                <w:rFonts w:ascii="Calibri" w:eastAsia="Calibri" w:hAnsi="Calibri" w:cs="Times New Roman"/>
                <w:lang w:val="en-US"/>
              </w:rPr>
              <w:t xml:space="preserve"> </w:t>
            </w:r>
            <w:r w:rsidRPr="00851EE4">
              <w:rPr>
                <w:rFonts w:ascii="Calibri" w:eastAsia="Calibri" w:hAnsi="Calibri" w:cs="Times New Roman"/>
                <w:lang w:val="en-US"/>
              </w:rPr>
              <w:t>(e.g. a request for a connection or a new toby box).</w:t>
            </w:r>
          </w:p>
          <w:p w14:paraId="022B973E" w14:textId="3FC03BCB" w:rsidR="00931531" w:rsidRPr="0001174F" w:rsidRDefault="00931531" w:rsidP="00202A4D">
            <w:pPr>
              <w:spacing w:after="120"/>
              <w:rPr>
                <w:rFonts w:ascii="Calibri" w:eastAsia="Calibri" w:hAnsi="Calibri" w:cs="Times New Roman"/>
                <w:lang w:val="en-US"/>
              </w:rPr>
            </w:pPr>
          </w:p>
        </w:tc>
      </w:tr>
      <w:tr w:rsidR="00922E14" w:rsidRPr="0001174F" w14:paraId="429FCC61" w14:textId="77777777" w:rsidTr="00B529DC">
        <w:tc>
          <w:tcPr>
            <w:tcW w:w="2225" w:type="dxa"/>
            <w:gridSpan w:val="2"/>
            <w:tcBorders>
              <w:top w:val="single" w:sz="4" w:space="0" w:color="FFFFFF"/>
              <w:left w:val="single" w:sz="4" w:space="0" w:color="FFFFFF"/>
              <w:bottom w:val="single" w:sz="4" w:space="0" w:color="FFFFFF"/>
              <w:right w:val="single" w:sz="4" w:space="0" w:color="FFFFFF"/>
            </w:tcBorders>
          </w:tcPr>
          <w:p w14:paraId="3E8A282C"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Processing Rules:</w:t>
            </w:r>
          </w:p>
        </w:tc>
        <w:tc>
          <w:tcPr>
            <w:tcW w:w="5333" w:type="dxa"/>
            <w:gridSpan w:val="2"/>
            <w:tcBorders>
              <w:top w:val="single" w:sz="4" w:space="0" w:color="FFFFFF"/>
              <w:left w:val="single" w:sz="4" w:space="0" w:color="FFFFFF"/>
              <w:bottom w:val="single" w:sz="4" w:space="0" w:color="FFFFFF"/>
              <w:right w:val="single" w:sz="4" w:space="0" w:color="FFFFFF"/>
            </w:tcBorders>
          </w:tcPr>
          <w:p w14:paraId="5533E332" w14:textId="77777777" w:rsidR="00922E14" w:rsidRPr="0001174F" w:rsidRDefault="00922E14" w:rsidP="00202A4D">
            <w:pPr>
              <w:spacing w:after="160"/>
              <w:rPr>
                <w:rFonts w:ascii="Calibri" w:eastAsia="Calibri" w:hAnsi="Calibri" w:cs="Times New Roman"/>
                <w:lang w:val="en-US"/>
              </w:rPr>
            </w:pPr>
            <w:r w:rsidRPr="00BE44E0">
              <w:rPr>
                <w:rFonts w:ascii="Calibri" w:eastAsia="Calibri" w:hAnsi="Calibri" w:cs="Times New Roman"/>
                <w:lang w:val="en-US"/>
              </w:rPr>
              <w:t>Input field</w:t>
            </w:r>
          </w:p>
        </w:tc>
      </w:tr>
      <w:tr w:rsidR="00922E14" w:rsidRPr="0001174F" w14:paraId="61B84399" w14:textId="77777777" w:rsidTr="00B529DC">
        <w:tc>
          <w:tcPr>
            <w:tcW w:w="904" w:type="dxa"/>
          </w:tcPr>
          <w:p w14:paraId="07708F91"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B5.21</w:t>
            </w:r>
          </w:p>
        </w:tc>
        <w:tc>
          <w:tcPr>
            <w:tcW w:w="5621" w:type="dxa"/>
            <w:gridSpan w:val="2"/>
          </w:tcPr>
          <w:p w14:paraId="0440577D" w14:textId="77777777" w:rsidR="00922E14" w:rsidRPr="0001174F" w:rsidRDefault="00922E14" w:rsidP="00202A4D">
            <w:pPr>
              <w:spacing w:after="120"/>
              <w:rPr>
                <w:rFonts w:ascii="Calibri" w:eastAsia="Calibri" w:hAnsi="Calibri" w:cs="Times New Roman"/>
                <w:b/>
                <w:lang w:val="en-US"/>
              </w:rPr>
            </w:pPr>
            <w:r w:rsidRPr="00D75210">
              <w:rPr>
                <w:rFonts w:ascii="Calibri" w:eastAsia="Calibri" w:hAnsi="Calibri" w:cs="Times New Roman"/>
                <w:b/>
                <w:lang w:val="en-US"/>
              </w:rPr>
              <w:t>Number dealt with in more than 5 but within 10 working days</w:t>
            </w:r>
          </w:p>
        </w:tc>
        <w:tc>
          <w:tcPr>
            <w:tcW w:w="1033" w:type="dxa"/>
          </w:tcPr>
          <w:p w14:paraId="33691786"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Nr</w:t>
            </w:r>
          </w:p>
        </w:tc>
      </w:tr>
      <w:tr w:rsidR="00922E14" w:rsidRPr="0001174F" w14:paraId="0848D355" w14:textId="77777777" w:rsidTr="00B529DC">
        <w:tc>
          <w:tcPr>
            <w:tcW w:w="2225" w:type="dxa"/>
            <w:gridSpan w:val="2"/>
            <w:tcBorders>
              <w:left w:val="single" w:sz="4" w:space="0" w:color="FFFFFF"/>
              <w:bottom w:val="single" w:sz="4" w:space="0" w:color="FFFFFF"/>
              <w:right w:val="single" w:sz="4" w:space="0" w:color="FFFFFF"/>
            </w:tcBorders>
          </w:tcPr>
          <w:p w14:paraId="75062F34"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Definition:</w:t>
            </w:r>
          </w:p>
        </w:tc>
        <w:tc>
          <w:tcPr>
            <w:tcW w:w="5333" w:type="dxa"/>
            <w:gridSpan w:val="2"/>
            <w:tcBorders>
              <w:left w:val="single" w:sz="4" w:space="0" w:color="FFFFFF"/>
              <w:bottom w:val="single" w:sz="4" w:space="0" w:color="FFFFFF"/>
              <w:right w:val="single" w:sz="4" w:space="0" w:color="FFFFFF"/>
            </w:tcBorders>
          </w:tcPr>
          <w:p w14:paraId="3438B233" w14:textId="77777777" w:rsidR="00922E14" w:rsidRDefault="00922E14" w:rsidP="00202A4D">
            <w:pPr>
              <w:spacing w:after="120"/>
              <w:rPr>
                <w:rFonts w:ascii="Calibri" w:eastAsia="Calibri" w:hAnsi="Calibri" w:cs="Times New Roman"/>
                <w:lang w:val="en-US"/>
              </w:rPr>
            </w:pPr>
            <w:r w:rsidRPr="002E3CAE">
              <w:rPr>
                <w:rFonts w:ascii="Calibri" w:eastAsia="Calibri" w:hAnsi="Calibri" w:cs="Times New Roman"/>
                <w:lang w:val="en-US"/>
              </w:rPr>
              <w:t>Number of telephone complaints where a written response is requested dealt with in more than five working days but within ten working days.</w:t>
            </w:r>
          </w:p>
          <w:p w14:paraId="6E77A026" w14:textId="77777777" w:rsidR="00223A73" w:rsidRPr="00851EE4" w:rsidRDefault="00223A73" w:rsidP="00223A73">
            <w:pPr>
              <w:spacing w:after="160"/>
              <w:rPr>
                <w:rFonts w:eastAsia="Calibri" w:cs="Times New Roman"/>
                <w:lang w:val="en-US"/>
              </w:rPr>
            </w:pPr>
            <w:r w:rsidRPr="00851EE4">
              <w:rPr>
                <w:rFonts w:ascii="Calibri" w:eastAsia="Calibri" w:hAnsi="Calibri" w:cs="Times New Roman"/>
                <w:lang w:val="en-US"/>
              </w:rPr>
              <w:lastRenderedPageBreak/>
              <w:t>This line excludes telephone contact or enquiries for a new request for service</w:t>
            </w:r>
            <w:r w:rsidRPr="00223A73">
              <w:rPr>
                <w:rFonts w:ascii="Calibri" w:eastAsia="Calibri" w:hAnsi="Calibri" w:cs="Times New Roman"/>
                <w:lang w:val="en-US"/>
              </w:rPr>
              <w:t xml:space="preserve"> </w:t>
            </w:r>
            <w:r w:rsidRPr="00851EE4">
              <w:rPr>
                <w:rFonts w:ascii="Calibri" w:eastAsia="Calibri" w:hAnsi="Calibri" w:cs="Times New Roman"/>
                <w:lang w:val="en-US"/>
              </w:rPr>
              <w:t>(e.g. a request for a connection or a new toby box).</w:t>
            </w:r>
          </w:p>
          <w:p w14:paraId="094DC9F1" w14:textId="626412F8" w:rsidR="00931531" w:rsidRPr="0001174F" w:rsidRDefault="00931531" w:rsidP="00202A4D">
            <w:pPr>
              <w:spacing w:after="120"/>
              <w:rPr>
                <w:rFonts w:ascii="Calibri" w:eastAsia="Calibri" w:hAnsi="Calibri" w:cs="Times New Roman"/>
                <w:lang w:val="en-US"/>
              </w:rPr>
            </w:pPr>
          </w:p>
        </w:tc>
      </w:tr>
      <w:tr w:rsidR="00922E14" w:rsidRPr="0001174F" w14:paraId="2BD89A84" w14:textId="77777777" w:rsidTr="00B529DC">
        <w:tc>
          <w:tcPr>
            <w:tcW w:w="2225" w:type="dxa"/>
            <w:gridSpan w:val="2"/>
            <w:tcBorders>
              <w:top w:val="single" w:sz="4" w:space="0" w:color="FFFFFF"/>
              <w:left w:val="single" w:sz="4" w:space="0" w:color="FFFFFF"/>
              <w:bottom w:val="single" w:sz="4" w:space="0" w:color="FFFFFF"/>
              <w:right w:val="single" w:sz="4" w:space="0" w:color="FFFFFF"/>
            </w:tcBorders>
          </w:tcPr>
          <w:p w14:paraId="6CE020DE"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lastRenderedPageBreak/>
              <w:t>Processing Rules:</w:t>
            </w:r>
          </w:p>
        </w:tc>
        <w:tc>
          <w:tcPr>
            <w:tcW w:w="5333" w:type="dxa"/>
            <w:gridSpan w:val="2"/>
            <w:tcBorders>
              <w:top w:val="single" w:sz="4" w:space="0" w:color="FFFFFF"/>
              <w:left w:val="single" w:sz="4" w:space="0" w:color="FFFFFF"/>
              <w:bottom w:val="single" w:sz="4" w:space="0" w:color="FFFFFF"/>
              <w:right w:val="single" w:sz="4" w:space="0" w:color="FFFFFF"/>
            </w:tcBorders>
          </w:tcPr>
          <w:p w14:paraId="6D59DF4E" w14:textId="77777777" w:rsidR="00922E14" w:rsidRPr="0001174F" w:rsidRDefault="00922E14" w:rsidP="00202A4D">
            <w:pPr>
              <w:spacing w:after="160"/>
              <w:rPr>
                <w:rFonts w:ascii="Calibri" w:eastAsia="Calibri" w:hAnsi="Calibri" w:cs="Times New Roman"/>
                <w:lang w:val="en-US"/>
              </w:rPr>
            </w:pPr>
            <w:r w:rsidRPr="00BE44E0">
              <w:rPr>
                <w:rFonts w:ascii="Calibri" w:eastAsia="Calibri" w:hAnsi="Calibri" w:cs="Times New Roman"/>
                <w:lang w:val="en-US"/>
              </w:rPr>
              <w:t>Input field</w:t>
            </w:r>
          </w:p>
        </w:tc>
      </w:tr>
      <w:tr w:rsidR="00922E14" w:rsidRPr="0001174F" w14:paraId="202EBB53" w14:textId="77777777" w:rsidTr="00B529DC">
        <w:tc>
          <w:tcPr>
            <w:tcW w:w="904" w:type="dxa"/>
          </w:tcPr>
          <w:p w14:paraId="2FAC7213"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B5.22</w:t>
            </w:r>
          </w:p>
        </w:tc>
        <w:tc>
          <w:tcPr>
            <w:tcW w:w="5621" w:type="dxa"/>
            <w:gridSpan w:val="2"/>
          </w:tcPr>
          <w:p w14:paraId="05A11E9E" w14:textId="52267CF5" w:rsidR="00922E14" w:rsidRPr="0001174F" w:rsidRDefault="00922E14" w:rsidP="00202A4D">
            <w:pPr>
              <w:spacing w:after="120"/>
              <w:rPr>
                <w:rFonts w:ascii="Calibri" w:eastAsia="Calibri" w:hAnsi="Calibri" w:cs="Times New Roman"/>
                <w:b/>
                <w:lang w:val="en-US"/>
              </w:rPr>
            </w:pPr>
            <w:r w:rsidRPr="00D75210">
              <w:rPr>
                <w:rFonts w:ascii="Calibri" w:eastAsia="Calibri" w:hAnsi="Calibri" w:cs="Times New Roman"/>
                <w:b/>
                <w:lang w:val="en-US"/>
              </w:rPr>
              <w:t>Number dealt with in more than 10 working days</w:t>
            </w:r>
          </w:p>
        </w:tc>
        <w:tc>
          <w:tcPr>
            <w:tcW w:w="1033" w:type="dxa"/>
          </w:tcPr>
          <w:p w14:paraId="11205377" w14:textId="77777777" w:rsidR="00922E14" w:rsidRPr="0001174F" w:rsidRDefault="00922E14" w:rsidP="00202A4D">
            <w:pPr>
              <w:spacing w:after="120"/>
              <w:rPr>
                <w:rFonts w:ascii="Calibri" w:eastAsia="Calibri" w:hAnsi="Calibri" w:cs="Times New Roman"/>
                <w:b/>
                <w:lang w:val="en-US"/>
              </w:rPr>
            </w:pPr>
            <w:r>
              <w:rPr>
                <w:rFonts w:ascii="Calibri" w:eastAsia="Calibri" w:hAnsi="Calibri" w:cs="Times New Roman"/>
                <w:b/>
                <w:lang w:val="en-US"/>
              </w:rPr>
              <w:t>Nr</w:t>
            </w:r>
          </w:p>
        </w:tc>
      </w:tr>
      <w:tr w:rsidR="00922E14" w:rsidRPr="0001174F" w14:paraId="3DBFA191" w14:textId="77777777" w:rsidTr="00B529DC">
        <w:tc>
          <w:tcPr>
            <w:tcW w:w="2225" w:type="dxa"/>
            <w:gridSpan w:val="2"/>
            <w:tcBorders>
              <w:left w:val="single" w:sz="4" w:space="0" w:color="FFFFFF"/>
              <w:bottom w:val="single" w:sz="4" w:space="0" w:color="FFFFFF"/>
              <w:right w:val="single" w:sz="4" w:space="0" w:color="FFFFFF"/>
            </w:tcBorders>
          </w:tcPr>
          <w:p w14:paraId="3BD51061"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Definition:</w:t>
            </w:r>
          </w:p>
        </w:tc>
        <w:tc>
          <w:tcPr>
            <w:tcW w:w="5333" w:type="dxa"/>
            <w:gridSpan w:val="2"/>
            <w:tcBorders>
              <w:left w:val="single" w:sz="4" w:space="0" w:color="FFFFFF"/>
              <w:bottom w:val="single" w:sz="4" w:space="0" w:color="FFFFFF"/>
              <w:right w:val="single" w:sz="4" w:space="0" w:color="FFFFFF"/>
            </w:tcBorders>
          </w:tcPr>
          <w:p w14:paraId="29156649" w14:textId="77777777" w:rsidR="00922E14" w:rsidRDefault="00922E14" w:rsidP="00202A4D">
            <w:pPr>
              <w:spacing w:after="120"/>
              <w:rPr>
                <w:rFonts w:ascii="Calibri" w:eastAsia="Calibri" w:hAnsi="Calibri" w:cs="Times New Roman"/>
                <w:lang w:val="en-US"/>
              </w:rPr>
            </w:pPr>
            <w:r w:rsidRPr="002E3CAE">
              <w:rPr>
                <w:rFonts w:ascii="Calibri" w:eastAsia="Calibri" w:hAnsi="Calibri" w:cs="Times New Roman"/>
                <w:lang w:val="en-US"/>
              </w:rPr>
              <w:t>Number of telephone complaints where a written response is requested dealt with in more than ten working days.</w:t>
            </w:r>
          </w:p>
          <w:p w14:paraId="1F7AE47B" w14:textId="77777777" w:rsidR="00223A73" w:rsidRPr="00851EE4" w:rsidRDefault="00223A73" w:rsidP="00223A73">
            <w:pPr>
              <w:spacing w:after="160"/>
              <w:rPr>
                <w:rFonts w:eastAsia="Calibri" w:cs="Times New Roman"/>
                <w:lang w:val="en-US"/>
              </w:rPr>
            </w:pPr>
            <w:r w:rsidRPr="00851EE4">
              <w:rPr>
                <w:rFonts w:ascii="Calibri" w:eastAsia="Calibri" w:hAnsi="Calibri" w:cs="Times New Roman"/>
                <w:lang w:val="en-US"/>
              </w:rPr>
              <w:t>This line excludes telephone contact or enquiries for a new request for service</w:t>
            </w:r>
            <w:r w:rsidRPr="00223A73">
              <w:rPr>
                <w:rFonts w:ascii="Calibri" w:eastAsia="Calibri" w:hAnsi="Calibri" w:cs="Times New Roman"/>
                <w:lang w:val="en-US"/>
              </w:rPr>
              <w:t xml:space="preserve"> </w:t>
            </w:r>
            <w:r w:rsidRPr="00851EE4">
              <w:rPr>
                <w:rFonts w:ascii="Calibri" w:eastAsia="Calibri" w:hAnsi="Calibri" w:cs="Times New Roman"/>
                <w:lang w:val="en-US"/>
              </w:rPr>
              <w:t>(e.g. a request for a connection or a new toby box).</w:t>
            </w:r>
          </w:p>
          <w:p w14:paraId="77E24009" w14:textId="766F5B7B" w:rsidR="00931531" w:rsidRPr="0001174F" w:rsidRDefault="00931531" w:rsidP="00202A4D">
            <w:pPr>
              <w:spacing w:after="120"/>
              <w:rPr>
                <w:rFonts w:ascii="Calibri" w:eastAsia="Calibri" w:hAnsi="Calibri" w:cs="Times New Roman"/>
                <w:lang w:val="en-US"/>
              </w:rPr>
            </w:pPr>
          </w:p>
        </w:tc>
      </w:tr>
      <w:tr w:rsidR="00922E14" w:rsidRPr="0001174F" w14:paraId="380502E7" w14:textId="77777777" w:rsidTr="00B529DC">
        <w:tc>
          <w:tcPr>
            <w:tcW w:w="2225" w:type="dxa"/>
            <w:gridSpan w:val="2"/>
            <w:tcBorders>
              <w:top w:val="single" w:sz="4" w:space="0" w:color="FFFFFF"/>
              <w:left w:val="single" w:sz="4" w:space="0" w:color="FFFFFF"/>
              <w:bottom w:val="single" w:sz="4" w:space="0" w:color="FFFFFF"/>
              <w:right w:val="single" w:sz="4" w:space="0" w:color="FFFFFF"/>
            </w:tcBorders>
          </w:tcPr>
          <w:p w14:paraId="7BA5FABC" w14:textId="77777777" w:rsidR="00922E14" w:rsidRPr="0001174F" w:rsidRDefault="00922E14" w:rsidP="00202A4D">
            <w:pPr>
              <w:spacing w:after="160"/>
              <w:rPr>
                <w:rFonts w:ascii="Calibri" w:eastAsia="Calibri" w:hAnsi="Calibri" w:cs="Times New Roman"/>
                <w:b/>
                <w:i/>
                <w:lang w:val="en-US"/>
              </w:rPr>
            </w:pPr>
            <w:r w:rsidRPr="00B923FE">
              <w:rPr>
                <w:rFonts w:ascii="Calibri" w:eastAsia="Calibri" w:hAnsi="Calibri" w:cs="Times New Roman"/>
                <w:b/>
                <w:i/>
                <w:lang w:val="en-US"/>
              </w:rPr>
              <w:t>Processing Rules:</w:t>
            </w:r>
          </w:p>
        </w:tc>
        <w:tc>
          <w:tcPr>
            <w:tcW w:w="5333" w:type="dxa"/>
            <w:gridSpan w:val="2"/>
            <w:tcBorders>
              <w:top w:val="single" w:sz="4" w:space="0" w:color="FFFFFF"/>
              <w:left w:val="single" w:sz="4" w:space="0" w:color="FFFFFF"/>
              <w:bottom w:val="single" w:sz="4" w:space="0" w:color="FFFFFF"/>
              <w:right w:val="single" w:sz="4" w:space="0" w:color="FFFFFF"/>
            </w:tcBorders>
          </w:tcPr>
          <w:p w14:paraId="2990EDF1" w14:textId="77777777" w:rsidR="00922E14" w:rsidRPr="0001174F" w:rsidRDefault="00922E14" w:rsidP="00202A4D">
            <w:pPr>
              <w:spacing w:after="160"/>
              <w:rPr>
                <w:rFonts w:ascii="Calibri" w:eastAsia="Calibri" w:hAnsi="Calibri" w:cs="Times New Roman"/>
                <w:lang w:val="en-US"/>
              </w:rPr>
            </w:pPr>
            <w:r w:rsidRPr="00BE44E0">
              <w:rPr>
                <w:rFonts w:ascii="Calibri" w:eastAsia="Calibri" w:hAnsi="Calibri" w:cs="Times New Roman"/>
                <w:lang w:val="en-US"/>
              </w:rPr>
              <w:t>Input field</w:t>
            </w:r>
          </w:p>
        </w:tc>
      </w:tr>
    </w:tbl>
    <w:p w14:paraId="5DB43E35" w14:textId="77777777" w:rsidR="002E5BA1" w:rsidRDefault="002E5BA1">
      <w:pPr>
        <w:spacing w:after="160" w:line="259" w:lineRule="auto"/>
        <w:rPr>
          <w:rFonts w:ascii="Calibri" w:hAnsi="Calibri" w:cs="Calibri"/>
          <w:sz w:val="21"/>
          <w:szCs w:val="21"/>
        </w:rPr>
      </w:pPr>
      <w:r>
        <w:br w:type="page"/>
      </w:r>
    </w:p>
    <w:p w14:paraId="6E3B592B" w14:textId="44008D61" w:rsidR="00BE4543" w:rsidRDefault="00BE4543" w:rsidP="002E5BA1">
      <w:pPr>
        <w:pStyle w:val="Title1"/>
      </w:pPr>
      <w:r>
        <w:lastRenderedPageBreak/>
        <w:t>TABLE B6: CUSTOMER CARE – OTHER</w:t>
      </w:r>
      <w:r w:rsidR="00A902F8">
        <w:t xml:space="preserve"> (Three Waters)</w:t>
      </w:r>
    </w:p>
    <w:p w14:paraId="75D8C6D2" w14:textId="77777777" w:rsidR="00BE4543" w:rsidRDefault="00BE4543" w:rsidP="00BE4543">
      <w:pPr>
        <w:pStyle w:val="Bodyromannumerals"/>
      </w:pPr>
    </w:p>
    <w:p w14:paraId="3F467B9C" w14:textId="77777777" w:rsidR="003E70DF" w:rsidRDefault="003E70DF" w:rsidP="003E70DF">
      <w:pPr>
        <w:pStyle w:val="Sectionsub-heading"/>
      </w:pPr>
      <w:r>
        <w:t>Overall guidance</w:t>
      </w:r>
    </w:p>
    <w:p w14:paraId="4259D1E3" w14:textId="705F1EE0" w:rsidR="00512AE8" w:rsidRDefault="00512AE8" w:rsidP="00911155">
      <w:pPr>
        <w:pStyle w:val="Bodynumbercopy"/>
        <w:numPr>
          <w:ilvl w:val="0"/>
          <w:numId w:val="49"/>
        </w:numPr>
      </w:pPr>
      <w:r>
        <w:t xml:space="preserve">If the information is not available for the measure requested, Local Authorities should provide their </w:t>
      </w:r>
      <w:proofErr w:type="gramStart"/>
      <w:r>
        <w:t>best informed</w:t>
      </w:r>
      <w:proofErr w:type="gramEnd"/>
      <w:r>
        <w:t xml:space="preserve"> guess based on the information available and reflect the uncertainty in selecting the appropriate confidence grade.</w:t>
      </w:r>
    </w:p>
    <w:p w14:paraId="0AD5C430" w14:textId="77777777" w:rsidR="00512AE8" w:rsidRPr="009D4FE0" w:rsidRDefault="00512AE8" w:rsidP="00512AE8">
      <w:pPr>
        <w:pStyle w:val="Bodynumbercopy"/>
      </w:pPr>
      <w:r w:rsidRPr="009D4FE0">
        <w:t>Using unplanned interruptions</w:t>
      </w:r>
      <w:r>
        <w:t xml:space="preserve"> in Table B2</w:t>
      </w:r>
      <w:r w:rsidRPr="009D4FE0">
        <w:t xml:space="preserve"> as an example, if the Local Authority has collected information which shows that 150 properties were restored within 8 hours then this would serve as a maximum for the number of properties restored within six hours in line B2.43. A Local Authority could therefore make an informed guess that 100 properties were restored within 6 hours and apply a confidence grade of D5 which would suggest that the reported performance is within +/-50% of the actual performance in the year.  This would result in a maximum of 150 properties (100 + (100 * 50%)) in line with the </w:t>
      </w:r>
      <w:r>
        <w:t xml:space="preserve">known </w:t>
      </w:r>
      <w:r w:rsidRPr="009D4FE0">
        <w:t>properties restored within 8 hours.</w:t>
      </w:r>
    </w:p>
    <w:p w14:paraId="167F6C7A" w14:textId="7E537E7C" w:rsidR="00C10C18" w:rsidRPr="009D4FE0" w:rsidRDefault="00C10C18" w:rsidP="00C10C18">
      <w:pPr>
        <w:pStyle w:val="Bodynumbercopy"/>
      </w:pPr>
      <w:r>
        <w:t>Tables B4, B5 and B6 collect customer care metrics for Three Waters services which are required for benchmarking of levels of service.</w:t>
      </w:r>
    </w:p>
    <w:p w14:paraId="18505E67" w14:textId="69454164" w:rsidR="00BE4543" w:rsidRDefault="009A40E0" w:rsidP="00A12D8A">
      <w:pPr>
        <w:pStyle w:val="Bodynumbercopy"/>
      </w:pPr>
      <w:r>
        <w:t>This table is specific to the Three Waters service</w:t>
      </w:r>
      <w:r w:rsidR="0091435B">
        <w:t>s</w:t>
      </w:r>
      <w:r>
        <w:t xml:space="preserve">. </w:t>
      </w:r>
      <w:r w:rsidR="00BE4543">
        <w:t xml:space="preserve">This table is concerned </w:t>
      </w:r>
      <w:r w:rsidR="002257ED">
        <w:t>with the</w:t>
      </w:r>
      <w:r w:rsidR="003A71C3">
        <w:t xml:space="preserve"> telephone contacts side </w:t>
      </w:r>
      <w:r w:rsidR="00BE4543">
        <w:t xml:space="preserve">of customer care not already dealt with in tables B1 to B5. </w:t>
      </w:r>
    </w:p>
    <w:p w14:paraId="0E2FFD21" w14:textId="25CC7102" w:rsidR="00BE4543" w:rsidRDefault="00BE4543" w:rsidP="00C00C02">
      <w:pPr>
        <w:pStyle w:val="Sectionsub-heading"/>
      </w:pPr>
      <w:r>
        <w:t>Lines B6.1 to B6.</w:t>
      </w:r>
      <w:r w:rsidR="00A83AA9">
        <w:t>6</w:t>
      </w:r>
      <w:r>
        <w:t xml:space="preserve">: Telephone </w:t>
      </w:r>
      <w:r w:rsidR="00996439">
        <w:t>c</w:t>
      </w:r>
      <w:r>
        <w:t>ontact</w:t>
      </w:r>
    </w:p>
    <w:p w14:paraId="620E9CC6" w14:textId="77777777" w:rsidR="00BE4543" w:rsidRDefault="00BE4543" w:rsidP="00C00C02">
      <w:pPr>
        <w:pStyle w:val="Sectionsub-heading"/>
      </w:pPr>
      <w:r>
        <w:t>Aim</w:t>
      </w:r>
    </w:p>
    <w:p w14:paraId="65A14433" w14:textId="493657D4" w:rsidR="00BE4543" w:rsidRPr="00C10211" w:rsidRDefault="00BE4543" w:rsidP="00911155">
      <w:pPr>
        <w:pStyle w:val="Bodynumbercopy"/>
        <w:rPr>
          <w:rFonts w:asciiTheme="minorHAnsi" w:eastAsiaTheme="minorEastAsia" w:hAnsiTheme="minorHAnsi" w:cstheme="minorBidi"/>
        </w:rPr>
      </w:pPr>
      <w:r>
        <w:t xml:space="preserve">The aim of the indicator is to identify the ease with which customers can make a telephone contact with the </w:t>
      </w:r>
      <w:r w:rsidR="00906346">
        <w:t>Local</w:t>
      </w:r>
      <w:r w:rsidR="002E0E38">
        <w:t xml:space="preserve"> Authority</w:t>
      </w:r>
      <w:r>
        <w:t>.</w:t>
      </w:r>
    </w:p>
    <w:p w14:paraId="76C2446C" w14:textId="3DE7A50E" w:rsidR="00BE4543" w:rsidRDefault="00BE4543" w:rsidP="00C00C02">
      <w:pPr>
        <w:pStyle w:val="Sectionsub-heading"/>
      </w:pPr>
      <w:r>
        <w:t xml:space="preserve">Common </w:t>
      </w:r>
      <w:r w:rsidR="00996439">
        <w:t>d</w:t>
      </w:r>
      <w:r>
        <w:t>efinitions</w:t>
      </w:r>
    </w:p>
    <w:p w14:paraId="15C7D2A8" w14:textId="1BD66294" w:rsidR="00BE4543" w:rsidRDefault="00BE4543" w:rsidP="00C10211">
      <w:pPr>
        <w:pStyle w:val="Bodynumbercopy"/>
      </w:pPr>
      <w:r w:rsidRPr="00C10211">
        <w:rPr>
          <w:b/>
          <w:bCs/>
        </w:rPr>
        <w:t>Exclusions</w:t>
      </w:r>
      <w:r>
        <w:t xml:space="preserve">: The indicator is intended to monitor incoming telephone traffic which can be regarded as originating from the </w:t>
      </w:r>
      <w:r w:rsidR="00906346">
        <w:t>Local</w:t>
      </w:r>
      <w:r w:rsidR="002E0E38">
        <w:t xml:space="preserve"> Authority</w:t>
      </w:r>
      <w:r>
        <w:t xml:space="preserve">’s customer base. For example, calls from contractors, suppliers, etc. would not normally be regarded as customer contact. For this reason, a number of categories of call may be excluded. These are: </w:t>
      </w:r>
    </w:p>
    <w:p w14:paraId="2DE92E68" w14:textId="3E37703C" w:rsidR="00BE4543" w:rsidRDefault="003E241B" w:rsidP="00911155">
      <w:pPr>
        <w:pStyle w:val="Bodyromannumerals"/>
        <w:numPr>
          <w:ilvl w:val="0"/>
          <w:numId w:val="33"/>
        </w:numPr>
      </w:pPr>
      <w:r>
        <w:t>C</w:t>
      </w:r>
      <w:r w:rsidR="00BE4543">
        <w:t xml:space="preserve">alls to organisations acting as agents for the </w:t>
      </w:r>
      <w:r w:rsidR="00906346">
        <w:t>Local</w:t>
      </w:r>
      <w:r w:rsidR="002E0E38">
        <w:t xml:space="preserve"> Authority</w:t>
      </w:r>
      <w:r w:rsidR="00BE4543">
        <w:t xml:space="preserve">, contractors and debt collection agencies are excluded from the measure, unless these represent a principal customer contact point with the </w:t>
      </w:r>
      <w:r w:rsidR="00906346">
        <w:t>Local</w:t>
      </w:r>
      <w:r w:rsidR="002E0E38">
        <w:t xml:space="preserve"> Authority</w:t>
      </w:r>
      <w:r w:rsidR="00BE4543">
        <w:t xml:space="preserve"> (e.g. a billing or customer services department operated by a sub-contractor);</w:t>
      </w:r>
    </w:p>
    <w:p w14:paraId="65A6082C" w14:textId="08CD7787" w:rsidR="00BE4543" w:rsidRDefault="003E241B" w:rsidP="00911155">
      <w:pPr>
        <w:pStyle w:val="Bodyromannumerals"/>
        <w:numPr>
          <w:ilvl w:val="0"/>
          <w:numId w:val="33"/>
        </w:numPr>
      </w:pPr>
      <w:r>
        <w:t>C</w:t>
      </w:r>
      <w:r w:rsidR="00BE4543">
        <w:t xml:space="preserve">alls to the direct lines of named individuals or specialist sections, except where the specialist section (such as Debt Recovery) specifically prints its Direct Dial numbers on the </w:t>
      </w:r>
      <w:r w:rsidR="00906346">
        <w:t>Local</w:t>
      </w:r>
      <w:r w:rsidR="002E0E38">
        <w:t xml:space="preserve"> Authority</w:t>
      </w:r>
      <w:r w:rsidR="00BE4543">
        <w:t xml:space="preserve"> letterhead; and</w:t>
      </w:r>
    </w:p>
    <w:p w14:paraId="2D946943" w14:textId="3B11B694" w:rsidR="00BE4543" w:rsidRDefault="003E241B" w:rsidP="00911155">
      <w:pPr>
        <w:pStyle w:val="Bodyromannumerals"/>
        <w:numPr>
          <w:ilvl w:val="0"/>
          <w:numId w:val="33"/>
        </w:numPr>
      </w:pPr>
      <w:r>
        <w:lastRenderedPageBreak/>
        <w:t>T</w:t>
      </w:r>
      <w:r w:rsidR="00BE4543">
        <w:t xml:space="preserve">emporary customer contact points established to meet a specific need e.g. to handle calls about a localised water incident or promotion of an authority initiative. Temporary customer contact points are defined as those telephone numbers (separate from the principal advertised customer contact point) set up to deal with a single topic which will be closed down once the issue has been resolved. the </w:t>
      </w:r>
      <w:r w:rsidR="00906346">
        <w:t>Local</w:t>
      </w:r>
      <w:r w:rsidR="002E0E38">
        <w:t xml:space="preserve"> Authority</w:t>
      </w:r>
      <w:r w:rsidR="00BE4543">
        <w:t xml:space="preserve"> is, however, asked to use the commentary to identify the number and the duration that each temporary customer contact point was in place.</w:t>
      </w:r>
    </w:p>
    <w:p w14:paraId="3196EAAF" w14:textId="65DD579F" w:rsidR="00BE4543" w:rsidRDefault="00BE4543" w:rsidP="001E7C7A">
      <w:pPr>
        <w:pStyle w:val="Bodynumbercopy"/>
      </w:pPr>
      <w:r>
        <w:t xml:space="preserve">Calls in the above categories need not be excluded if, for example, the </w:t>
      </w:r>
      <w:r w:rsidR="00906346">
        <w:t>Local</w:t>
      </w:r>
      <w:r w:rsidR="002E0E38">
        <w:t xml:space="preserve"> Authority</w:t>
      </w:r>
      <w:r>
        <w:t xml:space="preserve"> has one telephone number that fulfils other purposes as well as customer contact.</w:t>
      </w:r>
    </w:p>
    <w:p w14:paraId="05B61006" w14:textId="25978BDC" w:rsidR="00BE4543" w:rsidRDefault="00906346" w:rsidP="001E7C7A">
      <w:pPr>
        <w:pStyle w:val="Bodynumbercopy"/>
      </w:pPr>
      <w:r>
        <w:rPr>
          <w:b/>
          <w:bCs/>
        </w:rPr>
        <w:t>Local</w:t>
      </w:r>
      <w:r w:rsidR="001F7FC0">
        <w:rPr>
          <w:b/>
          <w:bCs/>
        </w:rPr>
        <w:t xml:space="preserve"> </w:t>
      </w:r>
      <w:r w:rsidR="00996439">
        <w:rPr>
          <w:b/>
          <w:bCs/>
        </w:rPr>
        <w:t>A</w:t>
      </w:r>
      <w:r w:rsidR="00BE4543" w:rsidRPr="003E241B">
        <w:rPr>
          <w:b/>
          <w:bCs/>
        </w:rPr>
        <w:t>uthority agent:</w:t>
      </w:r>
      <w:r w:rsidR="00BE4543">
        <w:t xml:space="preserve"> A </w:t>
      </w:r>
      <w:r>
        <w:t>Local</w:t>
      </w:r>
      <w:r w:rsidR="002E0E38">
        <w:t xml:space="preserve"> Authority</w:t>
      </w:r>
      <w:r w:rsidR="00BE4543">
        <w:t xml:space="preserve"> agent is an employee of the </w:t>
      </w:r>
      <w:r>
        <w:t>Local</w:t>
      </w:r>
      <w:r w:rsidR="002E0E38">
        <w:t xml:space="preserve"> Authority</w:t>
      </w:r>
      <w:r w:rsidR="00BE4543">
        <w:t xml:space="preserve"> (operating from a principal advertised customer contact point). Where a principal advertised customer contact point has been sub-contracted, the </w:t>
      </w:r>
      <w:r>
        <w:t>Local</w:t>
      </w:r>
      <w:r w:rsidR="002E0E38">
        <w:t xml:space="preserve"> Authority</w:t>
      </w:r>
      <w:r w:rsidR="00BE4543">
        <w:t xml:space="preserve"> </w:t>
      </w:r>
      <w:r w:rsidR="00BE4543" w:rsidRPr="008039A4">
        <w:rPr>
          <w:shd w:val="clear" w:color="auto" w:fill="FFFFFF" w:themeFill="background1"/>
        </w:rPr>
        <w:t>agent</w:t>
      </w:r>
      <w:r w:rsidR="00BE4543">
        <w:t xml:space="preserve"> is the employee of the sub-contractor. For the avoidance of doubt, local authority </w:t>
      </w:r>
      <w:r w:rsidR="009D138F">
        <w:t>wastewater</w:t>
      </w:r>
      <w:r w:rsidR="00BE4543">
        <w:t xml:space="preserve"> agencies, contractors, debt collection agencies, etc. are not regarded as authority agents as they do not operate or operate from a principal advertised customer contact point.</w:t>
      </w:r>
    </w:p>
    <w:p w14:paraId="34915E7E" w14:textId="7AADEA56" w:rsidR="00BE4543" w:rsidRDefault="00BE4543" w:rsidP="001E7C7A">
      <w:pPr>
        <w:pStyle w:val="Bodynumbercopy"/>
      </w:pPr>
      <w:r w:rsidRPr="286C5C0D">
        <w:rPr>
          <w:b/>
          <w:bCs/>
        </w:rPr>
        <w:t>Office hours:</w:t>
      </w:r>
      <w:r>
        <w:t xml:space="preserve"> The indicator covers office hours only. Office hours are defined as the hours which the </w:t>
      </w:r>
      <w:r w:rsidR="00906346">
        <w:t>Local</w:t>
      </w:r>
      <w:r w:rsidR="002E0E38">
        <w:t xml:space="preserve"> Authority</w:t>
      </w:r>
      <w:r>
        <w:t xml:space="preserve">’s principal advertised customer contact points are open. The expectation is that office hours for the </w:t>
      </w:r>
      <w:r w:rsidR="00906346">
        <w:t>Local</w:t>
      </w:r>
      <w:r w:rsidR="002E0E38">
        <w:t xml:space="preserve"> Authority</w:t>
      </w:r>
      <w:r>
        <w:t xml:space="preserve"> will be within the range of 8 am to 6 pm, Monday to Friday, but where the </w:t>
      </w:r>
      <w:r w:rsidR="00906346">
        <w:t>Local</w:t>
      </w:r>
      <w:r w:rsidR="002E0E38">
        <w:t xml:space="preserve"> Authority</w:t>
      </w:r>
      <w:r>
        <w:t xml:space="preserve">’s office hours extend beyond those times then the extended hours are to be included in the </w:t>
      </w:r>
      <w:r w:rsidR="00906346">
        <w:t>Local</w:t>
      </w:r>
      <w:r w:rsidR="002E0E38">
        <w:t xml:space="preserve"> Authority</w:t>
      </w:r>
      <w:r w:rsidR="0096037B">
        <w:t xml:space="preserve"> </w:t>
      </w:r>
      <w:r>
        <w:t>'s reported data. The relevant hours should be set out in the methodology statement (out of office hours information is collected is separate reporting requirements).</w:t>
      </w:r>
    </w:p>
    <w:p w14:paraId="47E2D6F9" w14:textId="77777777" w:rsidR="00BE4543" w:rsidRDefault="00BE4543" w:rsidP="00462262">
      <w:pPr>
        <w:pStyle w:val="Sectionsub-heading"/>
      </w:pPr>
      <w:r>
        <w:t>Guidance</w:t>
      </w:r>
    </w:p>
    <w:p w14:paraId="645DE812" w14:textId="18BFC129" w:rsidR="00BE4543" w:rsidRDefault="00BE4543" w:rsidP="001E7C7A">
      <w:pPr>
        <w:pStyle w:val="Bodynumbercopy"/>
      </w:pPr>
      <w:r w:rsidRPr="286C5C0D">
        <w:rPr>
          <w:b/>
          <w:bCs/>
        </w:rPr>
        <w:t>General:</w:t>
      </w:r>
      <w:r>
        <w:t xml:space="preserve"> If the </w:t>
      </w:r>
      <w:r w:rsidR="00906346">
        <w:t>Local</w:t>
      </w:r>
      <w:r w:rsidR="002E0E38">
        <w:t xml:space="preserve"> Authority</w:t>
      </w:r>
      <w:r>
        <w:t xml:space="preserve"> is currently unable to report against all or part of this indicator should state in the commentary when they consider they may be able to provide relevant data.</w:t>
      </w:r>
    </w:p>
    <w:p w14:paraId="5E28110F" w14:textId="4075DC7D" w:rsidR="00786589" w:rsidRDefault="00BE4543" w:rsidP="00786589">
      <w:pPr>
        <w:pStyle w:val="Bodynumbercopy"/>
      </w:pPr>
      <w:r w:rsidRPr="286C5C0D">
        <w:rPr>
          <w:b/>
          <w:bCs/>
        </w:rPr>
        <w:t>Configuration of telephony</w:t>
      </w:r>
      <w:r>
        <w:t xml:space="preserve">: </w:t>
      </w:r>
      <w:r w:rsidR="00D1432B">
        <w:t>T</w:t>
      </w:r>
      <w:r>
        <w:t xml:space="preserve">he </w:t>
      </w:r>
      <w:r w:rsidR="00906346">
        <w:t>Local</w:t>
      </w:r>
      <w:r w:rsidR="002E0E38">
        <w:t xml:space="preserve"> Authority</w:t>
      </w:r>
      <w:r>
        <w:t xml:space="preserve"> is asked to describe in the methodology statement the number and configuration of incoming lines linked to principal advertised customer contact points; a schematic diagram should be inserted where this would be helpful. </w:t>
      </w:r>
    </w:p>
    <w:p w14:paraId="79F0CEDF" w14:textId="24DBB042" w:rsidR="00BE4543" w:rsidRDefault="00786589" w:rsidP="001E7C7A">
      <w:pPr>
        <w:pStyle w:val="Bodynumbercopy"/>
      </w:pPr>
      <w:r w:rsidRPr="286C5C0D">
        <w:rPr>
          <w:b/>
          <w:bCs/>
        </w:rPr>
        <w:t>Total calls:</w:t>
      </w:r>
      <w:r>
        <w:t xml:space="preserve"> It is not the intention of the indicator to monitor all incoming telephone traffic only that which is directed to principal advertised customer contact points. For the purposes of the indicator, principal means the main contact point(s) which customers are encouraged/directed to phone to, for example, raise a query, request a service or report a problem</w:t>
      </w:r>
    </w:p>
    <w:p w14:paraId="15130E41" w14:textId="77777777" w:rsidR="00BE4543" w:rsidRDefault="00BE4543" w:rsidP="001E7C7A">
      <w:pPr>
        <w:pStyle w:val="Bodynumbercopy"/>
      </w:pPr>
      <w:r>
        <w:t>For the purposes of the indicator, advertised refers to those customer contact points which appear in telephone directories, newspaper advertisements, on authority literature or are specifically printed (rather than typed) onto authority letterheads but excludes those which are of a temporary nature established to handle a specific topic.</w:t>
      </w:r>
    </w:p>
    <w:p w14:paraId="1716969A" w14:textId="77777777" w:rsidR="00BE4543" w:rsidRDefault="00BE4543" w:rsidP="001E7C7A">
      <w:pPr>
        <w:pStyle w:val="Bodynumbercopy"/>
      </w:pPr>
      <w:r>
        <w:t>Examples of principal advertised customer contact points are</w:t>
      </w:r>
    </w:p>
    <w:p w14:paraId="589C5441" w14:textId="44B63726" w:rsidR="00BE4543" w:rsidRDefault="003E241B" w:rsidP="00911155">
      <w:pPr>
        <w:pStyle w:val="Bodyromannumerals"/>
        <w:numPr>
          <w:ilvl w:val="0"/>
          <w:numId w:val="34"/>
        </w:numPr>
      </w:pPr>
      <w:r>
        <w:lastRenderedPageBreak/>
        <w:t>C</w:t>
      </w:r>
      <w:r w:rsidR="00BE4543">
        <w:t>ustomer accounts;</w:t>
      </w:r>
    </w:p>
    <w:p w14:paraId="0059384E" w14:textId="335E630E" w:rsidR="00BE4543" w:rsidRDefault="003E241B" w:rsidP="00911155">
      <w:pPr>
        <w:pStyle w:val="Bodyromannumerals"/>
        <w:numPr>
          <w:ilvl w:val="0"/>
          <w:numId w:val="34"/>
        </w:numPr>
      </w:pPr>
      <w:r>
        <w:t>C</w:t>
      </w:r>
      <w:r w:rsidR="00BE4543">
        <w:t>ustomer service; or</w:t>
      </w:r>
    </w:p>
    <w:p w14:paraId="79D1B105" w14:textId="7531BC89" w:rsidR="00BE4543" w:rsidRDefault="003E241B" w:rsidP="00911155">
      <w:pPr>
        <w:pStyle w:val="Bodyromannumerals"/>
        <w:numPr>
          <w:ilvl w:val="0"/>
          <w:numId w:val="34"/>
        </w:numPr>
      </w:pPr>
      <w:r>
        <w:t>T</w:t>
      </w:r>
      <w:r w:rsidR="00BE4543">
        <w:t>he main switchboard (if advertised as a customer contact point).</w:t>
      </w:r>
    </w:p>
    <w:p w14:paraId="7BBE1150" w14:textId="68F10DF0" w:rsidR="00BE4543" w:rsidRDefault="00BE4543" w:rsidP="00786589">
      <w:pPr>
        <w:pStyle w:val="Bodynumbercopy"/>
      </w:pPr>
      <w:r w:rsidRPr="286C5C0D">
        <w:rPr>
          <w:b/>
          <w:bCs/>
        </w:rPr>
        <w:t>Percentage of calls:</w:t>
      </w:r>
      <w:r>
        <w:t xml:space="preserve"> This reporting requirement is important as it provides a useful context in which to place the </w:t>
      </w:r>
      <w:r w:rsidR="00906346">
        <w:t>Local</w:t>
      </w:r>
      <w:r w:rsidR="002E0E38">
        <w:t xml:space="preserve"> Authority</w:t>
      </w:r>
      <w:r>
        <w:t>’s data. Data based on sampling is acceptable provided that samples are statistically significant and appropriately allocated. Any sampling method should be described in the methodology.</w:t>
      </w:r>
    </w:p>
    <w:p w14:paraId="45AB30B5" w14:textId="4D665547" w:rsidR="00BE4543" w:rsidRDefault="00BE4543" w:rsidP="001E7C7A">
      <w:pPr>
        <w:pStyle w:val="Bodynumbercopy"/>
      </w:pPr>
      <w:r w:rsidRPr="286C5C0D">
        <w:rPr>
          <w:b/>
          <w:bCs/>
        </w:rPr>
        <w:t>Calls received:</w:t>
      </w:r>
      <w:r>
        <w:t xml:space="preserve"> This is defined as the number of calls, which enter the </w:t>
      </w:r>
      <w:r w:rsidR="00906346">
        <w:t>Local</w:t>
      </w:r>
      <w:r w:rsidR="002E0E38">
        <w:t xml:space="preserve"> Authority</w:t>
      </w:r>
      <w:r>
        <w:t>’s telephone system and receive a ringing tone. Calls that receive an engaged tone, are not to be counted as calls received; such calls will be collected within the All lines busy aspect of the indicator.</w:t>
      </w:r>
    </w:p>
    <w:p w14:paraId="53787954" w14:textId="2E32800F" w:rsidR="00BE4543" w:rsidRDefault="00BE4543" w:rsidP="001E7C7A">
      <w:pPr>
        <w:pStyle w:val="Bodynumbercopy"/>
      </w:pPr>
      <w:r w:rsidRPr="286C5C0D">
        <w:rPr>
          <w:b/>
          <w:bCs/>
        </w:rPr>
        <w:t>Calls answered</w:t>
      </w:r>
      <w:r>
        <w:t xml:space="preserve">: If the </w:t>
      </w:r>
      <w:r w:rsidR="00906346">
        <w:t>Local</w:t>
      </w:r>
      <w:r w:rsidR="002E0E38">
        <w:t xml:space="preserve"> Authority</w:t>
      </w:r>
      <w:r>
        <w:t xml:space="preserve"> uses recorded messages, answering machines, touch tone telephones or automatic transaction/interactive voice response systems, they should take particular care when reporting against this requirement.</w:t>
      </w:r>
    </w:p>
    <w:p w14:paraId="66E7D626" w14:textId="6DC27F7F" w:rsidR="00BE4543" w:rsidRDefault="00BE4543" w:rsidP="00911155">
      <w:pPr>
        <w:pStyle w:val="Bodyromannumerals"/>
        <w:numPr>
          <w:ilvl w:val="0"/>
          <w:numId w:val="35"/>
        </w:numPr>
      </w:pPr>
      <w:r w:rsidRPr="002C5A3F">
        <w:rPr>
          <w:b/>
          <w:bCs/>
        </w:rPr>
        <w:t>Recorded messages - queuing</w:t>
      </w:r>
      <w:r>
        <w:t xml:space="preserve">: It may be that the </w:t>
      </w:r>
      <w:r w:rsidR="00906346">
        <w:t>Local</w:t>
      </w:r>
      <w:r w:rsidR="002E0E38">
        <w:t xml:space="preserve"> Authority</w:t>
      </w:r>
      <w:r>
        <w:t xml:space="preserve"> employs a recorded message to advise customers that they are in a queue. Some recorded messages trip-in within a few seconds of the ringing tone being heard by the customer while others are activated later. For the purposes of the indicator the time to answer the call is taken from the time that the customer would hear the first ringing tone to the time that the </w:t>
      </w:r>
      <w:r w:rsidR="00906346">
        <w:t>Local</w:t>
      </w:r>
      <w:r w:rsidR="002E0E38">
        <w:t xml:space="preserve"> Authority</w:t>
      </w:r>
      <w:r>
        <w:t xml:space="preserve"> agent answers the call, not from or to the time customers hear the recorded message.</w:t>
      </w:r>
      <w:r w:rsidR="00297278">
        <w:t xml:space="preserve"> </w:t>
      </w:r>
      <w:r>
        <w:t xml:space="preserve">If customers hang up during or after hearing the recorded message advising them that they are in a queue or before the </w:t>
      </w:r>
      <w:r w:rsidR="00906346">
        <w:t>Local</w:t>
      </w:r>
      <w:r w:rsidR="002E0E38">
        <w:t xml:space="preserve"> Authority</w:t>
      </w:r>
      <w:r>
        <w:t xml:space="preserve"> agent answers the </w:t>
      </w:r>
      <w:r w:rsidR="00F356D2">
        <w:t>call,</w:t>
      </w:r>
      <w:r>
        <w:t xml:space="preserve"> then such calls are to be reported as abandoned.</w:t>
      </w:r>
    </w:p>
    <w:p w14:paraId="18DB3922" w14:textId="7100E0D5" w:rsidR="00BE4543" w:rsidRDefault="00BE4543" w:rsidP="00911155">
      <w:pPr>
        <w:pStyle w:val="Bodyromannumerals"/>
        <w:numPr>
          <w:ilvl w:val="0"/>
          <w:numId w:val="35"/>
        </w:numPr>
      </w:pPr>
      <w:r w:rsidRPr="002C5A3F">
        <w:rPr>
          <w:b/>
          <w:bCs/>
        </w:rPr>
        <w:t>Recorded messages - message manager</w:t>
      </w:r>
      <w:r>
        <w:t xml:space="preserve">: During localised incidents, such as burst mains or boil water notices, the </w:t>
      </w:r>
      <w:r w:rsidR="00906346">
        <w:t>Local</w:t>
      </w:r>
      <w:r w:rsidR="002E0E38">
        <w:t xml:space="preserve"> Authority</w:t>
      </w:r>
      <w:r>
        <w:t xml:space="preserve"> may use a recorded message, e.g. via a 'message manager' system, to relay information to customers. In such circumstances each call to the recorded message is to be counted as Calls answered.</w:t>
      </w:r>
      <w:r w:rsidR="00871703">
        <w:t xml:space="preserve"> </w:t>
      </w:r>
      <w:r>
        <w:t xml:space="preserve">Some systems cannot identify between those calls, which are answered by a 'message manager' system and those which are abandoned. For the purpose of this requirement the </w:t>
      </w:r>
      <w:r w:rsidR="00906346">
        <w:t>Local</w:t>
      </w:r>
      <w:r w:rsidR="002E0E38">
        <w:t xml:space="preserve"> Authority</w:t>
      </w:r>
      <w:r>
        <w:t xml:space="preserve"> may assume that calls entering the 'message manager' system are answered once the customer has reached the salient part of the message. For example, the 'message manager' systems trips in after 20 seconds with salient part of message reached after a further 20 seconds. Calls recorded within the system as abandoned after 40 seconds should be reported as Calls answered. Calls abandoned before 40 seconds would be classed as Calls abandoned.</w:t>
      </w:r>
    </w:p>
    <w:p w14:paraId="6B67A39B" w14:textId="6FA88B03" w:rsidR="00BE4543" w:rsidRDefault="00BE4543" w:rsidP="00911155">
      <w:pPr>
        <w:pStyle w:val="Bodyromannumerals"/>
        <w:numPr>
          <w:ilvl w:val="0"/>
          <w:numId w:val="35"/>
        </w:numPr>
      </w:pPr>
      <w:r w:rsidRPr="009B43D7">
        <w:rPr>
          <w:b/>
          <w:bCs/>
        </w:rPr>
        <w:t>Answering machines</w:t>
      </w:r>
      <w:r>
        <w:t xml:space="preserve">: If the </w:t>
      </w:r>
      <w:r w:rsidR="00906346">
        <w:t>Local</w:t>
      </w:r>
      <w:r w:rsidR="002E0E38">
        <w:t xml:space="preserve"> Authority</w:t>
      </w:r>
      <w:r>
        <w:t xml:space="preserve"> uses an answering machine during busy periods and asks customers to leave their name, telephone number and reference numbers such calls are to be classed as Calls answered. The response time for calls to answering machines is to be taken from the customer first hearing the ringing tone to the completion of the </w:t>
      </w:r>
      <w:r w:rsidR="00906346">
        <w:t>Local</w:t>
      </w:r>
      <w:r w:rsidR="002E0E38">
        <w:t xml:space="preserve"> Authority</w:t>
      </w:r>
      <w:r>
        <w:t>’s recorded message.</w:t>
      </w:r>
      <w:r w:rsidR="009B43D7">
        <w:t xml:space="preserve"> </w:t>
      </w:r>
      <w:r>
        <w:t xml:space="preserve">The </w:t>
      </w:r>
      <w:r w:rsidR="00906346">
        <w:t>Local</w:t>
      </w:r>
      <w:r w:rsidR="002E0E38">
        <w:t xml:space="preserve"> Authority</w:t>
      </w:r>
      <w:r>
        <w:t xml:space="preserve"> should state in the methodology their policy for responding to customer messages left on answering machines. For example, the </w:t>
      </w:r>
      <w:r w:rsidR="00906346">
        <w:t>Local</w:t>
      </w:r>
      <w:r w:rsidR="002E0E38">
        <w:t xml:space="preserve"> </w:t>
      </w:r>
      <w:r w:rsidR="002E0E38">
        <w:lastRenderedPageBreak/>
        <w:t>Authority</w:t>
      </w:r>
      <w:r>
        <w:t xml:space="preserve"> may have indicated that they return most calls within two hours and all calls within half a working day.</w:t>
      </w:r>
      <w:r w:rsidR="009B43D7">
        <w:t xml:space="preserve"> </w:t>
      </w:r>
      <w:r>
        <w:t xml:space="preserve">If customers hang up before completion of the full recorded </w:t>
      </w:r>
      <w:r w:rsidR="00F356D2">
        <w:t>message,</w:t>
      </w:r>
      <w:r>
        <w:t xml:space="preserve"> then such calls are to be reported as Calls abandoned.</w:t>
      </w:r>
    </w:p>
    <w:p w14:paraId="7EDB4BC8" w14:textId="6CA56A8C" w:rsidR="00BE4543" w:rsidRDefault="00BE4543" w:rsidP="00911155">
      <w:pPr>
        <w:pStyle w:val="Bodyromannumerals"/>
        <w:numPr>
          <w:ilvl w:val="0"/>
          <w:numId w:val="35"/>
        </w:numPr>
      </w:pPr>
      <w:r w:rsidRPr="009B43D7">
        <w:rPr>
          <w:b/>
          <w:bCs/>
        </w:rPr>
        <w:t>Touch tone telephones</w:t>
      </w:r>
      <w:r>
        <w:t xml:space="preserve">: </w:t>
      </w:r>
      <w:r w:rsidR="00D472F0">
        <w:t>T</w:t>
      </w:r>
      <w:r>
        <w:t xml:space="preserve">he </w:t>
      </w:r>
      <w:r w:rsidR="00906346">
        <w:t>Local</w:t>
      </w:r>
      <w:r w:rsidR="002E0E38">
        <w:t xml:space="preserve"> Authority</w:t>
      </w:r>
      <w:r>
        <w:t xml:space="preserve"> may employ a system which asks customers with touch tone telephones to press specified buttons to access specific authority departments/sections. As with recorded messages the time to answer the call is taken from the time that the customer would hear the first ringing tone to the time that the </w:t>
      </w:r>
      <w:r w:rsidR="00906346">
        <w:t>Local</w:t>
      </w:r>
      <w:r w:rsidR="002E0E38">
        <w:t xml:space="preserve"> Authority</w:t>
      </w:r>
      <w:r>
        <w:t xml:space="preserve"> agent answers the call, not to or from the time the recorded message is completed nor to or from the time the customer completes the action of pressing appropriate buttons.</w:t>
      </w:r>
      <w:r w:rsidR="00721691">
        <w:t xml:space="preserve"> </w:t>
      </w:r>
      <w:r>
        <w:t>If customers hang up during or after hearing the message but before pressing appropriate buttons, then such calls are to be reported as Calls abandoned.</w:t>
      </w:r>
    </w:p>
    <w:p w14:paraId="51A23399" w14:textId="0164A7AD" w:rsidR="00BE4543" w:rsidRDefault="00BE4543" w:rsidP="00911155">
      <w:pPr>
        <w:pStyle w:val="Bodyromannumerals"/>
        <w:numPr>
          <w:ilvl w:val="0"/>
          <w:numId w:val="35"/>
        </w:numPr>
      </w:pPr>
      <w:r w:rsidRPr="00721691">
        <w:rPr>
          <w:b/>
          <w:bCs/>
        </w:rPr>
        <w:t>Automatic transactions/interactive voice response</w:t>
      </w:r>
      <w:r>
        <w:t xml:space="preserve">: </w:t>
      </w:r>
      <w:r w:rsidR="00F356D2">
        <w:t>The</w:t>
      </w:r>
      <w:r>
        <w:t xml:space="preserve"> </w:t>
      </w:r>
      <w:r w:rsidR="00906346">
        <w:t>Local</w:t>
      </w:r>
      <w:r w:rsidR="002E0E38">
        <w:t xml:space="preserve"> Authority</w:t>
      </w:r>
      <w:r>
        <w:t xml:space="preserve"> may operate 'automatic transaction' or 'interactive voice response' systems e.g. where a customer provides a meter reading over the telephone to what is essentially an answering machine. Calls to these numbers should be classed as Calls answered with response times taken from the time that the customer would hear the first ringing tone to the time that the completion of the message inviting customers to leave details.</w:t>
      </w:r>
    </w:p>
    <w:p w14:paraId="2B98F78E" w14:textId="77777777" w:rsidR="00BE4543" w:rsidRDefault="00BE4543" w:rsidP="001E7C7A">
      <w:pPr>
        <w:pStyle w:val="Bodynumbercopy"/>
      </w:pPr>
      <w:r>
        <w:t>If customers hang up before completion of the message inviting them to leave, for example, a meter reading, then such calls are to be reported as Calls abandoned.</w:t>
      </w:r>
    </w:p>
    <w:p w14:paraId="265DCA38" w14:textId="0A088851" w:rsidR="00BE4543" w:rsidRDefault="00BE4543" w:rsidP="00911155">
      <w:pPr>
        <w:pStyle w:val="Bodyromannumerals"/>
        <w:numPr>
          <w:ilvl w:val="0"/>
          <w:numId w:val="36"/>
        </w:numPr>
      </w:pPr>
      <w:r w:rsidRPr="000619A3">
        <w:rPr>
          <w:b/>
          <w:bCs/>
        </w:rPr>
        <w:t>Time bands</w:t>
      </w:r>
      <w:r>
        <w:t xml:space="preserve">: The </w:t>
      </w:r>
      <w:r w:rsidR="00906346">
        <w:t>Local</w:t>
      </w:r>
      <w:r w:rsidR="002E0E38">
        <w:t xml:space="preserve"> Authority</w:t>
      </w:r>
      <w:r>
        <w:t xml:space="preserve"> may be able to measure speed of response in five second blocks, others in 10 second blocks while a few are restricted to 15 second blocks. If the </w:t>
      </w:r>
      <w:r w:rsidR="00906346">
        <w:t>Local</w:t>
      </w:r>
      <w:r w:rsidR="002E0E38">
        <w:t xml:space="preserve"> Authority</w:t>
      </w:r>
      <w:r>
        <w:t xml:space="preserve"> is unable to provide directly information on calls answered within each of the required time bands may interpolate using an appropriate method. Details must be given in the methodology statement. </w:t>
      </w:r>
    </w:p>
    <w:p w14:paraId="4BD2DCBD" w14:textId="5D34CB2C" w:rsidR="00BE4543" w:rsidRDefault="00BE4543" w:rsidP="000D0C5F">
      <w:pPr>
        <w:pStyle w:val="Sectionsub-heading"/>
      </w:pPr>
      <w:r>
        <w:t>BLOCK 1: TELEPHONE CONTACTS</w:t>
      </w:r>
    </w:p>
    <w:tbl>
      <w:tblPr>
        <w:tblStyle w:val="TableGrid"/>
        <w:tblW w:w="0" w:type="auto"/>
        <w:tblLook w:val="04A0" w:firstRow="1" w:lastRow="0" w:firstColumn="1" w:lastColumn="0" w:noHBand="0" w:noVBand="1"/>
      </w:tblPr>
      <w:tblGrid>
        <w:gridCol w:w="955"/>
        <w:gridCol w:w="1289"/>
        <w:gridCol w:w="4123"/>
        <w:gridCol w:w="1191"/>
      </w:tblGrid>
      <w:tr w:rsidR="00B4692B" w:rsidRPr="00216F0E" w14:paraId="1276F216" w14:textId="77777777" w:rsidTr="006B4D75">
        <w:tc>
          <w:tcPr>
            <w:tcW w:w="955" w:type="dxa"/>
          </w:tcPr>
          <w:p w14:paraId="541C996B" w14:textId="77777777" w:rsidR="00B4692B" w:rsidRPr="000619A3" w:rsidRDefault="00B4692B" w:rsidP="00B4692B">
            <w:pPr>
              <w:pStyle w:val="Bodyromannumerals"/>
              <w:rPr>
                <w:b/>
                <w:bCs/>
                <w:lang w:val="en-US"/>
              </w:rPr>
            </w:pPr>
            <w:r w:rsidRPr="000619A3">
              <w:rPr>
                <w:b/>
                <w:bCs/>
                <w:lang w:val="en-US"/>
              </w:rPr>
              <w:t>B6.1</w:t>
            </w:r>
          </w:p>
        </w:tc>
        <w:tc>
          <w:tcPr>
            <w:tcW w:w="5412" w:type="dxa"/>
            <w:gridSpan w:val="2"/>
          </w:tcPr>
          <w:p w14:paraId="683676CF" w14:textId="77777777" w:rsidR="00B4692B" w:rsidRPr="000619A3" w:rsidRDefault="00B4692B" w:rsidP="00B4692B">
            <w:pPr>
              <w:pStyle w:val="Bodyromannumerals"/>
              <w:rPr>
                <w:b/>
                <w:bCs/>
                <w:lang w:val="en-US"/>
              </w:rPr>
            </w:pPr>
            <w:r w:rsidRPr="000619A3">
              <w:rPr>
                <w:b/>
                <w:bCs/>
                <w:lang w:val="en-US"/>
              </w:rPr>
              <w:t>Total calls received on customer contact lines</w:t>
            </w:r>
          </w:p>
        </w:tc>
        <w:tc>
          <w:tcPr>
            <w:tcW w:w="1191" w:type="dxa"/>
          </w:tcPr>
          <w:p w14:paraId="0C78D458" w14:textId="3D8A826C" w:rsidR="00B4692B" w:rsidRPr="000619A3" w:rsidRDefault="00B4692B" w:rsidP="00B4692B">
            <w:pPr>
              <w:pStyle w:val="Bodyromannumerals"/>
              <w:rPr>
                <w:b/>
                <w:bCs/>
                <w:lang w:val="en-US"/>
              </w:rPr>
            </w:pPr>
            <w:r w:rsidRPr="000619A3">
              <w:rPr>
                <w:b/>
                <w:bCs/>
                <w:lang w:val="en-US"/>
              </w:rPr>
              <w:t>Nr</w:t>
            </w:r>
            <w:r w:rsidR="000619A3" w:rsidRPr="000619A3">
              <w:rPr>
                <w:b/>
                <w:bCs/>
                <w:lang w:val="en-US"/>
              </w:rPr>
              <w:t>.</w:t>
            </w:r>
          </w:p>
        </w:tc>
      </w:tr>
      <w:tr w:rsidR="00B4692B" w:rsidRPr="00216F0E" w14:paraId="0F00770A" w14:textId="77777777" w:rsidTr="006B4D75">
        <w:tc>
          <w:tcPr>
            <w:tcW w:w="2244" w:type="dxa"/>
            <w:gridSpan w:val="2"/>
            <w:tcBorders>
              <w:left w:val="single" w:sz="4" w:space="0" w:color="FFFFFF"/>
              <w:bottom w:val="single" w:sz="4" w:space="0" w:color="FFFFFF"/>
              <w:right w:val="single" w:sz="4" w:space="0" w:color="FFFFFF"/>
            </w:tcBorders>
          </w:tcPr>
          <w:p w14:paraId="7831FFB8" w14:textId="77777777" w:rsidR="00B4692B" w:rsidRPr="00AF4AEA" w:rsidRDefault="00B4692B" w:rsidP="00B4692B">
            <w:pPr>
              <w:pStyle w:val="Bodyromannumerals"/>
              <w:rPr>
                <w:i/>
                <w:lang w:val="en-US"/>
              </w:rPr>
            </w:pPr>
            <w:r w:rsidRPr="00AF4AEA">
              <w:rPr>
                <w:i/>
                <w:lang w:val="en-US"/>
              </w:rPr>
              <w:t>Definition:</w:t>
            </w:r>
          </w:p>
        </w:tc>
        <w:tc>
          <w:tcPr>
            <w:tcW w:w="5314" w:type="dxa"/>
            <w:gridSpan w:val="2"/>
            <w:tcBorders>
              <w:left w:val="single" w:sz="4" w:space="0" w:color="FFFFFF"/>
              <w:bottom w:val="single" w:sz="4" w:space="0" w:color="FFFFFF"/>
              <w:right w:val="single" w:sz="4" w:space="0" w:color="FFFFFF"/>
            </w:tcBorders>
          </w:tcPr>
          <w:p w14:paraId="312C2BDB" w14:textId="40D9F1D0" w:rsidR="00B4692B" w:rsidRPr="00AF4AEA" w:rsidRDefault="00B4692B" w:rsidP="00B4692B">
            <w:pPr>
              <w:pStyle w:val="Bodyromannumerals"/>
              <w:rPr>
                <w:lang w:val="en-US"/>
              </w:rPr>
            </w:pPr>
            <w:r w:rsidRPr="00AF4AEA">
              <w:rPr>
                <w:lang w:val="en-US"/>
              </w:rPr>
              <w:t xml:space="preserve">This covers all telephone calls to principal advertised customer contact points which can be logged by authority monitoring equipment. This refers to ‘office hours’ only. Calls received is defined as the number of calls which enter the </w:t>
            </w:r>
            <w:r w:rsidR="00906346">
              <w:t>Local</w:t>
            </w:r>
            <w:r w:rsidR="002E0E38">
              <w:t xml:space="preserve"> Authority</w:t>
            </w:r>
            <w:r w:rsidRPr="00AF4AEA">
              <w:rPr>
                <w:lang w:val="en-US"/>
              </w:rPr>
              <w:t>’s telephone system and receive a ringing tone. Calls which receive an engaged tone are to be excluded from this line but will be reflected in line B6.8.</w:t>
            </w:r>
          </w:p>
          <w:p w14:paraId="069B4DB3" w14:textId="264D4F49" w:rsidR="00B4692B" w:rsidRPr="00AF4AEA" w:rsidRDefault="00B4692B" w:rsidP="00B4692B">
            <w:pPr>
              <w:pStyle w:val="Bodyromannumerals"/>
              <w:rPr>
                <w:lang w:val="en-US"/>
              </w:rPr>
            </w:pPr>
            <w:r w:rsidRPr="00AF4AEA">
              <w:rPr>
                <w:lang w:val="en-US"/>
              </w:rPr>
              <w:t xml:space="preserve">The </w:t>
            </w:r>
            <w:r w:rsidR="00906346">
              <w:t>Local</w:t>
            </w:r>
            <w:r w:rsidR="002E0E38">
              <w:t xml:space="preserve"> Authority</w:t>
            </w:r>
            <w:r w:rsidRPr="00AF4AEA">
              <w:rPr>
                <w:lang w:val="en-US"/>
              </w:rPr>
              <w:t xml:space="preserve"> should identify in the commentary the telephone numbers and locations against which they are reporting.</w:t>
            </w:r>
          </w:p>
        </w:tc>
      </w:tr>
      <w:tr w:rsidR="00B4692B" w:rsidRPr="00216F0E" w14:paraId="33701A35" w14:textId="77777777" w:rsidTr="006B4D75">
        <w:tc>
          <w:tcPr>
            <w:tcW w:w="2244" w:type="dxa"/>
            <w:gridSpan w:val="2"/>
            <w:tcBorders>
              <w:top w:val="single" w:sz="4" w:space="0" w:color="FFFFFF"/>
              <w:left w:val="single" w:sz="4" w:space="0" w:color="FFFFFF"/>
              <w:bottom w:val="single" w:sz="4" w:space="0" w:color="FFFFFF"/>
              <w:right w:val="single" w:sz="4" w:space="0" w:color="FFFFFF"/>
            </w:tcBorders>
          </w:tcPr>
          <w:p w14:paraId="1FE37827" w14:textId="77777777" w:rsidR="00B4692B" w:rsidRPr="00AF4AEA" w:rsidRDefault="00B4692B" w:rsidP="00B4692B">
            <w:pPr>
              <w:pStyle w:val="Bodyromannumerals"/>
              <w:rPr>
                <w:i/>
                <w:lang w:val="en-US"/>
              </w:rPr>
            </w:pPr>
            <w:r w:rsidRPr="00AF4AEA">
              <w:rPr>
                <w:i/>
                <w:lang w:val="en-US"/>
              </w:rPr>
              <w:t>Processing Rules:</w:t>
            </w:r>
          </w:p>
        </w:tc>
        <w:tc>
          <w:tcPr>
            <w:tcW w:w="5314" w:type="dxa"/>
            <w:gridSpan w:val="2"/>
            <w:tcBorders>
              <w:top w:val="single" w:sz="4" w:space="0" w:color="FFFFFF"/>
              <w:left w:val="single" w:sz="4" w:space="0" w:color="FFFFFF"/>
              <w:bottom w:val="single" w:sz="4" w:space="0" w:color="FFFFFF"/>
              <w:right w:val="single" w:sz="4" w:space="0" w:color="FFFFFF"/>
            </w:tcBorders>
          </w:tcPr>
          <w:p w14:paraId="74852883" w14:textId="77777777" w:rsidR="00B4692B" w:rsidRPr="00AF4AEA" w:rsidRDefault="00B4692B" w:rsidP="00B4692B">
            <w:pPr>
              <w:pStyle w:val="Bodyromannumerals"/>
              <w:rPr>
                <w:lang w:val="en-US"/>
              </w:rPr>
            </w:pPr>
            <w:r w:rsidRPr="00AF4AEA">
              <w:rPr>
                <w:lang w:val="en-US"/>
              </w:rPr>
              <w:t>Input field</w:t>
            </w:r>
          </w:p>
        </w:tc>
      </w:tr>
      <w:tr w:rsidR="00B4692B" w:rsidRPr="00216F0E" w14:paraId="073A2DA0" w14:textId="77777777" w:rsidTr="006B4D75">
        <w:tc>
          <w:tcPr>
            <w:tcW w:w="955" w:type="dxa"/>
          </w:tcPr>
          <w:p w14:paraId="6EAA3D64" w14:textId="77777777" w:rsidR="00B4692B" w:rsidRPr="000619A3" w:rsidRDefault="00B4692B" w:rsidP="00B4692B">
            <w:pPr>
              <w:pStyle w:val="Bodyromannumerals"/>
              <w:rPr>
                <w:b/>
                <w:bCs/>
                <w:lang w:val="en-US"/>
              </w:rPr>
            </w:pPr>
            <w:r w:rsidRPr="000619A3">
              <w:rPr>
                <w:b/>
                <w:bCs/>
                <w:lang w:val="en-US"/>
              </w:rPr>
              <w:lastRenderedPageBreak/>
              <w:t>B6.2</w:t>
            </w:r>
          </w:p>
        </w:tc>
        <w:tc>
          <w:tcPr>
            <w:tcW w:w="5412" w:type="dxa"/>
            <w:gridSpan w:val="2"/>
          </w:tcPr>
          <w:p w14:paraId="140212E0" w14:textId="77777777" w:rsidR="00B4692B" w:rsidRPr="000619A3" w:rsidRDefault="00B4692B" w:rsidP="00B4692B">
            <w:pPr>
              <w:pStyle w:val="Bodyromannumerals"/>
              <w:rPr>
                <w:b/>
                <w:bCs/>
                <w:lang w:val="en-US"/>
              </w:rPr>
            </w:pPr>
            <w:r w:rsidRPr="000619A3">
              <w:rPr>
                <w:b/>
                <w:bCs/>
                <w:lang w:val="en-US"/>
              </w:rPr>
              <w:t>Total calls received on customer contact lines as a % of all calls received</w:t>
            </w:r>
          </w:p>
        </w:tc>
        <w:tc>
          <w:tcPr>
            <w:tcW w:w="1191" w:type="dxa"/>
          </w:tcPr>
          <w:p w14:paraId="2E9AE46E" w14:textId="77777777" w:rsidR="00B4692B" w:rsidRPr="000619A3" w:rsidRDefault="00B4692B" w:rsidP="00B4692B">
            <w:pPr>
              <w:pStyle w:val="Bodyromannumerals"/>
              <w:rPr>
                <w:b/>
                <w:bCs/>
                <w:lang w:val="en-US"/>
              </w:rPr>
            </w:pPr>
            <w:r w:rsidRPr="000619A3">
              <w:rPr>
                <w:b/>
                <w:bCs/>
                <w:lang w:val="en-US"/>
              </w:rPr>
              <w:t xml:space="preserve">% </w:t>
            </w:r>
          </w:p>
        </w:tc>
      </w:tr>
      <w:tr w:rsidR="00B4692B" w:rsidRPr="00216F0E" w14:paraId="17CCD1E2" w14:textId="77777777" w:rsidTr="006B4D75">
        <w:tc>
          <w:tcPr>
            <w:tcW w:w="2244" w:type="dxa"/>
            <w:gridSpan w:val="2"/>
            <w:tcBorders>
              <w:left w:val="single" w:sz="4" w:space="0" w:color="FFFFFF"/>
              <w:bottom w:val="single" w:sz="4" w:space="0" w:color="FFFFFF"/>
              <w:right w:val="single" w:sz="4" w:space="0" w:color="FFFFFF"/>
            </w:tcBorders>
          </w:tcPr>
          <w:p w14:paraId="5DF5088C" w14:textId="77777777" w:rsidR="00B4692B" w:rsidRPr="00AF4AEA" w:rsidRDefault="00B4692B" w:rsidP="00B4692B">
            <w:pPr>
              <w:pStyle w:val="Bodyromannumerals"/>
              <w:rPr>
                <w:i/>
                <w:lang w:val="en-US"/>
              </w:rPr>
            </w:pPr>
            <w:r w:rsidRPr="00AF4AEA">
              <w:rPr>
                <w:i/>
                <w:lang w:val="en-US"/>
              </w:rPr>
              <w:t>Definition:</w:t>
            </w:r>
          </w:p>
        </w:tc>
        <w:tc>
          <w:tcPr>
            <w:tcW w:w="5314" w:type="dxa"/>
            <w:gridSpan w:val="2"/>
            <w:tcBorders>
              <w:left w:val="single" w:sz="4" w:space="0" w:color="FFFFFF"/>
              <w:bottom w:val="single" w:sz="4" w:space="0" w:color="FFFFFF"/>
              <w:right w:val="single" w:sz="4" w:space="0" w:color="FFFFFF"/>
            </w:tcBorders>
          </w:tcPr>
          <w:p w14:paraId="1C55D042" w14:textId="1122EB36" w:rsidR="00B4692B" w:rsidRPr="00AF4AEA" w:rsidRDefault="00B4692B" w:rsidP="00B4692B">
            <w:pPr>
              <w:pStyle w:val="Bodyromannumerals"/>
              <w:rPr>
                <w:lang w:val="en-US"/>
              </w:rPr>
            </w:pPr>
            <w:r w:rsidRPr="00AF4AEA">
              <w:rPr>
                <w:lang w:val="en-US"/>
              </w:rPr>
              <w:t xml:space="preserve">This category is defined as the proportion of calls to advertised customer contact points as a percentage of all calls received by the </w:t>
            </w:r>
            <w:r w:rsidR="00906346">
              <w:t>Local</w:t>
            </w:r>
            <w:r w:rsidR="002E0E38">
              <w:t xml:space="preserve"> Authority</w:t>
            </w:r>
            <w:r w:rsidRPr="00AF4AEA">
              <w:rPr>
                <w:lang w:val="en-US"/>
              </w:rPr>
              <w:t xml:space="preserve">. This refers to ‘office hours’ only.  </w:t>
            </w:r>
          </w:p>
          <w:p w14:paraId="23232EF2" w14:textId="372D1E02" w:rsidR="00B4692B" w:rsidRPr="00AF4AEA" w:rsidRDefault="00B4692B" w:rsidP="00B4692B">
            <w:pPr>
              <w:pStyle w:val="Bodyromannumerals"/>
              <w:rPr>
                <w:lang w:val="en-US"/>
              </w:rPr>
            </w:pPr>
            <w:r w:rsidRPr="00AF4AEA">
              <w:rPr>
                <w:lang w:val="en-US"/>
              </w:rPr>
              <w:t>This data will be used in assessing information quality; it is not intended to be published in any publication.</w:t>
            </w:r>
          </w:p>
        </w:tc>
      </w:tr>
      <w:tr w:rsidR="00B4692B" w:rsidRPr="00216F0E" w14:paraId="143B514E" w14:textId="77777777" w:rsidTr="006B4D75">
        <w:tc>
          <w:tcPr>
            <w:tcW w:w="2244" w:type="dxa"/>
            <w:gridSpan w:val="2"/>
            <w:tcBorders>
              <w:top w:val="single" w:sz="4" w:space="0" w:color="FFFFFF"/>
              <w:left w:val="single" w:sz="4" w:space="0" w:color="FFFFFF"/>
              <w:bottom w:val="single" w:sz="4" w:space="0" w:color="FFFFFF"/>
              <w:right w:val="single" w:sz="4" w:space="0" w:color="FFFFFF"/>
            </w:tcBorders>
          </w:tcPr>
          <w:p w14:paraId="279C8805" w14:textId="77777777" w:rsidR="00B4692B" w:rsidRPr="00AF4AEA" w:rsidRDefault="00B4692B" w:rsidP="00B4692B">
            <w:pPr>
              <w:pStyle w:val="Bodyromannumerals"/>
              <w:rPr>
                <w:i/>
                <w:lang w:val="en-US"/>
              </w:rPr>
            </w:pPr>
            <w:r w:rsidRPr="00AF4AEA">
              <w:rPr>
                <w:i/>
                <w:lang w:val="en-US"/>
              </w:rPr>
              <w:t>Processing Rules:</w:t>
            </w:r>
          </w:p>
        </w:tc>
        <w:tc>
          <w:tcPr>
            <w:tcW w:w="5314" w:type="dxa"/>
            <w:gridSpan w:val="2"/>
            <w:tcBorders>
              <w:top w:val="single" w:sz="4" w:space="0" w:color="FFFFFF"/>
              <w:left w:val="single" w:sz="4" w:space="0" w:color="FFFFFF"/>
              <w:bottom w:val="single" w:sz="4" w:space="0" w:color="FFFFFF"/>
              <w:right w:val="single" w:sz="4" w:space="0" w:color="FFFFFF"/>
            </w:tcBorders>
          </w:tcPr>
          <w:p w14:paraId="3B1AF525" w14:textId="77777777" w:rsidR="00B4692B" w:rsidRPr="00AF4AEA" w:rsidRDefault="00B4692B" w:rsidP="00B4692B">
            <w:pPr>
              <w:pStyle w:val="Bodyromannumerals"/>
              <w:rPr>
                <w:lang w:val="en-US"/>
              </w:rPr>
            </w:pPr>
            <w:r w:rsidRPr="00AF4AEA">
              <w:rPr>
                <w:lang w:val="en-US"/>
              </w:rPr>
              <w:t>Input field</w:t>
            </w:r>
          </w:p>
        </w:tc>
      </w:tr>
      <w:tr w:rsidR="00B4692B" w:rsidRPr="00216F0E" w14:paraId="780E3828" w14:textId="77777777" w:rsidTr="006B4D75">
        <w:tc>
          <w:tcPr>
            <w:tcW w:w="955" w:type="dxa"/>
          </w:tcPr>
          <w:p w14:paraId="42AACE0A" w14:textId="77777777" w:rsidR="00B4692B" w:rsidRPr="000619A3" w:rsidRDefault="00B4692B" w:rsidP="00B4692B">
            <w:pPr>
              <w:pStyle w:val="Bodyromannumerals"/>
              <w:rPr>
                <w:b/>
                <w:bCs/>
                <w:lang w:val="en-US"/>
              </w:rPr>
            </w:pPr>
            <w:r w:rsidRPr="000619A3">
              <w:rPr>
                <w:b/>
                <w:bCs/>
                <w:lang w:val="en-US"/>
              </w:rPr>
              <w:t>B6.3</w:t>
            </w:r>
          </w:p>
        </w:tc>
        <w:tc>
          <w:tcPr>
            <w:tcW w:w="5412" w:type="dxa"/>
            <w:gridSpan w:val="2"/>
          </w:tcPr>
          <w:p w14:paraId="2DAF3205" w14:textId="77777777" w:rsidR="00B4692B" w:rsidRPr="000619A3" w:rsidRDefault="00B4692B" w:rsidP="00B4692B">
            <w:pPr>
              <w:pStyle w:val="Bodyromannumerals"/>
              <w:rPr>
                <w:b/>
                <w:bCs/>
                <w:lang w:val="en-US"/>
              </w:rPr>
            </w:pPr>
            <w:r w:rsidRPr="000619A3">
              <w:rPr>
                <w:b/>
                <w:bCs/>
                <w:lang w:val="en-US"/>
              </w:rPr>
              <w:t>Total calls answered on customer contact lines</w:t>
            </w:r>
          </w:p>
        </w:tc>
        <w:tc>
          <w:tcPr>
            <w:tcW w:w="1191" w:type="dxa"/>
          </w:tcPr>
          <w:p w14:paraId="351EC23C" w14:textId="05BA4F71" w:rsidR="00B4692B" w:rsidRPr="000619A3" w:rsidRDefault="00B4692B" w:rsidP="00B4692B">
            <w:pPr>
              <w:pStyle w:val="Bodyromannumerals"/>
              <w:rPr>
                <w:b/>
                <w:bCs/>
                <w:lang w:val="en-US"/>
              </w:rPr>
            </w:pPr>
            <w:r w:rsidRPr="000619A3">
              <w:rPr>
                <w:b/>
                <w:bCs/>
                <w:lang w:val="en-US"/>
              </w:rPr>
              <w:t>Nr</w:t>
            </w:r>
            <w:r w:rsidR="000619A3" w:rsidRPr="000619A3">
              <w:rPr>
                <w:b/>
                <w:bCs/>
                <w:lang w:val="en-US"/>
              </w:rPr>
              <w:t>.</w:t>
            </w:r>
          </w:p>
        </w:tc>
      </w:tr>
      <w:tr w:rsidR="00B4692B" w:rsidRPr="00216F0E" w14:paraId="6A406695" w14:textId="77777777" w:rsidTr="006B4D75">
        <w:tc>
          <w:tcPr>
            <w:tcW w:w="2244" w:type="dxa"/>
            <w:gridSpan w:val="2"/>
            <w:tcBorders>
              <w:left w:val="single" w:sz="4" w:space="0" w:color="FFFFFF"/>
              <w:bottom w:val="single" w:sz="4" w:space="0" w:color="FFFFFF"/>
              <w:right w:val="single" w:sz="4" w:space="0" w:color="FFFFFF"/>
            </w:tcBorders>
          </w:tcPr>
          <w:p w14:paraId="548D57DB" w14:textId="77777777" w:rsidR="00B4692B" w:rsidRPr="00AF4AEA" w:rsidRDefault="00B4692B" w:rsidP="00B4692B">
            <w:pPr>
              <w:pStyle w:val="Bodyromannumerals"/>
              <w:rPr>
                <w:i/>
                <w:lang w:val="en-US"/>
              </w:rPr>
            </w:pPr>
            <w:r w:rsidRPr="00AF4AEA">
              <w:rPr>
                <w:i/>
                <w:lang w:val="en-US"/>
              </w:rPr>
              <w:t>Definition:</w:t>
            </w:r>
          </w:p>
        </w:tc>
        <w:tc>
          <w:tcPr>
            <w:tcW w:w="5314" w:type="dxa"/>
            <w:gridSpan w:val="2"/>
            <w:tcBorders>
              <w:left w:val="single" w:sz="4" w:space="0" w:color="FFFFFF"/>
              <w:bottom w:val="single" w:sz="4" w:space="0" w:color="FFFFFF"/>
              <w:right w:val="single" w:sz="4" w:space="0" w:color="FFFFFF"/>
            </w:tcBorders>
          </w:tcPr>
          <w:p w14:paraId="4D705A2E" w14:textId="77777777" w:rsidR="00B4692B" w:rsidRPr="00AF4AEA" w:rsidRDefault="00B4692B" w:rsidP="00B4692B">
            <w:pPr>
              <w:pStyle w:val="Bodyromannumerals"/>
              <w:rPr>
                <w:lang w:val="en-US"/>
              </w:rPr>
            </w:pPr>
            <w:r w:rsidRPr="00AF4AEA">
              <w:rPr>
                <w:lang w:val="en-US"/>
              </w:rPr>
              <w:t>The total number of telephone calls received on principal advertised customer contact lines which are answered by authority agents. This refers to ‘office hours’ only.</w:t>
            </w:r>
          </w:p>
        </w:tc>
      </w:tr>
      <w:tr w:rsidR="00B4692B" w:rsidRPr="00216F0E" w14:paraId="6AEEEB62" w14:textId="77777777" w:rsidTr="006B4D75">
        <w:tc>
          <w:tcPr>
            <w:tcW w:w="2244" w:type="dxa"/>
            <w:gridSpan w:val="2"/>
            <w:tcBorders>
              <w:top w:val="single" w:sz="4" w:space="0" w:color="FFFFFF"/>
              <w:left w:val="single" w:sz="4" w:space="0" w:color="FFFFFF"/>
              <w:bottom w:val="single" w:sz="4" w:space="0" w:color="FFFFFF"/>
              <w:right w:val="single" w:sz="4" w:space="0" w:color="FFFFFF"/>
            </w:tcBorders>
          </w:tcPr>
          <w:p w14:paraId="43AC5418" w14:textId="77777777" w:rsidR="00B4692B" w:rsidRPr="00AF4AEA" w:rsidRDefault="00B4692B" w:rsidP="00B4692B">
            <w:pPr>
              <w:pStyle w:val="Bodyromannumerals"/>
              <w:rPr>
                <w:i/>
                <w:lang w:val="en-US"/>
              </w:rPr>
            </w:pPr>
            <w:r w:rsidRPr="00AF4AEA">
              <w:rPr>
                <w:i/>
                <w:lang w:val="en-US"/>
              </w:rPr>
              <w:t>Processing Rules:</w:t>
            </w:r>
          </w:p>
        </w:tc>
        <w:tc>
          <w:tcPr>
            <w:tcW w:w="5314" w:type="dxa"/>
            <w:gridSpan w:val="2"/>
            <w:tcBorders>
              <w:top w:val="single" w:sz="4" w:space="0" w:color="FFFFFF"/>
              <w:left w:val="single" w:sz="4" w:space="0" w:color="FFFFFF"/>
              <w:bottom w:val="single" w:sz="4" w:space="0" w:color="FFFFFF"/>
              <w:right w:val="single" w:sz="4" w:space="0" w:color="FFFFFF"/>
            </w:tcBorders>
          </w:tcPr>
          <w:p w14:paraId="4523011F" w14:textId="77777777" w:rsidR="00B4692B" w:rsidRPr="00AF4AEA" w:rsidRDefault="00B4692B" w:rsidP="00B4692B">
            <w:pPr>
              <w:pStyle w:val="Bodyromannumerals"/>
              <w:rPr>
                <w:lang w:val="en-US"/>
              </w:rPr>
            </w:pPr>
            <w:r w:rsidRPr="00AF4AEA">
              <w:rPr>
                <w:lang w:val="en-US"/>
              </w:rPr>
              <w:t>Input field</w:t>
            </w:r>
          </w:p>
        </w:tc>
      </w:tr>
      <w:tr w:rsidR="00B4692B" w:rsidRPr="00216F0E" w14:paraId="2CDFC8DA" w14:textId="77777777" w:rsidTr="006B4D75">
        <w:tc>
          <w:tcPr>
            <w:tcW w:w="955" w:type="dxa"/>
          </w:tcPr>
          <w:p w14:paraId="6AC908BB" w14:textId="77777777" w:rsidR="00B4692B" w:rsidRPr="000619A3" w:rsidRDefault="00B4692B" w:rsidP="00B4692B">
            <w:pPr>
              <w:pStyle w:val="Bodyromannumerals"/>
              <w:rPr>
                <w:b/>
                <w:bCs/>
                <w:lang w:val="en-US"/>
              </w:rPr>
            </w:pPr>
            <w:r w:rsidRPr="000619A3">
              <w:rPr>
                <w:b/>
                <w:bCs/>
                <w:lang w:val="en-US"/>
              </w:rPr>
              <w:t>B6.4</w:t>
            </w:r>
          </w:p>
        </w:tc>
        <w:tc>
          <w:tcPr>
            <w:tcW w:w="5412" w:type="dxa"/>
            <w:gridSpan w:val="2"/>
          </w:tcPr>
          <w:p w14:paraId="3D60F122" w14:textId="77777777" w:rsidR="00B4692B" w:rsidRPr="000619A3" w:rsidRDefault="00B4692B" w:rsidP="00B4692B">
            <w:pPr>
              <w:pStyle w:val="Bodyromannumerals"/>
              <w:rPr>
                <w:b/>
                <w:bCs/>
                <w:lang w:val="en-US"/>
              </w:rPr>
            </w:pPr>
            <w:r w:rsidRPr="000619A3">
              <w:rPr>
                <w:b/>
                <w:bCs/>
                <w:lang w:val="en-US"/>
              </w:rPr>
              <w:t>Total calls answered within 15 seconds on customer contact lines</w:t>
            </w:r>
          </w:p>
        </w:tc>
        <w:tc>
          <w:tcPr>
            <w:tcW w:w="1191" w:type="dxa"/>
          </w:tcPr>
          <w:p w14:paraId="4B0F814A" w14:textId="57864C3C" w:rsidR="00B4692B" w:rsidRPr="000619A3" w:rsidRDefault="00B4692B" w:rsidP="00B4692B">
            <w:pPr>
              <w:pStyle w:val="Bodyromannumerals"/>
              <w:rPr>
                <w:b/>
                <w:bCs/>
                <w:lang w:val="en-US"/>
              </w:rPr>
            </w:pPr>
            <w:r w:rsidRPr="000619A3">
              <w:rPr>
                <w:b/>
                <w:bCs/>
                <w:lang w:val="en-US"/>
              </w:rPr>
              <w:t>Nr</w:t>
            </w:r>
            <w:r w:rsidR="000619A3" w:rsidRPr="000619A3">
              <w:rPr>
                <w:b/>
                <w:bCs/>
                <w:lang w:val="en-US"/>
              </w:rPr>
              <w:t>.</w:t>
            </w:r>
          </w:p>
        </w:tc>
      </w:tr>
      <w:tr w:rsidR="00B4692B" w:rsidRPr="00216F0E" w14:paraId="745F6B08" w14:textId="77777777" w:rsidTr="006B4D75">
        <w:tc>
          <w:tcPr>
            <w:tcW w:w="2244" w:type="dxa"/>
            <w:gridSpan w:val="2"/>
            <w:tcBorders>
              <w:left w:val="single" w:sz="4" w:space="0" w:color="FFFFFF"/>
              <w:bottom w:val="single" w:sz="4" w:space="0" w:color="FFFFFF"/>
              <w:right w:val="single" w:sz="4" w:space="0" w:color="FFFFFF"/>
            </w:tcBorders>
          </w:tcPr>
          <w:p w14:paraId="20292C4A" w14:textId="77777777" w:rsidR="00B4692B" w:rsidRPr="00AF4AEA" w:rsidRDefault="00B4692B" w:rsidP="00B4692B">
            <w:pPr>
              <w:pStyle w:val="Bodyromannumerals"/>
              <w:rPr>
                <w:i/>
                <w:lang w:val="en-US"/>
              </w:rPr>
            </w:pPr>
            <w:r w:rsidRPr="00AF4AEA">
              <w:rPr>
                <w:i/>
                <w:lang w:val="en-US"/>
              </w:rPr>
              <w:t>Definition:</w:t>
            </w:r>
          </w:p>
        </w:tc>
        <w:tc>
          <w:tcPr>
            <w:tcW w:w="5314" w:type="dxa"/>
            <w:gridSpan w:val="2"/>
            <w:tcBorders>
              <w:left w:val="single" w:sz="4" w:space="0" w:color="FFFFFF"/>
              <w:bottom w:val="single" w:sz="4" w:space="0" w:color="FFFFFF"/>
              <w:right w:val="single" w:sz="4" w:space="0" w:color="FFFFFF"/>
            </w:tcBorders>
          </w:tcPr>
          <w:p w14:paraId="6694C53C" w14:textId="1814331E" w:rsidR="00B4692B" w:rsidRPr="00AF4AEA" w:rsidRDefault="00B4692B" w:rsidP="00B4692B">
            <w:pPr>
              <w:pStyle w:val="Bodyromannumerals"/>
              <w:rPr>
                <w:lang w:val="en-US"/>
              </w:rPr>
            </w:pPr>
            <w:r w:rsidRPr="00AF4AEA">
              <w:rPr>
                <w:lang w:val="en-US"/>
              </w:rPr>
              <w:t xml:space="preserve">Total calls answered by a </w:t>
            </w:r>
            <w:r w:rsidR="00906346">
              <w:rPr>
                <w:lang w:val="en-US"/>
              </w:rPr>
              <w:t>Local</w:t>
            </w:r>
            <w:r w:rsidR="002E0E38">
              <w:rPr>
                <w:lang w:val="en-US"/>
              </w:rPr>
              <w:t xml:space="preserve"> Authority</w:t>
            </w:r>
            <w:r w:rsidRPr="00AF4AEA">
              <w:rPr>
                <w:lang w:val="en-US"/>
              </w:rPr>
              <w:t xml:space="preserve"> agent on principal advertised customer contact lines within 15 seconds of the customer first hearing the ringing tone. This refers to ‘office hours’ only.</w:t>
            </w:r>
          </w:p>
        </w:tc>
      </w:tr>
      <w:tr w:rsidR="00B4692B" w:rsidRPr="00216F0E" w14:paraId="71B26503" w14:textId="77777777" w:rsidTr="006B4D75">
        <w:tc>
          <w:tcPr>
            <w:tcW w:w="2244" w:type="dxa"/>
            <w:gridSpan w:val="2"/>
            <w:tcBorders>
              <w:top w:val="single" w:sz="4" w:space="0" w:color="FFFFFF"/>
              <w:left w:val="single" w:sz="4" w:space="0" w:color="FFFFFF"/>
              <w:bottom w:val="single" w:sz="4" w:space="0" w:color="FFFFFF"/>
              <w:right w:val="single" w:sz="4" w:space="0" w:color="FFFFFF"/>
            </w:tcBorders>
          </w:tcPr>
          <w:p w14:paraId="0B9A02C0" w14:textId="77777777" w:rsidR="00B4692B" w:rsidRPr="00AF4AEA" w:rsidRDefault="00B4692B" w:rsidP="00B4692B">
            <w:pPr>
              <w:pStyle w:val="Bodyromannumerals"/>
              <w:rPr>
                <w:i/>
                <w:lang w:val="en-US"/>
              </w:rPr>
            </w:pPr>
            <w:r w:rsidRPr="00AF4AEA">
              <w:rPr>
                <w:i/>
                <w:lang w:val="en-US"/>
              </w:rPr>
              <w:t>Processing Rules:</w:t>
            </w:r>
          </w:p>
        </w:tc>
        <w:tc>
          <w:tcPr>
            <w:tcW w:w="5314" w:type="dxa"/>
            <w:gridSpan w:val="2"/>
            <w:tcBorders>
              <w:top w:val="single" w:sz="4" w:space="0" w:color="FFFFFF"/>
              <w:left w:val="single" w:sz="4" w:space="0" w:color="FFFFFF"/>
              <w:bottom w:val="single" w:sz="4" w:space="0" w:color="FFFFFF"/>
              <w:right w:val="single" w:sz="4" w:space="0" w:color="FFFFFF"/>
            </w:tcBorders>
          </w:tcPr>
          <w:p w14:paraId="2E684882" w14:textId="77777777" w:rsidR="00B4692B" w:rsidRPr="00AF4AEA" w:rsidRDefault="00B4692B" w:rsidP="00B4692B">
            <w:pPr>
              <w:pStyle w:val="Bodyromannumerals"/>
              <w:rPr>
                <w:lang w:val="en-US"/>
              </w:rPr>
            </w:pPr>
            <w:r w:rsidRPr="00AF4AEA">
              <w:rPr>
                <w:lang w:val="en-US"/>
              </w:rPr>
              <w:t>Input field</w:t>
            </w:r>
          </w:p>
        </w:tc>
      </w:tr>
      <w:tr w:rsidR="00B4692B" w:rsidRPr="00216F0E" w14:paraId="24969D06" w14:textId="77777777" w:rsidTr="006B4D75">
        <w:tc>
          <w:tcPr>
            <w:tcW w:w="955" w:type="dxa"/>
          </w:tcPr>
          <w:p w14:paraId="63DA105C" w14:textId="77777777" w:rsidR="00B4692B" w:rsidRPr="000619A3" w:rsidRDefault="00B4692B" w:rsidP="00B4692B">
            <w:pPr>
              <w:pStyle w:val="Bodyromannumerals"/>
              <w:rPr>
                <w:b/>
                <w:bCs/>
                <w:lang w:val="en-US"/>
              </w:rPr>
            </w:pPr>
            <w:r w:rsidRPr="000619A3">
              <w:rPr>
                <w:b/>
                <w:bCs/>
                <w:lang w:val="en-US"/>
              </w:rPr>
              <w:t>B6.5</w:t>
            </w:r>
          </w:p>
        </w:tc>
        <w:tc>
          <w:tcPr>
            <w:tcW w:w="5412" w:type="dxa"/>
            <w:gridSpan w:val="2"/>
          </w:tcPr>
          <w:p w14:paraId="3FB28565" w14:textId="77777777" w:rsidR="00B4692B" w:rsidRPr="000619A3" w:rsidRDefault="00B4692B" w:rsidP="00B4692B">
            <w:pPr>
              <w:pStyle w:val="Bodyromannumerals"/>
              <w:rPr>
                <w:b/>
                <w:bCs/>
                <w:lang w:val="en-US"/>
              </w:rPr>
            </w:pPr>
            <w:r w:rsidRPr="000619A3">
              <w:rPr>
                <w:b/>
                <w:bCs/>
                <w:lang w:val="en-US"/>
              </w:rPr>
              <w:t>Total calls answered within 15-30 seconds on customer contact lines</w:t>
            </w:r>
          </w:p>
        </w:tc>
        <w:tc>
          <w:tcPr>
            <w:tcW w:w="1191" w:type="dxa"/>
          </w:tcPr>
          <w:p w14:paraId="3EB443B7" w14:textId="56277DC0" w:rsidR="00B4692B" w:rsidRPr="000619A3" w:rsidRDefault="00B4692B" w:rsidP="00B4692B">
            <w:pPr>
              <w:pStyle w:val="Bodyromannumerals"/>
              <w:rPr>
                <w:b/>
                <w:bCs/>
                <w:lang w:val="en-US"/>
              </w:rPr>
            </w:pPr>
            <w:r w:rsidRPr="000619A3">
              <w:rPr>
                <w:b/>
                <w:bCs/>
                <w:lang w:val="en-US"/>
              </w:rPr>
              <w:t>Nr</w:t>
            </w:r>
            <w:r w:rsidR="000619A3" w:rsidRPr="000619A3">
              <w:rPr>
                <w:b/>
                <w:bCs/>
                <w:lang w:val="en-US"/>
              </w:rPr>
              <w:t>.</w:t>
            </w:r>
          </w:p>
        </w:tc>
      </w:tr>
      <w:tr w:rsidR="00B4692B" w:rsidRPr="00216F0E" w14:paraId="2D6B1D64" w14:textId="77777777" w:rsidTr="006B4D75">
        <w:tc>
          <w:tcPr>
            <w:tcW w:w="2244" w:type="dxa"/>
            <w:gridSpan w:val="2"/>
            <w:tcBorders>
              <w:left w:val="single" w:sz="4" w:space="0" w:color="FFFFFF"/>
              <w:bottom w:val="single" w:sz="4" w:space="0" w:color="FFFFFF"/>
              <w:right w:val="single" w:sz="4" w:space="0" w:color="FFFFFF"/>
            </w:tcBorders>
          </w:tcPr>
          <w:p w14:paraId="4112A4FA" w14:textId="77777777" w:rsidR="00B4692B" w:rsidRPr="00AF4AEA" w:rsidRDefault="00B4692B" w:rsidP="00B4692B">
            <w:pPr>
              <w:pStyle w:val="Bodyromannumerals"/>
              <w:rPr>
                <w:i/>
                <w:lang w:val="en-US"/>
              </w:rPr>
            </w:pPr>
            <w:r w:rsidRPr="00AF4AEA">
              <w:rPr>
                <w:i/>
                <w:lang w:val="en-US"/>
              </w:rPr>
              <w:t>Definition:</w:t>
            </w:r>
          </w:p>
        </w:tc>
        <w:tc>
          <w:tcPr>
            <w:tcW w:w="5314" w:type="dxa"/>
            <w:gridSpan w:val="2"/>
            <w:tcBorders>
              <w:left w:val="single" w:sz="4" w:space="0" w:color="FFFFFF"/>
              <w:bottom w:val="single" w:sz="4" w:space="0" w:color="FFFFFF"/>
              <w:right w:val="single" w:sz="4" w:space="0" w:color="FFFFFF"/>
            </w:tcBorders>
          </w:tcPr>
          <w:p w14:paraId="034FF4B3" w14:textId="5F968386" w:rsidR="00B4692B" w:rsidRPr="00AF4AEA" w:rsidRDefault="00B4692B" w:rsidP="00B4692B">
            <w:pPr>
              <w:pStyle w:val="Bodyromannumerals"/>
              <w:rPr>
                <w:lang w:val="en-US"/>
              </w:rPr>
            </w:pPr>
            <w:r w:rsidRPr="00AF4AEA">
              <w:rPr>
                <w:lang w:val="en-US"/>
              </w:rPr>
              <w:t>Calls answered by a</w:t>
            </w:r>
            <w:r w:rsidR="004A770F">
              <w:rPr>
                <w:lang w:val="en-US"/>
              </w:rPr>
              <w:t xml:space="preserve"> </w:t>
            </w:r>
            <w:r w:rsidR="00906346">
              <w:rPr>
                <w:lang w:val="en-US"/>
              </w:rPr>
              <w:t>Local</w:t>
            </w:r>
            <w:r w:rsidR="004A770F">
              <w:rPr>
                <w:lang w:val="en-US"/>
              </w:rPr>
              <w:t xml:space="preserve"> </w:t>
            </w:r>
            <w:r w:rsidR="00574567">
              <w:rPr>
                <w:lang w:val="en-US"/>
              </w:rPr>
              <w:t>A</w:t>
            </w:r>
            <w:r w:rsidRPr="00AF4AEA">
              <w:rPr>
                <w:lang w:val="en-US"/>
              </w:rPr>
              <w:t>uthority agent on principal advertised customer contact lines within 15-30 seconds of the customer first hearing the ringing tone. This refers to ‘office hours’ only.</w:t>
            </w:r>
          </w:p>
        </w:tc>
      </w:tr>
      <w:tr w:rsidR="00B4692B" w:rsidRPr="00216F0E" w14:paraId="49147CEF" w14:textId="77777777" w:rsidTr="006B4D75">
        <w:tc>
          <w:tcPr>
            <w:tcW w:w="2244" w:type="dxa"/>
            <w:gridSpan w:val="2"/>
            <w:tcBorders>
              <w:top w:val="single" w:sz="4" w:space="0" w:color="FFFFFF"/>
              <w:left w:val="single" w:sz="4" w:space="0" w:color="FFFFFF"/>
              <w:bottom w:val="single" w:sz="4" w:space="0" w:color="FFFFFF"/>
              <w:right w:val="single" w:sz="4" w:space="0" w:color="FFFFFF"/>
            </w:tcBorders>
          </w:tcPr>
          <w:p w14:paraId="01535F2C" w14:textId="77777777" w:rsidR="00B4692B" w:rsidRPr="00AF4AEA" w:rsidRDefault="00B4692B" w:rsidP="00B4692B">
            <w:pPr>
              <w:pStyle w:val="Bodyromannumerals"/>
              <w:rPr>
                <w:i/>
                <w:lang w:val="en-US"/>
              </w:rPr>
            </w:pPr>
            <w:r w:rsidRPr="00AF4AEA">
              <w:rPr>
                <w:i/>
                <w:lang w:val="en-US"/>
              </w:rPr>
              <w:t>Processing Rules:</w:t>
            </w:r>
          </w:p>
        </w:tc>
        <w:tc>
          <w:tcPr>
            <w:tcW w:w="5314" w:type="dxa"/>
            <w:gridSpan w:val="2"/>
            <w:tcBorders>
              <w:top w:val="single" w:sz="4" w:space="0" w:color="FFFFFF"/>
              <w:left w:val="single" w:sz="4" w:space="0" w:color="FFFFFF"/>
              <w:bottom w:val="single" w:sz="4" w:space="0" w:color="FFFFFF"/>
              <w:right w:val="single" w:sz="4" w:space="0" w:color="FFFFFF"/>
            </w:tcBorders>
          </w:tcPr>
          <w:p w14:paraId="7676DD4B" w14:textId="77777777" w:rsidR="00B4692B" w:rsidRPr="00AF4AEA" w:rsidRDefault="00B4692B" w:rsidP="00B4692B">
            <w:pPr>
              <w:pStyle w:val="Bodyromannumerals"/>
              <w:rPr>
                <w:lang w:val="en-US"/>
              </w:rPr>
            </w:pPr>
            <w:r w:rsidRPr="00AF4AEA">
              <w:rPr>
                <w:lang w:val="en-US"/>
              </w:rPr>
              <w:t>Input field</w:t>
            </w:r>
          </w:p>
        </w:tc>
      </w:tr>
      <w:tr w:rsidR="00B4692B" w:rsidRPr="00216F0E" w14:paraId="0E2BBEF4" w14:textId="77777777" w:rsidTr="006B4D75">
        <w:tc>
          <w:tcPr>
            <w:tcW w:w="955" w:type="dxa"/>
          </w:tcPr>
          <w:p w14:paraId="3209B76A" w14:textId="77777777" w:rsidR="00B4692B" w:rsidRPr="000619A3" w:rsidRDefault="00B4692B" w:rsidP="00B4692B">
            <w:pPr>
              <w:pStyle w:val="Bodyromannumerals"/>
              <w:rPr>
                <w:b/>
                <w:bCs/>
                <w:lang w:val="en-US"/>
              </w:rPr>
            </w:pPr>
            <w:r w:rsidRPr="000619A3">
              <w:rPr>
                <w:b/>
                <w:bCs/>
                <w:lang w:val="en-US"/>
              </w:rPr>
              <w:t>B6.6</w:t>
            </w:r>
          </w:p>
        </w:tc>
        <w:tc>
          <w:tcPr>
            <w:tcW w:w="5412" w:type="dxa"/>
            <w:gridSpan w:val="2"/>
          </w:tcPr>
          <w:p w14:paraId="39CE2823" w14:textId="77777777" w:rsidR="00B4692B" w:rsidRPr="000619A3" w:rsidRDefault="00B4692B" w:rsidP="00B4692B">
            <w:pPr>
              <w:pStyle w:val="Bodyromannumerals"/>
              <w:rPr>
                <w:b/>
                <w:bCs/>
                <w:lang w:val="en-US"/>
              </w:rPr>
            </w:pPr>
            <w:r w:rsidRPr="000619A3">
              <w:rPr>
                <w:b/>
                <w:bCs/>
                <w:lang w:val="en-US"/>
              </w:rPr>
              <w:t>Total calls answered in more than 30 seconds on customer contact lines</w:t>
            </w:r>
          </w:p>
        </w:tc>
        <w:tc>
          <w:tcPr>
            <w:tcW w:w="1191" w:type="dxa"/>
          </w:tcPr>
          <w:p w14:paraId="34E69D42" w14:textId="4410146E" w:rsidR="00B4692B" w:rsidRPr="000619A3" w:rsidRDefault="00B4692B" w:rsidP="00B4692B">
            <w:pPr>
              <w:pStyle w:val="Bodyromannumerals"/>
              <w:rPr>
                <w:b/>
                <w:bCs/>
                <w:lang w:val="en-US"/>
              </w:rPr>
            </w:pPr>
            <w:r w:rsidRPr="000619A3">
              <w:rPr>
                <w:b/>
                <w:bCs/>
                <w:lang w:val="en-US"/>
              </w:rPr>
              <w:t>Nr</w:t>
            </w:r>
            <w:r w:rsidR="000619A3" w:rsidRPr="000619A3">
              <w:rPr>
                <w:b/>
                <w:bCs/>
                <w:lang w:val="en-US"/>
              </w:rPr>
              <w:t>.</w:t>
            </w:r>
          </w:p>
        </w:tc>
      </w:tr>
      <w:tr w:rsidR="00B4692B" w:rsidRPr="00216F0E" w14:paraId="20518065" w14:textId="77777777" w:rsidTr="006B4D75">
        <w:tc>
          <w:tcPr>
            <w:tcW w:w="2244" w:type="dxa"/>
            <w:gridSpan w:val="2"/>
            <w:tcBorders>
              <w:left w:val="single" w:sz="4" w:space="0" w:color="FFFFFF"/>
              <w:bottom w:val="single" w:sz="4" w:space="0" w:color="FFFFFF"/>
              <w:right w:val="single" w:sz="4" w:space="0" w:color="FFFFFF"/>
            </w:tcBorders>
          </w:tcPr>
          <w:p w14:paraId="3F493F2D" w14:textId="77777777" w:rsidR="00B4692B" w:rsidRPr="00AF4AEA" w:rsidRDefault="00B4692B" w:rsidP="00B4692B">
            <w:pPr>
              <w:pStyle w:val="Bodyromannumerals"/>
              <w:rPr>
                <w:i/>
                <w:lang w:val="en-US"/>
              </w:rPr>
            </w:pPr>
            <w:r w:rsidRPr="00AF4AEA">
              <w:rPr>
                <w:i/>
                <w:lang w:val="en-US"/>
              </w:rPr>
              <w:t>Definition:</w:t>
            </w:r>
          </w:p>
        </w:tc>
        <w:tc>
          <w:tcPr>
            <w:tcW w:w="5314" w:type="dxa"/>
            <w:gridSpan w:val="2"/>
            <w:tcBorders>
              <w:left w:val="single" w:sz="4" w:space="0" w:color="FFFFFF"/>
              <w:bottom w:val="single" w:sz="4" w:space="0" w:color="FFFFFF"/>
              <w:right w:val="single" w:sz="4" w:space="0" w:color="FFFFFF"/>
            </w:tcBorders>
          </w:tcPr>
          <w:p w14:paraId="78098573" w14:textId="44A4F617" w:rsidR="00B4692B" w:rsidRPr="00AF4AEA" w:rsidRDefault="00B4692B" w:rsidP="00B4692B">
            <w:pPr>
              <w:pStyle w:val="Bodyromannumerals"/>
              <w:rPr>
                <w:lang w:val="en-US"/>
              </w:rPr>
            </w:pPr>
            <w:r w:rsidRPr="00AF4AEA">
              <w:rPr>
                <w:lang w:val="en-US"/>
              </w:rPr>
              <w:t xml:space="preserve">Calls answered by </w:t>
            </w:r>
            <w:r w:rsidR="002D7611" w:rsidRPr="00AF4AEA">
              <w:rPr>
                <w:lang w:val="en-US"/>
              </w:rPr>
              <w:t>a</w:t>
            </w:r>
            <w:r w:rsidR="002D7611">
              <w:rPr>
                <w:lang w:val="en-US"/>
              </w:rPr>
              <w:t xml:space="preserve"> </w:t>
            </w:r>
            <w:r w:rsidR="00906346">
              <w:rPr>
                <w:lang w:val="en-US"/>
              </w:rPr>
              <w:t>Local</w:t>
            </w:r>
            <w:r w:rsidR="002E0E38">
              <w:rPr>
                <w:lang w:val="en-US"/>
              </w:rPr>
              <w:t xml:space="preserve"> Authority</w:t>
            </w:r>
            <w:r w:rsidRPr="00AF4AEA">
              <w:rPr>
                <w:lang w:val="en-US"/>
              </w:rPr>
              <w:t xml:space="preserve"> agent on principal advertised customer contact lines in more than 30 seconds of the customer first hearing the ringing tone. This refers to ‘office hours’ only.</w:t>
            </w:r>
          </w:p>
        </w:tc>
      </w:tr>
      <w:tr w:rsidR="00B4692B" w:rsidRPr="00216F0E" w14:paraId="68FBDC7A" w14:textId="77777777" w:rsidTr="006B4D75">
        <w:tc>
          <w:tcPr>
            <w:tcW w:w="2244" w:type="dxa"/>
            <w:gridSpan w:val="2"/>
            <w:tcBorders>
              <w:top w:val="single" w:sz="4" w:space="0" w:color="FFFFFF"/>
              <w:left w:val="single" w:sz="4" w:space="0" w:color="FFFFFF"/>
              <w:bottom w:val="single" w:sz="4" w:space="0" w:color="FFFFFF"/>
              <w:right w:val="single" w:sz="4" w:space="0" w:color="FFFFFF"/>
            </w:tcBorders>
          </w:tcPr>
          <w:p w14:paraId="71B760A8" w14:textId="77777777" w:rsidR="00B4692B" w:rsidRPr="00AF4AEA" w:rsidRDefault="00B4692B" w:rsidP="00B4692B">
            <w:pPr>
              <w:pStyle w:val="Bodyromannumerals"/>
              <w:rPr>
                <w:i/>
                <w:lang w:val="en-US"/>
              </w:rPr>
            </w:pPr>
            <w:r w:rsidRPr="00AF4AEA">
              <w:rPr>
                <w:i/>
                <w:lang w:val="en-US"/>
              </w:rPr>
              <w:t>Processing Rules:</w:t>
            </w:r>
          </w:p>
        </w:tc>
        <w:tc>
          <w:tcPr>
            <w:tcW w:w="5314" w:type="dxa"/>
            <w:gridSpan w:val="2"/>
            <w:tcBorders>
              <w:top w:val="single" w:sz="4" w:space="0" w:color="FFFFFF"/>
              <w:left w:val="single" w:sz="4" w:space="0" w:color="FFFFFF"/>
              <w:bottom w:val="single" w:sz="4" w:space="0" w:color="FFFFFF"/>
              <w:right w:val="single" w:sz="4" w:space="0" w:color="FFFFFF"/>
            </w:tcBorders>
          </w:tcPr>
          <w:p w14:paraId="2303EF30" w14:textId="77777777" w:rsidR="00B4692B" w:rsidRPr="00AF4AEA" w:rsidRDefault="00B4692B" w:rsidP="00B4692B">
            <w:pPr>
              <w:pStyle w:val="Bodyromannumerals"/>
              <w:rPr>
                <w:lang w:val="en-US"/>
              </w:rPr>
            </w:pPr>
            <w:r w:rsidRPr="00AF4AEA">
              <w:rPr>
                <w:lang w:val="en-US"/>
              </w:rPr>
              <w:t>Input field</w:t>
            </w:r>
          </w:p>
        </w:tc>
      </w:tr>
    </w:tbl>
    <w:p w14:paraId="44F637C3" w14:textId="77777777" w:rsidR="00A729BC" w:rsidRDefault="00A729BC">
      <w:pPr>
        <w:spacing w:after="160" w:line="259" w:lineRule="auto"/>
        <w:rPr>
          <w:rFonts w:ascii="Calibri" w:hAnsi="Calibri" w:cs="Calibri"/>
          <w:sz w:val="21"/>
          <w:szCs w:val="21"/>
        </w:rPr>
      </w:pPr>
      <w:r>
        <w:br w:type="page"/>
      </w:r>
    </w:p>
    <w:p w14:paraId="6AFCE605" w14:textId="0C712B82" w:rsidR="00BE4543" w:rsidRDefault="00BE4543" w:rsidP="00AD5D95">
      <w:pPr>
        <w:pStyle w:val="Title1"/>
      </w:pPr>
      <w:r>
        <w:lastRenderedPageBreak/>
        <w:t>TABLE B8: OTHER SERVICE INDICATORS</w:t>
      </w:r>
      <w:r w:rsidR="00612EAB">
        <w:t xml:space="preserve"> </w:t>
      </w:r>
      <w:r>
        <w:t>– WATER</w:t>
      </w:r>
      <w:r w:rsidR="00776B70">
        <w:t>, WASTEWATER</w:t>
      </w:r>
      <w:r>
        <w:t xml:space="preserve"> AND </w:t>
      </w:r>
      <w:r w:rsidR="00776B70">
        <w:t>STORM</w:t>
      </w:r>
      <w:r w:rsidR="009D138F">
        <w:t>WATER</w:t>
      </w:r>
    </w:p>
    <w:p w14:paraId="4CAA215B" w14:textId="77777777" w:rsidR="008B1BEE" w:rsidRDefault="008B1BEE" w:rsidP="008B1BEE">
      <w:pPr>
        <w:pStyle w:val="Sectionsub-heading"/>
      </w:pPr>
      <w:r>
        <w:t>Overall guidance</w:t>
      </w:r>
    </w:p>
    <w:p w14:paraId="34AFF093" w14:textId="4BEEFD63" w:rsidR="00512AE8" w:rsidRPr="005243F3" w:rsidRDefault="00512AE8" w:rsidP="00911155">
      <w:pPr>
        <w:pStyle w:val="Bodynumbercopy"/>
        <w:numPr>
          <w:ilvl w:val="0"/>
          <w:numId w:val="50"/>
        </w:numPr>
      </w:pPr>
      <w:r w:rsidRPr="00512AE8">
        <w:t xml:space="preserve">If the information is not available for the measure requested, Local Authorities should provide their </w:t>
      </w:r>
      <w:r w:rsidR="009A1945" w:rsidRPr="00512AE8">
        <w:t>best-informed</w:t>
      </w:r>
      <w:r w:rsidRPr="00693C96">
        <w:t xml:space="preserve"> </w:t>
      </w:r>
      <w:r w:rsidRPr="00895EB3">
        <w:t>g</w:t>
      </w:r>
      <w:r w:rsidRPr="00F16F4A">
        <w:t>uess</w:t>
      </w:r>
      <w:r w:rsidRPr="00EF08B5">
        <w:t xml:space="preserve"> </w:t>
      </w:r>
      <w:r w:rsidRPr="00FD3733">
        <w:t>based on the information availa</w:t>
      </w:r>
      <w:r w:rsidRPr="00A35152">
        <w:t xml:space="preserve">ble </w:t>
      </w:r>
      <w:r w:rsidRPr="00316790">
        <w:t xml:space="preserve">and reflect the uncertainty in </w:t>
      </w:r>
      <w:r w:rsidRPr="00AC29FB">
        <w:t>se</w:t>
      </w:r>
      <w:r w:rsidRPr="002D3A02">
        <w:t>lecting the appropriate</w:t>
      </w:r>
      <w:r w:rsidRPr="008D0E08">
        <w:t xml:space="preserve"> confidence grade.</w:t>
      </w:r>
    </w:p>
    <w:p w14:paraId="5CACFB70" w14:textId="77777777" w:rsidR="00512AE8" w:rsidRPr="00512AE8" w:rsidRDefault="00512AE8" w:rsidP="00512AE8">
      <w:pPr>
        <w:numPr>
          <w:ilvl w:val="0"/>
          <w:numId w:val="19"/>
        </w:numPr>
        <w:spacing w:after="120"/>
        <w:ind w:right="255"/>
        <w:rPr>
          <w:rFonts w:ascii="Calibri" w:hAnsi="Calibri" w:cs="Calibri"/>
          <w:sz w:val="21"/>
          <w:szCs w:val="21"/>
        </w:rPr>
      </w:pPr>
      <w:r w:rsidRPr="00512AE8">
        <w:rPr>
          <w:rFonts w:ascii="Calibri" w:hAnsi="Calibri" w:cs="Calibri"/>
          <w:sz w:val="21"/>
          <w:szCs w:val="21"/>
        </w:rPr>
        <w:t>Using unplanned interruptions in Table B2 as an example, if the Local Authority has collected information which shows that 150 properties were restored within 8 hours then this would serve as a maximum for the number of properties restored within six hours in line B2.43. A Local Authority could therefore make an informed guess that 100 properties were restored within 6 hours and apply a confidence grade of D5 which would suggest that the reported performance is within +/-50% of the actual performance in the year.  This would result in a maximum of 150 properties (100 + (100 * 50%)) in line with the known properties restored within 8 hours.</w:t>
      </w:r>
    </w:p>
    <w:p w14:paraId="03114016" w14:textId="31D18740" w:rsidR="00BE4543" w:rsidRPr="00C10211" w:rsidRDefault="00BE4543" w:rsidP="00911155">
      <w:pPr>
        <w:pStyle w:val="Bodynumbercopy"/>
        <w:rPr>
          <w:rFonts w:asciiTheme="minorHAnsi" w:eastAsiaTheme="minorEastAsia" w:hAnsiTheme="minorHAnsi" w:cstheme="minorBidi"/>
        </w:rPr>
      </w:pPr>
      <w:r>
        <w:t>This table covers the following serviceability indicators:</w:t>
      </w:r>
    </w:p>
    <w:p w14:paraId="34997003" w14:textId="4C8E0526" w:rsidR="00BE4543" w:rsidRDefault="00BE4543" w:rsidP="00911155">
      <w:pPr>
        <w:pStyle w:val="Bodyromannumerals"/>
        <w:numPr>
          <w:ilvl w:val="0"/>
          <w:numId w:val="34"/>
        </w:numPr>
      </w:pPr>
      <w:r>
        <w:t>Water distribution indicator</w:t>
      </w:r>
    </w:p>
    <w:p w14:paraId="7D6AE4E0" w14:textId="5E374B23" w:rsidR="00BE4543" w:rsidRDefault="009D138F" w:rsidP="00911155">
      <w:pPr>
        <w:pStyle w:val="Bodyromannumerals"/>
        <w:numPr>
          <w:ilvl w:val="0"/>
          <w:numId w:val="34"/>
        </w:numPr>
      </w:pPr>
      <w:r>
        <w:t>Wastewater</w:t>
      </w:r>
      <w:r w:rsidR="00BE4543">
        <w:t xml:space="preserve"> service indicators</w:t>
      </w:r>
    </w:p>
    <w:p w14:paraId="4DE5F7CF" w14:textId="25828F01" w:rsidR="009C4B86" w:rsidRDefault="009C4B86" w:rsidP="00911155">
      <w:pPr>
        <w:pStyle w:val="Bodyromannumerals"/>
        <w:numPr>
          <w:ilvl w:val="0"/>
          <w:numId w:val="34"/>
        </w:numPr>
      </w:pPr>
      <w:r>
        <w:t>Stormwater service indicators</w:t>
      </w:r>
    </w:p>
    <w:p w14:paraId="08DB51A6" w14:textId="01A8EC46" w:rsidR="00BE4543" w:rsidRDefault="008814E3" w:rsidP="00911155">
      <w:pPr>
        <w:pStyle w:val="Bodyromannumerals"/>
        <w:numPr>
          <w:ilvl w:val="0"/>
          <w:numId w:val="34"/>
        </w:numPr>
      </w:pPr>
      <w:r>
        <w:t xml:space="preserve">Performance of </w:t>
      </w:r>
      <w:r w:rsidR="009D138F">
        <w:t>wastewater</w:t>
      </w:r>
      <w:r>
        <w:t xml:space="preserve"> </w:t>
      </w:r>
      <w:r w:rsidR="00E13F1E">
        <w:t xml:space="preserve">and stormwater </w:t>
      </w:r>
      <w:r>
        <w:t>assets</w:t>
      </w:r>
    </w:p>
    <w:p w14:paraId="60D812E9" w14:textId="77777777" w:rsidR="00BE4543" w:rsidRDefault="00BE4543" w:rsidP="00AD5D95">
      <w:pPr>
        <w:pStyle w:val="Sectionsub-heading"/>
      </w:pPr>
      <w:r>
        <w:t>Lines B8.1: Mains bursts</w:t>
      </w:r>
    </w:p>
    <w:p w14:paraId="13C8EB73" w14:textId="70ABAC52" w:rsidR="00BE4543" w:rsidRDefault="00BE4543" w:rsidP="00C10211">
      <w:pPr>
        <w:pStyle w:val="Bodynumbercopy"/>
      </w:pPr>
      <w:r>
        <w:t xml:space="preserve">The </w:t>
      </w:r>
      <w:r w:rsidR="00906346">
        <w:t>Local</w:t>
      </w:r>
      <w:r w:rsidR="002E0E38">
        <w:t xml:space="preserve"> Authority</w:t>
      </w:r>
      <w:r>
        <w:t xml:space="preserve"> should comment on the proportion of bursts found by proactive methods, such as active leakage control.</w:t>
      </w:r>
      <w:r w:rsidR="00A24EFA">
        <w:t xml:space="preserve"> </w:t>
      </w:r>
    </w:p>
    <w:p w14:paraId="2C36C8A1" w14:textId="7F06E530" w:rsidR="003431FF" w:rsidRPr="00A1195E" w:rsidRDefault="001E6FED" w:rsidP="00C10211">
      <w:pPr>
        <w:pStyle w:val="Bodynumbercopy"/>
      </w:pPr>
      <w:r>
        <w:rPr>
          <w:lang w:val="en-US"/>
        </w:rPr>
        <w:t xml:space="preserve">Mains bursts is captured through repair work. </w:t>
      </w:r>
      <w:r w:rsidR="007F4BB4" w:rsidRPr="00AF4AEA">
        <w:rPr>
          <w:lang w:val="en-US"/>
        </w:rPr>
        <w:t>Mains bursts include all physical repair work to mains from which water is lost which is attributable to pipes, fittings or joint material failures or movement, or caused or deemed to be caused by conditions or original pipe laying or subsequent changes in ground conditions</w:t>
      </w:r>
      <w:r w:rsidR="007F4BB4">
        <w:rPr>
          <w:lang w:val="en-US"/>
        </w:rPr>
        <w:t>.</w:t>
      </w:r>
    </w:p>
    <w:p w14:paraId="4A8B838B" w14:textId="669DAC0E" w:rsidR="00FC4B9D" w:rsidRDefault="00FC4B9D" w:rsidP="00C10211">
      <w:pPr>
        <w:pStyle w:val="Bodynumbercopy"/>
      </w:pPr>
      <w:r>
        <w:t>Mains bursts shall include all repair work undertaken on the water mains (i.e. all pipes conveying treated water around the distribution point but not including communication pipes or supply pipes).</w:t>
      </w:r>
    </w:p>
    <w:p w14:paraId="49DE7AC3" w14:textId="7270793E" w:rsidR="00FC4B9D" w:rsidRDefault="00FC4B9D" w:rsidP="00C10211">
      <w:pPr>
        <w:pStyle w:val="Bodynumbercopy"/>
      </w:pPr>
      <w:r>
        <w:t>Once the main is recharged, and customers are back in supply, then if there is a new incident it is counted as a separate repair. If there is a secondary burst not at the point at where the repair took place during the recharge, then it should be captured as a separate reported burst.</w:t>
      </w:r>
    </w:p>
    <w:p w14:paraId="1978D05F" w14:textId="1722B497" w:rsidR="00FC4B9D" w:rsidRPr="00A1195E" w:rsidRDefault="00FC4B9D" w:rsidP="00C10211">
      <w:pPr>
        <w:pStyle w:val="Bodynumbercopy"/>
      </w:pPr>
      <w:r>
        <w:t xml:space="preserve">Mains bursts excludes any work which does not involve a repair on the main – e.g. solely on a ferrule, hydrant, valve and clamp associated with the ancillary. </w:t>
      </w:r>
    </w:p>
    <w:p w14:paraId="5AB32EB6" w14:textId="2E132808" w:rsidR="007F4BB4" w:rsidRDefault="007F4BB4" w:rsidP="00DD777F">
      <w:pPr>
        <w:pStyle w:val="Bodynumbercopy"/>
      </w:pPr>
      <w:r w:rsidRPr="00367ED0">
        <w:rPr>
          <w:lang w:val="en-US"/>
        </w:rPr>
        <w:lastRenderedPageBreak/>
        <w:t xml:space="preserve">For </w:t>
      </w:r>
      <w:r w:rsidRPr="00E26B09">
        <w:rPr>
          <w:lang w:val="en-US"/>
        </w:rPr>
        <w:t>the a</w:t>
      </w:r>
      <w:r w:rsidRPr="00914BBD">
        <w:rPr>
          <w:lang w:val="en-US"/>
        </w:rPr>
        <w:t xml:space="preserve">voidance of doubt, all leakage occurring at locations or through joint or materials failures which would have been designed for the life of the main (irrespective of whether earlier failure occurs) should be regarded as mains bursts. </w:t>
      </w:r>
      <w:r w:rsidRPr="00367ED0">
        <w:rPr>
          <w:lang w:val="en-US"/>
        </w:rPr>
        <w:t>Failure of con</w:t>
      </w:r>
      <w:r w:rsidRPr="00E26B09">
        <w:rPr>
          <w:lang w:val="en-US"/>
        </w:rPr>
        <w:t>sumab</w:t>
      </w:r>
      <w:r w:rsidRPr="00914BBD">
        <w:rPr>
          <w:lang w:val="en-US"/>
        </w:rPr>
        <w:t xml:space="preserve">le or maintainable items (valve packings etc.) should be </w:t>
      </w:r>
      <w:r w:rsidR="00367ED0" w:rsidRPr="00367ED0">
        <w:rPr>
          <w:lang w:val="en-US"/>
        </w:rPr>
        <w:t>excluded</w:t>
      </w:r>
      <w:r w:rsidRPr="00367ED0">
        <w:rPr>
          <w:lang w:val="en-US"/>
        </w:rPr>
        <w:t>.</w:t>
      </w:r>
    </w:p>
    <w:p w14:paraId="5B087E94" w14:textId="633B5B2B" w:rsidR="00BE4543" w:rsidRDefault="00BE4543" w:rsidP="008E6775">
      <w:pPr>
        <w:pStyle w:val="Sectionsub-heading"/>
      </w:pPr>
      <w:r>
        <w:t xml:space="preserve">Lines B8.10 to B8.19: </w:t>
      </w:r>
      <w:r w:rsidR="009D138F">
        <w:t>Wastewater</w:t>
      </w:r>
      <w:r>
        <w:t xml:space="preserve"> service indicators</w:t>
      </w:r>
    </w:p>
    <w:p w14:paraId="6FECE534" w14:textId="77256027" w:rsidR="00BE4543" w:rsidRDefault="00BE4543" w:rsidP="001E7C7A">
      <w:pPr>
        <w:pStyle w:val="Bodynumbercopy"/>
      </w:pPr>
      <w:r>
        <w:t xml:space="preserve">This table covers </w:t>
      </w:r>
      <w:r w:rsidR="009D138F">
        <w:t>wastewater</w:t>
      </w:r>
      <w:r>
        <w:t xml:space="preserve"> service and performance indicators. </w:t>
      </w:r>
    </w:p>
    <w:p w14:paraId="6E21FC3E" w14:textId="7EE3215C" w:rsidR="00BE4543" w:rsidRDefault="00BE4543" w:rsidP="001E7C7A">
      <w:pPr>
        <w:pStyle w:val="Bodynumbercopy"/>
      </w:pPr>
      <w:r>
        <w:t xml:space="preserve">This table also splits out repairs to sewer collapses into rising main and gravity sewer repairs.  Rising mains are pipes that carry </w:t>
      </w:r>
      <w:r w:rsidR="00906346">
        <w:t>wastewater</w:t>
      </w:r>
      <w:r>
        <w:t xml:space="preserve"> by pumping under pressure or under suction (for example where </w:t>
      </w:r>
      <w:r w:rsidR="00906346">
        <w:t>wastewater</w:t>
      </w:r>
      <w:r>
        <w:t xml:space="preserve"> is moved under vacuum) from a powered asset (for example a pumping station).  </w:t>
      </w:r>
    </w:p>
    <w:p w14:paraId="5018E772" w14:textId="38F3A194" w:rsidR="00BE4543" w:rsidRDefault="00BE4543" w:rsidP="002E2934">
      <w:pPr>
        <w:pStyle w:val="Bodynumbercopy"/>
      </w:pPr>
      <w:r>
        <w:t xml:space="preserve">Equipment failures: The </w:t>
      </w:r>
      <w:r w:rsidR="00906346">
        <w:t>Local</w:t>
      </w:r>
      <w:r w:rsidR="002E0E38">
        <w:t xml:space="preserve"> </w:t>
      </w:r>
      <w:r w:rsidR="005B43D4">
        <w:t>Authority should</w:t>
      </w:r>
      <w:r>
        <w:t xml:space="preserve"> collate its data under hierarchical and process headings to facilitate reporting to a changed definition.  For example, pumping station failure, a subset of all equipment failures should be collated separately.</w:t>
      </w:r>
    </w:p>
    <w:p w14:paraId="6673D23C" w14:textId="5D252A74" w:rsidR="00BE4543" w:rsidRDefault="00BE4543" w:rsidP="001E7C7A">
      <w:pPr>
        <w:pStyle w:val="Bodynumbercopy"/>
      </w:pPr>
      <w:r>
        <w:t xml:space="preserve">The </w:t>
      </w:r>
      <w:r w:rsidR="00906346">
        <w:t>Local</w:t>
      </w:r>
      <w:r w:rsidR="002E0E38">
        <w:t xml:space="preserve"> Authority</w:t>
      </w:r>
      <w:r>
        <w:t xml:space="preserve"> should comment on:</w:t>
      </w:r>
    </w:p>
    <w:p w14:paraId="04552F21" w14:textId="0E229EFC" w:rsidR="00BE4543" w:rsidRDefault="0047485F" w:rsidP="00911155">
      <w:pPr>
        <w:pStyle w:val="Bodyromannumerals"/>
        <w:numPr>
          <w:ilvl w:val="0"/>
          <w:numId w:val="38"/>
        </w:numPr>
      </w:pPr>
      <w:r>
        <w:t>W</w:t>
      </w:r>
      <w:r w:rsidR="00BE4543">
        <w:t>here there is a difference between the total number intermittent discharges given for the report year and for the previous year, and this difference cannot wholly be accounted for by improvement works i.e. capital schemes (e.g. where the change is partly or completely due to better information), then a breakdown detailing how the difference is made up should be given;</w:t>
      </w:r>
    </w:p>
    <w:p w14:paraId="52FDA49B" w14:textId="7F45B147" w:rsidR="00BE4543" w:rsidRDefault="00BE4543" w:rsidP="00911155">
      <w:pPr>
        <w:pStyle w:val="Bodyromannumerals"/>
        <w:numPr>
          <w:ilvl w:val="0"/>
          <w:numId w:val="38"/>
        </w:numPr>
      </w:pPr>
      <w:r>
        <w:t xml:space="preserve">The </w:t>
      </w:r>
      <w:r w:rsidR="00906346">
        <w:t>Local</w:t>
      </w:r>
      <w:r w:rsidR="002E0E38">
        <w:t xml:space="preserve"> Authority</w:t>
      </w:r>
      <w:r>
        <w:t xml:space="preserve"> is expected to comment on significant year on year changes in their reported figures. The </w:t>
      </w:r>
      <w:r w:rsidR="00906346">
        <w:t>Local</w:t>
      </w:r>
      <w:r w:rsidR="002E0E38">
        <w:t xml:space="preserve"> Authority</w:t>
      </w:r>
      <w:r>
        <w:t xml:space="preserve"> should also record the location, date and time of gravity sewer collapses, rising main breaks, blockages and equipment failures with a view to this information being used for spatial analysis and an update of their underground asset management plan.</w:t>
      </w:r>
    </w:p>
    <w:p w14:paraId="67A0C12C" w14:textId="5C3080AA" w:rsidR="00BE4543" w:rsidRDefault="00BE4543" w:rsidP="00911155">
      <w:pPr>
        <w:pStyle w:val="Bodyromannumerals"/>
        <w:numPr>
          <w:ilvl w:val="0"/>
          <w:numId w:val="38"/>
        </w:numPr>
      </w:pPr>
      <w:r>
        <w:t xml:space="preserve">The </w:t>
      </w:r>
      <w:r w:rsidR="00906346">
        <w:t>Local</w:t>
      </w:r>
      <w:r w:rsidR="002E0E38">
        <w:t xml:space="preserve"> Authority</w:t>
      </w:r>
      <w:r>
        <w:t xml:space="preserve"> should state what historical data it has on sewer blockages and indicate whether it will be able to provide data suitable for trend analysis. If the </w:t>
      </w:r>
      <w:r w:rsidR="00906346">
        <w:t>Local</w:t>
      </w:r>
      <w:r w:rsidR="002E0E38">
        <w:t xml:space="preserve"> Authority</w:t>
      </w:r>
      <w:r>
        <w:t xml:space="preserve"> is content to provide this in this </w:t>
      </w:r>
      <w:r w:rsidR="00DA388C">
        <w:t>Request for Information</w:t>
      </w:r>
      <w:r>
        <w:t xml:space="preserve"> then it should do so, otherwise it should say when sufficiently reliable data could be made available.</w:t>
      </w:r>
    </w:p>
    <w:p w14:paraId="1D1FA049" w14:textId="5A3577E6" w:rsidR="00BE4543" w:rsidRDefault="00BE4543" w:rsidP="00911155">
      <w:pPr>
        <w:pStyle w:val="Bodyromannumerals"/>
        <w:numPr>
          <w:ilvl w:val="0"/>
          <w:numId w:val="38"/>
        </w:numPr>
      </w:pPr>
      <w:r>
        <w:t xml:space="preserve">The </w:t>
      </w:r>
      <w:r w:rsidR="00906346">
        <w:t>Local</w:t>
      </w:r>
      <w:r w:rsidR="002E0E38">
        <w:t xml:space="preserve"> Authority</w:t>
      </w:r>
      <w:r>
        <w:t xml:space="preserve"> should clearly explain what it is reporting as ‘equipment failure’.</w:t>
      </w:r>
    </w:p>
    <w:p w14:paraId="6154C831" w14:textId="1786AC19" w:rsidR="00BE4543" w:rsidRDefault="00BE4543" w:rsidP="00911155">
      <w:pPr>
        <w:pStyle w:val="Bodyromannumerals"/>
        <w:numPr>
          <w:ilvl w:val="0"/>
          <w:numId w:val="38"/>
        </w:numPr>
      </w:pPr>
      <w:r>
        <w:t xml:space="preserve">The </w:t>
      </w:r>
      <w:r w:rsidR="00906346">
        <w:t>Local</w:t>
      </w:r>
      <w:r w:rsidR="002E0E38">
        <w:t xml:space="preserve"> Authority</w:t>
      </w:r>
      <w:r>
        <w:t xml:space="preserve"> should explain in its commentary what kind of repairs it includes and what it excludes, on each line together with as much detail as they have to quantify this.  </w:t>
      </w:r>
    </w:p>
    <w:p w14:paraId="0C90D812" w14:textId="1D4D3844" w:rsidR="00BE4543" w:rsidRDefault="00BE4543" w:rsidP="00911155">
      <w:pPr>
        <w:pStyle w:val="Bodyromannumerals"/>
        <w:numPr>
          <w:ilvl w:val="0"/>
          <w:numId w:val="38"/>
        </w:numPr>
      </w:pPr>
      <w:r>
        <w:t xml:space="preserve">The </w:t>
      </w:r>
      <w:r w:rsidR="00906346">
        <w:t>Local</w:t>
      </w:r>
      <w:r w:rsidR="002E0E38">
        <w:t xml:space="preserve"> Authority</w:t>
      </w:r>
      <w:r>
        <w:t xml:space="preserve"> should include in the table blockages and sewer collapses on sewer laterals but state these numbers in the commentary.</w:t>
      </w:r>
    </w:p>
    <w:p w14:paraId="00CE6072" w14:textId="77777777" w:rsidR="006B4D75" w:rsidRDefault="006B4D75">
      <w:pPr>
        <w:spacing w:after="160" w:line="259" w:lineRule="auto"/>
        <w:rPr>
          <w:rFonts w:ascii="Calibri" w:hAnsi="Calibri" w:cs="Calibri"/>
          <w:b/>
          <w:color w:val="182B46"/>
          <w:sz w:val="26"/>
        </w:rPr>
      </w:pPr>
      <w:r>
        <w:br w:type="page"/>
      </w:r>
    </w:p>
    <w:p w14:paraId="00AA4D11" w14:textId="6C7FE057" w:rsidR="00BE4543" w:rsidRDefault="00BE4543" w:rsidP="00FB5287">
      <w:pPr>
        <w:pStyle w:val="Sectionsub-heading"/>
      </w:pPr>
      <w:r>
        <w:lastRenderedPageBreak/>
        <w:t>BLOCK 1: WATER SERVICE – DISTRIBUTION</w:t>
      </w:r>
    </w:p>
    <w:tbl>
      <w:tblPr>
        <w:tblStyle w:val="TableGrid"/>
        <w:tblW w:w="0" w:type="auto"/>
        <w:tblLook w:val="04A0" w:firstRow="1" w:lastRow="0" w:firstColumn="1" w:lastColumn="0" w:noHBand="0" w:noVBand="1"/>
      </w:tblPr>
      <w:tblGrid>
        <w:gridCol w:w="968"/>
        <w:gridCol w:w="1285"/>
        <w:gridCol w:w="4210"/>
        <w:gridCol w:w="1095"/>
      </w:tblGrid>
      <w:tr w:rsidR="006605E2" w:rsidRPr="00216F0E" w14:paraId="12E8253A" w14:textId="77777777" w:rsidTr="00202A4D">
        <w:tc>
          <w:tcPr>
            <w:tcW w:w="968" w:type="dxa"/>
          </w:tcPr>
          <w:p w14:paraId="4D93DF44" w14:textId="77777777" w:rsidR="006605E2" w:rsidRPr="00FE063D" w:rsidRDefault="006605E2" w:rsidP="006605E2">
            <w:pPr>
              <w:pStyle w:val="Bodyromannumerals"/>
              <w:rPr>
                <w:b/>
                <w:bCs/>
                <w:lang w:val="en-US"/>
              </w:rPr>
            </w:pPr>
            <w:r w:rsidRPr="00FE063D">
              <w:rPr>
                <w:b/>
                <w:bCs/>
                <w:lang w:val="en-US"/>
              </w:rPr>
              <w:t>B8.1</w:t>
            </w:r>
          </w:p>
        </w:tc>
        <w:tc>
          <w:tcPr>
            <w:tcW w:w="6855" w:type="dxa"/>
            <w:gridSpan w:val="2"/>
          </w:tcPr>
          <w:p w14:paraId="3CE91FE6" w14:textId="33511F34" w:rsidR="006605E2" w:rsidRPr="00FE063D" w:rsidRDefault="006605E2" w:rsidP="006605E2">
            <w:pPr>
              <w:pStyle w:val="Bodyromannumerals"/>
              <w:rPr>
                <w:b/>
                <w:bCs/>
                <w:lang w:val="en-US"/>
              </w:rPr>
            </w:pPr>
            <w:r w:rsidRPr="00FE063D">
              <w:rPr>
                <w:b/>
                <w:bCs/>
                <w:lang w:val="en-US"/>
              </w:rPr>
              <w:t>Mains bursts per 10km</w:t>
            </w:r>
          </w:p>
        </w:tc>
        <w:tc>
          <w:tcPr>
            <w:tcW w:w="1193" w:type="dxa"/>
          </w:tcPr>
          <w:p w14:paraId="56799F7B" w14:textId="6E0694D0" w:rsidR="006605E2" w:rsidRPr="00FE063D" w:rsidRDefault="006605E2" w:rsidP="006605E2">
            <w:pPr>
              <w:pStyle w:val="Bodyromannumerals"/>
              <w:rPr>
                <w:b/>
                <w:bCs/>
                <w:lang w:val="en-US"/>
              </w:rPr>
            </w:pPr>
            <w:r w:rsidRPr="00FE063D">
              <w:rPr>
                <w:b/>
                <w:bCs/>
                <w:lang w:val="en-US"/>
              </w:rPr>
              <w:t>Nr</w:t>
            </w:r>
            <w:r w:rsidR="00FE063D" w:rsidRPr="00FE063D">
              <w:rPr>
                <w:b/>
                <w:bCs/>
                <w:lang w:val="en-US"/>
              </w:rPr>
              <w:t>.</w:t>
            </w:r>
          </w:p>
        </w:tc>
      </w:tr>
      <w:tr w:rsidR="006605E2" w:rsidRPr="00216F0E" w14:paraId="30679AC4" w14:textId="77777777" w:rsidTr="00202A4D">
        <w:tc>
          <w:tcPr>
            <w:tcW w:w="2546" w:type="dxa"/>
            <w:gridSpan w:val="2"/>
            <w:tcBorders>
              <w:left w:val="single" w:sz="4" w:space="0" w:color="FFFFFF"/>
              <w:bottom w:val="single" w:sz="4" w:space="0" w:color="FFFFFF"/>
              <w:right w:val="single" w:sz="4" w:space="0" w:color="FFFFFF"/>
            </w:tcBorders>
          </w:tcPr>
          <w:p w14:paraId="6EE8D8FD" w14:textId="77777777" w:rsidR="006605E2" w:rsidRPr="00AF4AEA" w:rsidRDefault="006605E2" w:rsidP="006605E2">
            <w:pPr>
              <w:pStyle w:val="Bodyromannumerals"/>
              <w:rPr>
                <w:i/>
                <w:lang w:val="en-US"/>
              </w:rPr>
            </w:pPr>
            <w:r w:rsidRPr="00AF4AEA">
              <w:rPr>
                <w:i/>
                <w:lang w:val="en-US"/>
              </w:rPr>
              <w:t>Definition:</w:t>
            </w:r>
          </w:p>
        </w:tc>
        <w:tc>
          <w:tcPr>
            <w:tcW w:w="6470" w:type="dxa"/>
            <w:gridSpan w:val="2"/>
            <w:tcBorders>
              <w:left w:val="single" w:sz="4" w:space="0" w:color="FFFFFF"/>
              <w:bottom w:val="single" w:sz="4" w:space="0" w:color="FFFFFF"/>
              <w:right w:val="single" w:sz="4" w:space="0" w:color="FFFFFF"/>
            </w:tcBorders>
          </w:tcPr>
          <w:p w14:paraId="48AC3426" w14:textId="77777777" w:rsidR="00C10D41" w:rsidRPr="009D7CF7" w:rsidRDefault="00C10D41" w:rsidP="00A1195E">
            <w:pPr>
              <w:pStyle w:val="Bodyromannumerals"/>
            </w:pPr>
            <w:r w:rsidRPr="00C10D41">
              <w:rPr>
                <w:lang w:val="en-US"/>
              </w:rPr>
              <w:t>Mains bursts is captured through repair work. Mains bursts include all physical repair work to mains from which water is lost which is attributable to pipes, fittings or joint material failures or movement, or caused or deemed to be caused by conditions or original pipe laying or subsequent changes in ground conditions.</w:t>
            </w:r>
          </w:p>
          <w:p w14:paraId="36413C8B" w14:textId="77777777" w:rsidR="00FE0E65" w:rsidRDefault="00FE0E65" w:rsidP="00A1195E">
            <w:pPr>
              <w:pStyle w:val="Bodyromannumerals"/>
            </w:pPr>
            <w:r>
              <w:t>Mains bursts shall include all repair work undertaken on the water mains (i.e. all pipes conveying treated water around the distribution point but not including communication pipes or supply pipes).</w:t>
            </w:r>
          </w:p>
          <w:p w14:paraId="7FBC753D" w14:textId="77777777" w:rsidR="00FE0E65" w:rsidRDefault="00FE0E65" w:rsidP="00A1195E">
            <w:pPr>
              <w:pStyle w:val="Bodyromannumerals"/>
            </w:pPr>
            <w:r>
              <w:t>Once the main is recharged, and customers are back in supply, then if there is a new incident it is counted as a separate repair. If there is a secondary burst not at the point at where the repair took place during the recharge, then it should be captured as a separate reported burst.</w:t>
            </w:r>
          </w:p>
          <w:p w14:paraId="1481FEBF" w14:textId="09F32994" w:rsidR="00C86D72" w:rsidRPr="00A1195E" w:rsidRDefault="00055FD5" w:rsidP="00A1195E">
            <w:pPr>
              <w:pStyle w:val="Bodyromannumerals"/>
            </w:pPr>
            <w:r>
              <w:t xml:space="preserve">Mains bursts excludes any work which does not involve a repair on the main – e.g. solely on a ferrule, hydrant, valve and clamp associated with the ancillary. </w:t>
            </w:r>
          </w:p>
          <w:p w14:paraId="303A1B6A" w14:textId="77777777" w:rsidR="009928E3" w:rsidRDefault="006605E2" w:rsidP="00A1195E">
            <w:pPr>
              <w:pStyle w:val="Bodyromannumerals"/>
              <w:rPr>
                <w:lang w:val="en-US"/>
              </w:rPr>
            </w:pPr>
            <w:r w:rsidRPr="00AF4AEA">
              <w:rPr>
                <w:lang w:val="en-US"/>
              </w:rPr>
              <w:t xml:space="preserve">For the avoidance of doubt, all leakage occurring at locations or through joint or materials failures which would have been designed for the life of the main (irrespective of whether earlier failure occurs) should be regarded as mains bursts.   </w:t>
            </w:r>
            <w:r w:rsidR="009928E3" w:rsidRPr="00AF4AEA">
              <w:rPr>
                <w:lang w:val="en-US"/>
              </w:rPr>
              <w:t xml:space="preserve">Also include incidents of over pressure or pressure cycling, and surge failures etc. which reflect the system operating conditions, even where these failures are accidental rather than associated with weaknesses in pipe condition.  </w:t>
            </w:r>
          </w:p>
          <w:p w14:paraId="2FDC28FE" w14:textId="484EF6D9" w:rsidR="00C86D72" w:rsidRDefault="006605E2" w:rsidP="00A1195E">
            <w:pPr>
              <w:pStyle w:val="Bodyromannumerals"/>
              <w:rPr>
                <w:lang w:val="en-US"/>
              </w:rPr>
            </w:pPr>
            <w:r w:rsidRPr="00AF4AEA">
              <w:rPr>
                <w:lang w:val="en-US"/>
              </w:rPr>
              <w:t xml:space="preserve">Failure of consumable or maintainable items (valve packings </w:t>
            </w:r>
            <w:r w:rsidRPr="00216F0E">
              <w:rPr>
                <w:lang w:val="en-US"/>
              </w:rPr>
              <w:t>etc.</w:t>
            </w:r>
            <w:r w:rsidRPr="00AF4AEA">
              <w:rPr>
                <w:lang w:val="en-US"/>
              </w:rPr>
              <w:t xml:space="preserve">) should be </w:t>
            </w:r>
            <w:r w:rsidR="00953AF7">
              <w:rPr>
                <w:lang w:val="en-US"/>
              </w:rPr>
              <w:t>excluded</w:t>
            </w:r>
            <w:r w:rsidRPr="00AF4AEA">
              <w:rPr>
                <w:lang w:val="en-US"/>
              </w:rPr>
              <w:t xml:space="preserve">. </w:t>
            </w:r>
          </w:p>
          <w:p w14:paraId="75D96794" w14:textId="5A169843" w:rsidR="006605E2" w:rsidRPr="00AF4AEA" w:rsidRDefault="006605E2" w:rsidP="00A1195E">
            <w:pPr>
              <w:pStyle w:val="Bodyromannumerals"/>
              <w:rPr>
                <w:lang w:val="en-US"/>
              </w:rPr>
            </w:pPr>
            <w:r w:rsidRPr="00AF4AEA">
              <w:rPr>
                <w:lang w:val="en-US"/>
              </w:rPr>
              <w:t xml:space="preserve">All </w:t>
            </w:r>
            <w:r w:rsidR="005B43D4" w:rsidRPr="00AF4AEA">
              <w:rPr>
                <w:lang w:val="en-US"/>
              </w:rPr>
              <w:t>third-party</w:t>
            </w:r>
            <w:r w:rsidRPr="00AF4AEA">
              <w:rPr>
                <w:lang w:val="en-US"/>
              </w:rPr>
              <w:t xml:space="preserve"> damage should be excluded where costs are potentially (rather than actually) recovered from a third party. If these incidents are </w:t>
            </w:r>
            <w:r w:rsidRPr="00216F0E">
              <w:rPr>
                <w:lang w:val="en-US"/>
              </w:rPr>
              <w:t>significant,</w:t>
            </w:r>
            <w:r w:rsidRPr="00AF4AEA">
              <w:rPr>
                <w:lang w:val="en-US"/>
              </w:rPr>
              <w:t xml:space="preserve"> they should be reported in the commentaries.</w:t>
            </w:r>
          </w:p>
        </w:tc>
      </w:tr>
      <w:tr w:rsidR="006605E2" w:rsidRPr="00216F0E" w14:paraId="298AE734" w14:textId="77777777" w:rsidTr="00202A4D">
        <w:tc>
          <w:tcPr>
            <w:tcW w:w="2546" w:type="dxa"/>
            <w:gridSpan w:val="2"/>
            <w:tcBorders>
              <w:top w:val="single" w:sz="4" w:space="0" w:color="FFFFFF"/>
              <w:left w:val="single" w:sz="4" w:space="0" w:color="FFFFFF"/>
              <w:bottom w:val="single" w:sz="4" w:space="0" w:color="FFFFFF"/>
              <w:right w:val="single" w:sz="4" w:space="0" w:color="FFFFFF"/>
            </w:tcBorders>
          </w:tcPr>
          <w:p w14:paraId="11A930BD" w14:textId="77777777" w:rsidR="006605E2" w:rsidRPr="00AF4AEA" w:rsidRDefault="006605E2" w:rsidP="006605E2">
            <w:pPr>
              <w:pStyle w:val="Bodyromannumerals"/>
              <w:rPr>
                <w:i/>
                <w:lang w:val="en-US"/>
              </w:rPr>
            </w:pPr>
            <w:r w:rsidRPr="00AF4AEA">
              <w:rPr>
                <w:i/>
                <w:lang w:val="en-US"/>
              </w:rPr>
              <w:t>Processing Rules:</w:t>
            </w:r>
          </w:p>
        </w:tc>
        <w:tc>
          <w:tcPr>
            <w:tcW w:w="6470" w:type="dxa"/>
            <w:gridSpan w:val="2"/>
            <w:tcBorders>
              <w:top w:val="single" w:sz="4" w:space="0" w:color="FFFFFF"/>
              <w:left w:val="single" w:sz="4" w:space="0" w:color="FFFFFF"/>
              <w:bottom w:val="single" w:sz="4" w:space="0" w:color="FFFFFF"/>
              <w:right w:val="single" w:sz="4" w:space="0" w:color="FFFFFF"/>
            </w:tcBorders>
          </w:tcPr>
          <w:p w14:paraId="22BF8CD7" w14:textId="77777777" w:rsidR="006605E2" w:rsidRPr="00AF4AEA" w:rsidRDefault="006605E2" w:rsidP="006605E2">
            <w:pPr>
              <w:pStyle w:val="Bodyromannumerals"/>
              <w:rPr>
                <w:lang w:val="en-US"/>
              </w:rPr>
            </w:pPr>
            <w:r w:rsidRPr="00AF4AEA">
              <w:rPr>
                <w:lang w:val="en-US"/>
              </w:rPr>
              <w:t>Input field</w:t>
            </w:r>
          </w:p>
        </w:tc>
      </w:tr>
    </w:tbl>
    <w:p w14:paraId="5AD7750E" w14:textId="77777777" w:rsidR="00BE4543" w:rsidRDefault="00BE4543" w:rsidP="00BE4543">
      <w:pPr>
        <w:pStyle w:val="Bodyromannumerals"/>
      </w:pPr>
    </w:p>
    <w:p w14:paraId="214394C8" w14:textId="77777777" w:rsidR="008B30C3" w:rsidRDefault="008B30C3">
      <w:pPr>
        <w:spacing w:after="160" w:line="259" w:lineRule="auto"/>
        <w:rPr>
          <w:rFonts w:ascii="Calibri" w:hAnsi="Calibri" w:cs="Calibri"/>
          <w:b/>
          <w:color w:val="182B46"/>
          <w:sz w:val="26"/>
        </w:rPr>
      </w:pPr>
      <w:r>
        <w:br w:type="page"/>
      </w:r>
    </w:p>
    <w:p w14:paraId="7F435ABB" w14:textId="6A83BF21" w:rsidR="00BE4543" w:rsidRDefault="00BE4543" w:rsidP="00D70963">
      <w:pPr>
        <w:pStyle w:val="Sectionsub-heading"/>
      </w:pPr>
      <w:r>
        <w:lastRenderedPageBreak/>
        <w:t xml:space="preserve">BLOCK </w:t>
      </w:r>
      <w:r w:rsidR="008B30C3">
        <w:t>2</w:t>
      </w:r>
      <w:r>
        <w:t xml:space="preserve">: </w:t>
      </w:r>
      <w:r w:rsidR="00906346">
        <w:t>WASTEWATER</w:t>
      </w:r>
      <w:r>
        <w:t xml:space="preserve"> SERVICE</w:t>
      </w:r>
    </w:p>
    <w:tbl>
      <w:tblPr>
        <w:tblStyle w:val="TableGrid"/>
        <w:tblW w:w="7558" w:type="dxa"/>
        <w:tblLook w:val="04A0" w:firstRow="1" w:lastRow="0" w:firstColumn="1" w:lastColumn="0" w:noHBand="0" w:noVBand="1"/>
      </w:tblPr>
      <w:tblGrid>
        <w:gridCol w:w="1065"/>
        <w:gridCol w:w="1202"/>
        <w:gridCol w:w="4210"/>
        <w:gridCol w:w="1081"/>
      </w:tblGrid>
      <w:tr w:rsidR="00E31688" w:rsidRPr="00216F0E" w14:paraId="59B1D741" w14:textId="77777777" w:rsidTr="286C5C0D">
        <w:tc>
          <w:tcPr>
            <w:tcW w:w="1065" w:type="dxa"/>
          </w:tcPr>
          <w:p w14:paraId="77E5E4B1" w14:textId="77777777" w:rsidR="00E31688" w:rsidRPr="00FE063D" w:rsidRDefault="00E31688" w:rsidP="00E31688">
            <w:pPr>
              <w:pStyle w:val="Bodyromannumerals"/>
              <w:rPr>
                <w:b/>
                <w:bCs/>
                <w:lang w:val="en-US"/>
              </w:rPr>
            </w:pPr>
            <w:r w:rsidRPr="00FE063D">
              <w:rPr>
                <w:b/>
                <w:bCs/>
                <w:lang w:val="en-US"/>
              </w:rPr>
              <w:t>B8.10</w:t>
            </w:r>
          </w:p>
        </w:tc>
        <w:tc>
          <w:tcPr>
            <w:tcW w:w="5412" w:type="dxa"/>
            <w:gridSpan w:val="2"/>
          </w:tcPr>
          <w:p w14:paraId="498363F2" w14:textId="77777777" w:rsidR="00E31688" w:rsidRPr="00FE063D" w:rsidRDefault="00E31688" w:rsidP="00E31688">
            <w:pPr>
              <w:pStyle w:val="Bodyromannumerals"/>
              <w:rPr>
                <w:b/>
                <w:bCs/>
                <w:lang w:val="en-US"/>
              </w:rPr>
            </w:pPr>
            <w:r w:rsidRPr="00FE063D">
              <w:rPr>
                <w:b/>
                <w:bCs/>
                <w:lang w:val="en-US"/>
              </w:rPr>
              <w:t>Total number of sewer collapses</w:t>
            </w:r>
          </w:p>
        </w:tc>
        <w:tc>
          <w:tcPr>
            <w:tcW w:w="1081" w:type="dxa"/>
          </w:tcPr>
          <w:p w14:paraId="509E0850" w14:textId="34DA4B2E" w:rsidR="00E31688" w:rsidRPr="00FE063D" w:rsidRDefault="00E31688" w:rsidP="00E31688">
            <w:pPr>
              <w:pStyle w:val="Bodyromannumerals"/>
              <w:rPr>
                <w:b/>
                <w:bCs/>
                <w:lang w:val="en-US"/>
              </w:rPr>
            </w:pPr>
            <w:r w:rsidRPr="00FE063D">
              <w:rPr>
                <w:b/>
                <w:bCs/>
                <w:lang w:val="en-US"/>
              </w:rPr>
              <w:t>Nr</w:t>
            </w:r>
            <w:r w:rsidR="00FE063D" w:rsidRPr="00FE063D">
              <w:rPr>
                <w:b/>
                <w:bCs/>
                <w:lang w:val="en-US"/>
              </w:rPr>
              <w:t>.</w:t>
            </w:r>
          </w:p>
        </w:tc>
      </w:tr>
      <w:tr w:rsidR="00E31688" w:rsidRPr="00216F0E" w14:paraId="50114003"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169BAB90"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6D1169B5" w14:textId="59D11EB1" w:rsidR="00E31688" w:rsidRPr="00AF4AEA" w:rsidRDefault="00E31688" w:rsidP="00E31688">
            <w:pPr>
              <w:pStyle w:val="Bodyromannumerals"/>
              <w:rPr>
                <w:lang w:val="en-US"/>
              </w:rPr>
            </w:pPr>
            <w:r w:rsidRPr="00AF4AEA">
              <w:rPr>
                <w:lang w:val="en-US"/>
              </w:rPr>
              <w:t>Total number of sewer collapses. Include bursts to rising mains, even where failures are accidental rather than weakness in pipe condition. All third-party damage should be excluded where costs are potentially (rather than actually) recovered from a third party. If the incidents are significant, they should be reported in the commentaries.</w:t>
            </w:r>
            <w:r w:rsidR="008D4893">
              <w:rPr>
                <w:lang w:val="en-US"/>
              </w:rPr>
              <w:t xml:space="preserve"> This covers wastewater or combined sewers.</w:t>
            </w:r>
          </w:p>
        </w:tc>
      </w:tr>
      <w:tr w:rsidR="00E31688" w:rsidRPr="00216F0E" w14:paraId="4AEBB8E5"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0D18549" w14:textId="77777777" w:rsidR="00E31688" w:rsidRPr="00AF4AEA" w:rsidRDefault="00E31688" w:rsidP="00E31688">
            <w:pPr>
              <w:pStyle w:val="Bodyromannumerals"/>
              <w:rPr>
                <w:i/>
                <w:lang w:val="en-US"/>
              </w:rPr>
            </w:pPr>
            <w:r w:rsidRPr="00AF4AEA">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0F32553" w14:textId="77777777" w:rsidR="00E31688" w:rsidRPr="00AF4AEA" w:rsidRDefault="00E31688" w:rsidP="00E31688">
            <w:pPr>
              <w:pStyle w:val="Bodyromannumerals"/>
              <w:rPr>
                <w:lang w:val="en-US"/>
              </w:rPr>
            </w:pPr>
            <w:r w:rsidRPr="00AF4AEA">
              <w:rPr>
                <w:lang w:val="en-US"/>
              </w:rPr>
              <w:t>Input field</w:t>
            </w:r>
          </w:p>
        </w:tc>
      </w:tr>
      <w:tr w:rsidR="00E31688" w:rsidRPr="00216F0E" w14:paraId="182C9BBC" w14:textId="77777777" w:rsidTr="286C5C0D">
        <w:tc>
          <w:tcPr>
            <w:tcW w:w="1065" w:type="dxa"/>
          </w:tcPr>
          <w:p w14:paraId="5020F791" w14:textId="35B967D6" w:rsidR="00E31688" w:rsidRPr="00FE063D" w:rsidRDefault="00E31688" w:rsidP="00E31688">
            <w:pPr>
              <w:pStyle w:val="Bodyromannumerals"/>
              <w:rPr>
                <w:b/>
                <w:bCs/>
                <w:lang w:val="en-US"/>
              </w:rPr>
            </w:pPr>
            <w:r w:rsidRPr="00FE063D">
              <w:rPr>
                <w:b/>
                <w:bCs/>
                <w:lang w:val="en-US"/>
              </w:rPr>
              <w:t>B8.11</w:t>
            </w:r>
          </w:p>
        </w:tc>
        <w:tc>
          <w:tcPr>
            <w:tcW w:w="5412" w:type="dxa"/>
            <w:gridSpan w:val="2"/>
          </w:tcPr>
          <w:p w14:paraId="1BC64F5E" w14:textId="4E4A9400" w:rsidR="00E31688" w:rsidRPr="00FE063D" w:rsidRDefault="00E31688" w:rsidP="00E31688">
            <w:pPr>
              <w:pStyle w:val="Bodyromannumerals"/>
              <w:rPr>
                <w:b/>
                <w:bCs/>
                <w:lang w:val="en-US"/>
              </w:rPr>
            </w:pPr>
            <w:r w:rsidRPr="00FE063D">
              <w:rPr>
                <w:b/>
                <w:bCs/>
                <w:lang w:val="en-US"/>
              </w:rPr>
              <w:t xml:space="preserve">Sewer collapses per </w:t>
            </w:r>
            <w:r w:rsidRPr="00B529DC">
              <w:rPr>
                <w:b/>
                <w:bCs/>
                <w:lang w:val="en-US"/>
              </w:rPr>
              <w:t>10 km</w:t>
            </w:r>
          </w:p>
        </w:tc>
        <w:tc>
          <w:tcPr>
            <w:tcW w:w="1081" w:type="dxa"/>
          </w:tcPr>
          <w:p w14:paraId="21DF8CE3" w14:textId="3582F1DD" w:rsidR="00E31688" w:rsidRPr="00FE063D" w:rsidRDefault="00E31688" w:rsidP="00E31688">
            <w:pPr>
              <w:pStyle w:val="Bodyromannumerals"/>
              <w:rPr>
                <w:b/>
                <w:bCs/>
                <w:lang w:val="en-US"/>
              </w:rPr>
            </w:pPr>
            <w:r w:rsidRPr="00FE063D">
              <w:rPr>
                <w:b/>
                <w:bCs/>
                <w:lang w:val="en-US"/>
              </w:rPr>
              <w:t>Nr</w:t>
            </w:r>
            <w:r w:rsidR="00FE063D" w:rsidRPr="00FE063D">
              <w:rPr>
                <w:b/>
                <w:bCs/>
                <w:lang w:val="en-US"/>
              </w:rPr>
              <w:t>.</w:t>
            </w:r>
          </w:p>
        </w:tc>
      </w:tr>
      <w:tr w:rsidR="00E31688" w:rsidRPr="00216F0E" w14:paraId="3543FC66"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025F48C7"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1C77A6BA" w14:textId="63A98B5F" w:rsidR="00E31688" w:rsidRPr="00AF4AEA" w:rsidRDefault="00E31688" w:rsidP="00E31688">
            <w:pPr>
              <w:pStyle w:val="Bodyromannumerals"/>
              <w:rPr>
                <w:lang w:val="en-US"/>
              </w:rPr>
            </w:pPr>
            <w:r w:rsidRPr="00AF4AEA">
              <w:rPr>
                <w:lang w:val="en-US"/>
              </w:rPr>
              <w:t xml:space="preserve">Number of sewer collapses per </w:t>
            </w:r>
            <w:proofErr w:type="spellStart"/>
            <w:r w:rsidR="00B774CA">
              <w:rPr>
                <w:lang w:val="en-US"/>
              </w:rPr>
              <w:t>ten</w:t>
            </w:r>
            <w:proofErr w:type="spellEnd"/>
            <w:r w:rsidR="008F20EC" w:rsidRPr="00AF4AEA">
              <w:rPr>
                <w:lang w:val="en-US"/>
              </w:rPr>
              <w:t xml:space="preserve"> </w:t>
            </w:r>
            <w:r w:rsidRPr="00216F0E">
              <w:rPr>
                <w:lang w:val="en-US"/>
              </w:rPr>
              <w:t>kilometers</w:t>
            </w:r>
            <w:r w:rsidRPr="00AF4AEA">
              <w:rPr>
                <w:lang w:val="en-US"/>
              </w:rPr>
              <w:t xml:space="preserve"> of all sewers.  Include bursts to rising mains, even where failures are accidental rather than weakness in pipe condition. All </w:t>
            </w:r>
            <w:r w:rsidR="005B43D4" w:rsidRPr="00AF4AEA">
              <w:rPr>
                <w:lang w:val="en-US"/>
              </w:rPr>
              <w:t>third-party</w:t>
            </w:r>
            <w:r w:rsidRPr="00AF4AEA">
              <w:rPr>
                <w:lang w:val="en-US"/>
              </w:rPr>
              <w:t xml:space="preserve"> damage should be excluded where costs are potentially (rather than actually) recovered from a third party. If the incidents are significant, they should be reported in the commentaries.</w:t>
            </w:r>
            <w:r w:rsidR="008D4893">
              <w:rPr>
                <w:lang w:val="en-US"/>
              </w:rPr>
              <w:t xml:space="preserve"> This covers wastewater or combined sewers.</w:t>
            </w:r>
          </w:p>
        </w:tc>
      </w:tr>
      <w:tr w:rsidR="00E31688" w:rsidRPr="00216F0E" w14:paraId="67755747"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C36A2D5" w14:textId="77777777" w:rsidR="00E31688" w:rsidRPr="00AF4AEA" w:rsidRDefault="00E31688" w:rsidP="00E31688">
            <w:pPr>
              <w:pStyle w:val="Bodyromannumerals"/>
              <w:rPr>
                <w:i/>
                <w:lang w:val="en-US"/>
              </w:rPr>
            </w:pPr>
            <w:r w:rsidRPr="00AF4AEA">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7118DB0" w14:textId="77777777" w:rsidR="00E31688" w:rsidRPr="00AF4AEA" w:rsidRDefault="00E31688" w:rsidP="00E31688">
            <w:pPr>
              <w:pStyle w:val="Bodyromannumerals"/>
              <w:rPr>
                <w:lang w:val="en-US"/>
              </w:rPr>
            </w:pPr>
            <w:r w:rsidRPr="00AF4AEA">
              <w:rPr>
                <w:lang w:val="en-US"/>
              </w:rPr>
              <w:t>Input field</w:t>
            </w:r>
          </w:p>
        </w:tc>
      </w:tr>
      <w:tr w:rsidR="00E31688" w:rsidRPr="00216F0E" w14:paraId="3C3053BE" w14:textId="77777777" w:rsidTr="286C5C0D">
        <w:tc>
          <w:tcPr>
            <w:tcW w:w="1065" w:type="dxa"/>
          </w:tcPr>
          <w:p w14:paraId="1BA21D6E" w14:textId="77777777" w:rsidR="00E31688" w:rsidRPr="00FE063D" w:rsidRDefault="00E31688" w:rsidP="00E31688">
            <w:pPr>
              <w:pStyle w:val="Bodyromannumerals"/>
              <w:rPr>
                <w:b/>
                <w:bCs/>
                <w:lang w:val="en-US"/>
              </w:rPr>
            </w:pPr>
            <w:r w:rsidRPr="00FE063D">
              <w:rPr>
                <w:b/>
                <w:bCs/>
                <w:lang w:val="en-US"/>
              </w:rPr>
              <w:t>B8.12</w:t>
            </w:r>
          </w:p>
        </w:tc>
        <w:tc>
          <w:tcPr>
            <w:tcW w:w="5412" w:type="dxa"/>
            <w:gridSpan w:val="2"/>
          </w:tcPr>
          <w:p w14:paraId="354FC83F" w14:textId="77777777" w:rsidR="00E31688" w:rsidRPr="00FE063D" w:rsidRDefault="00E31688" w:rsidP="00E31688">
            <w:pPr>
              <w:pStyle w:val="Bodyromannumerals"/>
              <w:rPr>
                <w:b/>
                <w:bCs/>
                <w:lang w:val="en-US"/>
              </w:rPr>
            </w:pPr>
            <w:r w:rsidRPr="00FE063D">
              <w:rPr>
                <w:b/>
                <w:bCs/>
                <w:lang w:val="en-US"/>
              </w:rPr>
              <w:t>Number of unsatisfactory intermittent discharges</w:t>
            </w:r>
          </w:p>
        </w:tc>
        <w:tc>
          <w:tcPr>
            <w:tcW w:w="1081" w:type="dxa"/>
          </w:tcPr>
          <w:p w14:paraId="50C1F712" w14:textId="7B857011" w:rsidR="00E31688" w:rsidRPr="00FE063D" w:rsidRDefault="00E31688" w:rsidP="00E31688">
            <w:pPr>
              <w:pStyle w:val="Bodyromannumerals"/>
              <w:rPr>
                <w:b/>
                <w:bCs/>
                <w:lang w:val="en-US"/>
              </w:rPr>
            </w:pPr>
            <w:r w:rsidRPr="00FE063D">
              <w:rPr>
                <w:b/>
                <w:bCs/>
                <w:lang w:val="en-US"/>
              </w:rPr>
              <w:t>Nr</w:t>
            </w:r>
            <w:r w:rsidR="00FE063D" w:rsidRPr="00FE063D">
              <w:rPr>
                <w:b/>
                <w:bCs/>
                <w:lang w:val="en-US"/>
              </w:rPr>
              <w:t>.</w:t>
            </w:r>
          </w:p>
        </w:tc>
      </w:tr>
      <w:tr w:rsidR="00E31688" w:rsidRPr="00216F0E" w14:paraId="3C0519F4"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25097093"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763074FE" w14:textId="7318187F" w:rsidR="00E31688" w:rsidRPr="00AF4AEA" w:rsidRDefault="00E31688" w:rsidP="00E31688">
            <w:pPr>
              <w:pStyle w:val="Bodyromannumerals"/>
              <w:rPr>
                <w:lang w:val="en-US"/>
              </w:rPr>
            </w:pPr>
            <w:r w:rsidRPr="00AF4AEA">
              <w:rPr>
                <w:lang w:val="en-US"/>
              </w:rPr>
              <w:t>The number of unsatisfactory intermittent discharges</w:t>
            </w:r>
            <w:r w:rsidR="00EC4458">
              <w:rPr>
                <w:lang w:val="en-US"/>
              </w:rPr>
              <w:t xml:space="preserve"> on the </w:t>
            </w:r>
            <w:r w:rsidR="00A5722B">
              <w:rPr>
                <w:lang w:val="en-US"/>
              </w:rPr>
              <w:t xml:space="preserve">wastewater </w:t>
            </w:r>
            <w:r w:rsidR="00EC4458">
              <w:rPr>
                <w:lang w:val="en-US"/>
              </w:rPr>
              <w:t>system</w:t>
            </w:r>
            <w:r w:rsidRPr="00AF4AEA">
              <w:rPr>
                <w:lang w:val="en-US"/>
              </w:rPr>
              <w:t xml:space="preserve"> at the end of the report year.</w:t>
            </w:r>
          </w:p>
        </w:tc>
      </w:tr>
      <w:tr w:rsidR="00E31688" w:rsidRPr="00216F0E" w14:paraId="6A941418"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AC16BDA" w14:textId="77777777" w:rsidR="00E31688" w:rsidRPr="00AF4AEA" w:rsidRDefault="00E31688" w:rsidP="00E31688">
            <w:pPr>
              <w:pStyle w:val="Bodyromannumerals"/>
              <w:rPr>
                <w:i/>
                <w:lang w:val="en-US"/>
              </w:rPr>
            </w:pPr>
            <w:r w:rsidRPr="00AF4AEA">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953453D" w14:textId="77777777" w:rsidR="00E31688" w:rsidRPr="00AF4AEA" w:rsidRDefault="00E31688" w:rsidP="00E31688">
            <w:pPr>
              <w:pStyle w:val="Bodyromannumerals"/>
              <w:rPr>
                <w:lang w:val="en-US"/>
              </w:rPr>
            </w:pPr>
            <w:r w:rsidRPr="00AF4AEA">
              <w:rPr>
                <w:lang w:val="en-US"/>
              </w:rPr>
              <w:t>Input field</w:t>
            </w:r>
          </w:p>
        </w:tc>
      </w:tr>
      <w:tr w:rsidR="00E31688" w:rsidRPr="00216F0E" w14:paraId="57F6C2CA" w14:textId="77777777" w:rsidTr="286C5C0D">
        <w:tc>
          <w:tcPr>
            <w:tcW w:w="1065" w:type="dxa"/>
          </w:tcPr>
          <w:p w14:paraId="4DD3BBE1" w14:textId="77777777" w:rsidR="00E31688" w:rsidRPr="00FE063D" w:rsidRDefault="00E31688" w:rsidP="00E31688">
            <w:pPr>
              <w:pStyle w:val="Bodyromannumerals"/>
              <w:rPr>
                <w:b/>
                <w:bCs/>
                <w:lang w:val="en-US"/>
              </w:rPr>
            </w:pPr>
            <w:r w:rsidRPr="00FE063D">
              <w:rPr>
                <w:b/>
                <w:bCs/>
                <w:lang w:val="en-US"/>
              </w:rPr>
              <w:t>B8.13</w:t>
            </w:r>
          </w:p>
        </w:tc>
        <w:tc>
          <w:tcPr>
            <w:tcW w:w="5412" w:type="dxa"/>
            <w:gridSpan w:val="2"/>
          </w:tcPr>
          <w:p w14:paraId="4EDB7470" w14:textId="77777777" w:rsidR="00E31688" w:rsidRPr="00FE063D" w:rsidRDefault="00E31688" w:rsidP="00E31688">
            <w:pPr>
              <w:pStyle w:val="Bodyromannumerals"/>
              <w:rPr>
                <w:b/>
                <w:bCs/>
                <w:lang w:val="en-US"/>
              </w:rPr>
            </w:pPr>
            <w:r w:rsidRPr="00FE063D">
              <w:rPr>
                <w:b/>
                <w:bCs/>
                <w:lang w:val="en-US"/>
              </w:rPr>
              <w:t>Number of intermittent discharges</w:t>
            </w:r>
          </w:p>
        </w:tc>
        <w:tc>
          <w:tcPr>
            <w:tcW w:w="1081" w:type="dxa"/>
          </w:tcPr>
          <w:p w14:paraId="540ED463" w14:textId="492932A3" w:rsidR="00E31688" w:rsidRPr="00FE063D" w:rsidRDefault="00E31688" w:rsidP="00E31688">
            <w:pPr>
              <w:pStyle w:val="Bodyromannumerals"/>
              <w:rPr>
                <w:b/>
                <w:bCs/>
                <w:lang w:val="en-US"/>
              </w:rPr>
            </w:pPr>
            <w:r w:rsidRPr="00FE063D">
              <w:rPr>
                <w:b/>
                <w:bCs/>
                <w:lang w:val="en-US"/>
              </w:rPr>
              <w:t>Nr</w:t>
            </w:r>
            <w:r w:rsidR="00FE063D" w:rsidRPr="00FE063D">
              <w:rPr>
                <w:b/>
                <w:bCs/>
                <w:lang w:val="en-US"/>
              </w:rPr>
              <w:t>.</w:t>
            </w:r>
          </w:p>
        </w:tc>
      </w:tr>
      <w:tr w:rsidR="00E31688" w:rsidRPr="00124C4E" w14:paraId="38E0572D"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309B9DA5"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5CFB89BF" w14:textId="61856C50" w:rsidR="00E31688" w:rsidRPr="00AF4AEA" w:rsidRDefault="00E31688" w:rsidP="00E31688">
            <w:pPr>
              <w:pStyle w:val="Bodyromannumerals"/>
              <w:rPr>
                <w:lang w:val="en-US"/>
              </w:rPr>
            </w:pPr>
            <w:r w:rsidRPr="00AF4AEA">
              <w:rPr>
                <w:lang w:val="en-US"/>
              </w:rPr>
              <w:t xml:space="preserve">The total number of intermittent discharges on the </w:t>
            </w:r>
            <w:r w:rsidR="009D138F">
              <w:rPr>
                <w:lang w:val="en-US"/>
              </w:rPr>
              <w:t>wastewater</w:t>
            </w:r>
            <w:r w:rsidR="001C2F4D">
              <w:rPr>
                <w:lang w:val="en-US"/>
              </w:rPr>
              <w:t xml:space="preserve"> </w:t>
            </w:r>
            <w:r w:rsidRPr="00AF4AEA">
              <w:rPr>
                <w:lang w:val="en-US"/>
              </w:rPr>
              <w:t xml:space="preserve">system. These should include combined sewer overflows, emergency overflows at pumping stations at inlets to </w:t>
            </w:r>
            <w:r w:rsidR="00A12D8A">
              <w:rPr>
                <w:lang w:val="en-US"/>
              </w:rPr>
              <w:t>plants</w:t>
            </w:r>
            <w:r w:rsidRPr="00AF4AEA">
              <w:rPr>
                <w:lang w:val="en-US"/>
              </w:rPr>
              <w:t xml:space="preserve"> and storm tank discharges</w:t>
            </w:r>
            <w:r w:rsidR="002D316B">
              <w:rPr>
                <w:lang w:val="en-US"/>
              </w:rPr>
              <w:t>.</w:t>
            </w:r>
          </w:p>
        </w:tc>
      </w:tr>
      <w:tr w:rsidR="00E31688" w:rsidRPr="00216F0E" w14:paraId="6F3E1640"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7D3DAE" w14:textId="77777777" w:rsidR="00E31688" w:rsidRPr="00124C4E" w:rsidRDefault="00E31688" w:rsidP="00E31688">
            <w:pPr>
              <w:pStyle w:val="Bodyromannumerals"/>
              <w:rPr>
                <w:i/>
                <w:lang w:val="en-US"/>
              </w:rPr>
            </w:pPr>
            <w:r w:rsidRPr="00124C4E">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CB3F802" w14:textId="77777777" w:rsidR="00E31688" w:rsidRPr="00124C4E" w:rsidRDefault="00E31688" w:rsidP="00E31688">
            <w:pPr>
              <w:pStyle w:val="Bodyromannumerals"/>
              <w:rPr>
                <w:lang w:val="en-US"/>
              </w:rPr>
            </w:pPr>
            <w:r w:rsidRPr="00124C4E">
              <w:rPr>
                <w:lang w:val="en-US"/>
              </w:rPr>
              <w:t>Input field</w:t>
            </w:r>
          </w:p>
        </w:tc>
      </w:tr>
      <w:tr w:rsidR="00E31688" w:rsidRPr="00216F0E" w14:paraId="41ED1D8F" w14:textId="77777777" w:rsidTr="286C5C0D">
        <w:tc>
          <w:tcPr>
            <w:tcW w:w="1065" w:type="dxa"/>
          </w:tcPr>
          <w:p w14:paraId="3BE897ED" w14:textId="77777777" w:rsidR="00E31688" w:rsidRPr="00FE063D" w:rsidRDefault="00E31688" w:rsidP="00E31688">
            <w:pPr>
              <w:pStyle w:val="Bodyromannumerals"/>
              <w:rPr>
                <w:b/>
                <w:bCs/>
                <w:lang w:val="en-US"/>
              </w:rPr>
            </w:pPr>
            <w:r w:rsidRPr="00FE063D">
              <w:rPr>
                <w:b/>
                <w:bCs/>
                <w:lang w:val="en-US"/>
              </w:rPr>
              <w:t>B8.14</w:t>
            </w:r>
          </w:p>
        </w:tc>
        <w:tc>
          <w:tcPr>
            <w:tcW w:w="5412" w:type="dxa"/>
            <w:gridSpan w:val="2"/>
          </w:tcPr>
          <w:p w14:paraId="6519308B" w14:textId="27CD504E" w:rsidR="00E31688" w:rsidRPr="00FE063D" w:rsidRDefault="00E31688" w:rsidP="00E31688">
            <w:pPr>
              <w:pStyle w:val="Bodyromannumerals"/>
              <w:rPr>
                <w:b/>
                <w:bCs/>
                <w:lang w:val="en-US"/>
              </w:rPr>
            </w:pPr>
            <w:r w:rsidRPr="00FE063D">
              <w:rPr>
                <w:b/>
                <w:bCs/>
                <w:lang w:val="en-US"/>
              </w:rPr>
              <w:t>Percentage of unsatisfactory intermittent discharges</w:t>
            </w:r>
          </w:p>
        </w:tc>
        <w:tc>
          <w:tcPr>
            <w:tcW w:w="1081" w:type="dxa"/>
          </w:tcPr>
          <w:p w14:paraId="12682F59" w14:textId="77777777" w:rsidR="00E31688" w:rsidRPr="00FE063D" w:rsidRDefault="00E31688" w:rsidP="00E31688">
            <w:pPr>
              <w:pStyle w:val="Bodyromannumerals"/>
              <w:rPr>
                <w:b/>
                <w:bCs/>
                <w:lang w:val="en-US"/>
              </w:rPr>
            </w:pPr>
            <w:r w:rsidRPr="00FE063D">
              <w:rPr>
                <w:b/>
                <w:bCs/>
                <w:lang w:val="en-US"/>
              </w:rPr>
              <w:t xml:space="preserve">% </w:t>
            </w:r>
          </w:p>
        </w:tc>
      </w:tr>
      <w:tr w:rsidR="00E31688" w:rsidRPr="00124C4E" w14:paraId="71E8A5AB"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4093C194"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7F76214E" w14:textId="5C45CB2E" w:rsidR="00E31688" w:rsidRPr="00AF4AEA" w:rsidRDefault="00E31688" w:rsidP="00E31688">
            <w:pPr>
              <w:pStyle w:val="Bodyromannumerals"/>
              <w:rPr>
                <w:lang w:val="en-US"/>
              </w:rPr>
            </w:pPr>
            <w:r w:rsidRPr="00AF4AEA">
              <w:rPr>
                <w:lang w:val="en-US"/>
              </w:rPr>
              <w:t xml:space="preserve">The percentage of </w:t>
            </w:r>
            <w:r w:rsidRPr="007C72F1">
              <w:rPr>
                <w:lang w:val="en-US"/>
              </w:rPr>
              <w:t xml:space="preserve">unsatisfactory </w:t>
            </w:r>
            <w:r w:rsidRPr="00B529DC">
              <w:rPr>
                <w:lang w:val="en-US"/>
              </w:rPr>
              <w:t>combined</w:t>
            </w:r>
            <w:r w:rsidRPr="007C72F1">
              <w:rPr>
                <w:lang w:val="en-US"/>
              </w:rPr>
              <w:t xml:space="preserve"> sewer</w:t>
            </w:r>
            <w:r w:rsidRPr="00AF4AEA">
              <w:rPr>
                <w:lang w:val="en-US"/>
              </w:rPr>
              <w:t xml:space="preserve"> overflows</w:t>
            </w:r>
            <w:r w:rsidR="00D60A8C">
              <w:rPr>
                <w:lang w:val="en-US"/>
              </w:rPr>
              <w:t xml:space="preserve"> (i.e. non-compliant outflows based on the discharge consent)</w:t>
            </w:r>
            <w:r w:rsidRPr="00AF4AEA">
              <w:rPr>
                <w:lang w:val="en-US"/>
              </w:rPr>
              <w:t>.</w:t>
            </w:r>
            <w:r w:rsidR="00D60A8C">
              <w:rPr>
                <w:lang w:val="en-US"/>
              </w:rPr>
              <w:t xml:space="preserve"> </w:t>
            </w:r>
          </w:p>
        </w:tc>
      </w:tr>
      <w:tr w:rsidR="00E31688" w:rsidRPr="00216F0E" w14:paraId="5A4D3DA8"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528868A" w14:textId="77777777" w:rsidR="00E31688" w:rsidRPr="00124C4E" w:rsidRDefault="00E31688" w:rsidP="00E31688">
            <w:pPr>
              <w:pStyle w:val="Bodyromannumerals"/>
              <w:rPr>
                <w:i/>
                <w:lang w:val="en-US"/>
              </w:rPr>
            </w:pPr>
            <w:r w:rsidRPr="00124C4E">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BE0185" w14:textId="77777777" w:rsidR="00E31688" w:rsidRPr="006D7B84" w:rsidRDefault="00E31688" w:rsidP="00E31688">
            <w:pPr>
              <w:pStyle w:val="Bodyromannumerals"/>
              <w:rPr>
                <w:lang w:val="en-US"/>
              </w:rPr>
            </w:pPr>
            <w:r w:rsidRPr="00124C4E">
              <w:rPr>
                <w:lang w:val="en-US"/>
              </w:rPr>
              <w:t>Calculated field: B8.12/B8.13</w:t>
            </w:r>
          </w:p>
        </w:tc>
      </w:tr>
      <w:tr w:rsidR="00E31688" w:rsidRPr="00216F0E" w14:paraId="5A4E766B" w14:textId="77777777" w:rsidTr="286C5C0D">
        <w:tc>
          <w:tcPr>
            <w:tcW w:w="1065" w:type="dxa"/>
          </w:tcPr>
          <w:p w14:paraId="60433710" w14:textId="77777777" w:rsidR="00E31688" w:rsidRPr="00FE063D" w:rsidRDefault="00E31688" w:rsidP="00E31688">
            <w:pPr>
              <w:pStyle w:val="Bodyromannumerals"/>
              <w:rPr>
                <w:b/>
                <w:bCs/>
                <w:lang w:val="en-US"/>
              </w:rPr>
            </w:pPr>
            <w:r w:rsidRPr="00FE063D">
              <w:rPr>
                <w:b/>
                <w:bCs/>
                <w:lang w:val="en-US"/>
              </w:rPr>
              <w:t>B8.15</w:t>
            </w:r>
          </w:p>
        </w:tc>
        <w:tc>
          <w:tcPr>
            <w:tcW w:w="5412" w:type="dxa"/>
            <w:gridSpan w:val="2"/>
          </w:tcPr>
          <w:p w14:paraId="0DA44346" w14:textId="77777777" w:rsidR="00E31688" w:rsidRPr="00FE063D" w:rsidRDefault="00E31688" w:rsidP="00E31688">
            <w:pPr>
              <w:pStyle w:val="Bodyromannumerals"/>
              <w:rPr>
                <w:b/>
                <w:bCs/>
                <w:lang w:val="en-US"/>
              </w:rPr>
            </w:pPr>
            <w:r w:rsidRPr="00FE063D">
              <w:rPr>
                <w:b/>
                <w:bCs/>
                <w:lang w:val="en-US"/>
              </w:rPr>
              <w:t>Total number of blockages</w:t>
            </w:r>
          </w:p>
        </w:tc>
        <w:tc>
          <w:tcPr>
            <w:tcW w:w="1081" w:type="dxa"/>
          </w:tcPr>
          <w:p w14:paraId="71B57B77" w14:textId="4C8877CC" w:rsidR="00E31688" w:rsidRPr="00FE063D" w:rsidRDefault="00E31688" w:rsidP="00E31688">
            <w:pPr>
              <w:pStyle w:val="Bodyromannumerals"/>
              <w:rPr>
                <w:b/>
                <w:bCs/>
                <w:lang w:val="en-US"/>
              </w:rPr>
            </w:pPr>
            <w:r w:rsidRPr="00FE063D">
              <w:rPr>
                <w:b/>
                <w:bCs/>
                <w:lang w:val="en-US"/>
              </w:rPr>
              <w:t>Nr</w:t>
            </w:r>
            <w:r w:rsidR="00FE063D" w:rsidRPr="00FE063D">
              <w:rPr>
                <w:b/>
                <w:bCs/>
                <w:lang w:val="en-US"/>
              </w:rPr>
              <w:t>.</w:t>
            </w:r>
          </w:p>
        </w:tc>
      </w:tr>
      <w:tr w:rsidR="00E31688" w:rsidRPr="00216F0E" w14:paraId="63EAF3D9"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0F21E02F"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21A22179" w14:textId="77777777" w:rsidR="00E31688" w:rsidRPr="00AF4AEA" w:rsidRDefault="00E31688" w:rsidP="00E31688">
            <w:pPr>
              <w:pStyle w:val="Bodyromannumerals"/>
              <w:rPr>
                <w:lang w:val="en-US"/>
              </w:rPr>
            </w:pPr>
            <w:r w:rsidRPr="00AF4AEA">
              <w:rPr>
                <w:lang w:val="en-US"/>
              </w:rPr>
              <w:t>Number of sewer blockages cleared.</w:t>
            </w:r>
          </w:p>
        </w:tc>
      </w:tr>
      <w:tr w:rsidR="00E31688" w:rsidRPr="00216F0E" w14:paraId="229ACA34"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799C451" w14:textId="77777777" w:rsidR="00E31688" w:rsidRPr="00AF4AEA" w:rsidRDefault="00E31688" w:rsidP="00E31688">
            <w:pPr>
              <w:pStyle w:val="Bodyromannumerals"/>
              <w:rPr>
                <w:i/>
                <w:lang w:val="en-US"/>
              </w:rPr>
            </w:pPr>
            <w:r w:rsidRPr="00AF4AEA">
              <w:rPr>
                <w:i/>
                <w:lang w:val="en-US"/>
              </w:rPr>
              <w:lastRenderedPageBreak/>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10D3442" w14:textId="77777777" w:rsidR="00E31688" w:rsidRPr="00AF4AEA" w:rsidRDefault="00E31688" w:rsidP="00E31688">
            <w:pPr>
              <w:pStyle w:val="Bodyromannumerals"/>
              <w:rPr>
                <w:lang w:val="en-US"/>
              </w:rPr>
            </w:pPr>
            <w:r w:rsidRPr="00AF4AEA">
              <w:rPr>
                <w:lang w:val="en-US"/>
              </w:rPr>
              <w:t>Input field</w:t>
            </w:r>
          </w:p>
        </w:tc>
      </w:tr>
      <w:tr w:rsidR="00E31688" w:rsidRPr="00216F0E" w14:paraId="4D8B959F" w14:textId="77777777" w:rsidTr="286C5C0D">
        <w:tc>
          <w:tcPr>
            <w:tcW w:w="1065" w:type="dxa"/>
          </w:tcPr>
          <w:p w14:paraId="274BFB0B" w14:textId="77777777" w:rsidR="00E31688" w:rsidRPr="00FE063D" w:rsidRDefault="00E31688" w:rsidP="00E31688">
            <w:pPr>
              <w:pStyle w:val="Bodyromannumerals"/>
              <w:rPr>
                <w:b/>
                <w:bCs/>
                <w:lang w:val="en-US"/>
              </w:rPr>
            </w:pPr>
            <w:r w:rsidRPr="00FE063D">
              <w:rPr>
                <w:b/>
                <w:bCs/>
                <w:lang w:val="en-US"/>
              </w:rPr>
              <w:t>B8.16</w:t>
            </w:r>
          </w:p>
        </w:tc>
        <w:tc>
          <w:tcPr>
            <w:tcW w:w="5412" w:type="dxa"/>
            <w:gridSpan w:val="2"/>
          </w:tcPr>
          <w:p w14:paraId="28EA99C8" w14:textId="02B930D1" w:rsidR="00E31688" w:rsidRPr="00FE063D" w:rsidRDefault="00E31688" w:rsidP="00E31688">
            <w:pPr>
              <w:pStyle w:val="Bodyromannumerals"/>
              <w:rPr>
                <w:b/>
                <w:bCs/>
                <w:lang w:val="en-US"/>
              </w:rPr>
            </w:pPr>
            <w:r w:rsidRPr="00FE063D">
              <w:rPr>
                <w:b/>
                <w:bCs/>
                <w:lang w:val="en-US"/>
              </w:rPr>
              <w:t xml:space="preserve">Blockages per </w:t>
            </w:r>
            <w:r w:rsidRPr="00B529DC">
              <w:rPr>
                <w:b/>
                <w:bCs/>
                <w:lang w:val="en-US"/>
              </w:rPr>
              <w:t>10k</w:t>
            </w:r>
            <w:r w:rsidRPr="007C72F1">
              <w:rPr>
                <w:b/>
                <w:bCs/>
                <w:lang w:val="en-US"/>
              </w:rPr>
              <w:t>m</w:t>
            </w:r>
          </w:p>
        </w:tc>
        <w:tc>
          <w:tcPr>
            <w:tcW w:w="1081" w:type="dxa"/>
          </w:tcPr>
          <w:p w14:paraId="4B1A5DC1" w14:textId="2A68AC1F" w:rsidR="00E31688" w:rsidRPr="00FE063D" w:rsidRDefault="00E31688" w:rsidP="00E31688">
            <w:pPr>
              <w:pStyle w:val="Bodyromannumerals"/>
              <w:rPr>
                <w:b/>
                <w:bCs/>
                <w:lang w:val="en-US"/>
              </w:rPr>
            </w:pPr>
            <w:r w:rsidRPr="00FE063D">
              <w:rPr>
                <w:b/>
                <w:bCs/>
                <w:lang w:val="en-US"/>
              </w:rPr>
              <w:t>Nr</w:t>
            </w:r>
            <w:r w:rsidR="00FE063D" w:rsidRPr="00FE063D">
              <w:rPr>
                <w:b/>
                <w:bCs/>
                <w:lang w:val="en-US"/>
              </w:rPr>
              <w:t>.</w:t>
            </w:r>
          </w:p>
        </w:tc>
      </w:tr>
      <w:tr w:rsidR="00E31688" w:rsidRPr="00216F0E" w14:paraId="4A398890"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7EF7CCCD"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0378BEBA" w14:textId="1F2D87EC" w:rsidR="00E31688" w:rsidRPr="00AF4AEA" w:rsidRDefault="00E31688" w:rsidP="00E31688">
            <w:pPr>
              <w:pStyle w:val="Bodyromannumerals"/>
              <w:rPr>
                <w:lang w:val="en-US"/>
              </w:rPr>
            </w:pPr>
            <w:r w:rsidRPr="00AF4AEA">
              <w:rPr>
                <w:lang w:val="en-US"/>
              </w:rPr>
              <w:t xml:space="preserve">Number of sewer blockage events that required clearing per </w:t>
            </w:r>
            <w:proofErr w:type="spellStart"/>
            <w:r w:rsidR="00CF69BE">
              <w:rPr>
                <w:lang w:val="en-US"/>
              </w:rPr>
              <w:t>ten</w:t>
            </w:r>
            <w:proofErr w:type="spellEnd"/>
            <w:r w:rsidR="00CF69BE" w:rsidRPr="00AF4AEA">
              <w:rPr>
                <w:lang w:val="en-US"/>
              </w:rPr>
              <w:t xml:space="preserve"> </w:t>
            </w:r>
            <w:r w:rsidR="005B43D4" w:rsidRPr="00AF4AEA">
              <w:rPr>
                <w:lang w:val="en-US"/>
              </w:rPr>
              <w:t>kilometers</w:t>
            </w:r>
            <w:r w:rsidRPr="00AF4AEA">
              <w:rPr>
                <w:lang w:val="en-US"/>
              </w:rPr>
              <w:t xml:space="preserve"> of all sewers.</w:t>
            </w:r>
          </w:p>
        </w:tc>
      </w:tr>
      <w:tr w:rsidR="00E31688" w:rsidRPr="00216F0E" w14:paraId="282DAC3A"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C38CF7C" w14:textId="77777777" w:rsidR="00E31688" w:rsidRPr="00AF4AEA" w:rsidRDefault="00E31688" w:rsidP="00E31688">
            <w:pPr>
              <w:pStyle w:val="Bodyromannumerals"/>
              <w:rPr>
                <w:i/>
                <w:lang w:val="en-US"/>
              </w:rPr>
            </w:pPr>
            <w:r w:rsidRPr="00AF4AEA">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A7C9359" w14:textId="77777777" w:rsidR="00E31688" w:rsidRPr="00AF4AEA" w:rsidRDefault="00E31688" w:rsidP="00E31688">
            <w:pPr>
              <w:pStyle w:val="Bodyromannumerals"/>
              <w:rPr>
                <w:lang w:val="en-US"/>
              </w:rPr>
            </w:pPr>
            <w:r w:rsidRPr="00AF4AEA">
              <w:rPr>
                <w:lang w:val="en-US"/>
              </w:rPr>
              <w:t>Input field</w:t>
            </w:r>
          </w:p>
        </w:tc>
      </w:tr>
      <w:tr w:rsidR="00E31688" w:rsidRPr="00216F0E" w14:paraId="2771940D" w14:textId="77777777" w:rsidTr="286C5C0D">
        <w:tc>
          <w:tcPr>
            <w:tcW w:w="1065" w:type="dxa"/>
          </w:tcPr>
          <w:p w14:paraId="7B350050" w14:textId="77777777" w:rsidR="00E31688" w:rsidRPr="00FE063D" w:rsidRDefault="00E31688" w:rsidP="00E31688">
            <w:pPr>
              <w:pStyle w:val="Bodyromannumerals"/>
              <w:rPr>
                <w:b/>
                <w:bCs/>
                <w:lang w:val="en-US"/>
              </w:rPr>
            </w:pPr>
            <w:r w:rsidRPr="00FE063D">
              <w:rPr>
                <w:b/>
                <w:bCs/>
                <w:lang w:val="en-US"/>
              </w:rPr>
              <w:t>B8.17</w:t>
            </w:r>
          </w:p>
        </w:tc>
        <w:tc>
          <w:tcPr>
            <w:tcW w:w="5412" w:type="dxa"/>
            <w:gridSpan w:val="2"/>
          </w:tcPr>
          <w:p w14:paraId="3B59F5B3" w14:textId="77777777" w:rsidR="00E31688" w:rsidRPr="00FE063D" w:rsidRDefault="00E31688" w:rsidP="00E31688">
            <w:pPr>
              <w:pStyle w:val="Bodyromannumerals"/>
              <w:rPr>
                <w:b/>
                <w:bCs/>
                <w:lang w:val="en-US"/>
              </w:rPr>
            </w:pPr>
            <w:r w:rsidRPr="00FE063D">
              <w:rPr>
                <w:b/>
                <w:bCs/>
                <w:lang w:val="en-US"/>
              </w:rPr>
              <w:t>Total number of rising main failures</w:t>
            </w:r>
          </w:p>
        </w:tc>
        <w:tc>
          <w:tcPr>
            <w:tcW w:w="1081" w:type="dxa"/>
          </w:tcPr>
          <w:p w14:paraId="05339897" w14:textId="0C9FE107" w:rsidR="00E31688" w:rsidRPr="00FE063D" w:rsidRDefault="00E31688" w:rsidP="00E31688">
            <w:pPr>
              <w:pStyle w:val="Bodyromannumerals"/>
              <w:rPr>
                <w:b/>
                <w:bCs/>
                <w:lang w:val="en-US"/>
              </w:rPr>
            </w:pPr>
            <w:r w:rsidRPr="00FE063D">
              <w:rPr>
                <w:b/>
                <w:bCs/>
                <w:lang w:val="en-US"/>
              </w:rPr>
              <w:t>Nr</w:t>
            </w:r>
            <w:r w:rsidR="00FE063D" w:rsidRPr="00FE063D">
              <w:rPr>
                <w:b/>
                <w:bCs/>
                <w:lang w:val="en-US"/>
              </w:rPr>
              <w:t>.</w:t>
            </w:r>
          </w:p>
        </w:tc>
      </w:tr>
      <w:tr w:rsidR="00E31688" w:rsidRPr="00216F0E" w14:paraId="4ACAA625"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4B497D3B"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5D561759" w14:textId="77777777" w:rsidR="00E31688" w:rsidRPr="00AF4AEA" w:rsidRDefault="00E31688" w:rsidP="00E31688">
            <w:pPr>
              <w:pStyle w:val="Bodyromannumerals"/>
              <w:rPr>
                <w:lang w:val="en-US"/>
              </w:rPr>
            </w:pPr>
            <w:r w:rsidRPr="00AF4AEA">
              <w:rPr>
                <w:lang w:val="en-US"/>
              </w:rPr>
              <w:t>Number of repairs to rising main pipe breaks.</w:t>
            </w:r>
          </w:p>
        </w:tc>
      </w:tr>
      <w:tr w:rsidR="00E31688" w:rsidRPr="00216F0E" w14:paraId="71711C74"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B54BA19" w14:textId="77777777" w:rsidR="00E31688" w:rsidRPr="00AF4AEA" w:rsidRDefault="00E31688" w:rsidP="00E31688">
            <w:pPr>
              <w:pStyle w:val="Bodyromannumerals"/>
              <w:rPr>
                <w:i/>
                <w:lang w:val="en-US"/>
              </w:rPr>
            </w:pPr>
            <w:r w:rsidRPr="00AF4AEA">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C74370F" w14:textId="77777777" w:rsidR="00E31688" w:rsidRPr="00AF4AEA" w:rsidRDefault="00E31688" w:rsidP="00E31688">
            <w:pPr>
              <w:pStyle w:val="Bodyromannumerals"/>
              <w:rPr>
                <w:lang w:val="en-US"/>
              </w:rPr>
            </w:pPr>
            <w:r w:rsidRPr="00AF4AEA">
              <w:rPr>
                <w:lang w:val="en-US"/>
              </w:rPr>
              <w:t>Input field</w:t>
            </w:r>
          </w:p>
        </w:tc>
      </w:tr>
    </w:tbl>
    <w:p w14:paraId="4DC4FD4A" w14:textId="408D70CA" w:rsidR="006B4D75" w:rsidRDefault="006B4D75"/>
    <w:tbl>
      <w:tblPr>
        <w:tblStyle w:val="TableGrid"/>
        <w:tblW w:w="7558" w:type="dxa"/>
        <w:tblLook w:val="04A0" w:firstRow="1" w:lastRow="0" w:firstColumn="1" w:lastColumn="0" w:noHBand="0" w:noVBand="1"/>
      </w:tblPr>
      <w:tblGrid>
        <w:gridCol w:w="1065"/>
        <w:gridCol w:w="1202"/>
        <w:gridCol w:w="4210"/>
        <w:gridCol w:w="1081"/>
      </w:tblGrid>
      <w:tr w:rsidR="00E31688" w:rsidRPr="00216F0E" w14:paraId="1BD1C260" w14:textId="77777777" w:rsidTr="286C5C0D">
        <w:tc>
          <w:tcPr>
            <w:tcW w:w="1065" w:type="dxa"/>
          </w:tcPr>
          <w:p w14:paraId="1B5D7E76" w14:textId="0B08056E" w:rsidR="00E31688" w:rsidRPr="00FE063D" w:rsidRDefault="00E31688" w:rsidP="00E31688">
            <w:pPr>
              <w:pStyle w:val="Bodyromannumerals"/>
              <w:rPr>
                <w:b/>
                <w:bCs/>
                <w:lang w:val="en-US"/>
              </w:rPr>
            </w:pPr>
            <w:r w:rsidRPr="00FE063D">
              <w:rPr>
                <w:b/>
                <w:bCs/>
                <w:lang w:val="en-US"/>
              </w:rPr>
              <w:t>B8.18</w:t>
            </w:r>
          </w:p>
        </w:tc>
        <w:tc>
          <w:tcPr>
            <w:tcW w:w="5412" w:type="dxa"/>
            <w:gridSpan w:val="2"/>
          </w:tcPr>
          <w:p w14:paraId="6CC93321" w14:textId="77777777" w:rsidR="00E31688" w:rsidRPr="00FE063D" w:rsidRDefault="00E31688" w:rsidP="00E31688">
            <w:pPr>
              <w:pStyle w:val="Bodyromannumerals"/>
              <w:rPr>
                <w:b/>
                <w:bCs/>
                <w:lang w:val="en-US"/>
              </w:rPr>
            </w:pPr>
            <w:r w:rsidRPr="00FE063D">
              <w:rPr>
                <w:b/>
                <w:bCs/>
                <w:lang w:val="en-US"/>
              </w:rPr>
              <w:t>Total number of gravity sewer collapses</w:t>
            </w:r>
          </w:p>
        </w:tc>
        <w:tc>
          <w:tcPr>
            <w:tcW w:w="1081" w:type="dxa"/>
          </w:tcPr>
          <w:p w14:paraId="7DBB7704" w14:textId="6C88931F" w:rsidR="00E31688" w:rsidRPr="00FE063D" w:rsidRDefault="00E31688" w:rsidP="00E31688">
            <w:pPr>
              <w:pStyle w:val="Bodyromannumerals"/>
              <w:rPr>
                <w:b/>
                <w:bCs/>
                <w:lang w:val="en-US"/>
              </w:rPr>
            </w:pPr>
            <w:r w:rsidRPr="00FE063D">
              <w:rPr>
                <w:b/>
                <w:bCs/>
                <w:lang w:val="en-US"/>
              </w:rPr>
              <w:t>Nr</w:t>
            </w:r>
            <w:r w:rsidR="00FE063D" w:rsidRPr="00FE063D">
              <w:rPr>
                <w:b/>
                <w:bCs/>
                <w:lang w:val="en-US"/>
              </w:rPr>
              <w:t>.</w:t>
            </w:r>
          </w:p>
        </w:tc>
      </w:tr>
      <w:tr w:rsidR="00E31688" w:rsidRPr="00216F0E" w14:paraId="3F6B9B4C"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591AA255"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6DD27F54" w14:textId="77777777" w:rsidR="00E31688" w:rsidRPr="00AF4AEA" w:rsidRDefault="00E31688" w:rsidP="00E31688">
            <w:pPr>
              <w:pStyle w:val="Bodyromannumerals"/>
              <w:rPr>
                <w:lang w:val="en-US"/>
              </w:rPr>
            </w:pPr>
            <w:r w:rsidRPr="00AF4AEA">
              <w:rPr>
                <w:lang w:val="en-US"/>
              </w:rPr>
              <w:t>Number of repairs to gravity sewer collapses.</w:t>
            </w:r>
          </w:p>
        </w:tc>
      </w:tr>
      <w:tr w:rsidR="00E31688" w:rsidRPr="00216F0E" w14:paraId="2246D3C3"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E318E19" w14:textId="77777777" w:rsidR="00E31688" w:rsidRPr="00AF4AEA" w:rsidRDefault="00E31688" w:rsidP="00E31688">
            <w:pPr>
              <w:pStyle w:val="Bodyromannumerals"/>
              <w:rPr>
                <w:i/>
                <w:lang w:val="en-US"/>
              </w:rPr>
            </w:pPr>
            <w:r w:rsidRPr="00AF4AEA">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E25269A" w14:textId="77777777" w:rsidR="00E31688" w:rsidRPr="00AF4AEA" w:rsidRDefault="00E31688" w:rsidP="00E31688">
            <w:pPr>
              <w:pStyle w:val="Bodyromannumerals"/>
              <w:rPr>
                <w:lang w:val="en-US"/>
              </w:rPr>
            </w:pPr>
            <w:r w:rsidRPr="00AF4AEA">
              <w:rPr>
                <w:lang w:val="en-US"/>
              </w:rPr>
              <w:t>Input field</w:t>
            </w:r>
          </w:p>
        </w:tc>
      </w:tr>
      <w:tr w:rsidR="00E31688" w:rsidRPr="00216F0E" w14:paraId="139B0314" w14:textId="77777777" w:rsidTr="286C5C0D">
        <w:tc>
          <w:tcPr>
            <w:tcW w:w="1065" w:type="dxa"/>
          </w:tcPr>
          <w:p w14:paraId="1236B663" w14:textId="77777777" w:rsidR="00E31688" w:rsidRPr="00FE063D" w:rsidRDefault="00E31688" w:rsidP="00E31688">
            <w:pPr>
              <w:pStyle w:val="Bodyromannumerals"/>
              <w:rPr>
                <w:b/>
                <w:bCs/>
                <w:lang w:val="en-US"/>
              </w:rPr>
            </w:pPr>
            <w:r w:rsidRPr="00FE063D">
              <w:rPr>
                <w:b/>
                <w:bCs/>
                <w:lang w:val="en-US"/>
              </w:rPr>
              <w:t>B8.19</w:t>
            </w:r>
          </w:p>
        </w:tc>
        <w:tc>
          <w:tcPr>
            <w:tcW w:w="5412" w:type="dxa"/>
            <w:gridSpan w:val="2"/>
          </w:tcPr>
          <w:p w14:paraId="57FF9F92" w14:textId="77777777" w:rsidR="00E31688" w:rsidRPr="00FE063D" w:rsidRDefault="00E31688" w:rsidP="00E31688">
            <w:pPr>
              <w:pStyle w:val="Bodyromannumerals"/>
              <w:rPr>
                <w:b/>
                <w:bCs/>
                <w:lang w:val="en-US"/>
              </w:rPr>
            </w:pPr>
            <w:r w:rsidRPr="00FE063D">
              <w:rPr>
                <w:b/>
                <w:bCs/>
                <w:lang w:val="en-US"/>
              </w:rPr>
              <w:t>Total number of equipment failures repaired</w:t>
            </w:r>
          </w:p>
        </w:tc>
        <w:tc>
          <w:tcPr>
            <w:tcW w:w="1081" w:type="dxa"/>
          </w:tcPr>
          <w:p w14:paraId="0499994E" w14:textId="4E80F456" w:rsidR="00E31688" w:rsidRPr="00FE063D" w:rsidRDefault="00E31688" w:rsidP="00E31688">
            <w:pPr>
              <w:pStyle w:val="Bodyromannumerals"/>
              <w:rPr>
                <w:b/>
                <w:bCs/>
                <w:lang w:val="en-US"/>
              </w:rPr>
            </w:pPr>
            <w:r w:rsidRPr="00FE063D">
              <w:rPr>
                <w:b/>
                <w:bCs/>
                <w:lang w:val="en-US"/>
              </w:rPr>
              <w:t>Nr</w:t>
            </w:r>
            <w:r w:rsidR="00FE063D" w:rsidRPr="00FE063D">
              <w:rPr>
                <w:b/>
                <w:bCs/>
                <w:lang w:val="en-US"/>
              </w:rPr>
              <w:t>.</w:t>
            </w:r>
          </w:p>
        </w:tc>
      </w:tr>
      <w:tr w:rsidR="00E31688" w:rsidRPr="00216F0E" w14:paraId="61DD8371" w14:textId="77777777" w:rsidTr="286C5C0D">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3CD1E384" w14:textId="77777777" w:rsidR="00E31688" w:rsidRPr="00AF4AEA" w:rsidRDefault="00E31688" w:rsidP="00E31688">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5B122335" w14:textId="7ED1234D" w:rsidR="00E31688" w:rsidRPr="00AF4AEA" w:rsidRDefault="00E31688" w:rsidP="00E31688">
            <w:pPr>
              <w:pStyle w:val="Bodyromannumerals"/>
              <w:rPr>
                <w:lang w:val="en-US"/>
              </w:rPr>
            </w:pPr>
            <w:r w:rsidRPr="00AF4AEA">
              <w:rPr>
                <w:lang w:val="en-US"/>
              </w:rPr>
              <w:t xml:space="preserve">The total number of </w:t>
            </w:r>
            <w:r w:rsidR="009D138F">
              <w:rPr>
                <w:lang w:val="en-US"/>
              </w:rPr>
              <w:t>wastewater</w:t>
            </w:r>
            <w:r w:rsidRPr="00AF4AEA">
              <w:rPr>
                <w:lang w:val="en-US"/>
              </w:rPr>
              <w:t xml:space="preserve"> equipment failures. Include failures of pumping stations and </w:t>
            </w:r>
            <w:r w:rsidRPr="00B529DC">
              <w:rPr>
                <w:lang w:val="en-US"/>
              </w:rPr>
              <w:t>combined</w:t>
            </w:r>
            <w:r w:rsidRPr="00AF4AEA">
              <w:rPr>
                <w:lang w:val="en-US"/>
              </w:rPr>
              <w:t xml:space="preserve"> sewer overflows and ancillary devices such as nonreturn (flap) valves, penstocks, flow controls, storage tanks and real time control systems</w:t>
            </w:r>
          </w:p>
        </w:tc>
      </w:tr>
      <w:tr w:rsidR="00E31688" w:rsidRPr="00216F0E" w14:paraId="624929B8" w14:textId="77777777" w:rsidTr="286C5C0D">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A086211" w14:textId="77777777" w:rsidR="00E31688" w:rsidRPr="00AF4AEA" w:rsidRDefault="00E31688" w:rsidP="00E31688">
            <w:pPr>
              <w:pStyle w:val="Bodyromannumerals"/>
              <w:rPr>
                <w:i/>
                <w:lang w:val="en-US"/>
              </w:rPr>
            </w:pPr>
            <w:r w:rsidRPr="00AF4AEA">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EA6DBBF" w14:textId="77777777" w:rsidR="00E31688" w:rsidRPr="00AF4AEA" w:rsidRDefault="00E31688" w:rsidP="00E31688">
            <w:pPr>
              <w:pStyle w:val="Bodyromannumerals"/>
              <w:rPr>
                <w:lang w:val="en-US"/>
              </w:rPr>
            </w:pPr>
            <w:r w:rsidRPr="00AF4AEA">
              <w:rPr>
                <w:lang w:val="en-US"/>
              </w:rPr>
              <w:t>Input field</w:t>
            </w:r>
          </w:p>
        </w:tc>
      </w:tr>
    </w:tbl>
    <w:p w14:paraId="05B42381" w14:textId="46642220" w:rsidR="00B560D6" w:rsidRDefault="00B560D6" w:rsidP="002C17E3">
      <w:pPr>
        <w:pStyle w:val="Sectionsub-heading"/>
      </w:pPr>
      <w:r>
        <w:t>BLOCK 3: STORMWATER SERVICE</w:t>
      </w:r>
    </w:p>
    <w:tbl>
      <w:tblPr>
        <w:tblStyle w:val="TableGrid"/>
        <w:tblW w:w="7558" w:type="dxa"/>
        <w:tblLook w:val="04A0" w:firstRow="1" w:lastRow="0" w:firstColumn="1" w:lastColumn="0" w:noHBand="0" w:noVBand="1"/>
      </w:tblPr>
      <w:tblGrid>
        <w:gridCol w:w="1065"/>
        <w:gridCol w:w="1202"/>
        <w:gridCol w:w="4210"/>
        <w:gridCol w:w="1081"/>
      </w:tblGrid>
      <w:tr w:rsidR="00203590" w:rsidRPr="00FE063D" w14:paraId="3AC0A7A7" w14:textId="77777777" w:rsidTr="00AD7EC2">
        <w:tc>
          <w:tcPr>
            <w:tcW w:w="1065" w:type="dxa"/>
          </w:tcPr>
          <w:p w14:paraId="59ED51A8" w14:textId="5BBD76F1" w:rsidR="00203590" w:rsidRPr="00FE063D" w:rsidRDefault="00203590" w:rsidP="00AD7EC2">
            <w:pPr>
              <w:pStyle w:val="Bodyromannumerals"/>
              <w:rPr>
                <w:b/>
                <w:bCs/>
                <w:lang w:val="en-US"/>
              </w:rPr>
            </w:pPr>
            <w:r w:rsidRPr="00FE063D">
              <w:rPr>
                <w:b/>
                <w:bCs/>
                <w:lang w:val="en-US"/>
              </w:rPr>
              <w:t>B8.</w:t>
            </w:r>
            <w:r w:rsidR="006E75B9">
              <w:rPr>
                <w:b/>
                <w:bCs/>
                <w:lang w:val="en-US"/>
              </w:rPr>
              <w:t>2</w:t>
            </w:r>
            <w:r w:rsidRPr="00FE063D">
              <w:rPr>
                <w:b/>
                <w:bCs/>
                <w:lang w:val="en-US"/>
              </w:rPr>
              <w:t>0</w:t>
            </w:r>
          </w:p>
        </w:tc>
        <w:tc>
          <w:tcPr>
            <w:tcW w:w="5412" w:type="dxa"/>
            <w:gridSpan w:val="2"/>
          </w:tcPr>
          <w:p w14:paraId="00626FFA" w14:textId="4C5050A9" w:rsidR="00203590" w:rsidRPr="00FE063D" w:rsidRDefault="00203590" w:rsidP="00AD7EC2">
            <w:pPr>
              <w:pStyle w:val="Bodyromannumerals"/>
              <w:rPr>
                <w:b/>
                <w:bCs/>
                <w:lang w:val="en-US"/>
              </w:rPr>
            </w:pPr>
            <w:r w:rsidRPr="00FE063D">
              <w:rPr>
                <w:b/>
                <w:bCs/>
                <w:lang w:val="en-US"/>
              </w:rPr>
              <w:t xml:space="preserve">Total number of </w:t>
            </w:r>
            <w:r w:rsidR="00A5101D">
              <w:rPr>
                <w:b/>
                <w:bCs/>
                <w:lang w:val="en-US"/>
              </w:rPr>
              <w:t xml:space="preserve">stormwater </w:t>
            </w:r>
            <w:r w:rsidR="00551720">
              <w:rPr>
                <w:b/>
                <w:bCs/>
                <w:lang w:val="en-US"/>
              </w:rPr>
              <w:t>sewer</w:t>
            </w:r>
            <w:r w:rsidRPr="00FE063D">
              <w:rPr>
                <w:b/>
                <w:bCs/>
                <w:lang w:val="en-US"/>
              </w:rPr>
              <w:t xml:space="preserve"> collapses</w:t>
            </w:r>
          </w:p>
        </w:tc>
        <w:tc>
          <w:tcPr>
            <w:tcW w:w="1081" w:type="dxa"/>
          </w:tcPr>
          <w:p w14:paraId="5B6E8A68" w14:textId="77777777" w:rsidR="00203590" w:rsidRPr="00FE063D" w:rsidRDefault="00203590" w:rsidP="00AD7EC2">
            <w:pPr>
              <w:pStyle w:val="Bodyromannumerals"/>
              <w:rPr>
                <w:b/>
                <w:bCs/>
                <w:lang w:val="en-US"/>
              </w:rPr>
            </w:pPr>
            <w:r w:rsidRPr="00FE063D">
              <w:rPr>
                <w:b/>
                <w:bCs/>
                <w:lang w:val="en-US"/>
              </w:rPr>
              <w:t>Nr.</w:t>
            </w:r>
          </w:p>
        </w:tc>
      </w:tr>
      <w:tr w:rsidR="00203590" w:rsidRPr="00AF4AEA" w14:paraId="6634D253" w14:textId="77777777" w:rsidTr="00AD7EC2">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0BEC7ACD" w14:textId="77777777" w:rsidR="00203590" w:rsidRPr="00AF4AEA" w:rsidRDefault="00203590" w:rsidP="00AD7EC2">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0A2FC8BE" w14:textId="06EB301F" w:rsidR="00203590" w:rsidRPr="00AF4AEA" w:rsidRDefault="00203590" w:rsidP="00AD7EC2">
            <w:pPr>
              <w:pStyle w:val="Bodyromannumerals"/>
              <w:rPr>
                <w:lang w:val="en-US"/>
              </w:rPr>
            </w:pPr>
            <w:r w:rsidRPr="00AF4AEA">
              <w:rPr>
                <w:lang w:val="en-US"/>
              </w:rPr>
              <w:t xml:space="preserve">Total number of </w:t>
            </w:r>
            <w:r w:rsidR="00293791">
              <w:rPr>
                <w:lang w:val="en-US"/>
              </w:rPr>
              <w:t xml:space="preserve">stormwater </w:t>
            </w:r>
            <w:r w:rsidRPr="00AF4AEA">
              <w:rPr>
                <w:lang w:val="en-US"/>
              </w:rPr>
              <w:t>sewer collapses.</w:t>
            </w:r>
            <w:r w:rsidR="000B280D">
              <w:rPr>
                <w:lang w:val="en-US"/>
              </w:rPr>
              <w:t xml:space="preserve"> This covers stormwater-only sewers.</w:t>
            </w:r>
            <w:r w:rsidRPr="00AF4AEA">
              <w:rPr>
                <w:lang w:val="en-US"/>
              </w:rPr>
              <w:t xml:space="preserve"> Include bursts to rising mains, even where failures are accidental rather than weakness in pipe condition. All third-party damage should be excluded where costs are potentially (rather than actually) recovered from a third party. If the incidents are significant, they should be reported in the commentaries.</w:t>
            </w:r>
            <w:r>
              <w:rPr>
                <w:lang w:val="en-US"/>
              </w:rPr>
              <w:t xml:space="preserve"> </w:t>
            </w:r>
          </w:p>
        </w:tc>
      </w:tr>
      <w:tr w:rsidR="00203590" w:rsidRPr="00AF4AEA" w14:paraId="61144C38" w14:textId="77777777" w:rsidTr="00AD7EC2">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375A7ED" w14:textId="77777777" w:rsidR="00203590" w:rsidRPr="00AF4AEA" w:rsidRDefault="00203590" w:rsidP="00AD7EC2">
            <w:pPr>
              <w:pStyle w:val="Bodyromannumerals"/>
              <w:rPr>
                <w:i/>
                <w:lang w:val="en-US"/>
              </w:rPr>
            </w:pPr>
            <w:r w:rsidRPr="00AF4AEA">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3B7E68C" w14:textId="77777777" w:rsidR="00203590" w:rsidRPr="00AF4AEA" w:rsidRDefault="00203590" w:rsidP="00AD7EC2">
            <w:pPr>
              <w:pStyle w:val="Bodyromannumerals"/>
              <w:rPr>
                <w:lang w:val="en-US"/>
              </w:rPr>
            </w:pPr>
            <w:r w:rsidRPr="00AF4AEA">
              <w:rPr>
                <w:lang w:val="en-US"/>
              </w:rPr>
              <w:t>Input field</w:t>
            </w:r>
          </w:p>
        </w:tc>
      </w:tr>
      <w:tr w:rsidR="00203590" w:rsidRPr="00FE063D" w14:paraId="49128523" w14:textId="77777777" w:rsidTr="00AD7EC2">
        <w:tc>
          <w:tcPr>
            <w:tcW w:w="1065" w:type="dxa"/>
          </w:tcPr>
          <w:p w14:paraId="62BCE57F" w14:textId="77C41583" w:rsidR="00203590" w:rsidRPr="00FE063D" w:rsidRDefault="00203590" w:rsidP="00AD7EC2">
            <w:pPr>
              <w:pStyle w:val="Bodyromannumerals"/>
              <w:rPr>
                <w:b/>
                <w:bCs/>
                <w:lang w:val="en-US"/>
              </w:rPr>
            </w:pPr>
            <w:r w:rsidRPr="00FE063D">
              <w:rPr>
                <w:b/>
                <w:bCs/>
                <w:lang w:val="en-US"/>
              </w:rPr>
              <w:t>B8.</w:t>
            </w:r>
            <w:r w:rsidR="00A5101D">
              <w:rPr>
                <w:b/>
                <w:bCs/>
                <w:lang w:val="en-US"/>
              </w:rPr>
              <w:t>2</w:t>
            </w:r>
            <w:r w:rsidRPr="00FE063D">
              <w:rPr>
                <w:b/>
                <w:bCs/>
                <w:lang w:val="en-US"/>
              </w:rPr>
              <w:t>1</w:t>
            </w:r>
          </w:p>
        </w:tc>
        <w:tc>
          <w:tcPr>
            <w:tcW w:w="5412" w:type="dxa"/>
            <w:gridSpan w:val="2"/>
          </w:tcPr>
          <w:p w14:paraId="03BD1B39" w14:textId="230AFFEC" w:rsidR="00203590" w:rsidRPr="00FE063D" w:rsidRDefault="00551720" w:rsidP="00AD7EC2">
            <w:pPr>
              <w:pStyle w:val="Bodyromannumerals"/>
              <w:rPr>
                <w:b/>
                <w:bCs/>
                <w:lang w:val="en-US"/>
              </w:rPr>
            </w:pPr>
            <w:r>
              <w:rPr>
                <w:b/>
                <w:bCs/>
                <w:lang w:val="en-US"/>
              </w:rPr>
              <w:t>Stormwater s</w:t>
            </w:r>
            <w:r w:rsidR="00203590" w:rsidRPr="00FE063D">
              <w:rPr>
                <w:b/>
                <w:bCs/>
                <w:lang w:val="en-US"/>
              </w:rPr>
              <w:t xml:space="preserve">ewer collapses per </w:t>
            </w:r>
            <w:r w:rsidR="00203590" w:rsidRPr="00B529DC">
              <w:rPr>
                <w:b/>
                <w:bCs/>
                <w:lang w:val="en-US"/>
              </w:rPr>
              <w:t>10 km</w:t>
            </w:r>
          </w:p>
        </w:tc>
        <w:tc>
          <w:tcPr>
            <w:tcW w:w="1081" w:type="dxa"/>
          </w:tcPr>
          <w:p w14:paraId="08CA0445" w14:textId="77777777" w:rsidR="00203590" w:rsidRPr="00FE063D" w:rsidRDefault="00203590" w:rsidP="00AD7EC2">
            <w:pPr>
              <w:pStyle w:val="Bodyromannumerals"/>
              <w:rPr>
                <w:b/>
                <w:bCs/>
                <w:lang w:val="en-US"/>
              </w:rPr>
            </w:pPr>
            <w:r w:rsidRPr="00FE063D">
              <w:rPr>
                <w:b/>
                <w:bCs/>
                <w:lang w:val="en-US"/>
              </w:rPr>
              <w:t>Nr.</w:t>
            </w:r>
          </w:p>
        </w:tc>
      </w:tr>
      <w:tr w:rsidR="00203590" w:rsidRPr="00AF4AEA" w14:paraId="2932DE29" w14:textId="77777777" w:rsidTr="00AD7EC2">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668A60C9" w14:textId="77777777" w:rsidR="00203590" w:rsidRPr="00AF4AEA" w:rsidRDefault="00203590" w:rsidP="00AD7EC2">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65AFED63" w14:textId="49F66EAF" w:rsidR="00203590" w:rsidRPr="00AF4AEA" w:rsidRDefault="00203590" w:rsidP="00AD7EC2">
            <w:pPr>
              <w:pStyle w:val="Bodyromannumerals"/>
              <w:rPr>
                <w:lang w:val="en-US"/>
              </w:rPr>
            </w:pPr>
            <w:r w:rsidRPr="00AF4AEA">
              <w:rPr>
                <w:lang w:val="en-US"/>
              </w:rPr>
              <w:t xml:space="preserve">Number of </w:t>
            </w:r>
            <w:r w:rsidR="00293791">
              <w:rPr>
                <w:lang w:val="en-US"/>
              </w:rPr>
              <w:t>stormwater</w:t>
            </w:r>
            <w:r w:rsidRPr="00AF4AEA">
              <w:rPr>
                <w:lang w:val="en-US"/>
              </w:rPr>
              <w:t xml:space="preserve"> sewer collapses per </w:t>
            </w:r>
            <w:proofErr w:type="spellStart"/>
            <w:r>
              <w:rPr>
                <w:lang w:val="en-US"/>
              </w:rPr>
              <w:t>ten</w:t>
            </w:r>
            <w:proofErr w:type="spellEnd"/>
            <w:r w:rsidRPr="00AF4AEA">
              <w:rPr>
                <w:lang w:val="en-US"/>
              </w:rPr>
              <w:t xml:space="preserve"> </w:t>
            </w:r>
            <w:r w:rsidRPr="00216F0E">
              <w:rPr>
                <w:lang w:val="en-US"/>
              </w:rPr>
              <w:t>kilometers</w:t>
            </w:r>
            <w:r w:rsidRPr="00AF4AEA">
              <w:rPr>
                <w:lang w:val="en-US"/>
              </w:rPr>
              <w:t xml:space="preserve"> of all sewers.  </w:t>
            </w:r>
            <w:r w:rsidR="000B280D">
              <w:rPr>
                <w:lang w:val="en-US"/>
              </w:rPr>
              <w:t>This covers stormwater-only sewers.</w:t>
            </w:r>
            <w:r w:rsidR="000B280D" w:rsidRPr="00AF4AEA">
              <w:rPr>
                <w:lang w:val="en-US"/>
              </w:rPr>
              <w:t xml:space="preserve"> </w:t>
            </w:r>
            <w:r w:rsidRPr="00AF4AEA">
              <w:rPr>
                <w:lang w:val="en-US"/>
              </w:rPr>
              <w:t xml:space="preserve">Include bursts to rising mains, even where failures are accidental rather than weakness in pipe condition. All third-party damage should be excluded where costs are potentially (rather than actually) recovered from a third party. If the incidents are </w:t>
            </w:r>
            <w:r w:rsidRPr="00AF4AEA">
              <w:rPr>
                <w:lang w:val="en-US"/>
              </w:rPr>
              <w:lastRenderedPageBreak/>
              <w:t>significant, they should be reported in the commentaries.</w:t>
            </w:r>
            <w:r>
              <w:rPr>
                <w:lang w:val="en-US"/>
              </w:rPr>
              <w:t xml:space="preserve"> </w:t>
            </w:r>
            <w:r w:rsidR="00D04425">
              <w:rPr>
                <w:lang w:val="en-US"/>
              </w:rPr>
              <w:t>This covers stormwater-only sewers.</w:t>
            </w:r>
          </w:p>
        </w:tc>
      </w:tr>
      <w:tr w:rsidR="00203590" w:rsidRPr="00AF4AEA" w14:paraId="26CB616A" w14:textId="77777777" w:rsidTr="00AD7EC2">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F8193A7" w14:textId="77777777" w:rsidR="00203590" w:rsidRPr="00AF4AEA" w:rsidRDefault="00203590" w:rsidP="00AD7EC2">
            <w:pPr>
              <w:pStyle w:val="Bodyromannumerals"/>
              <w:rPr>
                <w:i/>
                <w:lang w:val="en-US"/>
              </w:rPr>
            </w:pPr>
            <w:r w:rsidRPr="00AF4AEA">
              <w:rPr>
                <w:i/>
                <w:lang w:val="en-US"/>
              </w:rPr>
              <w:lastRenderedPageBreak/>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90A2F74" w14:textId="77777777" w:rsidR="00203590" w:rsidRPr="00AF4AEA" w:rsidRDefault="00203590" w:rsidP="00AD7EC2">
            <w:pPr>
              <w:pStyle w:val="Bodyromannumerals"/>
              <w:rPr>
                <w:lang w:val="en-US"/>
              </w:rPr>
            </w:pPr>
            <w:r w:rsidRPr="00AF4AEA">
              <w:rPr>
                <w:lang w:val="en-US"/>
              </w:rPr>
              <w:t>Input field</w:t>
            </w:r>
          </w:p>
        </w:tc>
      </w:tr>
      <w:tr w:rsidR="00203590" w:rsidRPr="00FE063D" w14:paraId="5C85BB63" w14:textId="77777777" w:rsidTr="00AD7EC2">
        <w:tc>
          <w:tcPr>
            <w:tcW w:w="1065" w:type="dxa"/>
          </w:tcPr>
          <w:p w14:paraId="6364E50A" w14:textId="4663EBDA" w:rsidR="00203590" w:rsidRPr="00FE063D" w:rsidRDefault="00203590" w:rsidP="00AD7EC2">
            <w:pPr>
              <w:pStyle w:val="Bodyromannumerals"/>
              <w:rPr>
                <w:b/>
                <w:bCs/>
                <w:lang w:val="en-US"/>
              </w:rPr>
            </w:pPr>
            <w:r w:rsidRPr="00FE063D">
              <w:rPr>
                <w:b/>
                <w:bCs/>
                <w:lang w:val="en-US"/>
              </w:rPr>
              <w:t>B8.</w:t>
            </w:r>
            <w:r w:rsidR="00A5101D">
              <w:rPr>
                <w:b/>
                <w:bCs/>
                <w:lang w:val="en-US"/>
              </w:rPr>
              <w:t>2</w:t>
            </w:r>
            <w:r w:rsidRPr="00FE063D">
              <w:rPr>
                <w:b/>
                <w:bCs/>
                <w:lang w:val="en-US"/>
              </w:rPr>
              <w:t>2</w:t>
            </w:r>
          </w:p>
        </w:tc>
        <w:tc>
          <w:tcPr>
            <w:tcW w:w="5412" w:type="dxa"/>
            <w:gridSpan w:val="2"/>
          </w:tcPr>
          <w:p w14:paraId="30B3A00D" w14:textId="77777777" w:rsidR="00203590" w:rsidRPr="00FE063D" w:rsidRDefault="00203590" w:rsidP="00AD7EC2">
            <w:pPr>
              <w:pStyle w:val="Bodyromannumerals"/>
              <w:rPr>
                <w:b/>
                <w:bCs/>
                <w:lang w:val="en-US"/>
              </w:rPr>
            </w:pPr>
            <w:r w:rsidRPr="00FE063D">
              <w:rPr>
                <w:b/>
                <w:bCs/>
                <w:lang w:val="en-US"/>
              </w:rPr>
              <w:t>Number of unsatisfactory intermittent discharges</w:t>
            </w:r>
          </w:p>
        </w:tc>
        <w:tc>
          <w:tcPr>
            <w:tcW w:w="1081" w:type="dxa"/>
          </w:tcPr>
          <w:p w14:paraId="760FF061" w14:textId="77777777" w:rsidR="00203590" w:rsidRPr="00FE063D" w:rsidRDefault="00203590" w:rsidP="00AD7EC2">
            <w:pPr>
              <w:pStyle w:val="Bodyromannumerals"/>
              <w:rPr>
                <w:b/>
                <w:bCs/>
                <w:lang w:val="en-US"/>
              </w:rPr>
            </w:pPr>
            <w:r w:rsidRPr="00FE063D">
              <w:rPr>
                <w:b/>
                <w:bCs/>
                <w:lang w:val="en-US"/>
              </w:rPr>
              <w:t>Nr.</w:t>
            </w:r>
          </w:p>
        </w:tc>
      </w:tr>
      <w:tr w:rsidR="00203590" w:rsidRPr="00AF4AEA" w14:paraId="05D3B1F9" w14:textId="77777777" w:rsidTr="00AD7EC2">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1172B270" w14:textId="77777777" w:rsidR="00203590" w:rsidRPr="00AF4AEA" w:rsidRDefault="00203590" w:rsidP="00AD7EC2">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7834349F" w14:textId="7EF1518B" w:rsidR="00203590" w:rsidRPr="00AF4AEA" w:rsidRDefault="00203590" w:rsidP="00AD7EC2">
            <w:pPr>
              <w:pStyle w:val="Bodyromannumerals"/>
              <w:rPr>
                <w:lang w:val="en-US"/>
              </w:rPr>
            </w:pPr>
            <w:r w:rsidRPr="00AF4AEA">
              <w:rPr>
                <w:lang w:val="en-US"/>
              </w:rPr>
              <w:t>The number of unsatisfactory intermittent discharges</w:t>
            </w:r>
            <w:r>
              <w:rPr>
                <w:lang w:val="en-US"/>
              </w:rPr>
              <w:t xml:space="preserve"> on the </w:t>
            </w:r>
            <w:r w:rsidR="000B280D">
              <w:rPr>
                <w:lang w:val="en-US"/>
              </w:rPr>
              <w:t>stormwater</w:t>
            </w:r>
            <w:r>
              <w:rPr>
                <w:lang w:val="en-US"/>
              </w:rPr>
              <w:t xml:space="preserve"> system</w:t>
            </w:r>
            <w:r w:rsidRPr="00AF4AEA">
              <w:rPr>
                <w:lang w:val="en-US"/>
              </w:rPr>
              <w:t xml:space="preserve"> at the end of the report year.</w:t>
            </w:r>
          </w:p>
        </w:tc>
      </w:tr>
      <w:tr w:rsidR="00203590" w:rsidRPr="00AF4AEA" w14:paraId="760B2517" w14:textId="77777777" w:rsidTr="00AD7EC2">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55F5AD3" w14:textId="77777777" w:rsidR="00203590" w:rsidRPr="00AF4AEA" w:rsidRDefault="00203590" w:rsidP="00AD7EC2">
            <w:pPr>
              <w:pStyle w:val="Bodyromannumerals"/>
              <w:rPr>
                <w:i/>
                <w:lang w:val="en-US"/>
              </w:rPr>
            </w:pPr>
            <w:r w:rsidRPr="00AF4AEA">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62C216D" w14:textId="77777777" w:rsidR="00203590" w:rsidRPr="00AF4AEA" w:rsidRDefault="00203590" w:rsidP="00AD7EC2">
            <w:pPr>
              <w:pStyle w:val="Bodyromannumerals"/>
              <w:rPr>
                <w:lang w:val="en-US"/>
              </w:rPr>
            </w:pPr>
            <w:r w:rsidRPr="00AF4AEA">
              <w:rPr>
                <w:lang w:val="en-US"/>
              </w:rPr>
              <w:t>Input field</w:t>
            </w:r>
          </w:p>
        </w:tc>
      </w:tr>
      <w:tr w:rsidR="00203590" w:rsidRPr="00FE063D" w14:paraId="3AC233F9" w14:textId="77777777" w:rsidTr="00AD7EC2">
        <w:tc>
          <w:tcPr>
            <w:tcW w:w="1065" w:type="dxa"/>
          </w:tcPr>
          <w:p w14:paraId="249AE309" w14:textId="1D2ABDB5" w:rsidR="00203590" w:rsidRPr="00FE063D" w:rsidRDefault="00203590" w:rsidP="00AD7EC2">
            <w:pPr>
              <w:pStyle w:val="Bodyromannumerals"/>
              <w:rPr>
                <w:b/>
                <w:bCs/>
                <w:lang w:val="en-US"/>
              </w:rPr>
            </w:pPr>
            <w:r w:rsidRPr="00FE063D">
              <w:rPr>
                <w:b/>
                <w:bCs/>
                <w:lang w:val="en-US"/>
              </w:rPr>
              <w:t>B8.</w:t>
            </w:r>
            <w:r w:rsidR="00A5101D">
              <w:rPr>
                <w:b/>
                <w:bCs/>
                <w:lang w:val="en-US"/>
              </w:rPr>
              <w:t>2</w:t>
            </w:r>
            <w:r w:rsidRPr="00FE063D">
              <w:rPr>
                <w:b/>
                <w:bCs/>
                <w:lang w:val="en-US"/>
              </w:rPr>
              <w:t>3</w:t>
            </w:r>
          </w:p>
        </w:tc>
        <w:tc>
          <w:tcPr>
            <w:tcW w:w="5412" w:type="dxa"/>
            <w:gridSpan w:val="2"/>
          </w:tcPr>
          <w:p w14:paraId="65049786" w14:textId="77777777" w:rsidR="00203590" w:rsidRPr="00FE063D" w:rsidRDefault="00203590" w:rsidP="00AD7EC2">
            <w:pPr>
              <w:pStyle w:val="Bodyromannumerals"/>
              <w:rPr>
                <w:b/>
                <w:bCs/>
                <w:lang w:val="en-US"/>
              </w:rPr>
            </w:pPr>
            <w:r w:rsidRPr="00FE063D">
              <w:rPr>
                <w:b/>
                <w:bCs/>
                <w:lang w:val="en-US"/>
              </w:rPr>
              <w:t>Number of intermittent discharges</w:t>
            </w:r>
          </w:p>
        </w:tc>
        <w:tc>
          <w:tcPr>
            <w:tcW w:w="1081" w:type="dxa"/>
          </w:tcPr>
          <w:p w14:paraId="7C35E5EA" w14:textId="77777777" w:rsidR="00203590" w:rsidRPr="00FE063D" w:rsidRDefault="00203590" w:rsidP="00AD7EC2">
            <w:pPr>
              <w:pStyle w:val="Bodyromannumerals"/>
              <w:rPr>
                <w:b/>
                <w:bCs/>
                <w:lang w:val="en-US"/>
              </w:rPr>
            </w:pPr>
            <w:r w:rsidRPr="00FE063D">
              <w:rPr>
                <w:b/>
                <w:bCs/>
                <w:lang w:val="en-US"/>
              </w:rPr>
              <w:t>Nr.</w:t>
            </w:r>
          </w:p>
        </w:tc>
      </w:tr>
      <w:tr w:rsidR="00203590" w:rsidRPr="00AF4AEA" w14:paraId="55D79A05" w14:textId="77777777" w:rsidTr="00AD7EC2">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4750BBF0" w14:textId="77777777" w:rsidR="00203590" w:rsidRPr="00AF4AEA" w:rsidRDefault="00203590" w:rsidP="00AD7EC2">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7F46AFEA" w14:textId="5C85B197" w:rsidR="00203590" w:rsidRPr="00AF4AEA" w:rsidRDefault="00203590" w:rsidP="00AD7EC2">
            <w:pPr>
              <w:pStyle w:val="Bodyromannumerals"/>
              <w:rPr>
                <w:lang w:val="en-US"/>
              </w:rPr>
            </w:pPr>
            <w:r w:rsidRPr="00AF4AEA">
              <w:rPr>
                <w:lang w:val="en-US"/>
              </w:rPr>
              <w:t xml:space="preserve">The total number of intermittent discharges on the </w:t>
            </w:r>
            <w:r w:rsidR="000B280D">
              <w:rPr>
                <w:lang w:val="en-US"/>
              </w:rPr>
              <w:t>stormwater</w:t>
            </w:r>
            <w:r>
              <w:rPr>
                <w:lang w:val="en-US"/>
              </w:rPr>
              <w:t xml:space="preserve"> </w:t>
            </w:r>
            <w:r w:rsidRPr="00AF4AEA">
              <w:rPr>
                <w:lang w:val="en-US"/>
              </w:rPr>
              <w:t xml:space="preserve">system. These should include </w:t>
            </w:r>
            <w:r w:rsidR="00D04425">
              <w:rPr>
                <w:lang w:val="en-US"/>
              </w:rPr>
              <w:t xml:space="preserve">stormwater-only </w:t>
            </w:r>
            <w:r w:rsidRPr="00AF4AEA">
              <w:rPr>
                <w:lang w:val="en-US"/>
              </w:rPr>
              <w:t xml:space="preserve">sewer overflows, emergency overflows at pumping stations, storm overflows at inlets to </w:t>
            </w:r>
            <w:r>
              <w:rPr>
                <w:lang w:val="en-US"/>
              </w:rPr>
              <w:t>plants</w:t>
            </w:r>
            <w:r w:rsidRPr="00AF4AEA">
              <w:rPr>
                <w:lang w:val="en-US"/>
              </w:rPr>
              <w:t xml:space="preserve"> and storm tank discharges</w:t>
            </w:r>
            <w:r>
              <w:rPr>
                <w:lang w:val="en-US"/>
              </w:rPr>
              <w:t>.</w:t>
            </w:r>
            <w:r w:rsidR="00D04425">
              <w:rPr>
                <w:lang w:val="en-US"/>
              </w:rPr>
              <w:t xml:space="preserve"> </w:t>
            </w:r>
          </w:p>
        </w:tc>
      </w:tr>
      <w:tr w:rsidR="00203590" w:rsidRPr="00124C4E" w14:paraId="09EB6EF9" w14:textId="77777777" w:rsidTr="00AD7EC2">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B3C8EF4" w14:textId="77777777" w:rsidR="00203590" w:rsidRPr="00124C4E" w:rsidRDefault="00203590" w:rsidP="00AD7EC2">
            <w:pPr>
              <w:pStyle w:val="Bodyromannumerals"/>
              <w:rPr>
                <w:i/>
                <w:lang w:val="en-US"/>
              </w:rPr>
            </w:pPr>
            <w:r w:rsidRPr="00124C4E">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D44F803" w14:textId="77777777" w:rsidR="00203590" w:rsidRPr="00124C4E" w:rsidRDefault="00203590" w:rsidP="00AD7EC2">
            <w:pPr>
              <w:pStyle w:val="Bodyromannumerals"/>
              <w:rPr>
                <w:lang w:val="en-US"/>
              </w:rPr>
            </w:pPr>
            <w:r w:rsidRPr="00124C4E">
              <w:rPr>
                <w:lang w:val="en-US"/>
              </w:rPr>
              <w:t>Input field</w:t>
            </w:r>
          </w:p>
        </w:tc>
      </w:tr>
      <w:tr w:rsidR="00203590" w:rsidRPr="00FE063D" w14:paraId="4F5A82A6" w14:textId="77777777" w:rsidTr="00AD7EC2">
        <w:tc>
          <w:tcPr>
            <w:tcW w:w="1065" w:type="dxa"/>
          </w:tcPr>
          <w:p w14:paraId="280CFEE1" w14:textId="5B2752E3" w:rsidR="00203590" w:rsidRPr="00FE063D" w:rsidRDefault="00203590" w:rsidP="00AD7EC2">
            <w:pPr>
              <w:pStyle w:val="Bodyromannumerals"/>
              <w:rPr>
                <w:b/>
                <w:bCs/>
                <w:lang w:val="en-US"/>
              </w:rPr>
            </w:pPr>
            <w:r w:rsidRPr="00FE063D">
              <w:rPr>
                <w:b/>
                <w:bCs/>
                <w:lang w:val="en-US"/>
              </w:rPr>
              <w:t>B8.</w:t>
            </w:r>
            <w:r w:rsidR="00A5101D">
              <w:rPr>
                <w:b/>
                <w:bCs/>
                <w:lang w:val="en-US"/>
              </w:rPr>
              <w:t>2</w:t>
            </w:r>
            <w:r w:rsidRPr="00FE063D">
              <w:rPr>
                <w:b/>
                <w:bCs/>
                <w:lang w:val="en-US"/>
              </w:rPr>
              <w:t>4</w:t>
            </w:r>
          </w:p>
        </w:tc>
        <w:tc>
          <w:tcPr>
            <w:tcW w:w="5412" w:type="dxa"/>
            <w:gridSpan w:val="2"/>
          </w:tcPr>
          <w:p w14:paraId="159ACEF7" w14:textId="77777777" w:rsidR="00203590" w:rsidRPr="00FE063D" w:rsidRDefault="00203590" w:rsidP="00AD7EC2">
            <w:pPr>
              <w:pStyle w:val="Bodyromannumerals"/>
              <w:rPr>
                <w:b/>
                <w:bCs/>
                <w:lang w:val="en-US"/>
              </w:rPr>
            </w:pPr>
            <w:r w:rsidRPr="00FE063D">
              <w:rPr>
                <w:b/>
                <w:bCs/>
                <w:lang w:val="en-US"/>
              </w:rPr>
              <w:t>Percentage of unsatisfactory intermittent discharges</w:t>
            </w:r>
          </w:p>
        </w:tc>
        <w:tc>
          <w:tcPr>
            <w:tcW w:w="1081" w:type="dxa"/>
          </w:tcPr>
          <w:p w14:paraId="6F02894F" w14:textId="77777777" w:rsidR="00203590" w:rsidRPr="00FE063D" w:rsidRDefault="00203590" w:rsidP="00AD7EC2">
            <w:pPr>
              <w:pStyle w:val="Bodyromannumerals"/>
              <w:rPr>
                <w:b/>
                <w:bCs/>
                <w:lang w:val="en-US"/>
              </w:rPr>
            </w:pPr>
            <w:r w:rsidRPr="00FE063D">
              <w:rPr>
                <w:b/>
                <w:bCs/>
                <w:lang w:val="en-US"/>
              </w:rPr>
              <w:t xml:space="preserve">% </w:t>
            </w:r>
          </w:p>
        </w:tc>
      </w:tr>
      <w:tr w:rsidR="00203590" w:rsidRPr="00AF4AEA" w14:paraId="053AFE91" w14:textId="77777777" w:rsidTr="00AD7EC2">
        <w:tc>
          <w:tcPr>
            <w:tcW w:w="2267" w:type="dxa"/>
            <w:gridSpan w:val="2"/>
            <w:tcBorders>
              <w:left w:val="single" w:sz="4" w:space="0" w:color="FFFFFF" w:themeColor="background2"/>
              <w:bottom w:val="single" w:sz="4" w:space="0" w:color="FFFFFF" w:themeColor="background2"/>
              <w:right w:val="single" w:sz="4" w:space="0" w:color="FFFFFF" w:themeColor="background2"/>
            </w:tcBorders>
          </w:tcPr>
          <w:p w14:paraId="5E530A52" w14:textId="77777777" w:rsidR="00203590" w:rsidRPr="00AF4AEA" w:rsidRDefault="00203590" w:rsidP="00AD7EC2">
            <w:pPr>
              <w:pStyle w:val="Bodyromannumerals"/>
              <w:rPr>
                <w:i/>
                <w:lang w:val="en-US"/>
              </w:rPr>
            </w:pPr>
            <w:r w:rsidRPr="00AF4AEA">
              <w:rPr>
                <w:i/>
                <w:lang w:val="en-US"/>
              </w:rPr>
              <w:t>Definition:</w:t>
            </w:r>
          </w:p>
        </w:tc>
        <w:tc>
          <w:tcPr>
            <w:tcW w:w="5291" w:type="dxa"/>
            <w:gridSpan w:val="2"/>
            <w:tcBorders>
              <w:left w:val="single" w:sz="4" w:space="0" w:color="FFFFFF" w:themeColor="background2"/>
              <w:bottom w:val="single" w:sz="4" w:space="0" w:color="FFFFFF" w:themeColor="background2"/>
              <w:right w:val="single" w:sz="4" w:space="0" w:color="FFFFFF" w:themeColor="background2"/>
            </w:tcBorders>
          </w:tcPr>
          <w:p w14:paraId="32BFDAD5" w14:textId="201E1932" w:rsidR="00203590" w:rsidRPr="00AF4AEA" w:rsidRDefault="00203590" w:rsidP="00AD7EC2">
            <w:pPr>
              <w:pStyle w:val="Bodyromannumerals"/>
              <w:rPr>
                <w:lang w:val="en-US"/>
              </w:rPr>
            </w:pPr>
            <w:r w:rsidRPr="00AF4AEA">
              <w:rPr>
                <w:lang w:val="en-US"/>
              </w:rPr>
              <w:t xml:space="preserve">The percentage of </w:t>
            </w:r>
            <w:r w:rsidRPr="007C72F1">
              <w:rPr>
                <w:lang w:val="en-US"/>
              </w:rPr>
              <w:t>unsatisfactory</w:t>
            </w:r>
            <w:r w:rsidR="006E75B9">
              <w:rPr>
                <w:lang w:val="en-US"/>
              </w:rPr>
              <w:t xml:space="preserve"> stormwater</w:t>
            </w:r>
            <w:r w:rsidR="00881F58">
              <w:rPr>
                <w:lang w:val="en-US"/>
              </w:rPr>
              <w:t>-only</w:t>
            </w:r>
            <w:r w:rsidRPr="007C72F1">
              <w:rPr>
                <w:lang w:val="en-US"/>
              </w:rPr>
              <w:t xml:space="preserve"> sewer</w:t>
            </w:r>
            <w:r w:rsidRPr="00AF4AEA">
              <w:rPr>
                <w:lang w:val="en-US"/>
              </w:rPr>
              <w:t xml:space="preserve"> overflows</w:t>
            </w:r>
            <w:r>
              <w:rPr>
                <w:lang w:val="en-US"/>
              </w:rPr>
              <w:t xml:space="preserve"> (i.e. non-compliant outflows based on the discharge consent)</w:t>
            </w:r>
            <w:r w:rsidRPr="00AF4AEA">
              <w:rPr>
                <w:lang w:val="en-US"/>
              </w:rPr>
              <w:t>.</w:t>
            </w:r>
            <w:r>
              <w:rPr>
                <w:lang w:val="en-US"/>
              </w:rPr>
              <w:t xml:space="preserve"> </w:t>
            </w:r>
          </w:p>
        </w:tc>
      </w:tr>
      <w:tr w:rsidR="00203590" w:rsidRPr="006D7B84" w14:paraId="27D68391" w14:textId="77777777" w:rsidTr="00AD7EC2">
        <w:tc>
          <w:tcPr>
            <w:tcW w:w="226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344A457" w14:textId="77777777" w:rsidR="00203590" w:rsidRPr="00124C4E" w:rsidRDefault="00203590" w:rsidP="00AD7EC2">
            <w:pPr>
              <w:pStyle w:val="Bodyromannumerals"/>
              <w:rPr>
                <w:i/>
                <w:lang w:val="en-US"/>
              </w:rPr>
            </w:pPr>
            <w:r w:rsidRPr="00124C4E">
              <w:rPr>
                <w:i/>
                <w:lang w:val="en-US"/>
              </w:rPr>
              <w:t>Processing Rules:</w:t>
            </w:r>
          </w:p>
        </w:tc>
        <w:tc>
          <w:tcPr>
            <w:tcW w:w="5291"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B618921" w14:textId="110271A8" w:rsidR="00203590" w:rsidRPr="006D7B84" w:rsidRDefault="00203590" w:rsidP="00AD7EC2">
            <w:pPr>
              <w:pStyle w:val="Bodyromannumerals"/>
              <w:rPr>
                <w:lang w:val="en-US"/>
              </w:rPr>
            </w:pPr>
            <w:r w:rsidRPr="00124C4E">
              <w:rPr>
                <w:lang w:val="en-US"/>
              </w:rPr>
              <w:t>Calculated field: B8.</w:t>
            </w:r>
            <w:r w:rsidR="002C5B81">
              <w:rPr>
                <w:lang w:val="en-US"/>
              </w:rPr>
              <w:t>2</w:t>
            </w:r>
            <w:r w:rsidRPr="00124C4E">
              <w:rPr>
                <w:lang w:val="en-US"/>
              </w:rPr>
              <w:t>2/B8.</w:t>
            </w:r>
            <w:r w:rsidR="002C5B81">
              <w:rPr>
                <w:lang w:val="en-US"/>
              </w:rPr>
              <w:t>2</w:t>
            </w:r>
            <w:r w:rsidRPr="00124C4E">
              <w:rPr>
                <w:lang w:val="en-US"/>
              </w:rPr>
              <w:t>3</w:t>
            </w:r>
          </w:p>
        </w:tc>
      </w:tr>
    </w:tbl>
    <w:p w14:paraId="2AC7CB2A" w14:textId="77777777" w:rsidR="008B30C3" w:rsidRDefault="008B30C3">
      <w:pPr>
        <w:spacing w:after="160" w:line="259" w:lineRule="auto"/>
        <w:rPr>
          <w:rFonts w:ascii="Calibri" w:hAnsi="Calibri" w:cs="Calibri"/>
          <w:b/>
          <w:color w:val="182B46"/>
          <w:sz w:val="26"/>
        </w:rPr>
      </w:pPr>
      <w:r>
        <w:br w:type="page"/>
      </w:r>
    </w:p>
    <w:p w14:paraId="0E455C14" w14:textId="0A7E0563" w:rsidR="00BE4543" w:rsidRDefault="00BE4543" w:rsidP="00183396">
      <w:pPr>
        <w:pStyle w:val="Sectionsub-heading"/>
      </w:pPr>
      <w:r>
        <w:lastRenderedPageBreak/>
        <w:t xml:space="preserve">BLOCK </w:t>
      </w:r>
      <w:r w:rsidR="00B560D6">
        <w:t>4</w:t>
      </w:r>
      <w:r>
        <w:t xml:space="preserve">: PERFORMANCE OF </w:t>
      </w:r>
      <w:r w:rsidR="009D138F">
        <w:t>WASTEWATER</w:t>
      </w:r>
      <w:r>
        <w:t xml:space="preserve"> </w:t>
      </w:r>
      <w:r w:rsidR="00C70462">
        <w:t xml:space="preserve">AND STORMWATER </w:t>
      </w:r>
      <w:r>
        <w:t>ASSETS</w:t>
      </w:r>
    </w:p>
    <w:tbl>
      <w:tblPr>
        <w:tblStyle w:val="TableGrid"/>
        <w:tblW w:w="7558" w:type="dxa"/>
        <w:tblLook w:val="04A0" w:firstRow="1" w:lastRow="0" w:firstColumn="1" w:lastColumn="0" w:noHBand="0" w:noVBand="1"/>
      </w:tblPr>
      <w:tblGrid>
        <w:gridCol w:w="1080"/>
        <w:gridCol w:w="1189"/>
        <w:gridCol w:w="4209"/>
        <w:gridCol w:w="1080"/>
      </w:tblGrid>
      <w:tr w:rsidR="008B5200" w:rsidRPr="00216F0E" w14:paraId="0EF6EF65" w14:textId="77777777" w:rsidTr="286C5C0D">
        <w:tc>
          <w:tcPr>
            <w:tcW w:w="1080" w:type="dxa"/>
          </w:tcPr>
          <w:p w14:paraId="64A389D5" w14:textId="77777777" w:rsidR="008B5200" w:rsidRPr="0020341D" w:rsidRDefault="008B5200" w:rsidP="008B5200">
            <w:pPr>
              <w:pStyle w:val="Bodyromannumerals"/>
              <w:rPr>
                <w:b/>
                <w:bCs/>
                <w:lang w:val="en-US"/>
              </w:rPr>
            </w:pPr>
            <w:r w:rsidRPr="0020341D">
              <w:rPr>
                <w:b/>
                <w:bCs/>
                <w:lang w:val="en-US"/>
              </w:rPr>
              <w:t>B8.38</w:t>
            </w:r>
          </w:p>
        </w:tc>
        <w:tc>
          <w:tcPr>
            <w:tcW w:w="5398" w:type="dxa"/>
            <w:gridSpan w:val="2"/>
          </w:tcPr>
          <w:p w14:paraId="70EBAABC" w14:textId="532A4516" w:rsidR="008B5200" w:rsidRPr="0020341D" w:rsidRDefault="008B5200" w:rsidP="008B5200">
            <w:pPr>
              <w:pStyle w:val="Bodyromannumerals"/>
              <w:rPr>
                <w:b/>
                <w:bCs/>
                <w:lang w:val="en-US"/>
              </w:rPr>
            </w:pPr>
            <w:r w:rsidRPr="0020341D">
              <w:rPr>
                <w:b/>
                <w:bCs/>
                <w:lang w:val="en-US"/>
              </w:rPr>
              <w:t>Discharge permit compliance</w:t>
            </w:r>
          </w:p>
        </w:tc>
        <w:tc>
          <w:tcPr>
            <w:tcW w:w="1080" w:type="dxa"/>
          </w:tcPr>
          <w:p w14:paraId="1C01DFE4" w14:textId="200E7A00" w:rsidR="008B5200" w:rsidRPr="0020341D" w:rsidRDefault="008F2F08" w:rsidP="008B5200">
            <w:pPr>
              <w:pStyle w:val="Bodyromannumerals"/>
              <w:rPr>
                <w:b/>
                <w:bCs/>
                <w:lang w:val="en-US"/>
              </w:rPr>
            </w:pPr>
            <w:r>
              <w:rPr>
                <w:b/>
                <w:bCs/>
                <w:lang w:val="en-US"/>
              </w:rPr>
              <w:t>%</w:t>
            </w:r>
          </w:p>
        </w:tc>
      </w:tr>
      <w:tr w:rsidR="008B5200" w:rsidRPr="00216F0E" w14:paraId="217CF4A1" w14:textId="77777777" w:rsidTr="286C5C0D">
        <w:tc>
          <w:tcPr>
            <w:tcW w:w="2269" w:type="dxa"/>
            <w:gridSpan w:val="2"/>
            <w:tcBorders>
              <w:left w:val="single" w:sz="4" w:space="0" w:color="FFFFFF" w:themeColor="background2"/>
              <w:bottom w:val="single" w:sz="4" w:space="0" w:color="FFFFFF" w:themeColor="background2"/>
              <w:right w:val="single" w:sz="4" w:space="0" w:color="FFFFFF" w:themeColor="background2"/>
            </w:tcBorders>
          </w:tcPr>
          <w:p w14:paraId="324AA6B2" w14:textId="77777777" w:rsidR="008B5200" w:rsidRPr="00AF4AEA" w:rsidRDefault="008B5200" w:rsidP="008B5200">
            <w:pPr>
              <w:pStyle w:val="Bodyromannumerals"/>
              <w:rPr>
                <w:i/>
                <w:lang w:val="en-US"/>
              </w:rPr>
            </w:pPr>
            <w:r w:rsidRPr="00AF4AEA">
              <w:rPr>
                <w:i/>
                <w:lang w:val="en-US"/>
              </w:rPr>
              <w:t>Definition:</w:t>
            </w:r>
          </w:p>
        </w:tc>
        <w:tc>
          <w:tcPr>
            <w:tcW w:w="5289" w:type="dxa"/>
            <w:gridSpan w:val="2"/>
            <w:tcBorders>
              <w:left w:val="single" w:sz="4" w:space="0" w:color="FFFFFF" w:themeColor="background2"/>
              <w:bottom w:val="single" w:sz="4" w:space="0" w:color="FFFFFF" w:themeColor="background2"/>
              <w:right w:val="single" w:sz="4" w:space="0" w:color="FFFFFF" w:themeColor="background2"/>
            </w:tcBorders>
          </w:tcPr>
          <w:p w14:paraId="74E9CC8F" w14:textId="6A9828AC" w:rsidR="008B5200" w:rsidRPr="00AF4AEA" w:rsidRDefault="008B5200" w:rsidP="008B5200">
            <w:pPr>
              <w:pStyle w:val="Bodyromannumerals"/>
              <w:rPr>
                <w:color w:val="000000" w:themeColor="text1"/>
                <w:lang w:val="en-US"/>
              </w:rPr>
            </w:pPr>
            <w:r w:rsidRPr="00AF4AEA">
              <w:rPr>
                <w:color w:val="000000" w:themeColor="text1"/>
                <w:lang w:val="en-US"/>
              </w:rPr>
              <w:t xml:space="preserve">Performance of </w:t>
            </w:r>
            <w:r w:rsidR="009D138F">
              <w:rPr>
                <w:color w:val="000000" w:themeColor="text1"/>
                <w:lang w:val="en-US"/>
              </w:rPr>
              <w:t>wastewater</w:t>
            </w:r>
            <w:r w:rsidRPr="00AF4AEA">
              <w:rPr>
                <w:color w:val="000000" w:themeColor="text1"/>
                <w:lang w:val="en-US"/>
              </w:rPr>
              <w:t xml:space="preserve"> </w:t>
            </w:r>
            <w:r w:rsidR="00C70462">
              <w:rPr>
                <w:color w:val="000000" w:themeColor="text1"/>
                <w:lang w:val="en-US"/>
              </w:rPr>
              <w:t>and stormwater</w:t>
            </w:r>
            <w:r w:rsidRPr="00AF4AEA">
              <w:rPr>
                <w:color w:val="000000" w:themeColor="text1"/>
                <w:lang w:val="en-US"/>
              </w:rPr>
              <w:t xml:space="preserve"> assets to treat and dispose of </w:t>
            </w:r>
            <w:r w:rsidR="00906346">
              <w:rPr>
                <w:color w:val="000000" w:themeColor="text1"/>
                <w:lang w:val="en-US"/>
              </w:rPr>
              <w:t>wastewater</w:t>
            </w:r>
            <w:r w:rsidRPr="00AF4AEA">
              <w:rPr>
                <w:color w:val="000000" w:themeColor="text1"/>
                <w:lang w:val="en-US"/>
              </w:rPr>
              <w:t xml:space="preserve"> </w:t>
            </w:r>
            <w:r w:rsidR="00C70462">
              <w:rPr>
                <w:color w:val="000000" w:themeColor="text1"/>
                <w:lang w:val="en-US"/>
              </w:rPr>
              <w:t>and stormwater</w:t>
            </w:r>
            <w:r w:rsidRPr="00AF4AEA">
              <w:rPr>
                <w:color w:val="000000" w:themeColor="text1"/>
                <w:lang w:val="en-US"/>
              </w:rPr>
              <w:t xml:space="preserve"> in line with the discharge permit conditions imposed on </w:t>
            </w:r>
            <w:r w:rsidR="00906346">
              <w:rPr>
                <w:color w:val="000000" w:themeColor="text1"/>
                <w:lang w:val="en-US"/>
              </w:rPr>
              <w:t>wastewater</w:t>
            </w:r>
            <w:r w:rsidRPr="00AF4AEA">
              <w:rPr>
                <w:color w:val="000000" w:themeColor="text1"/>
                <w:lang w:val="en-US"/>
              </w:rPr>
              <w:t xml:space="preserve"> treatment </w:t>
            </w:r>
            <w:r w:rsidR="0012394B">
              <w:rPr>
                <w:color w:val="000000" w:themeColor="text1"/>
                <w:lang w:val="en-US"/>
              </w:rPr>
              <w:t>plants</w:t>
            </w:r>
            <w:r w:rsidRPr="00AF4AEA">
              <w:rPr>
                <w:color w:val="000000" w:themeColor="text1"/>
                <w:lang w:val="en-US"/>
              </w:rPr>
              <w:t>.</w:t>
            </w:r>
          </w:p>
          <w:p w14:paraId="4859783E" w14:textId="77777777" w:rsidR="008B5200" w:rsidRPr="00AF4AEA" w:rsidRDefault="008B5200" w:rsidP="008B5200">
            <w:pPr>
              <w:pStyle w:val="Bodyromannumerals"/>
              <w:rPr>
                <w:color w:val="000000" w:themeColor="text1"/>
                <w:lang w:val="en-US"/>
              </w:rPr>
            </w:pPr>
            <w:r w:rsidRPr="00AF4AEA">
              <w:rPr>
                <w:color w:val="000000" w:themeColor="text1"/>
                <w:lang w:val="en-US"/>
              </w:rPr>
              <w:t>This is calculated as:</w:t>
            </w:r>
          </w:p>
          <w:p w14:paraId="2B66CAC0" w14:textId="77777777" w:rsidR="008B5200" w:rsidRPr="00124C4E" w:rsidRDefault="008B5200" w:rsidP="008B5200">
            <w:pPr>
              <w:pStyle w:val="Bodyromannumerals"/>
              <w:rPr>
                <w:lang w:val="en-US"/>
              </w:rPr>
            </w:pPr>
            <w:r w:rsidRPr="00AF4AEA">
              <w:rPr>
                <w:color w:val="000000" w:themeColor="text1"/>
                <w:lang w:val="en-US"/>
              </w:rPr>
              <w:t>(B-A)/B * 100 where: A is No. of sites where one or more discharges confirmed failing in calendar year; and B is No. of discharges during the year (in force).</w:t>
            </w:r>
          </w:p>
        </w:tc>
      </w:tr>
      <w:tr w:rsidR="008B5200" w:rsidRPr="00216F0E" w14:paraId="4FBF0878" w14:textId="77777777" w:rsidTr="286C5C0D">
        <w:tc>
          <w:tcPr>
            <w:tcW w:w="226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C185E6" w14:textId="77777777" w:rsidR="008B5200" w:rsidRPr="00AF4AEA" w:rsidRDefault="008B5200" w:rsidP="008B5200">
            <w:pPr>
              <w:pStyle w:val="Bodyromannumerals"/>
              <w:rPr>
                <w:i/>
                <w:lang w:val="en-US"/>
              </w:rPr>
            </w:pPr>
            <w:r w:rsidRPr="00AF4AEA">
              <w:rPr>
                <w:i/>
                <w:lang w:val="en-US"/>
              </w:rPr>
              <w:t>Processing Rules:</w:t>
            </w:r>
          </w:p>
        </w:tc>
        <w:tc>
          <w:tcPr>
            <w:tcW w:w="528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83AB85A" w14:textId="77777777" w:rsidR="008B5200" w:rsidRPr="00AF4AEA" w:rsidRDefault="008B5200" w:rsidP="008B5200">
            <w:pPr>
              <w:pStyle w:val="Bodyromannumerals"/>
              <w:rPr>
                <w:lang w:val="en-US"/>
              </w:rPr>
            </w:pPr>
            <w:r w:rsidRPr="00AF4AEA">
              <w:rPr>
                <w:lang w:val="en-US"/>
              </w:rPr>
              <w:t>Input field</w:t>
            </w:r>
          </w:p>
        </w:tc>
      </w:tr>
      <w:tr w:rsidR="00CE4954" w:rsidRPr="0020341D" w14:paraId="4F3BC200" w14:textId="77777777" w:rsidTr="286C5C0D">
        <w:tc>
          <w:tcPr>
            <w:tcW w:w="1080" w:type="dxa"/>
          </w:tcPr>
          <w:p w14:paraId="35FBBCA9" w14:textId="2F71024C" w:rsidR="00CE4954" w:rsidRPr="0020341D" w:rsidRDefault="00CE4954" w:rsidP="00202A4D">
            <w:pPr>
              <w:pStyle w:val="Bodyromannumerals"/>
              <w:rPr>
                <w:b/>
                <w:bCs/>
                <w:lang w:val="en-US"/>
              </w:rPr>
            </w:pPr>
            <w:r>
              <w:rPr>
                <w:b/>
                <w:bCs/>
                <w:lang w:val="en-US"/>
              </w:rPr>
              <w:t>B8.39</w:t>
            </w:r>
          </w:p>
        </w:tc>
        <w:tc>
          <w:tcPr>
            <w:tcW w:w="5398" w:type="dxa"/>
            <w:gridSpan w:val="2"/>
          </w:tcPr>
          <w:p w14:paraId="158179E9" w14:textId="4BB01FFC" w:rsidR="00CE4954" w:rsidRPr="0020341D" w:rsidRDefault="00925057" w:rsidP="00202A4D">
            <w:pPr>
              <w:pStyle w:val="Bodyromannumerals"/>
              <w:rPr>
                <w:b/>
                <w:bCs/>
                <w:lang w:val="en-US"/>
              </w:rPr>
            </w:pPr>
            <w:r w:rsidRPr="00925057">
              <w:rPr>
                <w:b/>
                <w:bCs/>
                <w:lang w:val="en-US"/>
              </w:rPr>
              <w:t xml:space="preserve">Total number of non-compliant </w:t>
            </w:r>
            <w:r w:rsidR="005B43D4" w:rsidRPr="00925057">
              <w:rPr>
                <w:b/>
                <w:bCs/>
                <w:lang w:val="en-US"/>
              </w:rPr>
              <w:t>wastewater</w:t>
            </w:r>
            <w:r w:rsidRPr="00925057">
              <w:rPr>
                <w:b/>
                <w:bCs/>
                <w:lang w:val="en-US"/>
              </w:rPr>
              <w:t xml:space="preserve"> treatment </w:t>
            </w:r>
            <w:r w:rsidR="0012394B">
              <w:rPr>
                <w:b/>
                <w:bCs/>
                <w:lang w:val="en-US"/>
              </w:rPr>
              <w:t>plants</w:t>
            </w:r>
            <w:r w:rsidR="0012394B" w:rsidRPr="00925057">
              <w:rPr>
                <w:b/>
                <w:bCs/>
                <w:lang w:val="en-US"/>
              </w:rPr>
              <w:t xml:space="preserve"> </w:t>
            </w:r>
            <w:r w:rsidRPr="00925057">
              <w:rPr>
                <w:b/>
                <w:bCs/>
                <w:lang w:val="en-US"/>
              </w:rPr>
              <w:t>failing to comply with</w:t>
            </w:r>
            <w:r w:rsidR="00244828">
              <w:rPr>
                <w:b/>
                <w:bCs/>
                <w:lang w:val="en-US"/>
              </w:rPr>
              <w:t xml:space="preserve"> any of the</w:t>
            </w:r>
            <w:r w:rsidRPr="00925057">
              <w:rPr>
                <w:b/>
                <w:bCs/>
                <w:lang w:val="en-US"/>
              </w:rPr>
              <w:t xml:space="preserve"> specified parameters</w:t>
            </w:r>
            <w:r w:rsidR="00244828">
              <w:rPr>
                <w:b/>
                <w:bCs/>
                <w:lang w:val="en-US"/>
              </w:rPr>
              <w:t xml:space="preserve"> in the </w:t>
            </w:r>
            <w:r w:rsidR="009A1945">
              <w:rPr>
                <w:b/>
                <w:bCs/>
                <w:lang w:val="en-US"/>
              </w:rPr>
              <w:t>license</w:t>
            </w:r>
          </w:p>
        </w:tc>
        <w:tc>
          <w:tcPr>
            <w:tcW w:w="1080" w:type="dxa"/>
          </w:tcPr>
          <w:p w14:paraId="232EA34F" w14:textId="34BAE310" w:rsidR="00CE4954" w:rsidRPr="0020341D" w:rsidRDefault="00925057" w:rsidP="00202A4D">
            <w:pPr>
              <w:pStyle w:val="Bodyromannumerals"/>
              <w:rPr>
                <w:b/>
                <w:bCs/>
                <w:lang w:val="en-US"/>
              </w:rPr>
            </w:pPr>
            <w:r>
              <w:rPr>
                <w:b/>
                <w:bCs/>
                <w:lang w:val="en-US"/>
              </w:rPr>
              <w:t>Nr.</w:t>
            </w:r>
          </w:p>
        </w:tc>
      </w:tr>
      <w:tr w:rsidR="00CE4954" w:rsidRPr="00124C4E" w14:paraId="6F85B7A2" w14:textId="77777777" w:rsidTr="286C5C0D">
        <w:tc>
          <w:tcPr>
            <w:tcW w:w="2269" w:type="dxa"/>
            <w:gridSpan w:val="2"/>
            <w:tcBorders>
              <w:left w:val="single" w:sz="4" w:space="0" w:color="FFFFFF" w:themeColor="background2"/>
              <w:bottom w:val="single" w:sz="4" w:space="0" w:color="FFFFFF" w:themeColor="background2"/>
              <w:right w:val="single" w:sz="4" w:space="0" w:color="FFFFFF" w:themeColor="background2"/>
            </w:tcBorders>
          </w:tcPr>
          <w:p w14:paraId="428E4B99" w14:textId="77777777" w:rsidR="00CE4954" w:rsidRPr="00AF4AEA" w:rsidRDefault="00CE4954" w:rsidP="00202A4D">
            <w:pPr>
              <w:pStyle w:val="Bodyromannumerals"/>
              <w:rPr>
                <w:i/>
                <w:lang w:val="en-US"/>
              </w:rPr>
            </w:pPr>
            <w:r w:rsidRPr="00AF4AEA">
              <w:rPr>
                <w:i/>
                <w:lang w:val="en-US"/>
              </w:rPr>
              <w:t>Definition:</w:t>
            </w:r>
          </w:p>
        </w:tc>
        <w:tc>
          <w:tcPr>
            <w:tcW w:w="5289" w:type="dxa"/>
            <w:gridSpan w:val="2"/>
            <w:tcBorders>
              <w:left w:val="single" w:sz="4" w:space="0" w:color="FFFFFF" w:themeColor="background2"/>
              <w:bottom w:val="single" w:sz="4" w:space="0" w:color="FFFFFF" w:themeColor="background2"/>
              <w:right w:val="single" w:sz="4" w:space="0" w:color="FFFFFF" w:themeColor="background2"/>
            </w:tcBorders>
          </w:tcPr>
          <w:p w14:paraId="17DF607F" w14:textId="31F3D922" w:rsidR="00CE4954" w:rsidRPr="00124C4E" w:rsidRDefault="00925057" w:rsidP="00925057">
            <w:pPr>
              <w:pStyle w:val="Bodyromannumerals"/>
              <w:rPr>
                <w:lang w:val="en-US"/>
              </w:rPr>
            </w:pPr>
            <w:r w:rsidRPr="00925057">
              <w:rPr>
                <w:lang w:val="en-US"/>
              </w:rPr>
              <w:t xml:space="preserve">This measure reflects the number of non-compliant </w:t>
            </w:r>
            <w:r w:rsidR="005B43D4" w:rsidRPr="00925057">
              <w:rPr>
                <w:lang w:val="en-US"/>
              </w:rPr>
              <w:t>wastewater</w:t>
            </w:r>
            <w:r w:rsidRPr="00925057">
              <w:rPr>
                <w:lang w:val="en-US"/>
              </w:rPr>
              <w:t xml:space="preserve"> treatment </w:t>
            </w:r>
            <w:r w:rsidR="0012394B">
              <w:rPr>
                <w:lang w:val="en-US"/>
              </w:rPr>
              <w:t>plants</w:t>
            </w:r>
            <w:r w:rsidR="0012394B" w:rsidRPr="00925057">
              <w:rPr>
                <w:lang w:val="en-US"/>
              </w:rPr>
              <w:t xml:space="preserve"> </w:t>
            </w:r>
            <w:r w:rsidRPr="00925057">
              <w:rPr>
                <w:lang w:val="en-US"/>
              </w:rPr>
              <w:t xml:space="preserve">failing to comply with </w:t>
            </w:r>
            <w:r w:rsidR="00244828">
              <w:rPr>
                <w:lang w:val="en-US"/>
              </w:rPr>
              <w:t xml:space="preserve">any of the </w:t>
            </w:r>
            <w:r w:rsidRPr="00925057">
              <w:rPr>
                <w:lang w:val="en-US"/>
              </w:rPr>
              <w:t xml:space="preserve">specified parameters in the </w:t>
            </w:r>
            <w:r w:rsidR="009A1945" w:rsidRPr="00925057">
              <w:rPr>
                <w:lang w:val="en-US"/>
              </w:rPr>
              <w:t>licen</w:t>
            </w:r>
            <w:r w:rsidR="009A1945">
              <w:rPr>
                <w:lang w:val="en-US"/>
              </w:rPr>
              <w:t>s</w:t>
            </w:r>
            <w:r w:rsidR="009A1945" w:rsidRPr="00925057">
              <w:rPr>
                <w:lang w:val="en-US"/>
              </w:rPr>
              <w:t>es</w:t>
            </w:r>
            <w:r w:rsidR="00244828" w:rsidRPr="00925057">
              <w:rPr>
                <w:lang w:val="en-US"/>
              </w:rPr>
              <w:t xml:space="preserve"> </w:t>
            </w:r>
            <w:r w:rsidRPr="00925057">
              <w:rPr>
                <w:lang w:val="en-US"/>
              </w:rPr>
              <w:t>for wastewater treatment plants.</w:t>
            </w:r>
          </w:p>
        </w:tc>
      </w:tr>
      <w:tr w:rsidR="00CE4954" w:rsidRPr="00AF4AEA" w14:paraId="55401993" w14:textId="77777777" w:rsidTr="286C5C0D">
        <w:tc>
          <w:tcPr>
            <w:tcW w:w="226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7E2B756" w14:textId="77777777" w:rsidR="00CE4954" w:rsidRPr="00AF4AEA" w:rsidRDefault="00CE4954" w:rsidP="00202A4D">
            <w:pPr>
              <w:pStyle w:val="Bodyromannumerals"/>
              <w:rPr>
                <w:i/>
                <w:lang w:val="en-US"/>
              </w:rPr>
            </w:pPr>
            <w:r w:rsidRPr="00AF4AEA">
              <w:rPr>
                <w:i/>
                <w:lang w:val="en-US"/>
              </w:rPr>
              <w:t>Processing Rules:</w:t>
            </w:r>
          </w:p>
        </w:tc>
        <w:tc>
          <w:tcPr>
            <w:tcW w:w="528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FA05740" w14:textId="7FE454E5" w:rsidR="00CE4954" w:rsidRPr="00AF4AEA" w:rsidRDefault="00925057" w:rsidP="00202A4D">
            <w:pPr>
              <w:pStyle w:val="Bodyromannumerals"/>
              <w:rPr>
                <w:lang w:val="en-US"/>
              </w:rPr>
            </w:pPr>
            <w:r>
              <w:rPr>
                <w:lang w:val="en-US"/>
              </w:rPr>
              <w:t>Input field</w:t>
            </w:r>
          </w:p>
        </w:tc>
      </w:tr>
      <w:tr w:rsidR="00925057" w:rsidRPr="0020341D" w14:paraId="078F257E" w14:textId="77777777" w:rsidTr="286C5C0D">
        <w:tc>
          <w:tcPr>
            <w:tcW w:w="1080" w:type="dxa"/>
          </w:tcPr>
          <w:p w14:paraId="6CD16437" w14:textId="06E9EBB0" w:rsidR="00925057" w:rsidRPr="0020341D" w:rsidRDefault="00925057" w:rsidP="00202A4D">
            <w:pPr>
              <w:pStyle w:val="Bodyromannumerals"/>
              <w:rPr>
                <w:b/>
                <w:bCs/>
                <w:lang w:val="en-US"/>
              </w:rPr>
            </w:pPr>
            <w:r>
              <w:rPr>
                <w:b/>
                <w:bCs/>
                <w:lang w:val="en-US"/>
              </w:rPr>
              <w:t>B8.40</w:t>
            </w:r>
          </w:p>
        </w:tc>
        <w:tc>
          <w:tcPr>
            <w:tcW w:w="5398" w:type="dxa"/>
            <w:gridSpan w:val="2"/>
          </w:tcPr>
          <w:p w14:paraId="37FE903C" w14:textId="2093A7EE" w:rsidR="00925057" w:rsidRPr="0020341D" w:rsidRDefault="00873354" w:rsidP="00202A4D">
            <w:pPr>
              <w:pStyle w:val="Bodyromannumerals"/>
              <w:rPr>
                <w:b/>
                <w:bCs/>
                <w:lang w:val="en-US"/>
              </w:rPr>
            </w:pPr>
            <w:r w:rsidRPr="00873354">
              <w:rPr>
                <w:b/>
                <w:bCs/>
                <w:lang w:val="en-US"/>
              </w:rPr>
              <w:t>Water environmental pollution incidents (category 1 and 2)</w:t>
            </w:r>
          </w:p>
        </w:tc>
        <w:tc>
          <w:tcPr>
            <w:tcW w:w="1080" w:type="dxa"/>
          </w:tcPr>
          <w:p w14:paraId="3BF02A2F" w14:textId="77777777" w:rsidR="00925057" w:rsidRPr="0020341D" w:rsidRDefault="00925057" w:rsidP="00202A4D">
            <w:pPr>
              <w:pStyle w:val="Bodyromannumerals"/>
              <w:rPr>
                <w:b/>
                <w:bCs/>
                <w:lang w:val="en-US"/>
              </w:rPr>
            </w:pPr>
            <w:r>
              <w:rPr>
                <w:b/>
                <w:bCs/>
                <w:lang w:val="en-US"/>
              </w:rPr>
              <w:t>Nr.</w:t>
            </w:r>
          </w:p>
        </w:tc>
      </w:tr>
      <w:tr w:rsidR="00925057" w:rsidRPr="00124C4E" w14:paraId="1E93DA52" w14:textId="77777777" w:rsidTr="286C5C0D">
        <w:tc>
          <w:tcPr>
            <w:tcW w:w="2269" w:type="dxa"/>
            <w:gridSpan w:val="2"/>
            <w:tcBorders>
              <w:left w:val="single" w:sz="4" w:space="0" w:color="FFFFFF" w:themeColor="background2"/>
              <w:bottom w:val="single" w:sz="4" w:space="0" w:color="FFFFFF" w:themeColor="background2"/>
              <w:right w:val="single" w:sz="4" w:space="0" w:color="FFFFFF" w:themeColor="background2"/>
            </w:tcBorders>
          </w:tcPr>
          <w:p w14:paraId="199E1324" w14:textId="77777777" w:rsidR="00925057" w:rsidRPr="00AF4AEA" w:rsidRDefault="00925057" w:rsidP="00202A4D">
            <w:pPr>
              <w:pStyle w:val="Bodyromannumerals"/>
              <w:rPr>
                <w:i/>
                <w:lang w:val="en-US"/>
              </w:rPr>
            </w:pPr>
            <w:r w:rsidRPr="00AF4AEA">
              <w:rPr>
                <w:i/>
                <w:lang w:val="en-US"/>
              </w:rPr>
              <w:t>Definition:</w:t>
            </w:r>
          </w:p>
        </w:tc>
        <w:tc>
          <w:tcPr>
            <w:tcW w:w="5289" w:type="dxa"/>
            <w:gridSpan w:val="2"/>
            <w:tcBorders>
              <w:left w:val="single" w:sz="4" w:space="0" w:color="FFFFFF" w:themeColor="background2"/>
              <w:bottom w:val="single" w:sz="4" w:space="0" w:color="FFFFFF" w:themeColor="background2"/>
              <w:right w:val="single" w:sz="4" w:space="0" w:color="FFFFFF" w:themeColor="background2"/>
            </w:tcBorders>
          </w:tcPr>
          <w:p w14:paraId="605100AD" w14:textId="72DDC3F7" w:rsidR="00925057" w:rsidRPr="00124C4E" w:rsidRDefault="00873354" w:rsidP="00202A4D">
            <w:pPr>
              <w:pStyle w:val="Bodyromannumerals"/>
              <w:rPr>
                <w:lang w:val="en-US"/>
              </w:rPr>
            </w:pPr>
            <w:r w:rsidRPr="00873354">
              <w:rPr>
                <w:lang w:val="en-US"/>
              </w:rPr>
              <w:t>This relates to Category 1 and 2 pollution incidents resulting from water treatment and water distribution activities. Category 1 and 2 incidents are major and significant water pollution incidents respectively.  In total, there are 4 categories of Environmental Pollution Incidents - but Category 3 (minor incidents) and Category 4 (incidents where no pollution was identified) are not used in this measure.</w:t>
            </w:r>
          </w:p>
        </w:tc>
      </w:tr>
      <w:tr w:rsidR="00925057" w:rsidRPr="00AF4AEA" w14:paraId="4573B22A" w14:textId="77777777" w:rsidTr="286C5C0D">
        <w:tc>
          <w:tcPr>
            <w:tcW w:w="226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92B3DBA" w14:textId="77777777" w:rsidR="00925057" w:rsidRPr="00AF4AEA" w:rsidRDefault="00925057" w:rsidP="00202A4D">
            <w:pPr>
              <w:pStyle w:val="Bodyromannumerals"/>
              <w:rPr>
                <w:i/>
                <w:lang w:val="en-US"/>
              </w:rPr>
            </w:pPr>
            <w:r w:rsidRPr="00AF4AEA">
              <w:rPr>
                <w:i/>
                <w:lang w:val="en-US"/>
              </w:rPr>
              <w:t>Processing Rules:</w:t>
            </w:r>
          </w:p>
        </w:tc>
        <w:tc>
          <w:tcPr>
            <w:tcW w:w="5289"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AEBDC69" w14:textId="77777777" w:rsidR="00925057" w:rsidRPr="00AF4AEA" w:rsidRDefault="00925057" w:rsidP="00202A4D">
            <w:pPr>
              <w:pStyle w:val="Bodyromannumerals"/>
              <w:rPr>
                <w:lang w:val="en-US"/>
              </w:rPr>
            </w:pPr>
            <w:r>
              <w:rPr>
                <w:lang w:val="en-US"/>
              </w:rPr>
              <w:t>Input field</w:t>
            </w:r>
          </w:p>
        </w:tc>
      </w:tr>
    </w:tbl>
    <w:p w14:paraId="53D59609" w14:textId="29CA5F7C" w:rsidR="007E22E1" w:rsidRPr="00D940FC" w:rsidRDefault="007E22E1" w:rsidP="00D940FC">
      <w:pPr>
        <w:spacing w:after="160" w:line="259" w:lineRule="auto"/>
        <w:rPr>
          <w:rFonts w:ascii="Segoe UI" w:hAnsi="Segoe UI" w:cs="Segoe UI"/>
          <w:b/>
          <w:bCs/>
          <w:color w:val="03B2C4"/>
          <w:sz w:val="36"/>
          <w:szCs w:val="36"/>
        </w:rPr>
      </w:pPr>
    </w:p>
    <w:sectPr w:rsidR="007E22E1" w:rsidRPr="00D940FC" w:rsidSect="00F60163">
      <w:headerReference w:type="even" r:id="rId17"/>
      <w:headerReference w:type="default" r:id="rId18"/>
      <w:footerReference w:type="even" r:id="rId19"/>
      <w:footerReference w:type="default" r:id="rId20"/>
      <w:headerReference w:type="first" r:id="rId21"/>
      <w:footerReference w:type="first" r:id="rId22"/>
      <w:pgSz w:w="11906" w:h="16838" w:code="9"/>
      <w:pgMar w:top="1871" w:right="3402" w:bottom="1077" w:left="936" w:header="567" w:footer="49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7753" w14:textId="77777777" w:rsidR="00A23314" w:rsidRPr="00320436" w:rsidRDefault="00A23314" w:rsidP="00776D39">
      <w:pPr>
        <w:spacing w:after="0" w:line="240" w:lineRule="auto"/>
      </w:pPr>
      <w:r w:rsidRPr="00320436">
        <w:separator/>
      </w:r>
    </w:p>
  </w:endnote>
  <w:endnote w:type="continuationSeparator" w:id="0">
    <w:p w14:paraId="72C12B02" w14:textId="77777777" w:rsidR="00A23314" w:rsidRPr="00320436" w:rsidRDefault="00A23314" w:rsidP="00776D39">
      <w:pPr>
        <w:spacing w:after="0" w:line="240" w:lineRule="auto"/>
      </w:pPr>
      <w:r w:rsidRPr="00320436">
        <w:continuationSeparator/>
      </w:r>
    </w:p>
  </w:endnote>
  <w:endnote w:type="continuationNotice" w:id="1">
    <w:p w14:paraId="2FD447F5" w14:textId="77777777" w:rsidR="00A23314" w:rsidRDefault="00A23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45AC" w14:textId="44EBC6ED" w:rsidR="00BB7F43" w:rsidRDefault="00BB7F43">
    <w:pPr>
      <w:pStyle w:val="Footer"/>
    </w:pPr>
    <w:r>
      <w:t xml:space="preserve"> </w:t>
    </w:r>
    <w:r w:rsidRPr="00F60163">
      <w:rPr>
        <w:noProof/>
      </w:rPr>
      <mc:AlternateContent>
        <mc:Choice Requires="wps">
          <w:drawing>
            <wp:anchor distT="0" distB="0" distL="114300" distR="114300" simplePos="0" relativeHeight="251658249" behindDoc="0" locked="0" layoutInCell="1" allowOverlap="1" wp14:anchorId="243B5D3F" wp14:editId="147509FD">
              <wp:simplePos x="0" y="0"/>
              <wp:positionH relativeFrom="margin">
                <wp:posOffset>-5715</wp:posOffset>
              </wp:positionH>
              <wp:positionV relativeFrom="margin">
                <wp:posOffset>9071610</wp:posOffset>
              </wp:positionV>
              <wp:extent cx="4572000"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40700AC9" id="_x0000_t32" coordsize="21600,21600" o:spt="32" o:oned="t" path="m,l21600,21600e" filled="f">
              <v:path arrowok="t" fillok="f" o:connecttype="none"/>
              <o:lock v:ext="edit" shapetype="t"/>
            </v:shapetype>
            <v:shape id="AutoShape 12" o:spid="_x0000_s1026" type="#_x0000_t32" style="position:absolute;margin-left:-.45pt;margin-top:714.3pt;width:5in;height:0;z-index:251658249;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">
              <w10:wrap anchorx="margin" anchory="margin"/>
            </v:shape>
          </w:pict>
        </mc:Fallback>
      </mc:AlternateContent>
    </w:r>
    <w:r w:rsidRPr="00F60163">
      <w:rPr>
        <w:noProof/>
      </w:rPr>
      <mc:AlternateContent>
        <mc:Choice Requires="wps">
          <w:drawing>
            <wp:anchor distT="0" distB="0" distL="114300" distR="114300" simplePos="0" relativeHeight="251658250" behindDoc="0" locked="0" layoutInCell="1" allowOverlap="1" wp14:anchorId="690CE90D" wp14:editId="2F559621">
              <wp:simplePos x="0" y="0"/>
              <wp:positionH relativeFrom="margin">
                <wp:posOffset>0</wp:posOffset>
              </wp:positionH>
              <wp:positionV relativeFrom="margin">
                <wp:posOffset>9074150</wp:posOffset>
              </wp:positionV>
              <wp:extent cx="3749040" cy="213360"/>
              <wp:effectExtent l="0" t="0" r="3810" b="1524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1EAB" w14:textId="77777777" w:rsidR="00BB7F43" w:rsidRPr="00F60163" w:rsidRDefault="00BB7F43"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BB7F43" w:rsidRPr="0078517D" w:rsidRDefault="00BB7F43" w:rsidP="00F60163"/>
                        <w:p w14:paraId="61890F11" w14:textId="77777777" w:rsidR="00BB7F43" w:rsidRDefault="00BB7F43" w:rsidP="00F60163"/>
                        <w:p w14:paraId="6213F004" w14:textId="77777777" w:rsidR="00BB7F43" w:rsidRPr="0078517D" w:rsidRDefault="00BB7F43"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BB7F43" w:rsidRPr="0078517D" w:rsidRDefault="00BB7F43" w:rsidP="00F60163"/>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CE90D" id="_x0000_t202" coordsize="21600,21600" o:spt="202" path="m,l,21600r21600,l21600,xe">
              <v:stroke joinstyle="miter"/>
              <v:path gradientshapeok="t" o:connecttype="rect"/>
            </v:shapetype>
            <v:shape id="Text Box 23" o:spid="_x0000_s1026" type="#_x0000_t202" style="position:absolute;margin-left:0;margin-top:714.5pt;width:295.2pt;height:16.8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" filled="f" stroked="f">
              <v:textbox inset="0,0,0,0">
                <w:txbxContent>
                  <w:p w14:paraId="7DA61EAB" w14:textId="77777777" w:rsidR="00BB7F43" w:rsidRPr="00F60163" w:rsidRDefault="00BB7F43"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BB7F43" w:rsidRPr="0078517D" w:rsidRDefault="00BB7F43" w:rsidP="00F60163"/>
                  <w:p w14:paraId="61890F11" w14:textId="77777777" w:rsidR="00BB7F43" w:rsidRDefault="00BB7F43" w:rsidP="00F60163"/>
                  <w:p w14:paraId="6213F004" w14:textId="77777777" w:rsidR="00BB7F43" w:rsidRPr="0078517D" w:rsidRDefault="00BB7F43"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BB7F43" w:rsidRPr="0078517D" w:rsidRDefault="00BB7F43" w:rsidP="00F6016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D433" w14:textId="403CD514" w:rsidR="00BB7F43" w:rsidRDefault="00BB7F43">
    <w:pPr>
      <w:pStyle w:val="Footer"/>
    </w:pPr>
    <w:r w:rsidRPr="00F60163">
      <w:rPr>
        <w:noProof/>
      </w:rPr>
      <mc:AlternateContent>
        <mc:Choice Requires="wps">
          <w:drawing>
            <wp:anchor distT="0" distB="0" distL="114300" distR="114300" simplePos="0" relativeHeight="251658248" behindDoc="0" locked="0" layoutInCell="1" allowOverlap="1" wp14:anchorId="4025E5D0" wp14:editId="6E7B78A8">
              <wp:simplePos x="0" y="0"/>
              <wp:positionH relativeFrom="margin">
                <wp:posOffset>861695</wp:posOffset>
              </wp:positionH>
              <wp:positionV relativeFrom="margin">
                <wp:posOffset>9074150</wp:posOffset>
              </wp:positionV>
              <wp:extent cx="3749040" cy="213360"/>
              <wp:effectExtent l="0" t="0" r="3810" b="1524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6963" w14:textId="0D7C7C0A" w:rsidR="00BB7F43" w:rsidRPr="00F60163" w:rsidRDefault="00BB7F43"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5E5D0" id="_x0000_t202" coordsize="21600,21600" o:spt="202" path="m,l,21600r21600,l21600,xe">
              <v:stroke joinstyle="miter"/>
              <v:path gradientshapeok="t" o:connecttype="rect"/>
            </v:shapetype>
            <v:shape id="_x0000_s1027" type="#_x0000_t202" style="position:absolute;margin-left:67.85pt;margin-top:714.5pt;width:295.2pt;height:16.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" filled="f" stroked="f">
              <v:textbox inset="0,0,0,0">
                <w:txbxContent>
                  <w:p w14:paraId="7CC86963" w14:textId="0D7C7C0A" w:rsidR="00BB7F43" w:rsidRPr="00F60163" w:rsidRDefault="00BB7F43"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v:textbox>
              <w10:wrap anchorx="margin" anchory="margin"/>
            </v:shape>
          </w:pict>
        </mc:Fallback>
      </mc:AlternateContent>
    </w:r>
    <w:r w:rsidRPr="00F60163">
      <w:rPr>
        <w:noProof/>
      </w:rPr>
      <mc:AlternateContent>
        <mc:Choice Requires="wps">
          <w:drawing>
            <wp:anchor distT="0" distB="0" distL="114300" distR="114300" simplePos="0" relativeHeight="251658247" behindDoc="0" locked="0" layoutInCell="1" allowOverlap="1" wp14:anchorId="22A49D02" wp14:editId="63A2311F">
              <wp:simplePos x="0" y="0"/>
              <wp:positionH relativeFrom="margin">
                <wp:align>left</wp:align>
              </wp:positionH>
              <wp:positionV relativeFrom="margin">
                <wp:posOffset>9073514</wp:posOffset>
              </wp:positionV>
              <wp:extent cx="457200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3D58E86" id="_x0000_t32" coordsize="21600,21600" o:spt="32" o:oned="t" path="m,l21600,21600e" filled="f">
              <v:path arrowok="t" fillok="f" o:connecttype="none"/>
              <o:lock v:ext="edit" shapetype="t"/>
            </v:shapetype>
            <v:shape id="AutoShape 12" o:spid="_x0000_s1026" type="#_x0000_t32" style="position:absolute;margin-left:0;margin-top:714.45pt;width:5in;height:0;flip:y;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">
              <w10:wrap anchorx="margin" anchory="margin"/>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896618"/>
      <w:docPartObj>
        <w:docPartGallery w:val="Page Numbers (Bottom of Page)"/>
        <w:docPartUnique/>
      </w:docPartObj>
    </w:sdtPr>
    <w:sdtEndPr>
      <w:rPr>
        <w:noProof/>
      </w:rPr>
    </w:sdtEndPr>
    <w:sdtContent>
      <w:p w14:paraId="4E18C457" w14:textId="1FD9338C" w:rsidR="000B374F" w:rsidRDefault="000B374F">
        <w:pPr>
          <w:pStyle w:val="Footer"/>
        </w:pPr>
        <w:r>
          <w:fldChar w:fldCharType="begin"/>
        </w:r>
        <w:r>
          <w:instrText xml:space="preserve"> PAGE   \* MERGEFORMAT </w:instrText>
        </w:r>
        <w:r>
          <w:fldChar w:fldCharType="separate"/>
        </w:r>
        <w:r>
          <w:rPr>
            <w:noProof/>
          </w:rPr>
          <w:t>2</w:t>
        </w:r>
        <w:r>
          <w:rPr>
            <w:noProof/>
          </w:rPr>
          <w:fldChar w:fldCharType="end"/>
        </w:r>
      </w:p>
    </w:sdtContent>
  </w:sdt>
  <w:p w14:paraId="308DE6A9" w14:textId="2C15743B" w:rsidR="00BB7F43" w:rsidRDefault="00BB7F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792710"/>
      <w:docPartObj>
        <w:docPartGallery w:val="Page Numbers (Bottom of Page)"/>
        <w:docPartUnique/>
      </w:docPartObj>
    </w:sdtPr>
    <w:sdtEndPr>
      <w:rPr>
        <w:noProof/>
      </w:rPr>
    </w:sdtEndPr>
    <w:sdtContent>
      <w:p w14:paraId="1A05987E" w14:textId="2123D591" w:rsidR="000B374F" w:rsidRDefault="000B374F">
        <w:pPr>
          <w:pStyle w:val="Footer"/>
        </w:pPr>
        <w:r>
          <w:fldChar w:fldCharType="begin"/>
        </w:r>
        <w:r>
          <w:instrText xml:space="preserve"> PAGE   \* MERGEFORMAT </w:instrText>
        </w:r>
        <w:r>
          <w:fldChar w:fldCharType="separate"/>
        </w:r>
        <w:r>
          <w:rPr>
            <w:noProof/>
          </w:rPr>
          <w:t>2</w:t>
        </w:r>
        <w:r>
          <w:rPr>
            <w:noProof/>
          </w:rPr>
          <w:fldChar w:fldCharType="end"/>
        </w:r>
      </w:p>
    </w:sdtContent>
  </w:sdt>
  <w:p w14:paraId="0049E683" w14:textId="4245DEC9" w:rsidR="00BB7F43" w:rsidRDefault="00BB7F43" w:rsidP="286C5C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68141"/>
      <w:docPartObj>
        <w:docPartGallery w:val="Page Numbers (Bottom of Page)"/>
        <w:docPartUnique/>
      </w:docPartObj>
    </w:sdtPr>
    <w:sdtEndPr>
      <w:rPr>
        <w:noProof/>
      </w:rPr>
    </w:sdtEndPr>
    <w:sdtContent>
      <w:p w14:paraId="1B57846B" w14:textId="485C6AEA" w:rsidR="000B374F" w:rsidRDefault="000B374F">
        <w:pPr>
          <w:pStyle w:val="Footer"/>
        </w:pPr>
        <w:r>
          <w:fldChar w:fldCharType="begin"/>
        </w:r>
        <w:r>
          <w:instrText xml:space="preserve"> PAGE   \* MERGEFORMAT </w:instrText>
        </w:r>
        <w:r>
          <w:fldChar w:fldCharType="separate"/>
        </w:r>
        <w:r>
          <w:rPr>
            <w:noProof/>
          </w:rPr>
          <w:t>2</w:t>
        </w:r>
        <w:r>
          <w:rPr>
            <w:noProof/>
          </w:rPr>
          <w:fldChar w:fldCharType="end"/>
        </w:r>
      </w:p>
    </w:sdtContent>
  </w:sdt>
  <w:p w14:paraId="1B4A36B6" w14:textId="43BAACD2" w:rsidR="00BB7F43" w:rsidRDefault="00BB7F43" w:rsidP="286C5C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2819"/>
      <w:docPartObj>
        <w:docPartGallery w:val="Page Numbers (Bottom of Page)"/>
        <w:docPartUnique/>
      </w:docPartObj>
    </w:sdtPr>
    <w:sdtEndPr>
      <w:rPr>
        <w:noProof/>
      </w:rPr>
    </w:sdtEndPr>
    <w:sdtContent>
      <w:p w14:paraId="477FA945" w14:textId="5C77E591" w:rsidR="000B374F" w:rsidRDefault="000B374F">
        <w:pPr>
          <w:pStyle w:val="Footer"/>
        </w:pPr>
        <w:r>
          <w:fldChar w:fldCharType="begin"/>
        </w:r>
        <w:r>
          <w:instrText xml:space="preserve"> PAGE   \* MERGEFORMAT </w:instrText>
        </w:r>
        <w:r>
          <w:fldChar w:fldCharType="separate"/>
        </w:r>
        <w:r>
          <w:rPr>
            <w:noProof/>
          </w:rPr>
          <w:t>2</w:t>
        </w:r>
        <w:r>
          <w:rPr>
            <w:noProof/>
          </w:rPr>
          <w:fldChar w:fldCharType="end"/>
        </w:r>
      </w:p>
    </w:sdtContent>
  </w:sdt>
  <w:p w14:paraId="3BC8AFF7" w14:textId="1E0B6517" w:rsidR="00BB7F43" w:rsidRDefault="00BB7F43" w:rsidP="286C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4B22" w14:textId="77777777" w:rsidR="00A23314" w:rsidRPr="00320436" w:rsidRDefault="00A23314" w:rsidP="00BD776F">
      <w:pPr>
        <w:pStyle w:val="Footer"/>
        <w:spacing w:before="200"/>
      </w:pPr>
      <w:bookmarkStart w:id="0" w:name="_Hlk51597396"/>
      <w:bookmarkEnd w:id="0"/>
    </w:p>
  </w:footnote>
  <w:footnote w:type="continuationSeparator" w:id="0">
    <w:p w14:paraId="233A401C" w14:textId="77777777" w:rsidR="00A23314" w:rsidRPr="00320436" w:rsidRDefault="00A23314" w:rsidP="00BD776F">
      <w:pPr>
        <w:pStyle w:val="Footer"/>
        <w:spacing w:before="200"/>
      </w:pPr>
    </w:p>
  </w:footnote>
  <w:footnote w:type="continuationNotice" w:id="1">
    <w:p w14:paraId="60A9F047" w14:textId="77777777" w:rsidR="00A23314" w:rsidRPr="00320436" w:rsidRDefault="00A23314" w:rsidP="00BD776F">
      <w:pPr>
        <w:spacing w:before="200"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F79A" w14:textId="2B8DCFF2" w:rsidR="00BB7F43" w:rsidRDefault="00BB7F43" w:rsidP="00CD3AC8">
    <w:pPr>
      <w:pStyle w:val="Header"/>
      <w:ind w:left="-284" w:right="-142"/>
    </w:pPr>
    <w:r>
      <w:rPr>
        <w:noProof/>
      </w:rPr>
      <mc:AlternateContent>
        <mc:Choice Requires="wps">
          <w:drawing>
            <wp:anchor distT="0" distB="0" distL="114300" distR="114300" simplePos="0" relativeHeight="251658242" behindDoc="0" locked="0" layoutInCell="1" allowOverlap="1" wp14:anchorId="270EFEE3" wp14:editId="7A6F49A2">
              <wp:simplePos x="0" y="0"/>
              <wp:positionH relativeFrom="page">
                <wp:align>left</wp:align>
              </wp:positionH>
              <wp:positionV relativeFrom="paragraph">
                <wp:posOffset>-347130</wp:posOffset>
              </wp:positionV>
              <wp:extent cx="215900" cy="10728000"/>
              <wp:effectExtent l="0" t="0" r="0" b="0"/>
              <wp:wrapNone/>
              <wp:docPr id="15" name="Rectangle 15"/>
              <wp:cNvGraphicFramePr/>
              <a:graphic xmlns:a="http://schemas.openxmlformats.org/drawingml/2006/main">
                <a:graphicData uri="http://schemas.microsoft.com/office/word/2010/wordprocessingShape">
                  <wps:wsp>
                    <wps:cNvSpPr/>
                    <wps:spPr>
                      <a:xfrm>
                        <a:off x="0" y="0"/>
                        <a:ext cx="215900" cy="10728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CC7B126" id="Rectangle 15" o:spid="_x0000_s1026" style="position:absolute;margin-left:0;margin-top:-27.35pt;width:17pt;height:844.7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" fillcolor="#03b2c4"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7A6" w14:textId="7EDDB272" w:rsidR="00BB7F43" w:rsidRDefault="00BB7F43" w:rsidP="00AD4F1E">
    <w:pPr>
      <w:pStyle w:val="USBodyText"/>
      <w:spacing w:before="0" w:after="0"/>
      <w:ind w:left="-851"/>
    </w:pPr>
    <w:r>
      <w:rPr>
        <w:noProof/>
      </w:rPr>
      <mc:AlternateContent>
        <mc:Choice Requires="wps">
          <w:drawing>
            <wp:anchor distT="0" distB="0" distL="114300" distR="114300" simplePos="0" relativeHeight="251658240" behindDoc="0" locked="0" layoutInCell="1" allowOverlap="1" wp14:anchorId="12F2D899" wp14:editId="3C1539DD">
              <wp:simplePos x="0" y="0"/>
              <wp:positionH relativeFrom="page">
                <wp:posOffset>7338060</wp:posOffset>
              </wp:positionH>
              <wp:positionV relativeFrom="paragraph">
                <wp:posOffset>-240385</wp:posOffset>
              </wp:positionV>
              <wp:extent cx="215900" cy="10800000"/>
              <wp:effectExtent l="0" t="0" r="0" b="1905"/>
              <wp:wrapNone/>
              <wp:docPr id="2" name="Rectangle 2"/>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88CBC2C" id="Rectangle 2" o:spid="_x0000_s1026" style="position:absolute;margin-left:577.8pt;margin-top:-18.95pt;width:17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" fillcolor="#03b2c4" stroked="f" strokeweight="1pt">
              <w10:wrap anchorx="page"/>
            </v:rect>
          </w:pict>
        </mc:Fallback>
      </mc:AlternateContent>
    </w:r>
    <w:r>
      <w:rPr>
        <w:noProof/>
      </w:rPr>
      <w:drawing>
        <wp:anchor distT="0" distB="0" distL="114300" distR="114300" simplePos="0" relativeHeight="251658243" behindDoc="0" locked="0" layoutInCell="1" allowOverlap="1" wp14:anchorId="4BEBEE7C" wp14:editId="0A56B4E8">
          <wp:simplePos x="0" y="0"/>
          <wp:positionH relativeFrom="rightMargin">
            <wp:posOffset>133511</wp:posOffset>
          </wp:positionH>
          <wp:positionV relativeFrom="paragraph">
            <wp:posOffset>-635</wp:posOffset>
          </wp:positionV>
          <wp:extent cx="1439545" cy="527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B2B4" w14:textId="37266E9C" w:rsidR="00BB7F43" w:rsidRDefault="00BB7F43" w:rsidP="000A423D">
    <w:pPr>
      <w:pStyle w:val="USBodyText"/>
      <w:jc w:val="right"/>
    </w:pPr>
    <w:r>
      <w:rPr>
        <w:noProof/>
      </w:rPr>
      <w:drawing>
        <wp:inline distT="0" distB="0" distL="0" distR="0" wp14:anchorId="2D92D2D0" wp14:editId="68A3200A">
          <wp:extent cx="1765300" cy="64006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509" cy="654640"/>
                  </a:xfrm>
                  <a:prstGeom prst="rect">
                    <a:avLst/>
                  </a:prstGeom>
                  <a:noFill/>
                  <a:ln>
                    <a:noFill/>
                  </a:ln>
                </pic:spPr>
              </pic:pic>
            </a:graphicData>
          </a:graphic>
        </wp:inline>
      </w:drawing>
    </w:r>
    <w:r>
      <w:rPr>
        <w:noProof/>
      </w:rPr>
      <mc:AlternateContent>
        <mc:Choice Requires="wps">
          <w:drawing>
            <wp:anchor distT="0" distB="0" distL="114300" distR="114300" simplePos="0" relativeHeight="251658241" behindDoc="0" locked="0" layoutInCell="1" allowOverlap="1" wp14:anchorId="46AEA131" wp14:editId="6FD3B92F">
              <wp:simplePos x="0" y="0"/>
              <wp:positionH relativeFrom="page">
                <wp:align>left</wp:align>
              </wp:positionH>
              <wp:positionV relativeFrom="paragraph">
                <wp:posOffset>-461645</wp:posOffset>
              </wp:positionV>
              <wp:extent cx="216000" cy="1077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3189BDF" id="Rectangle 13" o:spid="_x0000_s1026" style="position:absolute;margin-left:0;margin-top:-36.35pt;width:17pt;height:8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" fillcolor="#03b2c4" stroked="f" strokeweight="1pt">
              <w10:wrap anchorx="page"/>
            </v:rect>
          </w:pict>
        </mc:Fallback>
      </mc:AlternateContent>
    </w:r>
  </w:p>
  <w:p w14:paraId="0A06807B" w14:textId="59B110FB" w:rsidR="00BB7F43" w:rsidRPr="00194CC2" w:rsidRDefault="00BB7F43" w:rsidP="00194CC2"/>
  <w:p w14:paraId="392AA731" w14:textId="23E6C906" w:rsidR="00BB7F43" w:rsidRDefault="00BB7F43" w:rsidP="00107AA8">
    <w:pPr>
      <w:pStyle w:val="USBodyText"/>
      <w:spacing w:before="1080" w:after="120" w:line="240" w:lineRule="auto"/>
      <w:rPr>
        <w:rStyle w:val="Title1Char"/>
        <w:sz w:val="40"/>
        <w:szCs w:val="40"/>
      </w:rPr>
    </w:pPr>
    <w:r w:rsidRPr="00194CC2">
      <w:rPr>
        <w:rFonts w:ascii="Segoe UI" w:hAnsi="Segoe UI" w:cs="Segoe UI"/>
        <w:b/>
        <w:bCs/>
        <w:color w:val="03B2C4"/>
        <w:sz w:val="40"/>
        <w:szCs w:val="40"/>
      </w:rPr>
      <w:t>Thre</w:t>
    </w:r>
    <w:r w:rsidRPr="00194CC2">
      <w:rPr>
        <w:rStyle w:val="Title1Char"/>
        <w:sz w:val="40"/>
        <w:szCs w:val="40"/>
      </w:rPr>
      <w:t xml:space="preserve">e Waters Reform Programme </w:t>
    </w:r>
    <w:r>
      <w:rPr>
        <w:rStyle w:val="Title1Char"/>
        <w:sz w:val="40"/>
        <w:szCs w:val="40"/>
      </w:rPr>
      <w:t>Request for Information</w:t>
    </w:r>
  </w:p>
  <w:p w14:paraId="0F934BDA" w14:textId="70BDCFCE" w:rsidR="00BB7F43" w:rsidRPr="00194CC2" w:rsidRDefault="00BB7F43" w:rsidP="00A4666D">
    <w:pPr>
      <w:pStyle w:val="USBodyText"/>
      <w:spacing w:before="0" w:after="120" w:line="240" w:lineRule="auto"/>
      <w:rPr>
        <w:rFonts w:ascii="Segoe UI" w:hAnsi="Segoe UI" w:cs="Segoe UI"/>
        <w:b/>
        <w:bCs/>
        <w:sz w:val="40"/>
        <w:szCs w:val="40"/>
      </w:rPr>
    </w:pPr>
    <w:r>
      <w:rPr>
        <w:rFonts w:ascii="Segoe UI" w:hAnsi="Segoe UI" w:cs="Segoe UI"/>
        <w:b/>
        <w:bCs/>
        <w:noProof/>
        <w:color w:val="03B2C4"/>
        <w:sz w:val="40"/>
        <w:szCs w:val="40"/>
      </w:rPr>
      <mc:AlternateContent>
        <mc:Choice Requires="wps">
          <w:drawing>
            <wp:anchor distT="0" distB="0" distL="114300" distR="114300" simplePos="0" relativeHeight="251658245" behindDoc="0" locked="0" layoutInCell="1" allowOverlap="1" wp14:anchorId="0EF35A77" wp14:editId="130471A0">
              <wp:simplePos x="0" y="0"/>
              <wp:positionH relativeFrom="column">
                <wp:posOffset>24130</wp:posOffset>
              </wp:positionH>
              <wp:positionV relativeFrom="paragraph">
                <wp:posOffset>178689</wp:posOffset>
              </wp:positionV>
              <wp:extent cx="4251960" cy="0"/>
              <wp:effectExtent l="19050" t="19050" r="34290" b="19050"/>
              <wp:wrapNone/>
              <wp:docPr id="677" name="Straight Connector 677"/>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0F477FAF" id="Straight Connector 677"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33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" strokecolor="#03b2c4" strokeweight="2.25pt">
              <v:stroke dashstyle="1 1" endcap="round"/>
            </v:line>
          </w:pict>
        </mc:Fallback>
      </mc:AlternateContent>
    </w:r>
  </w:p>
  <w:p w14:paraId="262FC239" w14:textId="5DB53B0B" w:rsidR="00BB7F43" w:rsidRPr="005D2759" w:rsidRDefault="00BB7F43" w:rsidP="00107AA8">
    <w:pPr>
      <w:pStyle w:val="USBodyText"/>
      <w:spacing w:before="0" w:after="120" w:line="240" w:lineRule="auto"/>
      <w:rPr>
        <w:rFonts w:ascii="Segoe UI" w:hAnsi="Segoe UI" w:cs="Segoe UI"/>
        <w:b/>
        <w:bCs/>
        <w:sz w:val="24"/>
        <w:szCs w:val="24"/>
      </w:rPr>
    </w:pPr>
    <w:r>
      <w:rPr>
        <w:rFonts w:ascii="Segoe UI" w:hAnsi="Segoe UI" w:cs="Segoe UI"/>
        <w:b/>
        <w:bCs/>
        <w:color w:val="182B46"/>
        <w:sz w:val="28"/>
        <w:szCs w:val="28"/>
      </w:rPr>
      <w:t>Supporting Schedules</w:t>
    </w:r>
  </w:p>
  <w:p w14:paraId="607C2AA6" w14:textId="504EA82F" w:rsidR="00BB7F43" w:rsidRDefault="00BB7F43" w:rsidP="00107AA8">
    <w:pPr>
      <w:pStyle w:val="USBodyText"/>
      <w:spacing w:before="0" w:after="400" w:line="240" w:lineRule="auto"/>
      <w:rPr>
        <w:rFonts w:ascii="Segoe UI" w:hAnsi="Segoe UI" w:cs="Segoe UI"/>
        <w:i/>
        <w:iCs/>
        <w:color w:val="182B46"/>
        <w:sz w:val="24"/>
        <w:szCs w:val="24"/>
      </w:rPr>
    </w:pPr>
    <w:r>
      <w:rPr>
        <w:rFonts w:ascii="Segoe UI" w:hAnsi="Segoe UI" w:cs="Segoe UI"/>
        <w:b/>
        <w:bCs/>
        <w:noProof/>
        <w:color w:val="03B2C4"/>
        <w:sz w:val="40"/>
        <w:szCs w:val="40"/>
      </w:rPr>
      <mc:AlternateContent>
        <mc:Choice Requires="wps">
          <w:drawing>
            <wp:anchor distT="0" distB="0" distL="114300" distR="114300" simplePos="0" relativeHeight="251658246" behindDoc="0" locked="0" layoutInCell="1" allowOverlap="1" wp14:anchorId="0A3C5A1E" wp14:editId="43B22645">
              <wp:simplePos x="0" y="0"/>
              <wp:positionH relativeFrom="margin">
                <wp:posOffset>19050</wp:posOffset>
              </wp:positionH>
              <wp:positionV relativeFrom="paragraph">
                <wp:posOffset>457200</wp:posOffset>
              </wp:positionV>
              <wp:extent cx="4251960" cy="0"/>
              <wp:effectExtent l="19050" t="1905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45D2090" id="Straight Connector 1" o:spid="_x0000_s1026" style="position:absolute;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6pt" to="33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" strokecolor="#03b2c4" strokeweight="2.25pt">
              <v:stroke dashstyle="1 1" endcap="round"/>
              <w10:wrap anchorx="margin"/>
            </v:line>
          </w:pict>
        </mc:Fallback>
      </mc:AlternateContent>
    </w:r>
    <w:r>
      <w:rPr>
        <w:rFonts w:ascii="Segoe UI" w:hAnsi="Segoe UI" w:cs="Segoe UI"/>
        <w:i/>
        <w:iCs/>
        <w:color w:val="182B46"/>
        <w:sz w:val="24"/>
        <w:szCs w:val="24"/>
      </w:rPr>
      <w:t>SECTION B: LEVELS OF SERVICE</w:t>
    </w:r>
  </w:p>
  <w:p w14:paraId="64C36E44" w14:textId="26782F97" w:rsidR="00BB7F43" w:rsidRDefault="00BB7F43" w:rsidP="00107AA8">
    <w:pPr>
      <w:pStyle w:val="USBodyText"/>
      <w:spacing w:before="0" w:after="400" w:line="240" w:lineRule="auto"/>
      <w:rPr>
        <w:rFonts w:ascii="Segoe UI" w:hAnsi="Segoe UI" w:cs="Segoe UI"/>
        <w:i/>
        <w:iCs/>
        <w:sz w:val="24"/>
        <w:szCs w:val="24"/>
      </w:rPr>
    </w:pPr>
  </w:p>
  <w:p w14:paraId="6BC67E1B" w14:textId="291051F5" w:rsidR="000B374F" w:rsidRPr="00734FEA" w:rsidRDefault="000B374F" w:rsidP="00107AA8">
    <w:pPr>
      <w:pStyle w:val="USBodyText"/>
      <w:spacing w:before="0" w:after="400" w:line="240" w:lineRule="auto"/>
      <w:rPr>
        <w:rFonts w:ascii="Segoe UI" w:hAnsi="Segoe UI" w:cs="Segoe UI"/>
        <w:i/>
        <w:iCs/>
        <w:szCs w:val="20"/>
      </w:rPr>
    </w:pPr>
    <w:bookmarkStart w:id="1" w:name="_GoBack"/>
    <w:r w:rsidRPr="00734FEA">
      <w:rPr>
        <w:rFonts w:ascii="Segoe UI" w:hAnsi="Segoe UI" w:cs="Segoe UI"/>
        <w:i/>
        <w:iCs/>
        <w:szCs w:val="20"/>
      </w:rPr>
      <w:t>10 November 2020</w:t>
    </w:r>
  </w:p>
  <w:bookmarkEnd w:id="1"/>
  <w:p w14:paraId="0C6ED50F" w14:textId="684C77B2" w:rsidR="00BB7F43" w:rsidRDefault="00BB7F43" w:rsidP="00AD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569" w:type="dxa"/>
      <w:tblLayout w:type="fixed"/>
      <w:tblLook w:val="06A0" w:firstRow="1" w:lastRow="0" w:firstColumn="1" w:lastColumn="0" w:noHBand="1" w:noVBand="1"/>
    </w:tblPr>
    <w:tblGrid>
      <w:gridCol w:w="2523"/>
      <w:gridCol w:w="2523"/>
      <w:gridCol w:w="2523"/>
    </w:tblGrid>
    <w:tr w:rsidR="00BB7F43" w14:paraId="47B12D1C" w14:textId="77777777" w:rsidTr="00EE2160">
      <w:tc>
        <w:tcPr>
          <w:tcW w:w="2523" w:type="dxa"/>
        </w:tcPr>
        <w:p w14:paraId="766546CC" w14:textId="20BCDD23" w:rsidR="00BB7F43" w:rsidRDefault="00BB7F43" w:rsidP="286C5C0D">
          <w:pPr>
            <w:pStyle w:val="Header"/>
            <w:ind w:left="-115"/>
            <w:jc w:val="left"/>
          </w:pPr>
        </w:p>
      </w:tc>
      <w:tc>
        <w:tcPr>
          <w:tcW w:w="2523" w:type="dxa"/>
        </w:tcPr>
        <w:p w14:paraId="56E993F5" w14:textId="5201E711" w:rsidR="00BB7F43" w:rsidRDefault="00BB7F43" w:rsidP="286C5C0D">
          <w:pPr>
            <w:pStyle w:val="Header"/>
            <w:jc w:val="center"/>
          </w:pPr>
        </w:p>
      </w:tc>
      <w:tc>
        <w:tcPr>
          <w:tcW w:w="2523" w:type="dxa"/>
        </w:tcPr>
        <w:p w14:paraId="7E60A749" w14:textId="049FF5E5" w:rsidR="00BB7F43" w:rsidRDefault="00BB7F43" w:rsidP="286C5C0D">
          <w:pPr>
            <w:pStyle w:val="Header"/>
            <w:ind w:right="-115"/>
          </w:pPr>
        </w:p>
      </w:tc>
    </w:tr>
  </w:tbl>
  <w:p w14:paraId="7BCC4C57" w14:textId="7D71E778" w:rsidR="00BB7F43" w:rsidRDefault="00BB7F43" w:rsidP="286C5C0D">
    <w:pPr>
      <w:pStyle w:val="Header"/>
    </w:pPr>
    <w:r>
      <w:rPr>
        <w:noProof/>
      </w:rPr>
      <w:drawing>
        <wp:anchor distT="0" distB="0" distL="114300" distR="114300" simplePos="0" relativeHeight="251658256" behindDoc="1" locked="0" layoutInCell="1" allowOverlap="1" wp14:anchorId="15C9D15F" wp14:editId="0F6A4E75">
          <wp:simplePos x="0" y="0"/>
          <wp:positionH relativeFrom="column">
            <wp:posOffset>-1506220</wp:posOffset>
          </wp:positionH>
          <wp:positionV relativeFrom="paragraph">
            <wp:posOffset>1905</wp:posOffset>
          </wp:positionV>
          <wp:extent cx="1765300" cy="640061"/>
          <wp:effectExtent l="0" t="0" r="6350" b="8255"/>
          <wp:wrapTight wrapText="bothSides">
            <wp:wrapPolygon edited="0">
              <wp:start x="0" y="0"/>
              <wp:lineTo x="0" y="21235"/>
              <wp:lineTo x="21445" y="21235"/>
              <wp:lineTo x="2144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40061"/>
                  </a:xfrm>
                  <a:prstGeom prst="rect">
                    <a:avLst/>
                  </a:prstGeom>
                  <a:noFill/>
                  <a:ln>
                    <a:noFill/>
                  </a:ln>
                </pic:spPr>
              </pic:pic>
            </a:graphicData>
          </a:graphic>
        </wp:anchor>
      </w:drawing>
    </w:r>
    <w:r>
      <w:rPr>
        <w:noProof/>
      </w:rPr>
      <mc:AlternateContent>
        <mc:Choice Requires="wps">
          <w:drawing>
            <wp:anchor distT="0" distB="0" distL="114300" distR="114300" simplePos="0" relativeHeight="251658253" behindDoc="0" locked="0" layoutInCell="1" allowOverlap="1" wp14:anchorId="672B716A" wp14:editId="57BAD968">
              <wp:simplePos x="0" y="0"/>
              <wp:positionH relativeFrom="page">
                <wp:posOffset>-12915</wp:posOffset>
              </wp:positionH>
              <wp:positionV relativeFrom="paragraph">
                <wp:posOffset>-535025</wp:posOffset>
              </wp:positionV>
              <wp:extent cx="215900" cy="10800000"/>
              <wp:effectExtent l="0" t="0" r="0" b="1905"/>
              <wp:wrapNone/>
              <wp:docPr id="3" name="Rectangle 3"/>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5818070" id="Rectangle 3" o:spid="_x0000_s1026" style="position:absolute;margin-left:-1pt;margin-top:-42.15pt;width:17pt;height:850.4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" fillcolor="#03b2c4" stroked="f" strokeweight="1pt">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7FA1" w14:textId="2346D008" w:rsidR="00BB7F43" w:rsidRDefault="00BB7F43" w:rsidP="00D940FC">
    <w:pPr>
      <w:pStyle w:val="USBodyText"/>
      <w:spacing w:before="0" w:after="0"/>
      <w:jc w:val="right"/>
    </w:pPr>
    <w:r>
      <w:rPr>
        <w:noProof/>
      </w:rPr>
      <w:drawing>
        <wp:anchor distT="0" distB="0" distL="114300" distR="114300" simplePos="0" relativeHeight="251658255" behindDoc="1" locked="0" layoutInCell="1" allowOverlap="1" wp14:anchorId="6EA779AD" wp14:editId="7811CF97">
          <wp:simplePos x="0" y="0"/>
          <wp:positionH relativeFrom="column">
            <wp:posOffset>4447540</wp:posOffset>
          </wp:positionH>
          <wp:positionV relativeFrom="paragraph">
            <wp:posOffset>1905</wp:posOffset>
          </wp:positionV>
          <wp:extent cx="1765300" cy="640061"/>
          <wp:effectExtent l="0" t="0" r="6350" b="8255"/>
          <wp:wrapTight wrapText="bothSides">
            <wp:wrapPolygon edited="0">
              <wp:start x="0" y="0"/>
              <wp:lineTo x="0" y="21235"/>
              <wp:lineTo x="21445" y="21235"/>
              <wp:lineTo x="2144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40061"/>
                  </a:xfrm>
                  <a:prstGeom prst="rect">
                    <a:avLst/>
                  </a:prstGeom>
                  <a:noFill/>
                  <a:ln>
                    <a:noFill/>
                  </a:ln>
                </pic:spPr>
              </pic:pic>
            </a:graphicData>
          </a:graphic>
        </wp:anchor>
      </w:drawing>
    </w:r>
    <w:r>
      <w:rPr>
        <w:noProof/>
      </w:rPr>
      <mc:AlternateContent>
        <mc:Choice Requires="wps">
          <w:drawing>
            <wp:anchor distT="0" distB="0" distL="114300" distR="114300" simplePos="0" relativeHeight="251658251" behindDoc="0" locked="0" layoutInCell="1" allowOverlap="1" wp14:anchorId="7D2513A8" wp14:editId="7090928B">
              <wp:simplePos x="0" y="0"/>
              <wp:positionH relativeFrom="page">
                <wp:posOffset>7348693</wp:posOffset>
              </wp:positionH>
              <wp:positionV relativeFrom="paragraph">
                <wp:posOffset>-356870</wp:posOffset>
              </wp:positionV>
              <wp:extent cx="215900" cy="10800000"/>
              <wp:effectExtent l="0" t="0" r="0" b="1905"/>
              <wp:wrapNone/>
              <wp:docPr id="8" name="Rectangle 8"/>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966B814" id="Rectangle 8" o:spid="_x0000_s1026" style="position:absolute;margin-left:578.65pt;margin-top:-28.1pt;width:17pt;height:850.4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" fillcolor="#03b2c4" stroked="f" strokeweight="1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A6BF" w14:textId="71179F47" w:rsidR="00BB7F43" w:rsidRDefault="00BB7F43" w:rsidP="00D940FC">
    <w:pPr>
      <w:pStyle w:val="USBodyText"/>
    </w:pPr>
    <w:r>
      <w:rPr>
        <w:noProof/>
      </w:rPr>
      <w:drawing>
        <wp:anchor distT="0" distB="0" distL="114300" distR="114300" simplePos="0" relativeHeight="251658254" behindDoc="1" locked="0" layoutInCell="1" allowOverlap="1" wp14:anchorId="74A0458F" wp14:editId="306373EA">
          <wp:simplePos x="0" y="0"/>
          <wp:positionH relativeFrom="column">
            <wp:posOffset>-1671320</wp:posOffset>
          </wp:positionH>
          <wp:positionV relativeFrom="paragraph">
            <wp:posOffset>40005</wp:posOffset>
          </wp:positionV>
          <wp:extent cx="1765300" cy="640061"/>
          <wp:effectExtent l="0" t="0" r="6350" b="8255"/>
          <wp:wrapTight wrapText="bothSides">
            <wp:wrapPolygon edited="0">
              <wp:start x="0" y="0"/>
              <wp:lineTo x="0" y="21235"/>
              <wp:lineTo x="21445" y="21235"/>
              <wp:lineTo x="2144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40061"/>
                  </a:xfrm>
                  <a:prstGeom prst="rect">
                    <a:avLst/>
                  </a:prstGeom>
                  <a:noFill/>
                  <a:ln>
                    <a:noFill/>
                  </a:ln>
                </pic:spPr>
              </pic:pic>
            </a:graphicData>
          </a:graphic>
        </wp:anchor>
      </w:drawing>
    </w:r>
    <w:r>
      <w:rPr>
        <w:noProof/>
      </w:rPr>
      <mc:AlternateContent>
        <mc:Choice Requires="wps">
          <w:drawing>
            <wp:anchor distT="0" distB="0" distL="114300" distR="114300" simplePos="0" relativeHeight="251658252" behindDoc="0" locked="0" layoutInCell="1" allowOverlap="1" wp14:anchorId="4EBBCFEB" wp14:editId="7283749F">
              <wp:simplePos x="0" y="0"/>
              <wp:positionH relativeFrom="page">
                <wp:align>left</wp:align>
              </wp:positionH>
              <wp:positionV relativeFrom="paragraph">
                <wp:posOffset>-461645</wp:posOffset>
              </wp:positionV>
              <wp:extent cx="216000" cy="10779760"/>
              <wp:effectExtent l="0" t="0" r="0" b="2540"/>
              <wp:wrapNone/>
              <wp:docPr id="12" name="Rectangle 12"/>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846A241" id="Rectangle 12" o:spid="_x0000_s1026" style="position:absolute;margin-left:0;margin-top:-36.35pt;width:17pt;height:848.8pt;z-index:2516582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" fillcolor="#03b2c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DB"/>
    <w:multiLevelType w:val="multilevel"/>
    <w:tmpl w:val="976E0728"/>
    <w:lvl w:ilvl="0">
      <w:start w:val="1"/>
      <w:numFmt w:val="decimal"/>
      <w:pStyle w:val="TSNumber1"/>
      <w:lvlText w:val="%1"/>
      <w:lvlJc w:val="left"/>
      <w:pPr>
        <w:tabs>
          <w:tab w:val="num" w:pos="215"/>
        </w:tabs>
        <w:ind w:left="215" w:hanging="215"/>
      </w:pPr>
      <w:rPr>
        <w:rFonts w:hint="default"/>
      </w:rPr>
    </w:lvl>
    <w:lvl w:ilvl="1">
      <w:start w:val="1"/>
      <w:numFmt w:val="lowerLetter"/>
      <w:pStyle w:val="TSNumbera"/>
      <w:lvlText w:val="%2"/>
      <w:lvlJc w:val="left"/>
      <w:pPr>
        <w:tabs>
          <w:tab w:val="num" w:pos="425"/>
        </w:tabs>
        <w:ind w:left="425" w:hanging="210"/>
      </w:pPr>
      <w:rPr>
        <w:rFonts w:hint="default"/>
      </w:rPr>
    </w:lvl>
    <w:lvl w:ilvl="2">
      <w:start w:val="1"/>
      <w:numFmt w:val="lowerRoman"/>
      <w:pStyle w:val="TSNumberi"/>
      <w:lvlText w:val="%3"/>
      <w:lvlJc w:val="left"/>
      <w:pPr>
        <w:tabs>
          <w:tab w:val="num" w:pos="641"/>
        </w:tabs>
        <w:ind w:left="641" w:hanging="216"/>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 w15:restartNumberingAfterBreak="0">
    <w:nsid w:val="052C0B2E"/>
    <w:multiLevelType w:val="hybridMultilevel"/>
    <w:tmpl w:val="391C5ACC"/>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2" w15:restartNumberingAfterBreak="0">
    <w:nsid w:val="08E274B0"/>
    <w:multiLevelType w:val="hybridMultilevel"/>
    <w:tmpl w:val="94365C28"/>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3" w15:restartNumberingAfterBreak="0">
    <w:nsid w:val="0BAA1E21"/>
    <w:multiLevelType w:val="hybridMultilevel"/>
    <w:tmpl w:val="2AB60A1C"/>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4" w15:restartNumberingAfterBreak="0">
    <w:nsid w:val="0F9C1644"/>
    <w:multiLevelType w:val="hybridMultilevel"/>
    <w:tmpl w:val="C0D2F22C"/>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5" w15:restartNumberingAfterBreak="0">
    <w:nsid w:val="12A45D97"/>
    <w:multiLevelType w:val="hybridMultilevel"/>
    <w:tmpl w:val="DB6A038E"/>
    <w:lvl w:ilvl="0" w:tplc="D75C5D9A">
      <w:start w:val="1"/>
      <w:numFmt w:val="decimal"/>
      <w:pStyle w:val="Bodynumbercopy"/>
      <w:lvlText w:val="%1."/>
      <w:lvlJc w:val="left"/>
      <w:pPr>
        <w:ind w:left="780" w:hanging="420"/>
      </w:pPr>
      <w:rPr>
        <w:rFonts w:ascii="Calibri" w:hAnsi="Calibri" w:cs="Calibri" w:hint="default"/>
        <w:b w:val="0"/>
        <w:bCs w:val="0"/>
        <w:color w:val="auto"/>
        <w:sz w:val="22"/>
        <w:szCs w:val="22"/>
      </w:rPr>
    </w:lvl>
    <w:lvl w:ilvl="1" w:tplc="14090001">
      <w:start w:val="1"/>
      <w:numFmt w:val="bullet"/>
      <w:lvlText w:val=""/>
      <w:lvlJc w:val="left"/>
      <w:pPr>
        <w:ind w:left="240" w:hanging="360"/>
      </w:pPr>
      <w:rPr>
        <w:rFonts w:ascii="Symbol" w:hAnsi="Symbol" w:hint="default"/>
      </w:rPr>
    </w:lvl>
    <w:lvl w:ilvl="2" w:tplc="14090001">
      <w:start w:val="1"/>
      <w:numFmt w:val="bullet"/>
      <w:lvlText w:val=""/>
      <w:lvlJc w:val="left"/>
      <w:pPr>
        <w:ind w:left="960" w:hanging="180"/>
      </w:pPr>
      <w:rPr>
        <w:rFonts w:ascii="Symbol" w:hAnsi="Symbol" w:hint="default"/>
      </w:rPr>
    </w:lvl>
    <w:lvl w:ilvl="3" w:tplc="1409000F">
      <w:start w:val="1"/>
      <w:numFmt w:val="decimal"/>
      <w:lvlText w:val="%4."/>
      <w:lvlJc w:val="left"/>
      <w:pPr>
        <w:ind w:left="1680" w:hanging="360"/>
      </w:pPr>
    </w:lvl>
    <w:lvl w:ilvl="4" w:tplc="14090019" w:tentative="1">
      <w:start w:val="1"/>
      <w:numFmt w:val="lowerLetter"/>
      <w:lvlText w:val="%5."/>
      <w:lvlJc w:val="left"/>
      <w:pPr>
        <w:ind w:left="2400" w:hanging="360"/>
      </w:pPr>
    </w:lvl>
    <w:lvl w:ilvl="5" w:tplc="1409001B" w:tentative="1">
      <w:start w:val="1"/>
      <w:numFmt w:val="lowerRoman"/>
      <w:lvlText w:val="%6."/>
      <w:lvlJc w:val="right"/>
      <w:pPr>
        <w:ind w:left="3120" w:hanging="180"/>
      </w:pPr>
    </w:lvl>
    <w:lvl w:ilvl="6" w:tplc="1409000F" w:tentative="1">
      <w:start w:val="1"/>
      <w:numFmt w:val="decimal"/>
      <w:lvlText w:val="%7."/>
      <w:lvlJc w:val="left"/>
      <w:pPr>
        <w:ind w:left="3840" w:hanging="360"/>
      </w:pPr>
    </w:lvl>
    <w:lvl w:ilvl="7" w:tplc="14090019" w:tentative="1">
      <w:start w:val="1"/>
      <w:numFmt w:val="lowerLetter"/>
      <w:lvlText w:val="%8."/>
      <w:lvlJc w:val="left"/>
      <w:pPr>
        <w:ind w:left="4560" w:hanging="360"/>
      </w:pPr>
    </w:lvl>
    <w:lvl w:ilvl="8" w:tplc="1409001B" w:tentative="1">
      <w:start w:val="1"/>
      <w:numFmt w:val="lowerRoman"/>
      <w:lvlText w:val="%9."/>
      <w:lvlJc w:val="right"/>
      <w:pPr>
        <w:ind w:left="5280" w:hanging="180"/>
      </w:pPr>
    </w:lvl>
  </w:abstractNum>
  <w:abstractNum w:abstractNumId="6" w15:restartNumberingAfterBreak="0">
    <w:nsid w:val="18692FDB"/>
    <w:multiLevelType w:val="hybridMultilevel"/>
    <w:tmpl w:val="FCCEFA6A"/>
    <w:lvl w:ilvl="0" w:tplc="3FA29EF6">
      <w:start w:val="1"/>
      <w:numFmt w:val="decimal"/>
      <w:lvlText w:val="%1."/>
      <w:lvlJc w:val="left"/>
      <w:pPr>
        <w:ind w:left="720" w:hanging="360"/>
      </w:pPr>
    </w:lvl>
    <w:lvl w:ilvl="1" w:tplc="3E581E54">
      <w:start w:val="1"/>
      <w:numFmt w:val="lowerLetter"/>
      <w:lvlText w:val="%2."/>
      <w:lvlJc w:val="left"/>
      <w:pPr>
        <w:ind w:left="1440" w:hanging="360"/>
      </w:pPr>
      <w:rPr>
        <w:b/>
        <w:bCs/>
      </w:rPr>
    </w:lvl>
    <w:lvl w:ilvl="2" w:tplc="F0B29972">
      <w:start w:val="1"/>
      <w:numFmt w:val="lowerRoman"/>
      <w:lvlText w:val="%3."/>
      <w:lvlJc w:val="right"/>
      <w:pPr>
        <w:ind w:left="2160" w:hanging="180"/>
      </w:pPr>
    </w:lvl>
    <w:lvl w:ilvl="3" w:tplc="2D6E53EA">
      <w:start w:val="1"/>
      <w:numFmt w:val="decimal"/>
      <w:lvlText w:val="%4."/>
      <w:lvlJc w:val="left"/>
      <w:pPr>
        <w:ind w:left="2880" w:hanging="360"/>
      </w:pPr>
    </w:lvl>
    <w:lvl w:ilvl="4" w:tplc="984E887A">
      <w:start w:val="1"/>
      <w:numFmt w:val="lowerLetter"/>
      <w:lvlText w:val="%5."/>
      <w:lvlJc w:val="left"/>
      <w:pPr>
        <w:ind w:left="3600" w:hanging="360"/>
      </w:pPr>
    </w:lvl>
    <w:lvl w:ilvl="5" w:tplc="29AE57C4">
      <w:start w:val="1"/>
      <w:numFmt w:val="lowerRoman"/>
      <w:lvlText w:val="%6."/>
      <w:lvlJc w:val="right"/>
      <w:pPr>
        <w:ind w:left="4320" w:hanging="180"/>
      </w:pPr>
    </w:lvl>
    <w:lvl w:ilvl="6" w:tplc="83AA7EF8">
      <w:start w:val="1"/>
      <w:numFmt w:val="decimal"/>
      <w:lvlText w:val="%7."/>
      <w:lvlJc w:val="left"/>
      <w:pPr>
        <w:ind w:left="5040" w:hanging="360"/>
      </w:pPr>
    </w:lvl>
    <w:lvl w:ilvl="7" w:tplc="8498526E">
      <w:start w:val="1"/>
      <w:numFmt w:val="lowerLetter"/>
      <w:lvlText w:val="%8."/>
      <w:lvlJc w:val="left"/>
      <w:pPr>
        <w:ind w:left="5760" w:hanging="360"/>
      </w:pPr>
    </w:lvl>
    <w:lvl w:ilvl="8" w:tplc="DA2E996E">
      <w:start w:val="1"/>
      <w:numFmt w:val="lowerRoman"/>
      <w:lvlText w:val="%9."/>
      <w:lvlJc w:val="right"/>
      <w:pPr>
        <w:ind w:left="6480" w:hanging="180"/>
      </w:pPr>
    </w:lvl>
  </w:abstractNum>
  <w:abstractNum w:abstractNumId="7" w15:restartNumberingAfterBreak="0">
    <w:nsid w:val="189D010F"/>
    <w:multiLevelType w:val="hybridMultilevel"/>
    <w:tmpl w:val="CB4844D2"/>
    <w:lvl w:ilvl="0" w:tplc="8C506002">
      <w:start w:val="1"/>
      <w:numFmt w:val="bullet"/>
      <w:pStyle w:val="Bodybullet1"/>
      <w:lvlText w:val=""/>
      <w:lvlJc w:val="left"/>
      <w:pPr>
        <w:ind w:left="720" w:hanging="360"/>
      </w:pPr>
      <w:rPr>
        <w:rFonts w:ascii="Symbol" w:hAnsi="Symbol" w:hint="default"/>
        <w:color w:val="03B2C4"/>
        <w:u w:color="03B2C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BB36CB"/>
    <w:multiLevelType w:val="hybridMultilevel"/>
    <w:tmpl w:val="8C0ADAF4"/>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9" w15:restartNumberingAfterBreak="0">
    <w:nsid w:val="1F7F10F8"/>
    <w:multiLevelType w:val="hybridMultilevel"/>
    <w:tmpl w:val="BDF4AC7E"/>
    <w:lvl w:ilvl="0" w:tplc="7FCA0C00">
      <w:start w:val="1"/>
      <w:numFmt w:val="decimal"/>
      <w:pStyle w:val="USNotes"/>
      <w:lvlText w:val="%1"/>
      <w:lvlJc w:val="left"/>
      <w:pPr>
        <w:tabs>
          <w:tab w:val="num" w:pos="215"/>
        </w:tabs>
        <w:ind w:left="215" w:hanging="215"/>
      </w:pPr>
      <w:rPr>
        <w:rFonts w:hint="default"/>
      </w:rPr>
    </w:lvl>
    <w:lvl w:ilvl="1" w:tplc="BC50CEA0">
      <w:start w:val="1"/>
      <w:numFmt w:val="none"/>
      <w:suff w:val="nothing"/>
      <w:lvlText w:val=""/>
      <w:lvlJc w:val="left"/>
      <w:pPr>
        <w:ind w:left="215" w:firstLine="0"/>
      </w:pPr>
      <w:rPr>
        <w:rFonts w:hint="default"/>
      </w:rPr>
    </w:lvl>
    <w:lvl w:ilvl="2" w:tplc="8E361040">
      <w:start w:val="1"/>
      <w:numFmt w:val="lowerRoman"/>
      <w:lvlText w:val="%3)"/>
      <w:lvlJc w:val="left"/>
      <w:pPr>
        <w:ind w:left="1080" w:hanging="360"/>
      </w:pPr>
      <w:rPr>
        <w:rFonts w:hint="default"/>
      </w:rPr>
    </w:lvl>
    <w:lvl w:ilvl="3" w:tplc="ABAA1B00">
      <w:start w:val="1"/>
      <w:numFmt w:val="decimal"/>
      <w:lvlText w:val="(%4)"/>
      <w:lvlJc w:val="left"/>
      <w:pPr>
        <w:ind w:left="1440" w:hanging="360"/>
      </w:pPr>
      <w:rPr>
        <w:rFonts w:hint="default"/>
      </w:rPr>
    </w:lvl>
    <w:lvl w:ilvl="4" w:tplc="4858E830">
      <w:start w:val="1"/>
      <w:numFmt w:val="lowerLetter"/>
      <w:lvlText w:val="(%5)"/>
      <w:lvlJc w:val="left"/>
      <w:pPr>
        <w:ind w:left="1800" w:hanging="360"/>
      </w:pPr>
      <w:rPr>
        <w:rFonts w:hint="default"/>
      </w:rPr>
    </w:lvl>
    <w:lvl w:ilvl="5" w:tplc="317CCE82">
      <w:start w:val="1"/>
      <w:numFmt w:val="lowerRoman"/>
      <w:lvlText w:val="(%6)"/>
      <w:lvlJc w:val="left"/>
      <w:pPr>
        <w:ind w:left="2160" w:hanging="360"/>
      </w:pPr>
      <w:rPr>
        <w:rFonts w:hint="default"/>
      </w:rPr>
    </w:lvl>
    <w:lvl w:ilvl="6" w:tplc="F3802E52">
      <w:start w:val="1"/>
      <w:numFmt w:val="decimal"/>
      <w:lvlText w:val="%7."/>
      <w:lvlJc w:val="left"/>
      <w:pPr>
        <w:ind w:left="2520" w:hanging="360"/>
      </w:pPr>
      <w:rPr>
        <w:rFonts w:hint="default"/>
      </w:rPr>
    </w:lvl>
    <w:lvl w:ilvl="7" w:tplc="8F58A590">
      <w:start w:val="1"/>
      <w:numFmt w:val="lowerLetter"/>
      <w:lvlText w:val="%8."/>
      <w:lvlJc w:val="left"/>
      <w:pPr>
        <w:ind w:left="2880" w:hanging="360"/>
      </w:pPr>
      <w:rPr>
        <w:rFonts w:hint="default"/>
      </w:rPr>
    </w:lvl>
    <w:lvl w:ilvl="8" w:tplc="2E281F4C">
      <w:start w:val="1"/>
      <w:numFmt w:val="lowerRoman"/>
      <w:lvlText w:val="%9."/>
      <w:lvlJc w:val="left"/>
      <w:pPr>
        <w:ind w:left="3240" w:hanging="360"/>
      </w:pPr>
      <w:rPr>
        <w:rFonts w:hint="default"/>
      </w:rPr>
    </w:lvl>
  </w:abstractNum>
  <w:abstractNum w:abstractNumId="10" w15:restartNumberingAfterBreak="0">
    <w:nsid w:val="1FAC4219"/>
    <w:multiLevelType w:val="hybridMultilevel"/>
    <w:tmpl w:val="6C8A6CA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1" w15:restartNumberingAfterBreak="0">
    <w:nsid w:val="214B5FEB"/>
    <w:multiLevelType w:val="hybridMultilevel"/>
    <w:tmpl w:val="117E773A"/>
    <w:lvl w:ilvl="0" w:tplc="6DDAE378">
      <w:start w:val="1"/>
      <w:numFmt w:val="decimal"/>
      <w:pStyle w:val="Number"/>
      <w:lvlText w:val="%1."/>
      <w:lvlJc w:val="lef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3FC31FE"/>
    <w:multiLevelType w:val="hybridMultilevel"/>
    <w:tmpl w:val="6D3885D8"/>
    <w:lvl w:ilvl="0" w:tplc="4A02B3E8">
      <w:start w:val="1"/>
      <w:numFmt w:val="decimal"/>
      <w:lvlText w:val="%1."/>
      <w:lvlJc w:val="left"/>
      <w:pPr>
        <w:ind w:left="720" w:hanging="360"/>
      </w:pPr>
      <w:rPr>
        <w:rFonts w:ascii="Calibri" w:hAnsi="Calibri" w:cs="Calibri" w:hint="default"/>
      </w:rPr>
    </w:lvl>
    <w:lvl w:ilvl="1" w:tplc="69020BB6">
      <w:start w:val="1"/>
      <w:numFmt w:val="lowerLetter"/>
      <w:lvlText w:val="%2."/>
      <w:lvlJc w:val="left"/>
      <w:pPr>
        <w:ind w:left="1440" w:hanging="360"/>
      </w:pPr>
    </w:lvl>
    <w:lvl w:ilvl="2" w:tplc="B414DB3A">
      <w:start w:val="1"/>
      <w:numFmt w:val="lowerRoman"/>
      <w:lvlText w:val="%3."/>
      <w:lvlJc w:val="right"/>
      <w:pPr>
        <w:ind w:left="2160" w:hanging="180"/>
      </w:pPr>
    </w:lvl>
    <w:lvl w:ilvl="3" w:tplc="03203972">
      <w:start w:val="1"/>
      <w:numFmt w:val="decimal"/>
      <w:lvlText w:val="%4."/>
      <w:lvlJc w:val="left"/>
      <w:pPr>
        <w:ind w:left="2880" w:hanging="360"/>
      </w:pPr>
    </w:lvl>
    <w:lvl w:ilvl="4" w:tplc="37B8F602">
      <w:start w:val="1"/>
      <w:numFmt w:val="lowerLetter"/>
      <w:lvlText w:val="%5."/>
      <w:lvlJc w:val="left"/>
      <w:pPr>
        <w:ind w:left="3600" w:hanging="360"/>
      </w:pPr>
    </w:lvl>
    <w:lvl w:ilvl="5" w:tplc="2F5C3768">
      <w:start w:val="1"/>
      <w:numFmt w:val="lowerRoman"/>
      <w:lvlText w:val="%6."/>
      <w:lvlJc w:val="right"/>
      <w:pPr>
        <w:ind w:left="4320" w:hanging="180"/>
      </w:pPr>
    </w:lvl>
    <w:lvl w:ilvl="6" w:tplc="DB46A0E8">
      <w:start w:val="1"/>
      <w:numFmt w:val="decimal"/>
      <w:lvlText w:val="%7."/>
      <w:lvlJc w:val="left"/>
      <w:pPr>
        <w:ind w:left="5040" w:hanging="360"/>
      </w:pPr>
    </w:lvl>
    <w:lvl w:ilvl="7" w:tplc="553AEFC0">
      <w:start w:val="1"/>
      <w:numFmt w:val="lowerLetter"/>
      <w:lvlText w:val="%8."/>
      <w:lvlJc w:val="left"/>
      <w:pPr>
        <w:ind w:left="5760" w:hanging="360"/>
      </w:pPr>
    </w:lvl>
    <w:lvl w:ilvl="8" w:tplc="30B87D86">
      <w:start w:val="1"/>
      <w:numFmt w:val="lowerRoman"/>
      <w:lvlText w:val="%9."/>
      <w:lvlJc w:val="right"/>
      <w:pPr>
        <w:ind w:left="6480" w:hanging="180"/>
      </w:pPr>
    </w:lvl>
  </w:abstractNum>
  <w:abstractNum w:abstractNumId="13" w15:restartNumberingAfterBreak="0">
    <w:nsid w:val="242713A6"/>
    <w:multiLevelType w:val="hybridMultilevel"/>
    <w:tmpl w:val="FDC041E0"/>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14" w15:restartNumberingAfterBreak="0">
    <w:nsid w:val="2E9E31DE"/>
    <w:multiLevelType w:val="hybridMultilevel"/>
    <w:tmpl w:val="9A80A314"/>
    <w:lvl w:ilvl="0" w:tplc="C44E642A">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55F53"/>
    <w:multiLevelType w:val="hybridMultilevel"/>
    <w:tmpl w:val="6FF68E5E"/>
    <w:lvl w:ilvl="0" w:tplc="21307AB4">
      <w:start w:val="1"/>
      <w:numFmt w:val="decimal"/>
      <w:lvlText w:val="%1."/>
      <w:lvlJc w:val="left"/>
      <w:pPr>
        <w:ind w:left="720" w:hanging="360"/>
      </w:pPr>
    </w:lvl>
    <w:lvl w:ilvl="1" w:tplc="C44E642A">
      <w:start w:val="1"/>
      <w:numFmt w:val="lowerLetter"/>
      <w:lvlText w:val="%2."/>
      <w:lvlJc w:val="left"/>
      <w:pPr>
        <w:ind w:left="1440" w:hanging="360"/>
      </w:pPr>
    </w:lvl>
    <w:lvl w:ilvl="2" w:tplc="3E42B5F6">
      <w:start w:val="1"/>
      <w:numFmt w:val="lowerRoman"/>
      <w:lvlText w:val="%3."/>
      <w:lvlJc w:val="right"/>
      <w:pPr>
        <w:ind w:left="2160" w:hanging="180"/>
      </w:pPr>
    </w:lvl>
    <w:lvl w:ilvl="3" w:tplc="25848448">
      <w:start w:val="1"/>
      <w:numFmt w:val="decimal"/>
      <w:lvlText w:val="%4."/>
      <w:lvlJc w:val="left"/>
      <w:pPr>
        <w:ind w:left="2880" w:hanging="360"/>
      </w:pPr>
    </w:lvl>
    <w:lvl w:ilvl="4" w:tplc="56D46862">
      <w:start w:val="1"/>
      <w:numFmt w:val="lowerLetter"/>
      <w:lvlText w:val="%5."/>
      <w:lvlJc w:val="left"/>
      <w:pPr>
        <w:ind w:left="3600" w:hanging="360"/>
      </w:pPr>
    </w:lvl>
    <w:lvl w:ilvl="5" w:tplc="FD9CCFD4">
      <w:start w:val="1"/>
      <w:numFmt w:val="lowerRoman"/>
      <w:lvlText w:val="%6."/>
      <w:lvlJc w:val="right"/>
      <w:pPr>
        <w:ind w:left="4320" w:hanging="180"/>
      </w:pPr>
    </w:lvl>
    <w:lvl w:ilvl="6" w:tplc="9DE022F4">
      <w:start w:val="1"/>
      <w:numFmt w:val="decimal"/>
      <w:lvlText w:val="%7."/>
      <w:lvlJc w:val="left"/>
      <w:pPr>
        <w:ind w:left="5040" w:hanging="360"/>
      </w:pPr>
    </w:lvl>
    <w:lvl w:ilvl="7" w:tplc="2BD4B940">
      <w:start w:val="1"/>
      <w:numFmt w:val="lowerLetter"/>
      <w:lvlText w:val="%8."/>
      <w:lvlJc w:val="left"/>
      <w:pPr>
        <w:ind w:left="5760" w:hanging="360"/>
      </w:pPr>
    </w:lvl>
    <w:lvl w:ilvl="8" w:tplc="6056222E">
      <w:start w:val="1"/>
      <w:numFmt w:val="lowerRoman"/>
      <w:lvlText w:val="%9."/>
      <w:lvlJc w:val="right"/>
      <w:pPr>
        <w:ind w:left="6480" w:hanging="180"/>
      </w:pPr>
    </w:lvl>
  </w:abstractNum>
  <w:abstractNum w:abstractNumId="16" w15:restartNumberingAfterBreak="0">
    <w:nsid w:val="2FC42C24"/>
    <w:multiLevelType w:val="hybridMultilevel"/>
    <w:tmpl w:val="1FAEC83A"/>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17" w15:restartNumberingAfterBreak="0">
    <w:nsid w:val="31193F68"/>
    <w:multiLevelType w:val="hybridMultilevel"/>
    <w:tmpl w:val="668A347A"/>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18" w15:restartNumberingAfterBreak="0">
    <w:nsid w:val="38833290"/>
    <w:multiLevelType w:val="multilevel"/>
    <w:tmpl w:val="CF5465A2"/>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39EC5692"/>
    <w:multiLevelType w:val="hybridMultilevel"/>
    <w:tmpl w:val="ABBE0758"/>
    <w:lvl w:ilvl="0" w:tplc="14090001">
      <w:start w:val="1"/>
      <w:numFmt w:val="bullet"/>
      <w:lvlText w:val=""/>
      <w:lvlJc w:val="left"/>
      <w:pPr>
        <w:ind w:left="1210" w:hanging="360"/>
      </w:pPr>
      <w:rPr>
        <w:rFonts w:ascii="Symbol" w:hAnsi="Symbo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abstractNum w:abstractNumId="20" w15:restartNumberingAfterBreak="0">
    <w:nsid w:val="3AF7657C"/>
    <w:multiLevelType w:val="hybridMultilevel"/>
    <w:tmpl w:val="2778761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CC2705"/>
    <w:multiLevelType w:val="hybridMultilevel"/>
    <w:tmpl w:val="01848BE2"/>
    <w:lvl w:ilvl="0" w:tplc="6072796C">
      <w:start w:val="1"/>
      <w:numFmt w:val="decimal"/>
      <w:pStyle w:val="ApxHeading1"/>
      <w:suff w:val="nothing"/>
      <w:lvlText w:val="Appendix %1"/>
      <w:lvlJc w:val="left"/>
      <w:pPr>
        <w:ind w:left="0" w:firstLine="0"/>
      </w:pPr>
      <w:rPr>
        <w:rFonts w:hint="default"/>
      </w:rPr>
    </w:lvl>
    <w:lvl w:ilvl="1" w:tplc="9C88901A">
      <w:start w:val="1"/>
      <w:numFmt w:val="none"/>
      <w:suff w:val="nothing"/>
      <w:lvlText w:val=""/>
      <w:lvlJc w:val="left"/>
      <w:pPr>
        <w:ind w:left="142" w:firstLine="0"/>
      </w:pPr>
      <w:rPr>
        <w:rFonts w:hint="default"/>
      </w:rPr>
    </w:lvl>
    <w:lvl w:ilvl="2" w:tplc="9DE8559C">
      <w:start w:val="1"/>
      <w:numFmt w:val="none"/>
      <w:suff w:val="nothing"/>
      <w:lvlText w:val=""/>
      <w:lvlJc w:val="left"/>
      <w:pPr>
        <w:ind w:left="142" w:firstLine="0"/>
      </w:pPr>
      <w:rPr>
        <w:rFonts w:hint="default"/>
      </w:rPr>
    </w:lvl>
    <w:lvl w:ilvl="3" w:tplc="BAB07546">
      <w:start w:val="1"/>
      <w:numFmt w:val="none"/>
      <w:suff w:val="nothing"/>
      <w:lvlText w:val=""/>
      <w:lvlJc w:val="left"/>
      <w:pPr>
        <w:ind w:left="142" w:firstLine="0"/>
      </w:pPr>
      <w:rPr>
        <w:rFonts w:hint="default"/>
      </w:rPr>
    </w:lvl>
    <w:lvl w:ilvl="4" w:tplc="9C223B16">
      <w:start w:val="1"/>
      <w:numFmt w:val="none"/>
      <w:suff w:val="nothing"/>
      <w:lvlText w:val=""/>
      <w:lvlJc w:val="left"/>
      <w:pPr>
        <w:ind w:left="142" w:firstLine="0"/>
      </w:pPr>
      <w:rPr>
        <w:rFonts w:hint="default"/>
      </w:rPr>
    </w:lvl>
    <w:lvl w:ilvl="5" w:tplc="463E3E44">
      <w:start w:val="1"/>
      <w:numFmt w:val="none"/>
      <w:suff w:val="nothing"/>
      <w:lvlText w:val=""/>
      <w:lvlJc w:val="left"/>
      <w:pPr>
        <w:ind w:left="142" w:firstLine="0"/>
      </w:pPr>
      <w:rPr>
        <w:rFonts w:hint="default"/>
      </w:rPr>
    </w:lvl>
    <w:lvl w:ilvl="6" w:tplc="059C8ECA">
      <w:start w:val="1"/>
      <w:numFmt w:val="none"/>
      <w:suff w:val="nothing"/>
      <w:lvlText w:val=""/>
      <w:lvlJc w:val="left"/>
      <w:pPr>
        <w:ind w:left="142" w:firstLine="0"/>
      </w:pPr>
      <w:rPr>
        <w:rFonts w:hint="default"/>
      </w:rPr>
    </w:lvl>
    <w:lvl w:ilvl="7" w:tplc="3D987308">
      <w:start w:val="1"/>
      <w:numFmt w:val="none"/>
      <w:suff w:val="nothing"/>
      <w:lvlText w:val=""/>
      <w:lvlJc w:val="left"/>
      <w:pPr>
        <w:ind w:left="142" w:firstLine="0"/>
      </w:pPr>
      <w:rPr>
        <w:rFonts w:hint="default"/>
      </w:rPr>
    </w:lvl>
    <w:lvl w:ilvl="8" w:tplc="60869238">
      <w:start w:val="1"/>
      <w:numFmt w:val="none"/>
      <w:suff w:val="nothing"/>
      <w:lvlText w:val=""/>
      <w:lvlJc w:val="left"/>
      <w:pPr>
        <w:ind w:left="142" w:firstLine="0"/>
      </w:pPr>
      <w:rPr>
        <w:rFonts w:hint="default"/>
      </w:rPr>
    </w:lvl>
  </w:abstractNum>
  <w:abstractNum w:abstractNumId="22" w15:restartNumberingAfterBreak="0">
    <w:nsid w:val="3DF81F03"/>
    <w:multiLevelType w:val="hybridMultilevel"/>
    <w:tmpl w:val="C67AE6F2"/>
    <w:lvl w:ilvl="0" w:tplc="C44E642A">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27B13"/>
    <w:multiLevelType w:val="hybridMultilevel"/>
    <w:tmpl w:val="6D106928"/>
    <w:lvl w:ilvl="0" w:tplc="8084D022">
      <w:start w:val="1"/>
      <w:numFmt w:val="bullet"/>
      <w:pStyle w:val="TSMixedB2"/>
      <w:lvlText w:val=""/>
      <w:lvlJc w:val="left"/>
      <w:pPr>
        <w:tabs>
          <w:tab w:val="num" w:pos="425"/>
        </w:tabs>
        <w:ind w:left="425" w:hanging="210"/>
      </w:pPr>
      <w:rPr>
        <w:rFonts w:ascii="Symbol" w:hAnsi="Symbol" w:hint="default"/>
        <w:color w:val="auto"/>
        <w:sz w:val="16"/>
      </w:rPr>
    </w:lvl>
    <w:lvl w:ilvl="1" w:tplc="68305614">
      <w:start w:val="1"/>
      <w:numFmt w:val="bullet"/>
      <w:pStyle w:val="TSMixedB3"/>
      <w:lvlText w:val="-"/>
      <w:lvlJc w:val="left"/>
      <w:pPr>
        <w:tabs>
          <w:tab w:val="num" w:pos="641"/>
        </w:tabs>
        <w:ind w:left="641" w:hanging="216"/>
      </w:pPr>
      <w:rPr>
        <w:rFonts w:ascii="Courier New" w:hAnsi="Courier New" w:hint="default"/>
      </w:rPr>
    </w:lvl>
    <w:lvl w:ilvl="2" w:tplc="CF4C464C">
      <w:start w:val="1"/>
      <w:numFmt w:val="none"/>
      <w:suff w:val="nothing"/>
      <w:lvlText w:val=""/>
      <w:lvlJc w:val="left"/>
      <w:pPr>
        <w:ind w:left="641" w:firstLine="0"/>
      </w:pPr>
      <w:rPr>
        <w:rFonts w:hint="default"/>
      </w:rPr>
    </w:lvl>
    <w:lvl w:ilvl="3" w:tplc="3508FACC">
      <w:start w:val="1"/>
      <w:numFmt w:val="none"/>
      <w:suff w:val="nothing"/>
      <w:lvlText w:val=""/>
      <w:lvlJc w:val="left"/>
      <w:pPr>
        <w:ind w:left="641" w:firstLine="0"/>
      </w:pPr>
      <w:rPr>
        <w:rFonts w:hint="default"/>
      </w:rPr>
    </w:lvl>
    <w:lvl w:ilvl="4" w:tplc="10DC1522">
      <w:start w:val="1"/>
      <w:numFmt w:val="none"/>
      <w:suff w:val="nothing"/>
      <w:lvlText w:val=""/>
      <w:lvlJc w:val="left"/>
      <w:pPr>
        <w:ind w:left="641" w:firstLine="0"/>
      </w:pPr>
      <w:rPr>
        <w:rFonts w:hint="default"/>
      </w:rPr>
    </w:lvl>
    <w:lvl w:ilvl="5" w:tplc="0E52DCCA">
      <w:start w:val="1"/>
      <w:numFmt w:val="none"/>
      <w:suff w:val="nothing"/>
      <w:lvlText w:val=""/>
      <w:lvlJc w:val="left"/>
      <w:pPr>
        <w:ind w:left="641" w:firstLine="0"/>
      </w:pPr>
      <w:rPr>
        <w:rFonts w:hint="default"/>
      </w:rPr>
    </w:lvl>
    <w:lvl w:ilvl="6" w:tplc="EC9CC2D2">
      <w:start w:val="1"/>
      <w:numFmt w:val="none"/>
      <w:suff w:val="nothing"/>
      <w:lvlText w:val=""/>
      <w:lvlJc w:val="left"/>
      <w:pPr>
        <w:ind w:left="641" w:firstLine="0"/>
      </w:pPr>
      <w:rPr>
        <w:rFonts w:hint="default"/>
      </w:rPr>
    </w:lvl>
    <w:lvl w:ilvl="7" w:tplc="75A6C94A">
      <w:start w:val="1"/>
      <w:numFmt w:val="none"/>
      <w:suff w:val="nothing"/>
      <w:lvlText w:val=""/>
      <w:lvlJc w:val="left"/>
      <w:pPr>
        <w:ind w:left="641" w:firstLine="0"/>
      </w:pPr>
      <w:rPr>
        <w:rFonts w:hint="default"/>
      </w:rPr>
    </w:lvl>
    <w:lvl w:ilvl="8" w:tplc="CE7C10EC">
      <w:start w:val="1"/>
      <w:numFmt w:val="none"/>
      <w:suff w:val="nothing"/>
      <w:lvlText w:val=""/>
      <w:lvlJc w:val="left"/>
      <w:pPr>
        <w:ind w:left="641" w:firstLine="0"/>
      </w:pPr>
      <w:rPr>
        <w:rFonts w:hint="default"/>
      </w:rPr>
    </w:lvl>
  </w:abstractNum>
  <w:abstractNum w:abstractNumId="24" w15:restartNumberingAfterBreak="0">
    <w:nsid w:val="419F3A96"/>
    <w:multiLevelType w:val="hybridMultilevel"/>
    <w:tmpl w:val="11D80C42"/>
    <w:lvl w:ilvl="0" w:tplc="82E87168">
      <w:start w:val="1"/>
      <w:numFmt w:val="bullet"/>
      <w:lvlText w:val=""/>
      <w:lvlJc w:val="left"/>
      <w:pPr>
        <w:ind w:left="720" w:hanging="360"/>
      </w:pPr>
      <w:rPr>
        <w:rFonts w:ascii="Symbol" w:hAnsi="Symbol" w:hint="default"/>
        <w:color w:val="03B2C4"/>
        <w:u w:color="03B2C4"/>
      </w:rPr>
    </w:lvl>
    <w:lvl w:ilvl="1" w:tplc="8F308CFE">
      <w:start w:val="1"/>
      <w:numFmt w:val="bullet"/>
      <w:pStyle w:val="Bodybullet2"/>
      <w:lvlText w:val="–"/>
      <w:lvlJc w:val="left"/>
      <w:pPr>
        <w:ind w:left="1440" w:hanging="360"/>
      </w:pPr>
      <w:rPr>
        <w:rFonts w:ascii="Arial" w:hAnsi="Arial" w:hint="default"/>
        <w:b/>
        <w:i w:val="0"/>
        <w:color w:val="03B2C4"/>
        <w:u w:color="6BBAD9" w:themeColor="accent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AB20DE"/>
    <w:multiLevelType w:val="hybridMultilevel"/>
    <w:tmpl w:val="5544A362"/>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26" w15:restartNumberingAfterBreak="0">
    <w:nsid w:val="455C15CD"/>
    <w:multiLevelType w:val="hybridMultilevel"/>
    <w:tmpl w:val="A8348110"/>
    <w:lvl w:ilvl="0" w:tplc="EA5A3A34">
      <w:start w:val="1"/>
      <w:numFmt w:val="decimal"/>
      <w:lvlText w:val="%1."/>
      <w:lvlJc w:val="left"/>
      <w:pPr>
        <w:ind w:left="720" w:hanging="360"/>
      </w:pPr>
      <w:rPr>
        <w:rFonts w:ascii="Calibri" w:hAnsi="Calibri" w:cs="Calibri" w:hint="default"/>
      </w:rPr>
    </w:lvl>
    <w:lvl w:ilvl="1" w:tplc="69020BB6">
      <w:start w:val="1"/>
      <w:numFmt w:val="lowerLetter"/>
      <w:lvlText w:val="%2."/>
      <w:lvlJc w:val="left"/>
      <w:pPr>
        <w:ind w:left="1440" w:hanging="360"/>
      </w:pPr>
    </w:lvl>
    <w:lvl w:ilvl="2" w:tplc="B414DB3A">
      <w:start w:val="1"/>
      <w:numFmt w:val="lowerRoman"/>
      <w:lvlText w:val="%3."/>
      <w:lvlJc w:val="right"/>
      <w:pPr>
        <w:ind w:left="2160" w:hanging="180"/>
      </w:pPr>
    </w:lvl>
    <w:lvl w:ilvl="3" w:tplc="03203972">
      <w:start w:val="1"/>
      <w:numFmt w:val="decimal"/>
      <w:lvlText w:val="%4."/>
      <w:lvlJc w:val="left"/>
      <w:pPr>
        <w:ind w:left="2880" w:hanging="360"/>
      </w:pPr>
    </w:lvl>
    <w:lvl w:ilvl="4" w:tplc="37B8F602">
      <w:start w:val="1"/>
      <w:numFmt w:val="lowerLetter"/>
      <w:lvlText w:val="%5."/>
      <w:lvlJc w:val="left"/>
      <w:pPr>
        <w:ind w:left="3600" w:hanging="360"/>
      </w:pPr>
    </w:lvl>
    <w:lvl w:ilvl="5" w:tplc="2F5C3768">
      <w:start w:val="1"/>
      <w:numFmt w:val="lowerRoman"/>
      <w:lvlText w:val="%6."/>
      <w:lvlJc w:val="right"/>
      <w:pPr>
        <w:ind w:left="4320" w:hanging="180"/>
      </w:pPr>
    </w:lvl>
    <w:lvl w:ilvl="6" w:tplc="DB46A0E8">
      <w:start w:val="1"/>
      <w:numFmt w:val="decimal"/>
      <w:lvlText w:val="%7."/>
      <w:lvlJc w:val="left"/>
      <w:pPr>
        <w:ind w:left="5040" w:hanging="360"/>
      </w:pPr>
    </w:lvl>
    <w:lvl w:ilvl="7" w:tplc="553AEFC0">
      <w:start w:val="1"/>
      <w:numFmt w:val="lowerLetter"/>
      <w:lvlText w:val="%8."/>
      <w:lvlJc w:val="left"/>
      <w:pPr>
        <w:ind w:left="5760" w:hanging="360"/>
      </w:pPr>
    </w:lvl>
    <w:lvl w:ilvl="8" w:tplc="30B87D86">
      <w:start w:val="1"/>
      <w:numFmt w:val="lowerRoman"/>
      <w:lvlText w:val="%9."/>
      <w:lvlJc w:val="right"/>
      <w:pPr>
        <w:ind w:left="6480" w:hanging="180"/>
      </w:pPr>
    </w:lvl>
  </w:abstractNum>
  <w:abstractNum w:abstractNumId="27" w15:restartNumberingAfterBreak="0">
    <w:nsid w:val="49452C05"/>
    <w:multiLevelType w:val="multilevel"/>
    <w:tmpl w:val="8DBCCE20"/>
    <w:lvl w:ilvl="0">
      <w:start w:val="1"/>
      <w:numFmt w:val="decimal"/>
      <w:pStyle w:val="LNHEADING1"/>
      <w:lvlText w:val="%1"/>
      <w:lvlJc w:val="left"/>
      <w:pPr>
        <w:tabs>
          <w:tab w:val="num" w:pos="851"/>
        </w:tabs>
        <w:ind w:left="851" w:hanging="851"/>
      </w:pPr>
      <w:rPr>
        <w:rFonts w:hint="default"/>
      </w:rPr>
    </w:lvl>
    <w:lvl w:ilvl="1">
      <w:start w:val="1"/>
      <w:numFmt w:val="decimal"/>
      <w:pStyle w:val="LNPara2"/>
      <w:lvlText w:val="%1.%2"/>
      <w:lvlJc w:val="left"/>
      <w:pPr>
        <w:tabs>
          <w:tab w:val="num" w:pos="851"/>
        </w:tabs>
        <w:ind w:left="851" w:hanging="851"/>
      </w:pPr>
      <w:rPr>
        <w:rFonts w:hint="default"/>
      </w:rPr>
    </w:lvl>
    <w:lvl w:ilvl="2">
      <w:start w:val="1"/>
      <w:numFmt w:val="decimal"/>
      <w:pStyle w:val="LNPara3"/>
      <w:lvlText w:val="%1.%2.%3"/>
      <w:lvlJc w:val="left"/>
      <w:pPr>
        <w:tabs>
          <w:tab w:val="num" w:pos="851"/>
        </w:tabs>
        <w:ind w:left="851" w:hanging="851"/>
      </w:pPr>
      <w:rPr>
        <w:rFonts w:hint="default"/>
      </w:rPr>
    </w:lvl>
    <w:lvl w:ilvl="3">
      <w:start w:val="1"/>
      <w:numFmt w:val="lowerLetter"/>
      <w:pStyle w:val="LNParaa"/>
      <w:lvlText w:val="%4"/>
      <w:lvlJc w:val="left"/>
      <w:pPr>
        <w:tabs>
          <w:tab w:val="num" w:pos="1276"/>
        </w:tabs>
        <w:ind w:left="1276" w:hanging="425"/>
      </w:pPr>
      <w:rPr>
        <w:rFonts w:hint="default"/>
      </w:rPr>
    </w:lvl>
    <w:lvl w:ilvl="4">
      <w:start w:val="1"/>
      <w:numFmt w:val="lowerRoman"/>
      <w:pStyle w:val="LNParai"/>
      <w:lvlText w:val="%5"/>
      <w:lvlJc w:val="left"/>
      <w:pPr>
        <w:tabs>
          <w:tab w:val="num" w:pos="1701"/>
        </w:tabs>
        <w:ind w:left="1701" w:hanging="425"/>
      </w:pPr>
      <w:rPr>
        <w:rFonts w:hint="default"/>
      </w:rPr>
    </w:lvl>
    <w:lvl w:ilvl="5">
      <w:start w:val="1"/>
      <w:numFmt w:val="bullet"/>
      <w:pStyle w:val="LNParaB1"/>
      <w:lvlText w:val=""/>
      <w:lvlJc w:val="left"/>
      <w:pPr>
        <w:tabs>
          <w:tab w:val="num" w:pos="1276"/>
        </w:tabs>
        <w:ind w:left="1276" w:hanging="425"/>
      </w:pPr>
      <w:rPr>
        <w:rFonts w:ascii="Symbol" w:hAnsi="Symbol" w:hint="default"/>
        <w:color w:val="auto"/>
      </w:rPr>
    </w:lvl>
    <w:lvl w:ilvl="6">
      <w:start w:val="1"/>
      <w:numFmt w:val="bullet"/>
      <w:pStyle w:val="LNParaB2"/>
      <w:lvlText w:val="-"/>
      <w:lvlJc w:val="left"/>
      <w:pPr>
        <w:tabs>
          <w:tab w:val="num" w:pos="1701"/>
        </w:tabs>
        <w:ind w:left="1701" w:hanging="425"/>
      </w:pPr>
      <w:rPr>
        <w:rFonts w:ascii="Courier New" w:hAnsi="Courier New" w:hint="default"/>
      </w:rPr>
    </w:lvl>
    <w:lvl w:ilvl="7">
      <w:start w:val="1"/>
      <w:numFmt w:val="bullet"/>
      <w:pStyle w:val="LNParaB3"/>
      <w:lvlText w:val=""/>
      <w:lvlJc w:val="left"/>
      <w:pPr>
        <w:tabs>
          <w:tab w:val="num" w:pos="2126"/>
        </w:tabs>
        <w:ind w:left="2126" w:hanging="425"/>
      </w:pPr>
      <w:rPr>
        <w:rFonts w:ascii="Wingdings" w:hAnsi="Wingdings" w:hint="default"/>
      </w:rPr>
    </w:lvl>
    <w:lvl w:ilvl="8">
      <w:start w:val="1"/>
      <w:numFmt w:val="none"/>
      <w:suff w:val="nothing"/>
      <w:lvlText w:val=""/>
      <w:lvlJc w:val="left"/>
      <w:pPr>
        <w:ind w:left="2126" w:firstLine="0"/>
      </w:pPr>
      <w:rPr>
        <w:rFonts w:hint="default"/>
      </w:rPr>
    </w:lvl>
  </w:abstractNum>
  <w:abstractNum w:abstractNumId="28" w15:restartNumberingAfterBreak="0">
    <w:nsid w:val="4975521C"/>
    <w:multiLevelType w:val="hybridMultilevel"/>
    <w:tmpl w:val="9C807A00"/>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29" w15:restartNumberingAfterBreak="0">
    <w:nsid w:val="4BAF44EA"/>
    <w:multiLevelType w:val="hybridMultilevel"/>
    <w:tmpl w:val="FCA4AD50"/>
    <w:lvl w:ilvl="0" w:tplc="14090001">
      <w:start w:val="1"/>
      <w:numFmt w:val="bullet"/>
      <w:lvlText w:val=""/>
      <w:lvlJc w:val="left"/>
      <w:pPr>
        <w:ind w:left="1210" w:hanging="360"/>
      </w:pPr>
      <w:rPr>
        <w:rFonts w:ascii="Symbol" w:hAnsi="Symbo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abstractNum w:abstractNumId="30" w15:restartNumberingAfterBreak="0">
    <w:nsid w:val="4C203B34"/>
    <w:multiLevelType w:val="hybridMultilevel"/>
    <w:tmpl w:val="E6BC8096"/>
    <w:lvl w:ilvl="0" w:tplc="8C424C8A">
      <w:start w:val="1"/>
      <w:numFmt w:val="decimal"/>
      <w:pStyle w:val="SNNumber1"/>
      <w:lvlText w:val="%1"/>
      <w:lvlJc w:val="left"/>
      <w:pPr>
        <w:tabs>
          <w:tab w:val="num" w:pos="851"/>
        </w:tabs>
        <w:ind w:left="851" w:hanging="851"/>
      </w:pPr>
      <w:rPr>
        <w:rFonts w:hint="default"/>
      </w:rPr>
    </w:lvl>
    <w:lvl w:ilvl="1" w:tplc="CDC81368">
      <w:start w:val="1"/>
      <w:numFmt w:val="lowerLetter"/>
      <w:pStyle w:val="SNParaa"/>
      <w:lvlText w:val="%2"/>
      <w:lvlJc w:val="left"/>
      <w:pPr>
        <w:tabs>
          <w:tab w:val="num" w:pos="1276"/>
        </w:tabs>
        <w:ind w:left="1276" w:hanging="425"/>
      </w:pPr>
      <w:rPr>
        <w:rFonts w:hint="default"/>
      </w:rPr>
    </w:lvl>
    <w:lvl w:ilvl="2" w:tplc="C31E094A">
      <w:start w:val="1"/>
      <w:numFmt w:val="lowerRoman"/>
      <w:pStyle w:val="SNParai"/>
      <w:lvlText w:val="%3"/>
      <w:lvlJc w:val="left"/>
      <w:pPr>
        <w:tabs>
          <w:tab w:val="num" w:pos="1276"/>
        </w:tabs>
        <w:ind w:left="1276" w:hanging="425"/>
      </w:pPr>
      <w:rPr>
        <w:rFonts w:hint="default"/>
      </w:rPr>
    </w:lvl>
    <w:lvl w:ilvl="3" w:tplc="9F7E32DE">
      <w:start w:val="1"/>
      <w:numFmt w:val="decimal"/>
      <w:pStyle w:val="SNPara1"/>
      <w:lvlText w:val="%4"/>
      <w:lvlJc w:val="left"/>
      <w:pPr>
        <w:tabs>
          <w:tab w:val="num" w:pos="1276"/>
        </w:tabs>
        <w:ind w:left="1276" w:hanging="425"/>
      </w:pPr>
      <w:rPr>
        <w:rFonts w:hint="default"/>
      </w:rPr>
    </w:lvl>
    <w:lvl w:ilvl="4" w:tplc="FC026642">
      <w:start w:val="1"/>
      <w:numFmt w:val="bullet"/>
      <w:pStyle w:val="SNParaB1"/>
      <w:lvlText w:val=""/>
      <w:lvlJc w:val="left"/>
      <w:pPr>
        <w:tabs>
          <w:tab w:val="num" w:pos="1701"/>
        </w:tabs>
        <w:ind w:left="1701" w:hanging="425"/>
      </w:pPr>
      <w:rPr>
        <w:rFonts w:ascii="Symbol" w:hAnsi="Symbol" w:hint="default"/>
        <w:color w:val="auto"/>
      </w:rPr>
    </w:lvl>
    <w:lvl w:ilvl="5" w:tplc="4EC44B8C">
      <w:start w:val="1"/>
      <w:numFmt w:val="bullet"/>
      <w:pStyle w:val="SNParaB2"/>
      <w:lvlText w:val="-"/>
      <w:lvlJc w:val="left"/>
      <w:pPr>
        <w:tabs>
          <w:tab w:val="num" w:pos="2126"/>
        </w:tabs>
        <w:ind w:left="2126" w:hanging="425"/>
      </w:pPr>
      <w:rPr>
        <w:rFonts w:ascii="Courier New" w:hAnsi="Courier New" w:hint="default"/>
      </w:rPr>
    </w:lvl>
    <w:lvl w:ilvl="6" w:tplc="886E725E">
      <w:start w:val="1"/>
      <w:numFmt w:val="none"/>
      <w:suff w:val="nothing"/>
      <w:lvlText w:val=""/>
      <w:lvlJc w:val="left"/>
      <w:pPr>
        <w:ind w:left="2126" w:firstLine="0"/>
      </w:pPr>
      <w:rPr>
        <w:rFonts w:hint="default"/>
      </w:rPr>
    </w:lvl>
    <w:lvl w:ilvl="7" w:tplc="E1225FB0">
      <w:start w:val="1"/>
      <w:numFmt w:val="none"/>
      <w:suff w:val="nothing"/>
      <w:lvlText w:val=""/>
      <w:lvlJc w:val="left"/>
      <w:pPr>
        <w:ind w:left="2126" w:firstLine="0"/>
      </w:pPr>
      <w:rPr>
        <w:rFonts w:hint="default"/>
      </w:rPr>
    </w:lvl>
    <w:lvl w:ilvl="8" w:tplc="775ECEF8">
      <w:start w:val="1"/>
      <w:numFmt w:val="none"/>
      <w:suff w:val="nothing"/>
      <w:lvlText w:val=""/>
      <w:lvlJc w:val="left"/>
      <w:pPr>
        <w:ind w:left="2126" w:firstLine="0"/>
      </w:pPr>
      <w:rPr>
        <w:rFonts w:hint="default"/>
      </w:rPr>
    </w:lvl>
  </w:abstractNum>
  <w:abstractNum w:abstractNumId="31" w15:restartNumberingAfterBreak="0">
    <w:nsid w:val="4F715757"/>
    <w:multiLevelType w:val="hybridMultilevel"/>
    <w:tmpl w:val="FCA877E2"/>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32" w15:restartNumberingAfterBreak="0">
    <w:nsid w:val="516F5E02"/>
    <w:multiLevelType w:val="hybridMultilevel"/>
    <w:tmpl w:val="B8D0B29C"/>
    <w:lvl w:ilvl="0" w:tplc="DE5ACDF6">
      <w:start w:val="1"/>
      <w:numFmt w:val="bullet"/>
      <w:pStyle w:val="SNBullet1"/>
      <w:lvlText w:val=""/>
      <w:lvlJc w:val="left"/>
      <w:pPr>
        <w:tabs>
          <w:tab w:val="num" w:pos="1276"/>
        </w:tabs>
        <w:ind w:left="1276" w:hanging="425"/>
      </w:pPr>
      <w:rPr>
        <w:rFonts w:ascii="Symbol" w:hAnsi="Symbol" w:hint="default"/>
        <w:color w:val="auto"/>
      </w:rPr>
    </w:lvl>
    <w:lvl w:ilvl="1" w:tplc="0E0667C0">
      <w:start w:val="1"/>
      <w:numFmt w:val="bullet"/>
      <w:pStyle w:val="SNBullet2"/>
      <w:lvlText w:val="-"/>
      <w:lvlJc w:val="left"/>
      <w:pPr>
        <w:tabs>
          <w:tab w:val="num" w:pos="1701"/>
        </w:tabs>
        <w:ind w:left="1701" w:hanging="425"/>
      </w:pPr>
      <w:rPr>
        <w:rFonts w:ascii="Courier New" w:hAnsi="Courier New" w:hint="default"/>
        <w:color w:val="auto"/>
      </w:rPr>
    </w:lvl>
    <w:lvl w:ilvl="2" w:tplc="8BA6DE22">
      <w:start w:val="1"/>
      <w:numFmt w:val="bullet"/>
      <w:pStyle w:val="SNBullet3"/>
      <w:lvlText w:val=""/>
      <w:lvlJc w:val="left"/>
      <w:pPr>
        <w:tabs>
          <w:tab w:val="num" w:pos="2126"/>
        </w:tabs>
        <w:ind w:left="2126" w:hanging="425"/>
      </w:pPr>
      <w:rPr>
        <w:rFonts w:ascii="Wingdings" w:hAnsi="Wingdings" w:hint="default"/>
        <w:color w:val="423E3C"/>
      </w:rPr>
    </w:lvl>
    <w:lvl w:ilvl="3" w:tplc="6A8049B6">
      <w:start w:val="1"/>
      <w:numFmt w:val="none"/>
      <w:suff w:val="nothing"/>
      <w:lvlText w:val=""/>
      <w:lvlJc w:val="left"/>
      <w:pPr>
        <w:ind w:left="2126" w:firstLine="0"/>
      </w:pPr>
      <w:rPr>
        <w:rFonts w:hint="default"/>
      </w:rPr>
    </w:lvl>
    <w:lvl w:ilvl="4" w:tplc="1BA4AF10">
      <w:start w:val="1"/>
      <w:numFmt w:val="none"/>
      <w:suff w:val="nothing"/>
      <w:lvlText w:val=""/>
      <w:lvlJc w:val="left"/>
      <w:pPr>
        <w:ind w:left="2126" w:firstLine="0"/>
      </w:pPr>
      <w:rPr>
        <w:rFonts w:hint="default"/>
      </w:rPr>
    </w:lvl>
    <w:lvl w:ilvl="5" w:tplc="AEE28450">
      <w:start w:val="1"/>
      <w:numFmt w:val="none"/>
      <w:suff w:val="nothing"/>
      <w:lvlText w:val=""/>
      <w:lvlJc w:val="left"/>
      <w:pPr>
        <w:ind w:left="2126" w:firstLine="0"/>
      </w:pPr>
      <w:rPr>
        <w:rFonts w:hint="default"/>
      </w:rPr>
    </w:lvl>
    <w:lvl w:ilvl="6" w:tplc="7DA4A302">
      <w:start w:val="1"/>
      <w:numFmt w:val="none"/>
      <w:suff w:val="nothing"/>
      <w:lvlText w:val=""/>
      <w:lvlJc w:val="left"/>
      <w:pPr>
        <w:ind w:left="2126" w:firstLine="0"/>
      </w:pPr>
      <w:rPr>
        <w:rFonts w:hint="default"/>
      </w:rPr>
    </w:lvl>
    <w:lvl w:ilvl="7" w:tplc="26ACE1E0">
      <w:start w:val="1"/>
      <w:numFmt w:val="none"/>
      <w:suff w:val="nothing"/>
      <w:lvlText w:val=""/>
      <w:lvlJc w:val="left"/>
      <w:pPr>
        <w:ind w:left="2126" w:firstLine="0"/>
      </w:pPr>
      <w:rPr>
        <w:rFonts w:hint="default"/>
      </w:rPr>
    </w:lvl>
    <w:lvl w:ilvl="8" w:tplc="02D64162">
      <w:start w:val="1"/>
      <w:numFmt w:val="none"/>
      <w:suff w:val="space"/>
      <w:lvlText w:val=""/>
      <w:lvlJc w:val="left"/>
      <w:pPr>
        <w:ind w:left="2126" w:firstLine="0"/>
      </w:pPr>
      <w:rPr>
        <w:rFonts w:hint="default"/>
      </w:rPr>
    </w:lvl>
  </w:abstractNum>
  <w:abstractNum w:abstractNumId="33" w15:restartNumberingAfterBreak="0">
    <w:nsid w:val="557D6C2D"/>
    <w:multiLevelType w:val="hybridMultilevel"/>
    <w:tmpl w:val="0EAADB04"/>
    <w:lvl w:ilvl="0" w:tplc="F74009B8">
      <w:start w:val="1"/>
      <w:numFmt w:val="bullet"/>
      <w:pStyle w:val="TSBullet1"/>
      <w:lvlText w:val=""/>
      <w:lvlJc w:val="left"/>
      <w:pPr>
        <w:tabs>
          <w:tab w:val="num" w:pos="215"/>
        </w:tabs>
        <w:ind w:left="215" w:hanging="215"/>
      </w:pPr>
      <w:rPr>
        <w:rFonts w:ascii="Symbol" w:hAnsi="Symbol" w:hint="default"/>
        <w:color w:val="auto"/>
      </w:rPr>
    </w:lvl>
    <w:lvl w:ilvl="1" w:tplc="4B9E6340">
      <w:start w:val="1"/>
      <w:numFmt w:val="bullet"/>
      <w:pStyle w:val="TSBullet2"/>
      <w:lvlText w:val="-"/>
      <w:lvlJc w:val="left"/>
      <w:pPr>
        <w:tabs>
          <w:tab w:val="num" w:pos="425"/>
        </w:tabs>
        <w:ind w:left="425" w:hanging="210"/>
      </w:pPr>
      <w:rPr>
        <w:rFonts w:ascii="Courier New" w:hAnsi="Courier New" w:hint="default"/>
      </w:rPr>
    </w:lvl>
    <w:lvl w:ilvl="2" w:tplc="F626BE38">
      <w:start w:val="1"/>
      <w:numFmt w:val="bullet"/>
      <w:pStyle w:val="TSBullet3"/>
      <w:lvlText w:val=""/>
      <w:lvlJc w:val="left"/>
      <w:pPr>
        <w:tabs>
          <w:tab w:val="num" w:pos="641"/>
        </w:tabs>
        <w:ind w:left="641" w:hanging="216"/>
      </w:pPr>
      <w:rPr>
        <w:rFonts w:ascii="Wingdings" w:hAnsi="Wingdings" w:hint="default"/>
      </w:rPr>
    </w:lvl>
    <w:lvl w:ilvl="3" w:tplc="1FF66CD2">
      <w:start w:val="1"/>
      <w:numFmt w:val="none"/>
      <w:suff w:val="nothing"/>
      <w:lvlText w:val=""/>
      <w:lvlJc w:val="left"/>
      <w:pPr>
        <w:ind w:left="641" w:firstLine="0"/>
      </w:pPr>
      <w:rPr>
        <w:rFonts w:hint="default"/>
      </w:rPr>
    </w:lvl>
    <w:lvl w:ilvl="4" w:tplc="56E62338">
      <w:start w:val="1"/>
      <w:numFmt w:val="none"/>
      <w:suff w:val="nothing"/>
      <w:lvlText w:val=""/>
      <w:lvlJc w:val="left"/>
      <w:pPr>
        <w:ind w:left="641" w:firstLine="0"/>
      </w:pPr>
      <w:rPr>
        <w:rFonts w:hint="default"/>
      </w:rPr>
    </w:lvl>
    <w:lvl w:ilvl="5" w:tplc="8C0C4928">
      <w:start w:val="1"/>
      <w:numFmt w:val="none"/>
      <w:suff w:val="nothing"/>
      <w:lvlText w:val=""/>
      <w:lvlJc w:val="left"/>
      <w:pPr>
        <w:ind w:left="641" w:firstLine="0"/>
      </w:pPr>
      <w:rPr>
        <w:rFonts w:hint="default"/>
      </w:rPr>
    </w:lvl>
    <w:lvl w:ilvl="6" w:tplc="0806089C">
      <w:start w:val="1"/>
      <w:numFmt w:val="none"/>
      <w:suff w:val="nothing"/>
      <w:lvlText w:val=""/>
      <w:lvlJc w:val="left"/>
      <w:pPr>
        <w:ind w:left="641" w:firstLine="0"/>
      </w:pPr>
      <w:rPr>
        <w:rFonts w:hint="default"/>
      </w:rPr>
    </w:lvl>
    <w:lvl w:ilvl="7" w:tplc="88A0E9E8">
      <w:start w:val="1"/>
      <w:numFmt w:val="none"/>
      <w:suff w:val="nothing"/>
      <w:lvlText w:val=""/>
      <w:lvlJc w:val="left"/>
      <w:pPr>
        <w:ind w:left="641" w:firstLine="0"/>
      </w:pPr>
      <w:rPr>
        <w:rFonts w:hint="default"/>
      </w:rPr>
    </w:lvl>
    <w:lvl w:ilvl="8" w:tplc="02C0ED32">
      <w:start w:val="1"/>
      <w:numFmt w:val="none"/>
      <w:suff w:val="nothing"/>
      <w:lvlText w:val=""/>
      <w:lvlJc w:val="left"/>
      <w:pPr>
        <w:ind w:left="641" w:firstLine="0"/>
      </w:pPr>
      <w:rPr>
        <w:rFonts w:hint="default"/>
      </w:rPr>
    </w:lvl>
  </w:abstractNum>
  <w:abstractNum w:abstractNumId="34" w15:restartNumberingAfterBreak="0">
    <w:nsid w:val="57E41EEF"/>
    <w:multiLevelType w:val="hybridMultilevel"/>
    <w:tmpl w:val="FB8CE90E"/>
    <w:lvl w:ilvl="0" w:tplc="10284A0E">
      <w:start w:val="1"/>
      <w:numFmt w:val="bullet"/>
      <w:pStyle w:val="USMixedB2"/>
      <w:lvlText w:val=""/>
      <w:lvlJc w:val="left"/>
      <w:pPr>
        <w:tabs>
          <w:tab w:val="num" w:pos="851"/>
        </w:tabs>
        <w:ind w:left="851" w:hanging="426"/>
      </w:pPr>
      <w:rPr>
        <w:rFonts w:ascii="Symbol" w:hAnsi="Symbol" w:hint="default"/>
        <w:color w:val="auto"/>
      </w:rPr>
    </w:lvl>
    <w:lvl w:ilvl="1" w:tplc="66007C22">
      <w:start w:val="1"/>
      <w:numFmt w:val="bullet"/>
      <w:pStyle w:val="USMixedB3"/>
      <w:lvlText w:val="-"/>
      <w:lvlJc w:val="left"/>
      <w:pPr>
        <w:tabs>
          <w:tab w:val="num" w:pos="1276"/>
        </w:tabs>
        <w:ind w:left="1276" w:hanging="425"/>
      </w:pPr>
      <w:rPr>
        <w:rFonts w:ascii="Courier New" w:hAnsi="Courier New" w:hint="default"/>
      </w:rPr>
    </w:lvl>
    <w:lvl w:ilvl="2" w:tplc="93EAE63E">
      <w:start w:val="1"/>
      <w:numFmt w:val="none"/>
      <w:suff w:val="nothing"/>
      <w:lvlText w:val=""/>
      <w:lvlJc w:val="left"/>
      <w:pPr>
        <w:ind w:left="1276" w:firstLine="0"/>
      </w:pPr>
      <w:rPr>
        <w:rFonts w:hint="default"/>
      </w:rPr>
    </w:lvl>
    <w:lvl w:ilvl="3" w:tplc="83F6DFEE">
      <w:start w:val="1"/>
      <w:numFmt w:val="none"/>
      <w:suff w:val="nothing"/>
      <w:lvlText w:val=""/>
      <w:lvlJc w:val="left"/>
      <w:pPr>
        <w:ind w:left="1276" w:firstLine="0"/>
      </w:pPr>
      <w:rPr>
        <w:rFonts w:hint="default"/>
      </w:rPr>
    </w:lvl>
    <w:lvl w:ilvl="4" w:tplc="4838049E">
      <w:start w:val="1"/>
      <w:numFmt w:val="none"/>
      <w:suff w:val="nothing"/>
      <w:lvlText w:val=""/>
      <w:lvlJc w:val="left"/>
      <w:pPr>
        <w:ind w:left="1276" w:firstLine="0"/>
      </w:pPr>
      <w:rPr>
        <w:rFonts w:hint="default"/>
      </w:rPr>
    </w:lvl>
    <w:lvl w:ilvl="5" w:tplc="7FDEC5FA">
      <w:start w:val="1"/>
      <w:numFmt w:val="none"/>
      <w:suff w:val="nothing"/>
      <w:lvlText w:val=""/>
      <w:lvlJc w:val="left"/>
      <w:pPr>
        <w:ind w:left="1276" w:firstLine="0"/>
      </w:pPr>
      <w:rPr>
        <w:rFonts w:hint="default"/>
      </w:rPr>
    </w:lvl>
    <w:lvl w:ilvl="6" w:tplc="9376B5B8">
      <w:start w:val="1"/>
      <w:numFmt w:val="none"/>
      <w:suff w:val="nothing"/>
      <w:lvlText w:val=""/>
      <w:lvlJc w:val="left"/>
      <w:pPr>
        <w:ind w:left="1276" w:firstLine="0"/>
      </w:pPr>
      <w:rPr>
        <w:rFonts w:hint="default"/>
      </w:rPr>
    </w:lvl>
    <w:lvl w:ilvl="7" w:tplc="EE8652BE">
      <w:start w:val="1"/>
      <w:numFmt w:val="none"/>
      <w:suff w:val="nothing"/>
      <w:lvlText w:val=""/>
      <w:lvlJc w:val="left"/>
      <w:pPr>
        <w:ind w:left="1276" w:firstLine="0"/>
      </w:pPr>
      <w:rPr>
        <w:rFonts w:hint="default"/>
      </w:rPr>
    </w:lvl>
    <w:lvl w:ilvl="8" w:tplc="A85A1366">
      <w:start w:val="1"/>
      <w:numFmt w:val="none"/>
      <w:suff w:val="nothing"/>
      <w:lvlText w:val=""/>
      <w:lvlJc w:val="left"/>
      <w:pPr>
        <w:ind w:left="1276" w:firstLine="0"/>
      </w:pPr>
      <w:rPr>
        <w:rFonts w:hint="default"/>
      </w:rPr>
    </w:lvl>
  </w:abstractNum>
  <w:abstractNum w:abstractNumId="35" w15:restartNumberingAfterBreak="0">
    <w:nsid w:val="58E17499"/>
    <w:multiLevelType w:val="hybridMultilevel"/>
    <w:tmpl w:val="93B2AD3E"/>
    <w:lvl w:ilvl="0" w:tplc="14090001">
      <w:start w:val="1"/>
      <w:numFmt w:val="bullet"/>
      <w:lvlText w:val=""/>
      <w:lvlJc w:val="left"/>
      <w:pPr>
        <w:ind w:left="1140" w:hanging="360"/>
      </w:pPr>
      <w:rPr>
        <w:rFonts w:ascii="Symbol" w:hAnsi="Symbol" w:hint="default"/>
      </w:rPr>
    </w:lvl>
    <w:lvl w:ilvl="1" w:tplc="14090003">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36" w15:restartNumberingAfterBreak="0">
    <w:nsid w:val="59A30916"/>
    <w:multiLevelType w:val="hybridMultilevel"/>
    <w:tmpl w:val="6AB882CE"/>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37" w15:restartNumberingAfterBreak="0">
    <w:nsid w:val="5A4B3F1A"/>
    <w:multiLevelType w:val="multilevel"/>
    <w:tmpl w:val="2C18E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0424DD"/>
    <w:multiLevelType w:val="hybridMultilevel"/>
    <w:tmpl w:val="C67AE6F2"/>
    <w:lvl w:ilvl="0" w:tplc="C44E642A">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1E011B"/>
    <w:multiLevelType w:val="hybridMultilevel"/>
    <w:tmpl w:val="341EC186"/>
    <w:lvl w:ilvl="0" w:tplc="9ED26E6A">
      <w:start w:val="1"/>
      <w:numFmt w:val="bullet"/>
      <w:pStyle w:val="USBullet1"/>
      <w:lvlText w:val=""/>
      <w:lvlJc w:val="left"/>
      <w:pPr>
        <w:tabs>
          <w:tab w:val="num" w:pos="425"/>
        </w:tabs>
        <w:ind w:left="425" w:hanging="425"/>
      </w:pPr>
      <w:rPr>
        <w:rFonts w:ascii="Symbol" w:hAnsi="Symbol" w:hint="default"/>
        <w:color w:val="auto"/>
      </w:rPr>
    </w:lvl>
    <w:lvl w:ilvl="1" w:tplc="30326492">
      <w:start w:val="1"/>
      <w:numFmt w:val="bullet"/>
      <w:pStyle w:val="USBullet2"/>
      <w:lvlText w:val="-"/>
      <w:lvlJc w:val="left"/>
      <w:pPr>
        <w:tabs>
          <w:tab w:val="num" w:pos="851"/>
        </w:tabs>
        <w:ind w:left="851" w:hanging="426"/>
      </w:pPr>
      <w:rPr>
        <w:rFonts w:ascii="Courier New" w:hAnsi="Courier New" w:hint="default"/>
      </w:rPr>
    </w:lvl>
    <w:lvl w:ilvl="2" w:tplc="AD4CB28C">
      <w:start w:val="1"/>
      <w:numFmt w:val="bullet"/>
      <w:pStyle w:val="USBullet3"/>
      <w:lvlText w:val=""/>
      <w:lvlJc w:val="left"/>
      <w:pPr>
        <w:tabs>
          <w:tab w:val="num" w:pos="1276"/>
        </w:tabs>
        <w:ind w:left="1276" w:hanging="425"/>
      </w:pPr>
      <w:rPr>
        <w:rFonts w:ascii="Wingdings" w:hAnsi="Wingdings" w:hint="default"/>
      </w:rPr>
    </w:lvl>
    <w:lvl w:ilvl="3" w:tplc="23B8CC26">
      <w:start w:val="1"/>
      <w:numFmt w:val="none"/>
      <w:suff w:val="nothing"/>
      <w:lvlText w:val=""/>
      <w:lvlJc w:val="left"/>
      <w:pPr>
        <w:ind w:left="1276" w:firstLine="0"/>
      </w:pPr>
      <w:rPr>
        <w:rFonts w:hint="default"/>
      </w:rPr>
    </w:lvl>
    <w:lvl w:ilvl="4" w:tplc="4D1C864E">
      <w:start w:val="1"/>
      <w:numFmt w:val="none"/>
      <w:suff w:val="nothing"/>
      <w:lvlText w:val=""/>
      <w:lvlJc w:val="left"/>
      <w:pPr>
        <w:ind w:left="1276" w:firstLine="0"/>
      </w:pPr>
      <w:rPr>
        <w:rFonts w:hint="default"/>
      </w:rPr>
    </w:lvl>
    <w:lvl w:ilvl="5" w:tplc="F0C65A5C">
      <w:start w:val="1"/>
      <w:numFmt w:val="none"/>
      <w:suff w:val="nothing"/>
      <w:lvlText w:val=""/>
      <w:lvlJc w:val="left"/>
      <w:pPr>
        <w:ind w:left="1276" w:firstLine="0"/>
      </w:pPr>
      <w:rPr>
        <w:rFonts w:hint="default"/>
      </w:rPr>
    </w:lvl>
    <w:lvl w:ilvl="6" w:tplc="0D5CEAF0">
      <w:start w:val="1"/>
      <w:numFmt w:val="none"/>
      <w:suff w:val="nothing"/>
      <w:lvlText w:val=""/>
      <w:lvlJc w:val="left"/>
      <w:pPr>
        <w:ind w:left="1276" w:firstLine="0"/>
      </w:pPr>
      <w:rPr>
        <w:rFonts w:hint="default"/>
      </w:rPr>
    </w:lvl>
    <w:lvl w:ilvl="7" w:tplc="C15464BA">
      <w:start w:val="1"/>
      <w:numFmt w:val="none"/>
      <w:suff w:val="nothing"/>
      <w:lvlText w:val=""/>
      <w:lvlJc w:val="left"/>
      <w:pPr>
        <w:ind w:left="1276" w:firstLine="0"/>
      </w:pPr>
      <w:rPr>
        <w:rFonts w:hint="default"/>
      </w:rPr>
    </w:lvl>
    <w:lvl w:ilvl="8" w:tplc="BB3C8626">
      <w:start w:val="1"/>
      <w:numFmt w:val="none"/>
      <w:suff w:val="nothing"/>
      <w:lvlText w:val=""/>
      <w:lvlJc w:val="left"/>
      <w:pPr>
        <w:ind w:left="1276" w:firstLine="0"/>
      </w:pPr>
      <w:rPr>
        <w:rFonts w:hint="default"/>
      </w:rPr>
    </w:lvl>
  </w:abstractNum>
  <w:abstractNum w:abstractNumId="40" w15:restartNumberingAfterBreak="0">
    <w:nsid w:val="5D844993"/>
    <w:multiLevelType w:val="hybridMultilevel"/>
    <w:tmpl w:val="7C94B762"/>
    <w:lvl w:ilvl="0" w:tplc="967A50FC">
      <w:start w:val="1"/>
      <w:numFmt w:val="decimal"/>
      <w:pStyle w:val="USNumber1"/>
      <w:lvlText w:val="%1"/>
      <w:lvlJc w:val="left"/>
      <w:pPr>
        <w:tabs>
          <w:tab w:val="num" w:pos="425"/>
        </w:tabs>
        <w:ind w:left="425" w:hanging="425"/>
      </w:pPr>
      <w:rPr>
        <w:rFonts w:hint="default"/>
      </w:rPr>
    </w:lvl>
    <w:lvl w:ilvl="1" w:tplc="27C41788">
      <w:start w:val="1"/>
      <w:numFmt w:val="lowerLetter"/>
      <w:pStyle w:val="USNumbera"/>
      <w:lvlText w:val="%2"/>
      <w:lvlJc w:val="left"/>
      <w:pPr>
        <w:tabs>
          <w:tab w:val="num" w:pos="851"/>
        </w:tabs>
        <w:ind w:left="851" w:hanging="426"/>
      </w:pPr>
      <w:rPr>
        <w:rFonts w:hint="default"/>
      </w:rPr>
    </w:lvl>
    <w:lvl w:ilvl="2" w:tplc="142AD800">
      <w:start w:val="1"/>
      <w:numFmt w:val="lowerRoman"/>
      <w:pStyle w:val="USNumberi"/>
      <w:lvlText w:val="%3"/>
      <w:lvlJc w:val="left"/>
      <w:pPr>
        <w:tabs>
          <w:tab w:val="num" w:pos="1276"/>
        </w:tabs>
        <w:ind w:left="1276" w:hanging="425"/>
      </w:pPr>
      <w:rPr>
        <w:rFonts w:hint="default"/>
      </w:rPr>
    </w:lvl>
    <w:lvl w:ilvl="3" w:tplc="EFBCBE72">
      <w:start w:val="1"/>
      <w:numFmt w:val="none"/>
      <w:suff w:val="nothing"/>
      <w:lvlText w:val=""/>
      <w:lvlJc w:val="left"/>
      <w:pPr>
        <w:ind w:left="1276" w:firstLine="0"/>
      </w:pPr>
      <w:rPr>
        <w:rFonts w:hint="default"/>
      </w:rPr>
    </w:lvl>
    <w:lvl w:ilvl="4" w:tplc="C040EA58">
      <w:start w:val="1"/>
      <w:numFmt w:val="none"/>
      <w:suff w:val="nothing"/>
      <w:lvlText w:val="%5"/>
      <w:lvlJc w:val="left"/>
      <w:pPr>
        <w:ind w:left="1276" w:firstLine="0"/>
      </w:pPr>
      <w:rPr>
        <w:rFonts w:hint="default"/>
      </w:rPr>
    </w:lvl>
    <w:lvl w:ilvl="5" w:tplc="C8FACAB8">
      <w:start w:val="1"/>
      <w:numFmt w:val="none"/>
      <w:suff w:val="nothing"/>
      <w:lvlText w:val="%6"/>
      <w:lvlJc w:val="right"/>
      <w:pPr>
        <w:ind w:left="1276" w:firstLine="0"/>
      </w:pPr>
      <w:rPr>
        <w:rFonts w:hint="default"/>
      </w:rPr>
    </w:lvl>
    <w:lvl w:ilvl="6" w:tplc="9B823BA6">
      <w:start w:val="1"/>
      <w:numFmt w:val="none"/>
      <w:suff w:val="nothing"/>
      <w:lvlText w:val=""/>
      <w:lvlJc w:val="left"/>
      <w:pPr>
        <w:ind w:left="1276" w:firstLine="0"/>
      </w:pPr>
      <w:rPr>
        <w:rFonts w:hint="default"/>
      </w:rPr>
    </w:lvl>
    <w:lvl w:ilvl="7" w:tplc="D31A2C9C">
      <w:start w:val="1"/>
      <w:numFmt w:val="none"/>
      <w:suff w:val="nothing"/>
      <w:lvlText w:val=""/>
      <w:lvlJc w:val="left"/>
      <w:pPr>
        <w:ind w:left="1276" w:firstLine="0"/>
      </w:pPr>
      <w:rPr>
        <w:rFonts w:hint="default"/>
      </w:rPr>
    </w:lvl>
    <w:lvl w:ilvl="8" w:tplc="D2525594">
      <w:start w:val="1"/>
      <w:numFmt w:val="none"/>
      <w:suff w:val="nothing"/>
      <w:lvlText w:val="%9"/>
      <w:lvlJc w:val="right"/>
      <w:pPr>
        <w:ind w:left="1276" w:firstLine="0"/>
      </w:pPr>
      <w:rPr>
        <w:rFonts w:hint="default"/>
      </w:rPr>
    </w:lvl>
  </w:abstractNum>
  <w:abstractNum w:abstractNumId="41" w15:restartNumberingAfterBreak="0">
    <w:nsid w:val="67CF3E49"/>
    <w:multiLevelType w:val="hybridMultilevel"/>
    <w:tmpl w:val="A1CECEA0"/>
    <w:lvl w:ilvl="0" w:tplc="4B988A16">
      <w:start w:val="1"/>
      <w:numFmt w:val="decimal"/>
      <w:pStyle w:val="SNHeading1"/>
      <w:lvlText w:val="%1"/>
      <w:lvlJc w:val="left"/>
      <w:pPr>
        <w:tabs>
          <w:tab w:val="num" w:pos="851"/>
        </w:tabs>
        <w:ind w:left="851" w:hanging="851"/>
      </w:pPr>
      <w:rPr>
        <w:rFonts w:hint="default"/>
      </w:rPr>
    </w:lvl>
    <w:lvl w:ilvl="1" w:tplc="F588F65C">
      <w:start w:val="1"/>
      <w:numFmt w:val="none"/>
      <w:suff w:val="nothing"/>
      <w:lvlText w:val=""/>
      <w:lvlJc w:val="left"/>
      <w:pPr>
        <w:ind w:left="0" w:firstLine="0"/>
      </w:pPr>
      <w:rPr>
        <w:rFonts w:hint="default"/>
      </w:rPr>
    </w:lvl>
    <w:lvl w:ilvl="2" w:tplc="C5307712">
      <w:start w:val="1"/>
      <w:numFmt w:val="decimal"/>
      <w:lvlText w:val="%3."/>
      <w:lvlJc w:val="left"/>
      <w:pPr>
        <w:ind w:left="1440" w:firstLine="0"/>
      </w:pPr>
      <w:rPr>
        <w:rFonts w:hint="default"/>
      </w:rPr>
    </w:lvl>
    <w:lvl w:ilvl="3" w:tplc="5FDAA0C2">
      <w:start w:val="1"/>
      <w:numFmt w:val="lowerLetter"/>
      <w:lvlText w:val="%4)"/>
      <w:lvlJc w:val="left"/>
      <w:pPr>
        <w:ind w:left="2160" w:firstLine="0"/>
      </w:pPr>
      <w:rPr>
        <w:rFonts w:hint="default"/>
      </w:rPr>
    </w:lvl>
    <w:lvl w:ilvl="4" w:tplc="D2940DCE">
      <w:start w:val="1"/>
      <w:numFmt w:val="decimal"/>
      <w:lvlText w:val="(%5)"/>
      <w:lvlJc w:val="left"/>
      <w:pPr>
        <w:ind w:left="2880" w:firstLine="0"/>
      </w:pPr>
      <w:rPr>
        <w:rFonts w:hint="default"/>
      </w:rPr>
    </w:lvl>
    <w:lvl w:ilvl="5" w:tplc="E30CD2DE">
      <w:start w:val="1"/>
      <w:numFmt w:val="lowerLetter"/>
      <w:lvlText w:val="(%6)"/>
      <w:lvlJc w:val="left"/>
      <w:pPr>
        <w:ind w:left="3600" w:firstLine="0"/>
      </w:pPr>
      <w:rPr>
        <w:rFonts w:hint="default"/>
      </w:rPr>
    </w:lvl>
    <w:lvl w:ilvl="6" w:tplc="04FA6444">
      <w:start w:val="1"/>
      <w:numFmt w:val="lowerRoman"/>
      <w:lvlText w:val="(%7)"/>
      <w:lvlJc w:val="left"/>
      <w:pPr>
        <w:ind w:left="4320" w:firstLine="0"/>
      </w:pPr>
      <w:rPr>
        <w:rFonts w:hint="default"/>
      </w:rPr>
    </w:lvl>
    <w:lvl w:ilvl="7" w:tplc="16202E0E">
      <w:start w:val="1"/>
      <w:numFmt w:val="lowerLetter"/>
      <w:lvlText w:val="(%8)"/>
      <w:lvlJc w:val="left"/>
      <w:pPr>
        <w:ind w:left="5040" w:firstLine="0"/>
      </w:pPr>
      <w:rPr>
        <w:rFonts w:hint="default"/>
      </w:rPr>
    </w:lvl>
    <w:lvl w:ilvl="8" w:tplc="3ED26756">
      <w:start w:val="1"/>
      <w:numFmt w:val="lowerRoman"/>
      <w:lvlText w:val="(%9)"/>
      <w:lvlJc w:val="left"/>
      <w:pPr>
        <w:ind w:left="5760" w:firstLine="0"/>
      </w:pPr>
      <w:rPr>
        <w:rFonts w:hint="default"/>
      </w:rPr>
    </w:lvl>
  </w:abstractNum>
  <w:abstractNum w:abstractNumId="42" w15:restartNumberingAfterBreak="0">
    <w:nsid w:val="6EA6241D"/>
    <w:multiLevelType w:val="hybridMultilevel"/>
    <w:tmpl w:val="4628E914"/>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43" w15:restartNumberingAfterBreak="0">
    <w:nsid w:val="6F8B6B65"/>
    <w:multiLevelType w:val="hybridMultilevel"/>
    <w:tmpl w:val="9180869E"/>
    <w:lvl w:ilvl="0" w:tplc="AD62FC06">
      <w:start w:val="1"/>
      <w:numFmt w:val="decimal"/>
      <w:lvlText w:val="%1."/>
      <w:lvlJc w:val="left"/>
      <w:pPr>
        <w:ind w:left="1980" w:hanging="420"/>
      </w:pPr>
      <w:rPr>
        <w:rFonts w:hint="default"/>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3BC3635"/>
    <w:multiLevelType w:val="hybridMultilevel"/>
    <w:tmpl w:val="AAF06B2C"/>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45" w15:restartNumberingAfterBreak="0">
    <w:nsid w:val="7AB83834"/>
    <w:multiLevelType w:val="hybridMultilevel"/>
    <w:tmpl w:val="3AF669A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46" w15:restartNumberingAfterBreak="0">
    <w:nsid w:val="7CEB294A"/>
    <w:multiLevelType w:val="hybridMultilevel"/>
    <w:tmpl w:val="A5265696"/>
    <w:lvl w:ilvl="0" w:tplc="2B26E032">
      <w:start w:val="1"/>
      <w:numFmt w:val="lowerRoman"/>
      <w:pStyle w:val="Romannumerals"/>
      <w:lvlText w:val="%1."/>
      <w:lvlJc w:val="righ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8"/>
  </w:num>
  <w:num w:numId="5">
    <w:abstractNumId w:val="21"/>
  </w:num>
  <w:num w:numId="6">
    <w:abstractNumId w:val="9"/>
  </w:num>
  <w:num w:numId="7">
    <w:abstractNumId w:val="27"/>
  </w:num>
  <w:num w:numId="8">
    <w:abstractNumId w:val="32"/>
  </w:num>
  <w:num w:numId="9">
    <w:abstractNumId w:val="41"/>
  </w:num>
  <w:num w:numId="10">
    <w:abstractNumId w:val="33"/>
  </w:num>
  <w:num w:numId="11">
    <w:abstractNumId w:val="23"/>
  </w:num>
  <w:num w:numId="12">
    <w:abstractNumId w:val="0"/>
  </w:num>
  <w:num w:numId="13">
    <w:abstractNumId w:val="39"/>
  </w:num>
  <w:num w:numId="14">
    <w:abstractNumId w:val="34"/>
  </w:num>
  <w:num w:numId="15">
    <w:abstractNumId w:val="40"/>
  </w:num>
  <w:num w:numId="16">
    <w:abstractNumId w:val="30"/>
  </w:num>
  <w:num w:numId="17">
    <w:abstractNumId w:val="11"/>
  </w:num>
  <w:num w:numId="18">
    <w:abstractNumId w:val="46"/>
  </w:num>
  <w:num w:numId="19">
    <w:abstractNumId w:val="5"/>
  </w:num>
  <w:num w:numId="20">
    <w:abstractNumId w:val="7"/>
  </w:num>
  <w:num w:numId="21">
    <w:abstractNumId w:val="24"/>
  </w:num>
  <w:num w:numId="22">
    <w:abstractNumId w:val="20"/>
  </w:num>
  <w:num w:numId="23">
    <w:abstractNumId w:val="31"/>
  </w:num>
  <w:num w:numId="24">
    <w:abstractNumId w:val="13"/>
  </w:num>
  <w:num w:numId="25">
    <w:abstractNumId w:val="8"/>
  </w:num>
  <w:num w:numId="26">
    <w:abstractNumId w:val="42"/>
  </w:num>
  <w:num w:numId="27">
    <w:abstractNumId w:val="1"/>
  </w:num>
  <w:num w:numId="28">
    <w:abstractNumId w:val="17"/>
  </w:num>
  <w:num w:numId="29">
    <w:abstractNumId w:val="19"/>
  </w:num>
  <w:num w:numId="30">
    <w:abstractNumId w:val="29"/>
  </w:num>
  <w:num w:numId="31">
    <w:abstractNumId w:val="36"/>
  </w:num>
  <w:num w:numId="32">
    <w:abstractNumId w:val="28"/>
  </w:num>
  <w:num w:numId="33">
    <w:abstractNumId w:val="4"/>
  </w:num>
  <w:num w:numId="34">
    <w:abstractNumId w:val="25"/>
  </w:num>
  <w:num w:numId="35">
    <w:abstractNumId w:val="35"/>
  </w:num>
  <w:num w:numId="36">
    <w:abstractNumId w:val="3"/>
  </w:num>
  <w:num w:numId="37">
    <w:abstractNumId w:val="16"/>
  </w:num>
  <w:num w:numId="38">
    <w:abstractNumId w:val="44"/>
  </w:num>
  <w:num w:numId="39">
    <w:abstractNumId w:val="2"/>
  </w:num>
  <w:num w:numId="40">
    <w:abstractNumId w:val="43"/>
  </w:num>
  <w:num w:numId="41">
    <w:abstractNumId w:val="5"/>
  </w:num>
  <w:num w:numId="42">
    <w:abstractNumId w:val="5"/>
  </w:num>
  <w:num w:numId="43">
    <w:abstractNumId w:val="26"/>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45"/>
  </w:num>
  <w:num w:numId="53">
    <w:abstractNumId w:val="10"/>
  </w:num>
  <w:num w:numId="54">
    <w:abstractNumId w:val="22"/>
  </w:num>
  <w:num w:numId="55">
    <w:abstractNumId w:val="38"/>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5"/>
    <w:lvlOverride w:ilvl="0">
      <w:startOverride w:val="1"/>
    </w:lvlOverride>
  </w:num>
  <w:num w:numId="63">
    <w:abstractNumId w:val="14"/>
  </w:num>
  <w:num w:numId="64">
    <w:abstractNumId w:val="5"/>
    <w:lvlOverride w:ilvl="0">
      <w:startOverride w:val="1"/>
    </w:lvlOverride>
  </w:num>
  <w:num w:numId="65">
    <w:abstractNumId w:val="37"/>
  </w:num>
  <w:num w:numId="66">
    <w:abstractNumId w:val="5"/>
    <w:lvlOverride w:ilvl="0">
      <w:startOverride w:val="1"/>
    </w:lvlOverride>
  </w:num>
  <w:num w:numId="67">
    <w:abstractNumId w:val="5"/>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a1NLE0sDQ2NTNS0lEKTi0uzszPAykwrwUABlaO9SwAAAA="/>
    <w:docVar w:name="ContentsAppendix" w:val="1"/>
    <w:docVar w:name="ContentsAppendixLevel" w:val="1"/>
    <w:docVar w:name="ContentsCreated" w:val="1"/>
    <w:docVar w:name="ContentsFigure" w:val="1"/>
    <w:docVar w:name="ContentsMain" w:val="1"/>
    <w:docVar w:name="ContentsMainLevel" w:val="1"/>
    <w:docVar w:name="ContentsTable" w:val="1"/>
    <w:docVar w:name="DocumentStatus" w:val="DRAFT"/>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46BE2"/>
    <w:rsid w:val="0000031E"/>
    <w:rsid w:val="0000044A"/>
    <w:rsid w:val="000010B6"/>
    <w:rsid w:val="00001429"/>
    <w:rsid w:val="0000158E"/>
    <w:rsid w:val="00001739"/>
    <w:rsid w:val="00002C63"/>
    <w:rsid w:val="00002CA8"/>
    <w:rsid w:val="0000319E"/>
    <w:rsid w:val="000032A6"/>
    <w:rsid w:val="00003D67"/>
    <w:rsid w:val="00004647"/>
    <w:rsid w:val="000049B1"/>
    <w:rsid w:val="00004CF4"/>
    <w:rsid w:val="000051D2"/>
    <w:rsid w:val="00006189"/>
    <w:rsid w:val="00006606"/>
    <w:rsid w:val="0000687E"/>
    <w:rsid w:val="00006DC6"/>
    <w:rsid w:val="0000739E"/>
    <w:rsid w:val="00007816"/>
    <w:rsid w:val="00012A65"/>
    <w:rsid w:val="00012D58"/>
    <w:rsid w:val="00012EA3"/>
    <w:rsid w:val="000131AA"/>
    <w:rsid w:val="00013423"/>
    <w:rsid w:val="0001373C"/>
    <w:rsid w:val="00013E41"/>
    <w:rsid w:val="00014308"/>
    <w:rsid w:val="00015313"/>
    <w:rsid w:val="00015469"/>
    <w:rsid w:val="00016CC3"/>
    <w:rsid w:val="00016D93"/>
    <w:rsid w:val="00017303"/>
    <w:rsid w:val="00017352"/>
    <w:rsid w:val="0001792B"/>
    <w:rsid w:val="0002162B"/>
    <w:rsid w:val="00021E29"/>
    <w:rsid w:val="00023770"/>
    <w:rsid w:val="000237D2"/>
    <w:rsid w:val="000240ED"/>
    <w:rsid w:val="00025562"/>
    <w:rsid w:val="00025609"/>
    <w:rsid w:val="00025741"/>
    <w:rsid w:val="000261F7"/>
    <w:rsid w:val="00026876"/>
    <w:rsid w:val="00026AE2"/>
    <w:rsid w:val="0002701A"/>
    <w:rsid w:val="000302FE"/>
    <w:rsid w:val="000312D1"/>
    <w:rsid w:val="00031C16"/>
    <w:rsid w:val="0003265A"/>
    <w:rsid w:val="00033AF8"/>
    <w:rsid w:val="00033C79"/>
    <w:rsid w:val="000343E8"/>
    <w:rsid w:val="0003488C"/>
    <w:rsid w:val="00034D8E"/>
    <w:rsid w:val="000354FD"/>
    <w:rsid w:val="0003552F"/>
    <w:rsid w:val="00035C78"/>
    <w:rsid w:val="000374ED"/>
    <w:rsid w:val="00037B09"/>
    <w:rsid w:val="0004044B"/>
    <w:rsid w:val="00040694"/>
    <w:rsid w:val="00040D91"/>
    <w:rsid w:val="00041336"/>
    <w:rsid w:val="0004204E"/>
    <w:rsid w:val="00042072"/>
    <w:rsid w:val="00042A7F"/>
    <w:rsid w:val="00043898"/>
    <w:rsid w:val="00045060"/>
    <w:rsid w:val="00045E5F"/>
    <w:rsid w:val="00045FDF"/>
    <w:rsid w:val="000465B9"/>
    <w:rsid w:val="00047650"/>
    <w:rsid w:val="00050840"/>
    <w:rsid w:val="00050BA3"/>
    <w:rsid w:val="000511AC"/>
    <w:rsid w:val="0005124A"/>
    <w:rsid w:val="000515ED"/>
    <w:rsid w:val="000521EB"/>
    <w:rsid w:val="00053A7C"/>
    <w:rsid w:val="00053DA7"/>
    <w:rsid w:val="00054111"/>
    <w:rsid w:val="00054510"/>
    <w:rsid w:val="0005579F"/>
    <w:rsid w:val="00055D9F"/>
    <w:rsid w:val="00055FD5"/>
    <w:rsid w:val="00057221"/>
    <w:rsid w:val="00057DC9"/>
    <w:rsid w:val="00060277"/>
    <w:rsid w:val="0006047A"/>
    <w:rsid w:val="00061478"/>
    <w:rsid w:val="000619A3"/>
    <w:rsid w:val="0006200D"/>
    <w:rsid w:val="000628B4"/>
    <w:rsid w:val="00062902"/>
    <w:rsid w:val="0006300A"/>
    <w:rsid w:val="000630EB"/>
    <w:rsid w:val="000632B2"/>
    <w:rsid w:val="00064327"/>
    <w:rsid w:val="00064E0E"/>
    <w:rsid w:val="00065320"/>
    <w:rsid w:val="00065B9D"/>
    <w:rsid w:val="00065D75"/>
    <w:rsid w:val="000669B8"/>
    <w:rsid w:val="00066ABF"/>
    <w:rsid w:val="0006718A"/>
    <w:rsid w:val="00067D5D"/>
    <w:rsid w:val="00067F84"/>
    <w:rsid w:val="00071702"/>
    <w:rsid w:val="0007232B"/>
    <w:rsid w:val="000736E4"/>
    <w:rsid w:val="00074F80"/>
    <w:rsid w:val="0007555F"/>
    <w:rsid w:val="00075E74"/>
    <w:rsid w:val="00076058"/>
    <w:rsid w:val="0007638D"/>
    <w:rsid w:val="00076D6A"/>
    <w:rsid w:val="00076E0D"/>
    <w:rsid w:val="0007703C"/>
    <w:rsid w:val="000773AE"/>
    <w:rsid w:val="00080418"/>
    <w:rsid w:val="000810B7"/>
    <w:rsid w:val="0008144E"/>
    <w:rsid w:val="00081960"/>
    <w:rsid w:val="00082006"/>
    <w:rsid w:val="0008203A"/>
    <w:rsid w:val="0008227A"/>
    <w:rsid w:val="00082EFF"/>
    <w:rsid w:val="00083295"/>
    <w:rsid w:val="00083336"/>
    <w:rsid w:val="000837A6"/>
    <w:rsid w:val="00083C2A"/>
    <w:rsid w:val="00083C90"/>
    <w:rsid w:val="00083EB5"/>
    <w:rsid w:val="00085291"/>
    <w:rsid w:val="00085373"/>
    <w:rsid w:val="000862A0"/>
    <w:rsid w:val="0008632F"/>
    <w:rsid w:val="000867F2"/>
    <w:rsid w:val="000867FF"/>
    <w:rsid w:val="00086D70"/>
    <w:rsid w:val="00087137"/>
    <w:rsid w:val="000875EF"/>
    <w:rsid w:val="0009078A"/>
    <w:rsid w:val="00091B7A"/>
    <w:rsid w:val="00093344"/>
    <w:rsid w:val="0009356F"/>
    <w:rsid w:val="000936E9"/>
    <w:rsid w:val="00093F4A"/>
    <w:rsid w:val="00094AAF"/>
    <w:rsid w:val="00094DB3"/>
    <w:rsid w:val="000954E0"/>
    <w:rsid w:val="00095759"/>
    <w:rsid w:val="0009603B"/>
    <w:rsid w:val="000963C6"/>
    <w:rsid w:val="00096D41"/>
    <w:rsid w:val="000979C4"/>
    <w:rsid w:val="000A03DF"/>
    <w:rsid w:val="000A0C57"/>
    <w:rsid w:val="000A1F7E"/>
    <w:rsid w:val="000A2D40"/>
    <w:rsid w:val="000A345F"/>
    <w:rsid w:val="000A423D"/>
    <w:rsid w:val="000A425B"/>
    <w:rsid w:val="000A4F46"/>
    <w:rsid w:val="000A5E44"/>
    <w:rsid w:val="000A6D09"/>
    <w:rsid w:val="000B0E58"/>
    <w:rsid w:val="000B2011"/>
    <w:rsid w:val="000B280D"/>
    <w:rsid w:val="000B3086"/>
    <w:rsid w:val="000B330D"/>
    <w:rsid w:val="000B364D"/>
    <w:rsid w:val="000B374F"/>
    <w:rsid w:val="000B49E1"/>
    <w:rsid w:val="000B56A4"/>
    <w:rsid w:val="000B5F6E"/>
    <w:rsid w:val="000B6302"/>
    <w:rsid w:val="000B670D"/>
    <w:rsid w:val="000B6F67"/>
    <w:rsid w:val="000B6FD9"/>
    <w:rsid w:val="000B78CF"/>
    <w:rsid w:val="000C06B3"/>
    <w:rsid w:val="000C2E52"/>
    <w:rsid w:val="000C3D9A"/>
    <w:rsid w:val="000C3F47"/>
    <w:rsid w:val="000C4B65"/>
    <w:rsid w:val="000C5447"/>
    <w:rsid w:val="000C56B0"/>
    <w:rsid w:val="000C585A"/>
    <w:rsid w:val="000C6655"/>
    <w:rsid w:val="000C7450"/>
    <w:rsid w:val="000C798F"/>
    <w:rsid w:val="000C7E21"/>
    <w:rsid w:val="000D05CE"/>
    <w:rsid w:val="000D0AEB"/>
    <w:rsid w:val="000D0C5F"/>
    <w:rsid w:val="000D1F70"/>
    <w:rsid w:val="000D23EF"/>
    <w:rsid w:val="000D3545"/>
    <w:rsid w:val="000D3802"/>
    <w:rsid w:val="000D39D4"/>
    <w:rsid w:val="000D48F6"/>
    <w:rsid w:val="000D5193"/>
    <w:rsid w:val="000D545E"/>
    <w:rsid w:val="000D566E"/>
    <w:rsid w:val="000D6C73"/>
    <w:rsid w:val="000E02DE"/>
    <w:rsid w:val="000E068D"/>
    <w:rsid w:val="000E12B1"/>
    <w:rsid w:val="000E2232"/>
    <w:rsid w:val="000E252A"/>
    <w:rsid w:val="000E2710"/>
    <w:rsid w:val="000E3006"/>
    <w:rsid w:val="000E3316"/>
    <w:rsid w:val="000E3F58"/>
    <w:rsid w:val="000E43D7"/>
    <w:rsid w:val="000E4DA4"/>
    <w:rsid w:val="000E506B"/>
    <w:rsid w:val="000E7259"/>
    <w:rsid w:val="000E7905"/>
    <w:rsid w:val="000E7FB5"/>
    <w:rsid w:val="000F05C7"/>
    <w:rsid w:val="000F072D"/>
    <w:rsid w:val="000F25B0"/>
    <w:rsid w:val="000F37D4"/>
    <w:rsid w:val="000F38DB"/>
    <w:rsid w:val="000F3BFA"/>
    <w:rsid w:val="000F4584"/>
    <w:rsid w:val="000F46AD"/>
    <w:rsid w:val="000F4C76"/>
    <w:rsid w:val="000F5B6F"/>
    <w:rsid w:val="000F6063"/>
    <w:rsid w:val="000F6CF2"/>
    <w:rsid w:val="001001AC"/>
    <w:rsid w:val="00100D68"/>
    <w:rsid w:val="00102E02"/>
    <w:rsid w:val="001035EF"/>
    <w:rsid w:val="001037CD"/>
    <w:rsid w:val="00103CC1"/>
    <w:rsid w:val="00103CDD"/>
    <w:rsid w:val="00104F23"/>
    <w:rsid w:val="001062F5"/>
    <w:rsid w:val="001064B2"/>
    <w:rsid w:val="00107AA8"/>
    <w:rsid w:val="00111828"/>
    <w:rsid w:val="001131C7"/>
    <w:rsid w:val="0011324F"/>
    <w:rsid w:val="001136BA"/>
    <w:rsid w:val="001139A1"/>
    <w:rsid w:val="00113B32"/>
    <w:rsid w:val="00113B3E"/>
    <w:rsid w:val="0011465F"/>
    <w:rsid w:val="00114A87"/>
    <w:rsid w:val="00114BB0"/>
    <w:rsid w:val="00114C23"/>
    <w:rsid w:val="001158D4"/>
    <w:rsid w:val="001164AE"/>
    <w:rsid w:val="00116B91"/>
    <w:rsid w:val="0011704B"/>
    <w:rsid w:val="00120AA3"/>
    <w:rsid w:val="001211FC"/>
    <w:rsid w:val="001213D7"/>
    <w:rsid w:val="00121913"/>
    <w:rsid w:val="00121B1D"/>
    <w:rsid w:val="001223D6"/>
    <w:rsid w:val="0012394B"/>
    <w:rsid w:val="00123B16"/>
    <w:rsid w:val="00124A67"/>
    <w:rsid w:val="00126E4E"/>
    <w:rsid w:val="001276B1"/>
    <w:rsid w:val="001276D2"/>
    <w:rsid w:val="00127A57"/>
    <w:rsid w:val="001304E2"/>
    <w:rsid w:val="00130E3F"/>
    <w:rsid w:val="001316AC"/>
    <w:rsid w:val="00132037"/>
    <w:rsid w:val="00132486"/>
    <w:rsid w:val="00133781"/>
    <w:rsid w:val="00135060"/>
    <w:rsid w:val="00135902"/>
    <w:rsid w:val="0013636D"/>
    <w:rsid w:val="00137AF4"/>
    <w:rsid w:val="00137D8E"/>
    <w:rsid w:val="001406BC"/>
    <w:rsid w:val="00140C56"/>
    <w:rsid w:val="00141529"/>
    <w:rsid w:val="00142828"/>
    <w:rsid w:val="001428E4"/>
    <w:rsid w:val="001429B3"/>
    <w:rsid w:val="00143CD1"/>
    <w:rsid w:val="00144146"/>
    <w:rsid w:val="001450EF"/>
    <w:rsid w:val="00146293"/>
    <w:rsid w:val="001464CA"/>
    <w:rsid w:val="00146817"/>
    <w:rsid w:val="00146C1E"/>
    <w:rsid w:val="00147042"/>
    <w:rsid w:val="00147BC6"/>
    <w:rsid w:val="00147D02"/>
    <w:rsid w:val="00150501"/>
    <w:rsid w:val="001506B6"/>
    <w:rsid w:val="001512D4"/>
    <w:rsid w:val="00153AD7"/>
    <w:rsid w:val="00154B55"/>
    <w:rsid w:val="00154B65"/>
    <w:rsid w:val="0015638F"/>
    <w:rsid w:val="00156DE9"/>
    <w:rsid w:val="00156F81"/>
    <w:rsid w:val="00157095"/>
    <w:rsid w:val="00157381"/>
    <w:rsid w:val="00157578"/>
    <w:rsid w:val="0015761D"/>
    <w:rsid w:val="00157D6F"/>
    <w:rsid w:val="001605A3"/>
    <w:rsid w:val="0016066F"/>
    <w:rsid w:val="00160F24"/>
    <w:rsid w:val="001612BB"/>
    <w:rsid w:val="0016232C"/>
    <w:rsid w:val="001625DC"/>
    <w:rsid w:val="00162D73"/>
    <w:rsid w:val="00163141"/>
    <w:rsid w:val="0016379C"/>
    <w:rsid w:val="00163DF6"/>
    <w:rsid w:val="001650D5"/>
    <w:rsid w:val="001651C3"/>
    <w:rsid w:val="00166557"/>
    <w:rsid w:val="00166CE5"/>
    <w:rsid w:val="00171D46"/>
    <w:rsid w:val="00172144"/>
    <w:rsid w:val="001722E9"/>
    <w:rsid w:val="001727DA"/>
    <w:rsid w:val="00172F1B"/>
    <w:rsid w:val="001730A4"/>
    <w:rsid w:val="00173CD9"/>
    <w:rsid w:val="0017420D"/>
    <w:rsid w:val="00174718"/>
    <w:rsid w:val="001749B4"/>
    <w:rsid w:val="00175328"/>
    <w:rsid w:val="00175AA0"/>
    <w:rsid w:val="00175F4C"/>
    <w:rsid w:val="001763D5"/>
    <w:rsid w:val="00176634"/>
    <w:rsid w:val="00176E71"/>
    <w:rsid w:val="001770DE"/>
    <w:rsid w:val="00177AFC"/>
    <w:rsid w:val="0018007E"/>
    <w:rsid w:val="00180A4B"/>
    <w:rsid w:val="00180B42"/>
    <w:rsid w:val="00180B6B"/>
    <w:rsid w:val="001810A5"/>
    <w:rsid w:val="00181480"/>
    <w:rsid w:val="0018165D"/>
    <w:rsid w:val="0018197E"/>
    <w:rsid w:val="00182648"/>
    <w:rsid w:val="00182801"/>
    <w:rsid w:val="00182AC7"/>
    <w:rsid w:val="00182EBD"/>
    <w:rsid w:val="00182EFA"/>
    <w:rsid w:val="00182F46"/>
    <w:rsid w:val="00183396"/>
    <w:rsid w:val="00183DA0"/>
    <w:rsid w:val="00183DF7"/>
    <w:rsid w:val="00183EE8"/>
    <w:rsid w:val="00184E24"/>
    <w:rsid w:val="00185022"/>
    <w:rsid w:val="0018557F"/>
    <w:rsid w:val="00185909"/>
    <w:rsid w:val="00186A0F"/>
    <w:rsid w:val="001906C5"/>
    <w:rsid w:val="0019146D"/>
    <w:rsid w:val="00192286"/>
    <w:rsid w:val="00193E65"/>
    <w:rsid w:val="00193F51"/>
    <w:rsid w:val="0019418F"/>
    <w:rsid w:val="00194C5B"/>
    <w:rsid w:val="00194CC2"/>
    <w:rsid w:val="00194CE7"/>
    <w:rsid w:val="001950CD"/>
    <w:rsid w:val="001959A3"/>
    <w:rsid w:val="001A0B22"/>
    <w:rsid w:val="001A0CB8"/>
    <w:rsid w:val="001A14E3"/>
    <w:rsid w:val="001A1B65"/>
    <w:rsid w:val="001A1D05"/>
    <w:rsid w:val="001A249C"/>
    <w:rsid w:val="001A33FB"/>
    <w:rsid w:val="001A3484"/>
    <w:rsid w:val="001A479B"/>
    <w:rsid w:val="001A4912"/>
    <w:rsid w:val="001A6FB1"/>
    <w:rsid w:val="001A6FE9"/>
    <w:rsid w:val="001A7F14"/>
    <w:rsid w:val="001B0287"/>
    <w:rsid w:val="001B0607"/>
    <w:rsid w:val="001B0EEE"/>
    <w:rsid w:val="001B2566"/>
    <w:rsid w:val="001B2E60"/>
    <w:rsid w:val="001B3134"/>
    <w:rsid w:val="001B37A9"/>
    <w:rsid w:val="001B3D7B"/>
    <w:rsid w:val="001B4D4B"/>
    <w:rsid w:val="001B563E"/>
    <w:rsid w:val="001B57D2"/>
    <w:rsid w:val="001B5C1C"/>
    <w:rsid w:val="001B5EBB"/>
    <w:rsid w:val="001B6153"/>
    <w:rsid w:val="001B6A4D"/>
    <w:rsid w:val="001B6BFA"/>
    <w:rsid w:val="001C2322"/>
    <w:rsid w:val="001C2999"/>
    <w:rsid w:val="001C2C3B"/>
    <w:rsid w:val="001C2E9C"/>
    <w:rsid w:val="001C2F4D"/>
    <w:rsid w:val="001C371B"/>
    <w:rsid w:val="001C52DB"/>
    <w:rsid w:val="001C5646"/>
    <w:rsid w:val="001C6613"/>
    <w:rsid w:val="001C7D78"/>
    <w:rsid w:val="001C7DC4"/>
    <w:rsid w:val="001D0130"/>
    <w:rsid w:val="001D18BA"/>
    <w:rsid w:val="001D1D30"/>
    <w:rsid w:val="001D23FD"/>
    <w:rsid w:val="001D24BD"/>
    <w:rsid w:val="001D2A69"/>
    <w:rsid w:val="001D3098"/>
    <w:rsid w:val="001D3DE5"/>
    <w:rsid w:val="001D5002"/>
    <w:rsid w:val="001D7570"/>
    <w:rsid w:val="001D782D"/>
    <w:rsid w:val="001D7A1B"/>
    <w:rsid w:val="001D7A23"/>
    <w:rsid w:val="001D7F8D"/>
    <w:rsid w:val="001E0627"/>
    <w:rsid w:val="001E18D5"/>
    <w:rsid w:val="001E229F"/>
    <w:rsid w:val="001E230E"/>
    <w:rsid w:val="001E2E13"/>
    <w:rsid w:val="001E682F"/>
    <w:rsid w:val="001E68D7"/>
    <w:rsid w:val="001E6FED"/>
    <w:rsid w:val="001E78B4"/>
    <w:rsid w:val="001E7A7F"/>
    <w:rsid w:val="001E7C2C"/>
    <w:rsid w:val="001E7C7A"/>
    <w:rsid w:val="001E7DF1"/>
    <w:rsid w:val="001F0128"/>
    <w:rsid w:val="001F01C2"/>
    <w:rsid w:val="001F0912"/>
    <w:rsid w:val="001F13C4"/>
    <w:rsid w:val="001F14D9"/>
    <w:rsid w:val="001F15B9"/>
    <w:rsid w:val="001F18B7"/>
    <w:rsid w:val="001F1CAD"/>
    <w:rsid w:val="001F2140"/>
    <w:rsid w:val="001F2854"/>
    <w:rsid w:val="001F3434"/>
    <w:rsid w:val="001F4580"/>
    <w:rsid w:val="001F56F7"/>
    <w:rsid w:val="001F75EC"/>
    <w:rsid w:val="001F7861"/>
    <w:rsid w:val="001F7BAB"/>
    <w:rsid w:val="001F7FC0"/>
    <w:rsid w:val="0020054D"/>
    <w:rsid w:val="002006FC"/>
    <w:rsid w:val="00201AE0"/>
    <w:rsid w:val="00201C7C"/>
    <w:rsid w:val="002025C0"/>
    <w:rsid w:val="00202A4D"/>
    <w:rsid w:val="0020341D"/>
    <w:rsid w:val="00203590"/>
    <w:rsid w:val="002038FC"/>
    <w:rsid w:val="00203BBD"/>
    <w:rsid w:val="00204B34"/>
    <w:rsid w:val="00204C7B"/>
    <w:rsid w:val="00204ED7"/>
    <w:rsid w:val="00205157"/>
    <w:rsid w:val="002053FD"/>
    <w:rsid w:val="0020597D"/>
    <w:rsid w:val="00205C9E"/>
    <w:rsid w:val="00206387"/>
    <w:rsid w:val="00206735"/>
    <w:rsid w:val="00206BC2"/>
    <w:rsid w:val="002079AF"/>
    <w:rsid w:val="00207B24"/>
    <w:rsid w:val="00210582"/>
    <w:rsid w:val="00213318"/>
    <w:rsid w:val="00214D3B"/>
    <w:rsid w:val="00215350"/>
    <w:rsid w:val="00215A75"/>
    <w:rsid w:val="00215ECF"/>
    <w:rsid w:val="00216D2F"/>
    <w:rsid w:val="0022097E"/>
    <w:rsid w:val="00222084"/>
    <w:rsid w:val="0022317E"/>
    <w:rsid w:val="00223A73"/>
    <w:rsid w:val="00225247"/>
    <w:rsid w:val="00225363"/>
    <w:rsid w:val="002257ED"/>
    <w:rsid w:val="002261A9"/>
    <w:rsid w:val="002266C1"/>
    <w:rsid w:val="0022733E"/>
    <w:rsid w:val="002274AD"/>
    <w:rsid w:val="002276BE"/>
    <w:rsid w:val="0023026F"/>
    <w:rsid w:val="00231313"/>
    <w:rsid w:val="0023138A"/>
    <w:rsid w:val="002315B8"/>
    <w:rsid w:val="002315B9"/>
    <w:rsid w:val="00233162"/>
    <w:rsid w:val="002331C1"/>
    <w:rsid w:val="002342A7"/>
    <w:rsid w:val="00234FDA"/>
    <w:rsid w:val="00236991"/>
    <w:rsid w:val="00237E1B"/>
    <w:rsid w:val="00240904"/>
    <w:rsid w:val="00241370"/>
    <w:rsid w:val="00241A11"/>
    <w:rsid w:val="00242FAB"/>
    <w:rsid w:val="0024309F"/>
    <w:rsid w:val="00243612"/>
    <w:rsid w:val="00243AF7"/>
    <w:rsid w:val="00244828"/>
    <w:rsid w:val="00244A4A"/>
    <w:rsid w:val="00244A8B"/>
    <w:rsid w:val="00245C78"/>
    <w:rsid w:val="00245F81"/>
    <w:rsid w:val="00246BE2"/>
    <w:rsid w:val="00247345"/>
    <w:rsid w:val="0025034C"/>
    <w:rsid w:val="00250DE8"/>
    <w:rsid w:val="00251461"/>
    <w:rsid w:val="00251518"/>
    <w:rsid w:val="002516B4"/>
    <w:rsid w:val="00252064"/>
    <w:rsid w:val="002532A2"/>
    <w:rsid w:val="00255497"/>
    <w:rsid w:val="0025599E"/>
    <w:rsid w:val="00256DE2"/>
    <w:rsid w:val="00257495"/>
    <w:rsid w:val="002575B6"/>
    <w:rsid w:val="002602E3"/>
    <w:rsid w:val="00260D7B"/>
    <w:rsid w:val="00260D9E"/>
    <w:rsid w:val="00261181"/>
    <w:rsid w:val="00262F22"/>
    <w:rsid w:val="002630CA"/>
    <w:rsid w:val="00263FED"/>
    <w:rsid w:val="002640B8"/>
    <w:rsid w:val="0026497F"/>
    <w:rsid w:val="002649B6"/>
    <w:rsid w:val="002650D3"/>
    <w:rsid w:val="00266A4E"/>
    <w:rsid w:val="00267ABD"/>
    <w:rsid w:val="00267BAF"/>
    <w:rsid w:val="00270DA3"/>
    <w:rsid w:val="00271AA6"/>
    <w:rsid w:val="00271EF3"/>
    <w:rsid w:val="0027211A"/>
    <w:rsid w:val="002721DD"/>
    <w:rsid w:val="00275C35"/>
    <w:rsid w:val="00275F98"/>
    <w:rsid w:val="00276B51"/>
    <w:rsid w:val="0028011B"/>
    <w:rsid w:val="00280127"/>
    <w:rsid w:val="002806E7"/>
    <w:rsid w:val="00280AB2"/>
    <w:rsid w:val="0028163B"/>
    <w:rsid w:val="00281B34"/>
    <w:rsid w:val="00282875"/>
    <w:rsid w:val="00282DB5"/>
    <w:rsid w:val="00283613"/>
    <w:rsid w:val="00284FD9"/>
    <w:rsid w:val="002859E5"/>
    <w:rsid w:val="002862D1"/>
    <w:rsid w:val="00287176"/>
    <w:rsid w:val="00287666"/>
    <w:rsid w:val="00292D62"/>
    <w:rsid w:val="0029326F"/>
    <w:rsid w:val="002935B7"/>
    <w:rsid w:val="002936DC"/>
    <w:rsid w:val="00293791"/>
    <w:rsid w:val="0029493E"/>
    <w:rsid w:val="00295F96"/>
    <w:rsid w:val="00297278"/>
    <w:rsid w:val="0029730F"/>
    <w:rsid w:val="002A1362"/>
    <w:rsid w:val="002A2422"/>
    <w:rsid w:val="002A2489"/>
    <w:rsid w:val="002A275A"/>
    <w:rsid w:val="002A2BAC"/>
    <w:rsid w:val="002A30CE"/>
    <w:rsid w:val="002A3192"/>
    <w:rsid w:val="002A3AF1"/>
    <w:rsid w:val="002A4492"/>
    <w:rsid w:val="002A4B76"/>
    <w:rsid w:val="002A501B"/>
    <w:rsid w:val="002A59DA"/>
    <w:rsid w:val="002A6354"/>
    <w:rsid w:val="002A6542"/>
    <w:rsid w:val="002A6F25"/>
    <w:rsid w:val="002A7C8B"/>
    <w:rsid w:val="002B02DE"/>
    <w:rsid w:val="002B0385"/>
    <w:rsid w:val="002B0CC6"/>
    <w:rsid w:val="002B0E30"/>
    <w:rsid w:val="002B0EEA"/>
    <w:rsid w:val="002B1472"/>
    <w:rsid w:val="002B16A2"/>
    <w:rsid w:val="002B1ADE"/>
    <w:rsid w:val="002B1BF5"/>
    <w:rsid w:val="002B20EA"/>
    <w:rsid w:val="002B20FA"/>
    <w:rsid w:val="002B24DC"/>
    <w:rsid w:val="002B50E2"/>
    <w:rsid w:val="002B52C2"/>
    <w:rsid w:val="002B6784"/>
    <w:rsid w:val="002C17E3"/>
    <w:rsid w:val="002C1A0A"/>
    <w:rsid w:val="002C2268"/>
    <w:rsid w:val="002C22E6"/>
    <w:rsid w:val="002C2619"/>
    <w:rsid w:val="002C2666"/>
    <w:rsid w:val="002C293B"/>
    <w:rsid w:val="002C2A79"/>
    <w:rsid w:val="002C2D8A"/>
    <w:rsid w:val="002C4B99"/>
    <w:rsid w:val="002C5A3F"/>
    <w:rsid w:val="002C5B81"/>
    <w:rsid w:val="002C613D"/>
    <w:rsid w:val="002C6FDC"/>
    <w:rsid w:val="002C7E8D"/>
    <w:rsid w:val="002D11B7"/>
    <w:rsid w:val="002D1580"/>
    <w:rsid w:val="002D17D7"/>
    <w:rsid w:val="002D1DDA"/>
    <w:rsid w:val="002D2A38"/>
    <w:rsid w:val="002D2A48"/>
    <w:rsid w:val="002D316B"/>
    <w:rsid w:val="002D333A"/>
    <w:rsid w:val="002D35BC"/>
    <w:rsid w:val="002D3A02"/>
    <w:rsid w:val="002D4FBF"/>
    <w:rsid w:val="002D635D"/>
    <w:rsid w:val="002D72FC"/>
    <w:rsid w:val="002D7611"/>
    <w:rsid w:val="002E0CBA"/>
    <w:rsid w:val="002E0E38"/>
    <w:rsid w:val="002E0FB6"/>
    <w:rsid w:val="002E134E"/>
    <w:rsid w:val="002E1E00"/>
    <w:rsid w:val="002E25A1"/>
    <w:rsid w:val="002E2934"/>
    <w:rsid w:val="002E3B62"/>
    <w:rsid w:val="002E4A06"/>
    <w:rsid w:val="002E52E1"/>
    <w:rsid w:val="002E55A9"/>
    <w:rsid w:val="002E5BA1"/>
    <w:rsid w:val="002E6790"/>
    <w:rsid w:val="002E6D3B"/>
    <w:rsid w:val="002E6F32"/>
    <w:rsid w:val="002F043B"/>
    <w:rsid w:val="002F0488"/>
    <w:rsid w:val="002F07D7"/>
    <w:rsid w:val="002F14B4"/>
    <w:rsid w:val="002F1567"/>
    <w:rsid w:val="002F2531"/>
    <w:rsid w:val="002F2FD2"/>
    <w:rsid w:val="002F3715"/>
    <w:rsid w:val="002F3C54"/>
    <w:rsid w:val="002F3CC8"/>
    <w:rsid w:val="002F4A29"/>
    <w:rsid w:val="002F4FA5"/>
    <w:rsid w:val="002F58D5"/>
    <w:rsid w:val="002F6788"/>
    <w:rsid w:val="002F6840"/>
    <w:rsid w:val="002F715D"/>
    <w:rsid w:val="002F7CA3"/>
    <w:rsid w:val="00300439"/>
    <w:rsid w:val="00300909"/>
    <w:rsid w:val="003022EB"/>
    <w:rsid w:val="00302CD5"/>
    <w:rsid w:val="003035C9"/>
    <w:rsid w:val="00303E7B"/>
    <w:rsid w:val="00303FB7"/>
    <w:rsid w:val="00304125"/>
    <w:rsid w:val="00304CAC"/>
    <w:rsid w:val="00304F6F"/>
    <w:rsid w:val="003058F5"/>
    <w:rsid w:val="003066E3"/>
    <w:rsid w:val="00306D66"/>
    <w:rsid w:val="00306F77"/>
    <w:rsid w:val="00307436"/>
    <w:rsid w:val="00307629"/>
    <w:rsid w:val="0031065D"/>
    <w:rsid w:val="00310A35"/>
    <w:rsid w:val="0031201A"/>
    <w:rsid w:val="00312398"/>
    <w:rsid w:val="003138D0"/>
    <w:rsid w:val="00314311"/>
    <w:rsid w:val="0031538E"/>
    <w:rsid w:val="003154AF"/>
    <w:rsid w:val="0031628C"/>
    <w:rsid w:val="00316790"/>
    <w:rsid w:val="00316CDE"/>
    <w:rsid w:val="00316DA6"/>
    <w:rsid w:val="003175CD"/>
    <w:rsid w:val="0031799E"/>
    <w:rsid w:val="00320436"/>
    <w:rsid w:val="00321380"/>
    <w:rsid w:val="00321686"/>
    <w:rsid w:val="00321B4D"/>
    <w:rsid w:val="0032281F"/>
    <w:rsid w:val="00322B1E"/>
    <w:rsid w:val="00322D00"/>
    <w:rsid w:val="003233D2"/>
    <w:rsid w:val="00323F7C"/>
    <w:rsid w:val="00323FA8"/>
    <w:rsid w:val="003248AD"/>
    <w:rsid w:val="003267DF"/>
    <w:rsid w:val="00326C1B"/>
    <w:rsid w:val="00327441"/>
    <w:rsid w:val="00330739"/>
    <w:rsid w:val="003307D8"/>
    <w:rsid w:val="00331770"/>
    <w:rsid w:val="00331918"/>
    <w:rsid w:val="00332726"/>
    <w:rsid w:val="00333F40"/>
    <w:rsid w:val="00334473"/>
    <w:rsid w:val="003349F9"/>
    <w:rsid w:val="003352F4"/>
    <w:rsid w:val="0033534A"/>
    <w:rsid w:val="00335DEF"/>
    <w:rsid w:val="00336E61"/>
    <w:rsid w:val="00336E6E"/>
    <w:rsid w:val="0034048D"/>
    <w:rsid w:val="00341187"/>
    <w:rsid w:val="0034169C"/>
    <w:rsid w:val="00341DA8"/>
    <w:rsid w:val="00342764"/>
    <w:rsid w:val="003431FF"/>
    <w:rsid w:val="00343A36"/>
    <w:rsid w:val="00344288"/>
    <w:rsid w:val="003443C3"/>
    <w:rsid w:val="00344455"/>
    <w:rsid w:val="003447CE"/>
    <w:rsid w:val="003447D2"/>
    <w:rsid w:val="00344B62"/>
    <w:rsid w:val="00345F47"/>
    <w:rsid w:val="00346D88"/>
    <w:rsid w:val="00347470"/>
    <w:rsid w:val="00347F2D"/>
    <w:rsid w:val="003502A3"/>
    <w:rsid w:val="003506B2"/>
    <w:rsid w:val="003507CB"/>
    <w:rsid w:val="00350F31"/>
    <w:rsid w:val="00350FAA"/>
    <w:rsid w:val="00352F4D"/>
    <w:rsid w:val="003531AB"/>
    <w:rsid w:val="003532F9"/>
    <w:rsid w:val="003535E3"/>
    <w:rsid w:val="00353840"/>
    <w:rsid w:val="003546CC"/>
    <w:rsid w:val="0035562C"/>
    <w:rsid w:val="003559DE"/>
    <w:rsid w:val="00355EDB"/>
    <w:rsid w:val="00356481"/>
    <w:rsid w:val="0035758A"/>
    <w:rsid w:val="003577C4"/>
    <w:rsid w:val="0036094A"/>
    <w:rsid w:val="003624B5"/>
    <w:rsid w:val="003635F5"/>
    <w:rsid w:val="003636AA"/>
    <w:rsid w:val="003642AB"/>
    <w:rsid w:val="00364809"/>
    <w:rsid w:val="00365195"/>
    <w:rsid w:val="003654D2"/>
    <w:rsid w:val="00365A46"/>
    <w:rsid w:val="00365C56"/>
    <w:rsid w:val="003661B0"/>
    <w:rsid w:val="0036723E"/>
    <w:rsid w:val="00367B76"/>
    <w:rsid w:val="00367DE3"/>
    <w:rsid w:val="00367ED0"/>
    <w:rsid w:val="00370B75"/>
    <w:rsid w:val="0037228C"/>
    <w:rsid w:val="003738F5"/>
    <w:rsid w:val="00373CDB"/>
    <w:rsid w:val="00373FAE"/>
    <w:rsid w:val="0037523F"/>
    <w:rsid w:val="00375C6D"/>
    <w:rsid w:val="003760DF"/>
    <w:rsid w:val="0038021A"/>
    <w:rsid w:val="003809C5"/>
    <w:rsid w:val="00380AAF"/>
    <w:rsid w:val="00380E66"/>
    <w:rsid w:val="00380E86"/>
    <w:rsid w:val="00381493"/>
    <w:rsid w:val="00381544"/>
    <w:rsid w:val="003838A5"/>
    <w:rsid w:val="003849AD"/>
    <w:rsid w:val="003849B3"/>
    <w:rsid w:val="00384F9A"/>
    <w:rsid w:val="003862AC"/>
    <w:rsid w:val="00386ADE"/>
    <w:rsid w:val="0039005B"/>
    <w:rsid w:val="003906BA"/>
    <w:rsid w:val="003909D5"/>
    <w:rsid w:val="00390D69"/>
    <w:rsid w:val="00390EAC"/>
    <w:rsid w:val="00391629"/>
    <w:rsid w:val="00391C73"/>
    <w:rsid w:val="00392978"/>
    <w:rsid w:val="00392C65"/>
    <w:rsid w:val="003934D2"/>
    <w:rsid w:val="00393A5E"/>
    <w:rsid w:val="00393C47"/>
    <w:rsid w:val="00394154"/>
    <w:rsid w:val="00394809"/>
    <w:rsid w:val="003964DF"/>
    <w:rsid w:val="00396773"/>
    <w:rsid w:val="00396C49"/>
    <w:rsid w:val="00396F24"/>
    <w:rsid w:val="00397668"/>
    <w:rsid w:val="00397B48"/>
    <w:rsid w:val="003A1CA4"/>
    <w:rsid w:val="003A27D8"/>
    <w:rsid w:val="003A2909"/>
    <w:rsid w:val="003A2DDE"/>
    <w:rsid w:val="003A304C"/>
    <w:rsid w:val="003A3CFC"/>
    <w:rsid w:val="003A4130"/>
    <w:rsid w:val="003A5045"/>
    <w:rsid w:val="003A5682"/>
    <w:rsid w:val="003A6739"/>
    <w:rsid w:val="003A67A7"/>
    <w:rsid w:val="003A67E6"/>
    <w:rsid w:val="003A71C3"/>
    <w:rsid w:val="003A793D"/>
    <w:rsid w:val="003B0834"/>
    <w:rsid w:val="003B0FCF"/>
    <w:rsid w:val="003B1477"/>
    <w:rsid w:val="003B26E8"/>
    <w:rsid w:val="003B312E"/>
    <w:rsid w:val="003B3974"/>
    <w:rsid w:val="003B3FFF"/>
    <w:rsid w:val="003B4ACA"/>
    <w:rsid w:val="003B4C9B"/>
    <w:rsid w:val="003B5342"/>
    <w:rsid w:val="003B574A"/>
    <w:rsid w:val="003B6B73"/>
    <w:rsid w:val="003B7BE7"/>
    <w:rsid w:val="003C0A27"/>
    <w:rsid w:val="003C137C"/>
    <w:rsid w:val="003C185A"/>
    <w:rsid w:val="003C21D3"/>
    <w:rsid w:val="003C2736"/>
    <w:rsid w:val="003C27FE"/>
    <w:rsid w:val="003C4F0B"/>
    <w:rsid w:val="003C6E2A"/>
    <w:rsid w:val="003C797B"/>
    <w:rsid w:val="003D0795"/>
    <w:rsid w:val="003D0EF6"/>
    <w:rsid w:val="003D11EE"/>
    <w:rsid w:val="003D1245"/>
    <w:rsid w:val="003D1395"/>
    <w:rsid w:val="003D21D8"/>
    <w:rsid w:val="003D2B85"/>
    <w:rsid w:val="003D5393"/>
    <w:rsid w:val="003D55AF"/>
    <w:rsid w:val="003D56C6"/>
    <w:rsid w:val="003D61F3"/>
    <w:rsid w:val="003D6D43"/>
    <w:rsid w:val="003D7D71"/>
    <w:rsid w:val="003E0903"/>
    <w:rsid w:val="003E183C"/>
    <w:rsid w:val="003E2405"/>
    <w:rsid w:val="003E241B"/>
    <w:rsid w:val="003E24B1"/>
    <w:rsid w:val="003E25BD"/>
    <w:rsid w:val="003E2FAA"/>
    <w:rsid w:val="003E3A63"/>
    <w:rsid w:val="003E59A9"/>
    <w:rsid w:val="003E5E33"/>
    <w:rsid w:val="003E6E68"/>
    <w:rsid w:val="003E70DF"/>
    <w:rsid w:val="003E797A"/>
    <w:rsid w:val="003E7D32"/>
    <w:rsid w:val="003F06C6"/>
    <w:rsid w:val="003F0867"/>
    <w:rsid w:val="003F0A19"/>
    <w:rsid w:val="003F2137"/>
    <w:rsid w:val="003F2B98"/>
    <w:rsid w:val="003F2FF1"/>
    <w:rsid w:val="003F4A13"/>
    <w:rsid w:val="003F65D8"/>
    <w:rsid w:val="003F6A70"/>
    <w:rsid w:val="003F6B10"/>
    <w:rsid w:val="00400B35"/>
    <w:rsid w:val="00400C00"/>
    <w:rsid w:val="00401158"/>
    <w:rsid w:val="004012F7"/>
    <w:rsid w:val="00401928"/>
    <w:rsid w:val="0040230D"/>
    <w:rsid w:val="00402693"/>
    <w:rsid w:val="004034CB"/>
    <w:rsid w:val="0040369C"/>
    <w:rsid w:val="00403DB0"/>
    <w:rsid w:val="0040492D"/>
    <w:rsid w:val="00404B0D"/>
    <w:rsid w:val="004061DF"/>
    <w:rsid w:val="0040667D"/>
    <w:rsid w:val="00406775"/>
    <w:rsid w:val="00406B9A"/>
    <w:rsid w:val="00407293"/>
    <w:rsid w:val="00407731"/>
    <w:rsid w:val="00407C64"/>
    <w:rsid w:val="00410021"/>
    <w:rsid w:val="004103E4"/>
    <w:rsid w:val="00410E24"/>
    <w:rsid w:val="00410E30"/>
    <w:rsid w:val="004120BB"/>
    <w:rsid w:val="00412333"/>
    <w:rsid w:val="00412F3C"/>
    <w:rsid w:val="00413CF1"/>
    <w:rsid w:val="00413EC1"/>
    <w:rsid w:val="00414284"/>
    <w:rsid w:val="00414689"/>
    <w:rsid w:val="004158AE"/>
    <w:rsid w:val="00416367"/>
    <w:rsid w:val="004168CB"/>
    <w:rsid w:val="00416EBB"/>
    <w:rsid w:val="00417CDC"/>
    <w:rsid w:val="00420B6A"/>
    <w:rsid w:val="00420B9A"/>
    <w:rsid w:val="00420C24"/>
    <w:rsid w:val="004213DA"/>
    <w:rsid w:val="00421566"/>
    <w:rsid w:val="00422DE7"/>
    <w:rsid w:val="00423500"/>
    <w:rsid w:val="00423D2E"/>
    <w:rsid w:val="0042486F"/>
    <w:rsid w:val="00425577"/>
    <w:rsid w:val="00426D30"/>
    <w:rsid w:val="00426DE5"/>
    <w:rsid w:val="004274C0"/>
    <w:rsid w:val="004279F8"/>
    <w:rsid w:val="00430AC1"/>
    <w:rsid w:val="00431540"/>
    <w:rsid w:val="004319EE"/>
    <w:rsid w:val="0043332C"/>
    <w:rsid w:val="00436F88"/>
    <w:rsid w:val="00437AA3"/>
    <w:rsid w:val="004403DA"/>
    <w:rsid w:val="00440622"/>
    <w:rsid w:val="00440BEB"/>
    <w:rsid w:val="0044122E"/>
    <w:rsid w:val="00441C6F"/>
    <w:rsid w:val="00442BA9"/>
    <w:rsid w:val="004431B2"/>
    <w:rsid w:val="004434E6"/>
    <w:rsid w:val="0044358E"/>
    <w:rsid w:val="00443790"/>
    <w:rsid w:val="0044380A"/>
    <w:rsid w:val="004447EF"/>
    <w:rsid w:val="00444A36"/>
    <w:rsid w:val="00444DB3"/>
    <w:rsid w:val="0044553F"/>
    <w:rsid w:val="0044613C"/>
    <w:rsid w:val="0044706E"/>
    <w:rsid w:val="00447390"/>
    <w:rsid w:val="00447CF8"/>
    <w:rsid w:val="00447E6A"/>
    <w:rsid w:val="00450A6F"/>
    <w:rsid w:val="00450CC6"/>
    <w:rsid w:val="00451F55"/>
    <w:rsid w:val="00452993"/>
    <w:rsid w:val="00453DDA"/>
    <w:rsid w:val="00454492"/>
    <w:rsid w:val="0045451D"/>
    <w:rsid w:val="00454EE0"/>
    <w:rsid w:val="00455AB5"/>
    <w:rsid w:val="00456203"/>
    <w:rsid w:val="00456C5D"/>
    <w:rsid w:val="00456F7B"/>
    <w:rsid w:val="004613FE"/>
    <w:rsid w:val="004621AA"/>
    <w:rsid w:val="00462262"/>
    <w:rsid w:val="00462A80"/>
    <w:rsid w:val="00463143"/>
    <w:rsid w:val="0046345E"/>
    <w:rsid w:val="00463544"/>
    <w:rsid w:val="004638C7"/>
    <w:rsid w:val="00463B7C"/>
    <w:rsid w:val="00463CA8"/>
    <w:rsid w:val="00464CAC"/>
    <w:rsid w:val="00464D73"/>
    <w:rsid w:val="004661F1"/>
    <w:rsid w:val="004671E1"/>
    <w:rsid w:val="00467740"/>
    <w:rsid w:val="00467CCC"/>
    <w:rsid w:val="004711B5"/>
    <w:rsid w:val="00471A21"/>
    <w:rsid w:val="00471AEE"/>
    <w:rsid w:val="00471C0A"/>
    <w:rsid w:val="00471CC9"/>
    <w:rsid w:val="0047244E"/>
    <w:rsid w:val="004730F3"/>
    <w:rsid w:val="00473664"/>
    <w:rsid w:val="0047485F"/>
    <w:rsid w:val="004770BD"/>
    <w:rsid w:val="00477282"/>
    <w:rsid w:val="00477A91"/>
    <w:rsid w:val="00481514"/>
    <w:rsid w:val="00481778"/>
    <w:rsid w:val="004817E7"/>
    <w:rsid w:val="00481ECE"/>
    <w:rsid w:val="0048226D"/>
    <w:rsid w:val="00482533"/>
    <w:rsid w:val="00483280"/>
    <w:rsid w:val="004850A1"/>
    <w:rsid w:val="004852C6"/>
    <w:rsid w:val="0048554F"/>
    <w:rsid w:val="00487380"/>
    <w:rsid w:val="00487511"/>
    <w:rsid w:val="004879A6"/>
    <w:rsid w:val="0049014A"/>
    <w:rsid w:val="00491F19"/>
    <w:rsid w:val="0049227C"/>
    <w:rsid w:val="00492EFF"/>
    <w:rsid w:val="004938EA"/>
    <w:rsid w:val="004940A3"/>
    <w:rsid w:val="00494CD1"/>
    <w:rsid w:val="00494D83"/>
    <w:rsid w:val="004953BF"/>
    <w:rsid w:val="004956C6"/>
    <w:rsid w:val="0049580E"/>
    <w:rsid w:val="00496BA0"/>
    <w:rsid w:val="004973FE"/>
    <w:rsid w:val="004A0253"/>
    <w:rsid w:val="004A1012"/>
    <w:rsid w:val="004A118B"/>
    <w:rsid w:val="004A1298"/>
    <w:rsid w:val="004A1848"/>
    <w:rsid w:val="004A1F8F"/>
    <w:rsid w:val="004A2CE1"/>
    <w:rsid w:val="004A38C0"/>
    <w:rsid w:val="004A3908"/>
    <w:rsid w:val="004A469B"/>
    <w:rsid w:val="004A4C65"/>
    <w:rsid w:val="004A6260"/>
    <w:rsid w:val="004A62E2"/>
    <w:rsid w:val="004A770F"/>
    <w:rsid w:val="004B01A9"/>
    <w:rsid w:val="004B02BB"/>
    <w:rsid w:val="004B117D"/>
    <w:rsid w:val="004B130D"/>
    <w:rsid w:val="004B1358"/>
    <w:rsid w:val="004B37F8"/>
    <w:rsid w:val="004B3C83"/>
    <w:rsid w:val="004B3E46"/>
    <w:rsid w:val="004B4E28"/>
    <w:rsid w:val="004B4E78"/>
    <w:rsid w:val="004B54C3"/>
    <w:rsid w:val="004B596D"/>
    <w:rsid w:val="004B6053"/>
    <w:rsid w:val="004B742D"/>
    <w:rsid w:val="004C0500"/>
    <w:rsid w:val="004C10CD"/>
    <w:rsid w:val="004C1D4C"/>
    <w:rsid w:val="004C285D"/>
    <w:rsid w:val="004C3C22"/>
    <w:rsid w:val="004C4143"/>
    <w:rsid w:val="004C4901"/>
    <w:rsid w:val="004C5163"/>
    <w:rsid w:val="004C550E"/>
    <w:rsid w:val="004C59F0"/>
    <w:rsid w:val="004C71BE"/>
    <w:rsid w:val="004C7C11"/>
    <w:rsid w:val="004C7E58"/>
    <w:rsid w:val="004D0661"/>
    <w:rsid w:val="004D0D16"/>
    <w:rsid w:val="004D115B"/>
    <w:rsid w:val="004D18C2"/>
    <w:rsid w:val="004D1E41"/>
    <w:rsid w:val="004D229F"/>
    <w:rsid w:val="004D27FA"/>
    <w:rsid w:val="004D3921"/>
    <w:rsid w:val="004D4736"/>
    <w:rsid w:val="004D4A2C"/>
    <w:rsid w:val="004D4CCD"/>
    <w:rsid w:val="004D4F19"/>
    <w:rsid w:val="004D604E"/>
    <w:rsid w:val="004D67B1"/>
    <w:rsid w:val="004D6CE8"/>
    <w:rsid w:val="004D7998"/>
    <w:rsid w:val="004D7BB6"/>
    <w:rsid w:val="004E1317"/>
    <w:rsid w:val="004E26DC"/>
    <w:rsid w:val="004E284E"/>
    <w:rsid w:val="004E48F6"/>
    <w:rsid w:val="004E4D97"/>
    <w:rsid w:val="004E6093"/>
    <w:rsid w:val="004E6B46"/>
    <w:rsid w:val="004E72A8"/>
    <w:rsid w:val="004E7321"/>
    <w:rsid w:val="004E745B"/>
    <w:rsid w:val="004F0B40"/>
    <w:rsid w:val="004F100F"/>
    <w:rsid w:val="004F28DA"/>
    <w:rsid w:val="004F3AEC"/>
    <w:rsid w:val="004F3C7F"/>
    <w:rsid w:val="004F4A63"/>
    <w:rsid w:val="004F4DCE"/>
    <w:rsid w:val="004F567E"/>
    <w:rsid w:val="004F6662"/>
    <w:rsid w:val="004F6BB7"/>
    <w:rsid w:val="00501199"/>
    <w:rsid w:val="00501406"/>
    <w:rsid w:val="005019F0"/>
    <w:rsid w:val="005028B1"/>
    <w:rsid w:val="00504AA0"/>
    <w:rsid w:val="0050547F"/>
    <w:rsid w:val="00506562"/>
    <w:rsid w:val="005066E4"/>
    <w:rsid w:val="00506710"/>
    <w:rsid w:val="0050683C"/>
    <w:rsid w:val="00506FC8"/>
    <w:rsid w:val="005072DD"/>
    <w:rsid w:val="00507389"/>
    <w:rsid w:val="00507F60"/>
    <w:rsid w:val="005101E2"/>
    <w:rsid w:val="00510A31"/>
    <w:rsid w:val="005111A9"/>
    <w:rsid w:val="005111C3"/>
    <w:rsid w:val="00511283"/>
    <w:rsid w:val="0051181E"/>
    <w:rsid w:val="00512666"/>
    <w:rsid w:val="00512874"/>
    <w:rsid w:val="00512AE8"/>
    <w:rsid w:val="00512DCE"/>
    <w:rsid w:val="00512EF6"/>
    <w:rsid w:val="0051328E"/>
    <w:rsid w:val="005137C3"/>
    <w:rsid w:val="00514227"/>
    <w:rsid w:val="005142CC"/>
    <w:rsid w:val="005148D6"/>
    <w:rsid w:val="0051504D"/>
    <w:rsid w:val="005153FC"/>
    <w:rsid w:val="00515D31"/>
    <w:rsid w:val="00516C67"/>
    <w:rsid w:val="005174C5"/>
    <w:rsid w:val="005206DF"/>
    <w:rsid w:val="005211AE"/>
    <w:rsid w:val="0052148F"/>
    <w:rsid w:val="00521B3D"/>
    <w:rsid w:val="00521EAD"/>
    <w:rsid w:val="00523004"/>
    <w:rsid w:val="00523D26"/>
    <w:rsid w:val="005243F3"/>
    <w:rsid w:val="00524FD0"/>
    <w:rsid w:val="005251E7"/>
    <w:rsid w:val="005252A9"/>
    <w:rsid w:val="00526E17"/>
    <w:rsid w:val="00527C82"/>
    <w:rsid w:val="00530243"/>
    <w:rsid w:val="0053053C"/>
    <w:rsid w:val="005306E7"/>
    <w:rsid w:val="0053291F"/>
    <w:rsid w:val="0053320B"/>
    <w:rsid w:val="00533664"/>
    <w:rsid w:val="005339D8"/>
    <w:rsid w:val="00534264"/>
    <w:rsid w:val="00534A23"/>
    <w:rsid w:val="00534BAE"/>
    <w:rsid w:val="00534C9A"/>
    <w:rsid w:val="00534CF4"/>
    <w:rsid w:val="0053702F"/>
    <w:rsid w:val="00537C8D"/>
    <w:rsid w:val="005403DC"/>
    <w:rsid w:val="00540BA6"/>
    <w:rsid w:val="005418DC"/>
    <w:rsid w:val="0054380B"/>
    <w:rsid w:val="0054467E"/>
    <w:rsid w:val="00544CDB"/>
    <w:rsid w:val="00544EBA"/>
    <w:rsid w:val="005464D2"/>
    <w:rsid w:val="00547486"/>
    <w:rsid w:val="00547BF3"/>
    <w:rsid w:val="00547C78"/>
    <w:rsid w:val="00547FBC"/>
    <w:rsid w:val="00550601"/>
    <w:rsid w:val="0055065B"/>
    <w:rsid w:val="005508C6"/>
    <w:rsid w:val="00550B47"/>
    <w:rsid w:val="00550EC9"/>
    <w:rsid w:val="00550ED6"/>
    <w:rsid w:val="005515B4"/>
    <w:rsid w:val="00551720"/>
    <w:rsid w:val="0055226F"/>
    <w:rsid w:val="00552A72"/>
    <w:rsid w:val="00555496"/>
    <w:rsid w:val="005567D0"/>
    <w:rsid w:val="005568CF"/>
    <w:rsid w:val="005570BA"/>
    <w:rsid w:val="00562DFB"/>
    <w:rsid w:val="005635F8"/>
    <w:rsid w:val="00563C0C"/>
    <w:rsid w:val="00563DC8"/>
    <w:rsid w:val="0056604F"/>
    <w:rsid w:val="0056629B"/>
    <w:rsid w:val="00566FB8"/>
    <w:rsid w:val="00567053"/>
    <w:rsid w:val="005672E9"/>
    <w:rsid w:val="005677EC"/>
    <w:rsid w:val="00571E0F"/>
    <w:rsid w:val="005727E6"/>
    <w:rsid w:val="00572EBD"/>
    <w:rsid w:val="00573035"/>
    <w:rsid w:val="005733CD"/>
    <w:rsid w:val="005737E7"/>
    <w:rsid w:val="00573AF0"/>
    <w:rsid w:val="00574041"/>
    <w:rsid w:val="00574567"/>
    <w:rsid w:val="005753A3"/>
    <w:rsid w:val="00575456"/>
    <w:rsid w:val="00575CD7"/>
    <w:rsid w:val="00575F57"/>
    <w:rsid w:val="00576B9A"/>
    <w:rsid w:val="00577082"/>
    <w:rsid w:val="00577D6B"/>
    <w:rsid w:val="005803FB"/>
    <w:rsid w:val="005804CF"/>
    <w:rsid w:val="0058076A"/>
    <w:rsid w:val="00580EEB"/>
    <w:rsid w:val="005813FD"/>
    <w:rsid w:val="005818D2"/>
    <w:rsid w:val="00581B86"/>
    <w:rsid w:val="00583C03"/>
    <w:rsid w:val="00585DAE"/>
    <w:rsid w:val="00586080"/>
    <w:rsid w:val="00586943"/>
    <w:rsid w:val="0058728D"/>
    <w:rsid w:val="00590F94"/>
    <w:rsid w:val="00591D4B"/>
    <w:rsid w:val="00592BBD"/>
    <w:rsid w:val="005945D7"/>
    <w:rsid w:val="00594C04"/>
    <w:rsid w:val="00594C5A"/>
    <w:rsid w:val="00594D65"/>
    <w:rsid w:val="005951A1"/>
    <w:rsid w:val="00595848"/>
    <w:rsid w:val="00596459"/>
    <w:rsid w:val="0059665D"/>
    <w:rsid w:val="00596680"/>
    <w:rsid w:val="005979BE"/>
    <w:rsid w:val="00597F1B"/>
    <w:rsid w:val="005A0E49"/>
    <w:rsid w:val="005A0E61"/>
    <w:rsid w:val="005A11ED"/>
    <w:rsid w:val="005A164C"/>
    <w:rsid w:val="005A1848"/>
    <w:rsid w:val="005A1BCA"/>
    <w:rsid w:val="005A286D"/>
    <w:rsid w:val="005A28A0"/>
    <w:rsid w:val="005A2A07"/>
    <w:rsid w:val="005A3374"/>
    <w:rsid w:val="005A3BF3"/>
    <w:rsid w:val="005A3CDF"/>
    <w:rsid w:val="005A4002"/>
    <w:rsid w:val="005A4AFE"/>
    <w:rsid w:val="005A4BCA"/>
    <w:rsid w:val="005A58A4"/>
    <w:rsid w:val="005A65A8"/>
    <w:rsid w:val="005A70A2"/>
    <w:rsid w:val="005A7531"/>
    <w:rsid w:val="005A77E7"/>
    <w:rsid w:val="005A7ABD"/>
    <w:rsid w:val="005B04DD"/>
    <w:rsid w:val="005B0950"/>
    <w:rsid w:val="005B1161"/>
    <w:rsid w:val="005B246E"/>
    <w:rsid w:val="005B381C"/>
    <w:rsid w:val="005B3F5C"/>
    <w:rsid w:val="005B43D4"/>
    <w:rsid w:val="005B481F"/>
    <w:rsid w:val="005B4A47"/>
    <w:rsid w:val="005C06EA"/>
    <w:rsid w:val="005C0791"/>
    <w:rsid w:val="005C0A99"/>
    <w:rsid w:val="005C0BB4"/>
    <w:rsid w:val="005C155A"/>
    <w:rsid w:val="005C17C1"/>
    <w:rsid w:val="005C1C4E"/>
    <w:rsid w:val="005C2D01"/>
    <w:rsid w:val="005C31DE"/>
    <w:rsid w:val="005C320A"/>
    <w:rsid w:val="005C33ED"/>
    <w:rsid w:val="005C4EC5"/>
    <w:rsid w:val="005C5ABF"/>
    <w:rsid w:val="005C6EE6"/>
    <w:rsid w:val="005C7517"/>
    <w:rsid w:val="005C7700"/>
    <w:rsid w:val="005D0159"/>
    <w:rsid w:val="005D0839"/>
    <w:rsid w:val="005D12B7"/>
    <w:rsid w:val="005D200E"/>
    <w:rsid w:val="005D2493"/>
    <w:rsid w:val="005D2748"/>
    <w:rsid w:val="005D2759"/>
    <w:rsid w:val="005D29E9"/>
    <w:rsid w:val="005D3272"/>
    <w:rsid w:val="005D44F3"/>
    <w:rsid w:val="005D4B1C"/>
    <w:rsid w:val="005D4D97"/>
    <w:rsid w:val="005D5653"/>
    <w:rsid w:val="005D5875"/>
    <w:rsid w:val="005D6C54"/>
    <w:rsid w:val="005E039A"/>
    <w:rsid w:val="005E0E24"/>
    <w:rsid w:val="005E0F3E"/>
    <w:rsid w:val="005E20E6"/>
    <w:rsid w:val="005E366B"/>
    <w:rsid w:val="005E3C30"/>
    <w:rsid w:val="005E3F80"/>
    <w:rsid w:val="005E3FAC"/>
    <w:rsid w:val="005E4A6A"/>
    <w:rsid w:val="005E5158"/>
    <w:rsid w:val="005E56A3"/>
    <w:rsid w:val="005E63C8"/>
    <w:rsid w:val="005E657A"/>
    <w:rsid w:val="005E7C74"/>
    <w:rsid w:val="005F2547"/>
    <w:rsid w:val="005F3394"/>
    <w:rsid w:val="005F4BAC"/>
    <w:rsid w:val="005F592C"/>
    <w:rsid w:val="005F5AE5"/>
    <w:rsid w:val="005F7B80"/>
    <w:rsid w:val="006008E2"/>
    <w:rsid w:val="00600EB5"/>
    <w:rsid w:val="00601D60"/>
    <w:rsid w:val="00602020"/>
    <w:rsid w:val="0060287D"/>
    <w:rsid w:val="00604475"/>
    <w:rsid w:val="006051EA"/>
    <w:rsid w:val="006052EA"/>
    <w:rsid w:val="00605357"/>
    <w:rsid w:val="00605D45"/>
    <w:rsid w:val="00605FDF"/>
    <w:rsid w:val="00606130"/>
    <w:rsid w:val="00606CA5"/>
    <w:rsid w:val="00607396"/>
    <w:rsid w:val="00610026"/>
    <w:rsid w:val="006109AD"/>
    <w:rsid w:val="00611275"/>
    <w:rsid w:val="006126C5"/>
    <w:rsid w:val="00612EAB"/>
    <w:rsid w:val="00613BC3"/>
    <w:rsid w:val="006145AF"/>
    <w:rsid w:val="006149CA"/>
    <w:rsid w:val="00617317"/>
    <w:rsid w:val="00620C24"/>
    <w:rsid w:val="00620D97"/>
    <w:rsid w:val="00621058"/>
    <w:rsid w:val="006218F9"/>
    <w:rsid w:val="006221E2"/>
    <w:rsid w:val="00622BAC"/>
    <w:rsid w:val="0062389D"/>
    <w:rsid w:val="00623F53"/>
    <w:rsid w:val="00624B2B"/>
    <w:rsid w:val="00624C6C"/>
    <w:rsid w:val="00624EEB"/>
    <w:rsid w:val="00624F45"/>
    <w:rsid w:val="006257D9"/>
    <w:rsid w:val="00625969"/>
    <w:rsid w:val="006267AC"/>
    <w:rsid w:val="00627013"/>
    <w:rsid w:val="006274FC"/>
    <w:rsid w:val="00627512"/>
    <w:rsid w:val="006275CB"/>
    <w:rsid w:val="00630A57"/>
    <w:rsid w:val="00631510"/>
    <w:rsid w:val="00632214"/>
    <w:rsid w:val="00632CAD"/>
    <w:rsid w:val="00632CCD"/>
    <w:rsid w:val="00633360"/>
    <w:rsid w:val="00633539"/>
    <w:rsid w:val="00633A01"/>
    <w:rsid w:val="00634E48"/>
    <w:rsid w:val="00634FE8"/>
    <w:rsid w:val="006359AF"/>
    <w:rsid w:val="00636EBF"/>
    <w:rsid w:val="00636EF2"/>
    <w:rsid w:val="006370F3"/>
    <w:rsid w:val="00640086"/>
    <w:rsid w:val="00641FFA"/>
    <w:rsid w:val="00642419"/>
    <w:rsid w:val="006427B1"/>
    <w:rsid w:val="00643076"/>
    <w:rsid w:val="0064444D"/>
    <w:rsid w:val="00644E70"/>
    <w:rsid w:val="00645C67"/>
    <w:rsid w:val="00646B54"/>
    <w:rsid w:val="006472BD"/>
    <w:rsid w:val="0064784F"/>
    <w:rsid w:val="00647AD4"/>
    <w:rsid w:val="00650642"/>
    <w:rsid w:val="00650F13"/>
    <w:rsid w:val="00650F1E"/>
    <w:rsid w:val="006510EE"/>
    <w:rsid w:val="0065182F"/>
    <w:rsid w:val="00651B3C"/>
    <w:rsid w:val="006522AE"/>
    <w:rsid w:val="00653EB8"/>
    <w:rsid w:val="0065495A"/>
    <w:rsid w:val="00654D64"/>
    <w:rsid w:val="006562B2"/>
    <w:rsid w:val="0065783B"/>
    <w:rsid w:val="00657FCA"/>
    <w:rsid w:val="00660291"/>
    <w:rsid w:val="006605E2"/>
    <w:rsid w:val="00661284"/>
    <w:rsid w:val="00661503"/>
    <w:rsid w:val="00663079"/>
    <w:rsid w:val="00663206"/>
    <w:rsid w:val="0066325C"/>
    <w:rsid w:val="00663441"/>
    <w:rsid w:val="0066363A"/>
    <w:rsid w:val="00663D47"/>
    <w:rsid w:val="00663F1C"/>
    <w:rsid w:val="00664A33"/>
    <w:rsid w:val="00664C0D"/>
    <w:rsid w:val="00664E80"/>
    <w:rsid w:val="0066545A"/>
    <w:rsid w:val="006654FF"/>
    <w:rsid w:val="00665873"/>
    <w:rsid w:val="0066614D"/>
    <w:rsid w:val="006665A8"/>
    <w:rsid w:val="00666CCB"/>
    <w:rsid w:val="00666FB7"/>
    <w:rsid w:val="006674CB"/>
    <w:rsid w:val="0067181E"/>
    <w:rsid w:val="0067265E"/>
    <w:rsid w:val="00672F2D"/>
    <w:rsid w:val="00672F5B"/>
    <w:rsid w:val="00673C74"/>
    <w:rsid w:val="006745FF"/>
    <w:rsid w:val="006748AD"/>
    <w:rsid w:val="00675910"/>
    <w:rsid w:val="006764EE"/>
    <w:rsid w:val="006765BA"/>
    <w:rsid w:val="006765FD"/>
    <w:rsid w:val="00676DDA"/>
    <w:rsid w:val="0067713A"/>
    <w:rsid w:val="006779A6"/>
    <w:rsid w:val="006803A5"/>
    <w:rsid w:val="006805A3"/>
    <w:rsid w:val="00680FC7"/>
    <w:rsid w:val="00681299"/>
    <w:rsid w:val="00684639"/>
    <w:rsid w:val="00684EC0"/>
    <w:rsid w:val="006850BA"/>
    <w:rsid w:val="00685A0A"/>
    <w:rsid w:val="00686239"/>
    <w:rsid w:val="00686D89"/>
    <w:rsid w:val="00687F60"/>
    <w:rsid w:val="006900C7"/>
    <w:rsid w:val="00690B25"/>
    <w:rsid w:val="00690DF6"/>
    <w:rsid w:val="00690FA7"/>
    <w:rsid w:val="006930A1"/>
    <w:rsid w:val="00693920"/>
    <w:rsid w:val="00693C96"/>
    <w:rsid w:val="006940FE"/>
    <w:rsid w:val="00694436"/>
    <w:rsid w:val="00696F51"/>
    <w:rsid w:val="006975D9"/>
    <w:rsid w:val="006A0C8E"/>
    <w:rsid w:val="006A1430"/>
    <w:rsid w:val="006A1A93"/>
    <w:rsid w:val="006A31D7"/>
    <w:rsid w:val="006A3336"/>
    <w:rsid w:val="006A47C4"/>
    <w:rsid w:val="006A4CF5"/>
    <w:rsid w:val="006A4EF0"/>
    <w:rsid w:val="006A53CD"/>
    <w:rsid w:val="006A5CD3"/>
    <w:rsid w:val="006A71BC"/>
    <w:rsid w:val="006A761D"/>
    <w:rsid w:val="006A7FA5"/>
    <w:rsid w:val="006B07AF"/>
    <w:rsid w:val="006B0875"/>
    <w:rsid w:val="006B15BA"/>
    <w:rsid w:val="006B2DF4"/>
    <w:rsid w:val="006B4D75"/>
    <w:rsid w:val="006B4F4B"/>
    <w:rsid w:val="006B5747"/>
    <w:rsid w:val="006B58C6"/>
    <w:rsid w:val="006B6418"/>
    <w:rsid w:val="006B7E97"/>
    <w:rsid w:val="006C06DC"/>
    <w:rsid w:val="006C07C6"/>
    <w:rsid w:val="006C0823"/>
    <w:rsid w:val="006C1D51"/>
    <w:rsid w:val="006C2E1A"/>
    <w:rsid w:val="006C38B5"/>
    <w:rsid w:val="006C39F4"/>
    <w:rsid w:val="006C3D80"/>
    <w:rsid w:val="006C4449"/>
    <w:rsid w:val="006C4454"/>
    <w:rsid w:val="006C44BD"/>
    <w:rsid w:val="006C54CC"/>
    <w:rsid w:val="006C591D"/>
    <w:rsid w:val="006C5C90"/>
    <w:rsid w:val="006C691B"/>
    <w:rsid w:val="006C6A5F"/>
    <w:rsid w:val="006C7489"/>
    <w:rsid w:val="006C766C"/>
    <w:rsid w:val="006C768A"/>
    <w:rsid w:val="006C7B81"/>
    <w:rsid w:val="006C7FB5"/>
    <w:rsid w:val="006D0273"/>
    <w:rsid w:val="006D0EF5"/>
    <w:rsid w:val="006D158B"/>
    <w:rsid w:val="006D2194"/>
    <w:rsid w:val="006D2C56"/>
    <w:rsid w:val="006D2CCC"/>
    <w:rsid w:val="006D3B3D"/>
    <w:rsid w:val="006D4852"/>
    <w:rsid w:val="006D5709"/>
    <w:rsid w:val="006D5C9C"/>
    <w:rsid w:val="006D6A61"/>
    <w:rsid w:val="006D6C9C"/>
    <w:rsid w:val="006D7002"/>
    <w:rsid w:val="006D700F"/>
    <w:rsid w:val="006D76EF"/>
    <w:rsid w:val="006D7BE3"/>
    <w:rsid w:val="006E0458"/>
    <w:rsid w:val="006E10BF"/>
    <w:rsid w:val="006E1140"/>
    <w:rsid w:val="006E12E3"/>
    <w:rsid w:val="006E185F"/>
    <w:rsid w:val="006E2DA2"/>
    <w:rsid w:val="006E34FC"/>
    <w:rsid w:val="006E466B"/>
    <w:rsid w:val="006E4AF6"/>
    <w:rsid w:val="006E4E7D"/>
    <w:rsid w:val="006E55F5"/>
    <w:rsid w:val="006E6B98"/>
    <w:rsid w:val="006E75B9"/>
    <w:rsid w:val="006E79A1"/>
    <w:rsid w:val="006F0696"/>
    <w:rsid w:val="006F0758"/>
    <w:rsid w:val="006F1DAC"/>
    <w:rsid w:val="006F2EEF"/>
    <w:rsid w:val="006F4A3A"/>
    <w:rsid w:val="006F4ACD"/>
    <w:rsid w:val="006F503F"/>
    <w:rsid w:val="006F6B91"/>
    <w:rsid w:val="006F6CEA"/>
    <w:rsid w:val="0070095D"/>
    <w:rsid w:val="00702004"/>
    <w:rsid w:val="00702222"/>
    <w:rsid w:val="007039C4"/>
    <w:rsid w:val="007048C0"/>
    <w:rsid w:val="00704982"/>
    <w:rsid w:val="007060BC"/>
    <w:rsid w:val="007073B4"/>
    <w:rsid w:val="0070779E"/>
    <w:rsid w:val="00707CEC"/>
    <w:rsid w:val="00707FEE"/>
    <w:rsid w:val="00710225"/>
    <w:rsid w:val="00710371"/>
    <w:rsid w:val="007113C9"/>
    <w:rsid w:val="007118FE"/>
    <w:rsid w:val="007129A5"/>
    <w:rsid w:val="00712A2A"/>
    <w:rsid w:val="007148E3"/>
    <w:rsid w:val="0071572C"/>
    <w:rsid w:val="00715B73"/>
    <w:rsid w:val="0071654C"/>
    <w:rsid w:val="007170EE"/>
    <w:rsid w:val="00717563"/>
    <w:rsid w:val="00717AD1"/>
    <w:rsid w:val="00720AC7"/>
    <w:rsid w:val="00720CAC"/>
    <w:rsid w:val="00721634"/>
    <w:rsid w:val="00721691"/>
    <w:rsid w:val="007223A4"/>
    <w:rsid w:val="00723909"/>
    <w:rsid w:val="00724BA5"/>
    <w:rsid w:val="00724DBC"/>
    <w:rsid w:val="0072605A"/>
    <w:rsid w:val="0072635F"/>
    <w:rsid w:val="00727194"/>
    <w:rsid w:val="007272E6"/>
    <w:rsid w:val="00727D7B"/>
    <w:rsid w:val="0073054C"/>
    <w:rsid w:val="0073130C"/>
    <w:rsid w:val="00731998"/>
    <w:rsid w:val="00731E41"/>
    <w:rsid w:val="00732875"/>
    <w:rsid w:val="0073327D"/>
    <w:rsid w:val="00734A35"/>
    <w:rsid w:val="00734FEA"/>
    <w:rsid w:val="0073527C"/>
    <w:rsid w:val="00735B38"/>
    <w:rsid w:val="0073625B"/>
    <w:rsid w:val="007367E0"/>
    <w:rsid w:val="00737688"/>
    <w:rsid w:val="0074082F"/>
    <w:rsid w:val="00741068"/>
    <w:rsid w:val="007415A4"/>
    <w:rsid w:val="007415E3"/>
    <w:rsid w:val="00741B46"/>
    <w:rsid w:val="00741F47"/>
    <w:rsid w:val="0074299C"/>
    <w:rsid w:val="007430C5"/>
    <w:rsid w:val="007444AA"/>
    <w:rsid w:val="00744532"/>
    <w:rsid w:val="00751093"/>
    <w:rsid w:val="00751109"/>
    <w:rsid w:val="00752953"/>
    <w:rsid w:val="00752A7D"/>
    <w:rsid w:val="00753478"/>
    <w:rsid w:val="00753FFC"/>
    <w:rsid w:val="00754972"/>
    <w:rsid w:val="00754F6C"/>
    <w:rsid w:val="00755070"/>
    <w:rsid w:val="0075591E"/>
    <w:rsid w:val="00755CB8"/>
    <w:rsid w:val="007569E5"/>
    <w:rsid w:val="00756E16"/>
    <w:rsid w:val="007607E3"/>
    <w:rsid w:val="00760E43"/>
    <w:rsid w:val="007611ED"/>
    <w:rsid w:val="0076139D"/>
    <w:rsid w:val="0076141E"/>
    <w:rsid w:val="00761E25"/>
    <w:rsid w:val="00762776"/>
    <w:rsid w:val="00762811"/>
    <w:rsid w:val="0076315B"/>
    <w:rsid w:val="007649EE"/>
    <w:rsid w:val="00764D35"/>
    <w:rsid w:val="007656A6"/>
    <w:rsid w:val="00766412"/>
    <w:rsid w:val="00766717"/>
    <w:rsid w:val="00766A32"/>
    <w:rsid w:val="00767F6B"/>
    <w:rsid w:val="00770193"/>
    <w:rsid w:val="0077059C"/>
    <w:rsid w:val="007709B1"/>
    <w:rsid w:val="00770D25"/>
    <w:rsid w:val="00770DD0"/>
    <w:rsid w:val="00771021"/>
    <w:rsid w:val="00771087"/>
    <w:rsid w:val="007721D1"/>
    <w:rsid w:val="00772A2E"/>
    <w:rsid w:val="0077337B"/>
    <w:rsid w:val="00773C0E"/>
    <w:rsid w:val="007755EC"/>
    <w:rsid w:val="00775E7D"/>
    <w:rsid w:val="007765EF"/>
    <w:rsid w:val="00776B70"/>
    <w:rsid w:val="00776C0A"/>
    <w:rsid w:val="00776D39"/>
    <w:rsid w:val="00777CF5"/>
    <w:rsid w:val="0078055A"/>
    <w:rsid w:val="007809E1"/>
    <w:rsid w:val="00780C78"/>
    <w:rsid w:val="007821A5"/>
    <w:rsid w:val="00782EFE"/>
    <w:rsid w:val="00783EAB"/>
    <w:rsid w:val="007840B7"/>
    <w:rsid w:val="007845B7"/>
    <w:rsid w:val="007845E6"/>
    <w:rsid w:val="00784636"/>
    <w:rsid w:val="007849B2"/>
    <w:rsid w:val="00786589"/>
    <w:rsid w:val="00790313"/>
    <w:rsid w:val="00790CC0"/>
    <w:rsid w:val="007911D1"/>
    <w:rsid w:val="00791C16"/>
    <w:rsid w:val="00791E1F"/>
    <w:rsid w:val="00793018"/>
    <w:rsid w:val="0079305F"/>
    <w:rsid w:val="00793611"/>
    <w:rsid w:val="00794375"/>
    <w:rsid w:val="007957DB"/>
    <w:rsid w:val="00796AA1"/>
    <w:rsid w:val="00796F30"/>
    <w:rsid w:val="00797A6B"/>
    <w:rsid w:val="00797AF4"/>
    <w:rsid w:val="00797BE8"/>
    <w:rsid w:val="007A0D73"/>
    <w:rsid w:val="007A10F4"/>
    <w:rsid w:val="007A167D"/>
    <w:rsid w:val="007A2F28"/>
    <w:rsid w:val="007A317B"/>
    <w:rsid w:val="007A3DC4"/>
    <w:rsid w:val="007A52D1"/>
    <w:rsid w:val="007A7A78"/>
    <w:rsid w:val="007B1017"/>
    <w:rsid w:val="007B1215"/>
    <w:rsid w:val="007B138D"/>
    <w:rsid w:val="007B1651"/>
    <w:rsid w:val="007B3C2E"/>
    <w:rsid w:val="007B46A1"/>
    <w:rsid w:val="007B4A3F"/>
    <w:rsid w:val="007B4BE8"/>
    <w:rsid w:val="007B4EB4"/>
    <w:rsid w:val="007B54D7"/>
    <w:rsid w:val="007B5C18"/>
    <w:rsid w:val="007B5E41"/>
    <w:rsid w:val="007B6E4A"/>
    <w:rsid w:val="007C0099"/>
    <w:rsid w:val="007C0650"/>
    <w:rsid w:val="007C0890"/>
    <w:rsid w:val="007C0932"/>
    <w:rsid w:val="007C0F1E"/>
    <w:rsid w:val="007C0F6D"/>
    <w:rsid w:val="007C1D12"/>
    <w:rsid w:val="007C1F9B"/>
    <w:rsid w:val="007C2402"/>
    <w:rsid w:val="007C352D"/>
    <w:rsid w:val="007C4033"/>
    <w:rsid w:val="007C432E"/>
    <w:rsid w:val="007C43F3"/>
    <w:rsid w:val="007C50B3"/>
    <w:rsid w:val="007C6F2C"/>
    <w:rsid w:val="007C72F1"/>
    <w:rsid w:val="007D0F22"/>
    <w:rsid w:val="007D125F"/>
    <w:rsid w:val="007D16EF"/>
    <w:rsid w:val="007D18D6"/>
    <w:rsid w:val="007D1CE7"/>
    <w:rsid w:val="007D1EBE"/>
    <w:rsid w:val="007D1EC3"/>
    <w:rsid w:val="007D229C"/>
    <w:rsid w:val="007D2D3B"/>
    <w:rsid w:val="007D2EA6"/>
    <w:rsid w:val="007D47A4"/>
    <w:rsid w:val="007D47DE"/>
    <w:rsid w:val="007D504C"/>
    <w:rsid w:val="007D5649"/>
    <w:rsid w:val="007D6E2D"/>
    <w:rsid w:val="007D6E34"/>
    <w:rsid w:val="007D6F53"/>
    <w:rsid w:val="007D7B25"/>
    <w:rsid w:val="007E1102"/>
    <w:rsid w:val="007E22B5"/>
    <w:rsid w:val="007E22E1"/>
    <w:rsid w:val="007E3850"/>
    <w:rsid w:val="007E44E9"/>
    <w:rsid w:val="007E4C0F"/>
    <w:rsid w:val="007E5724"/>
    <w:rsid w:val="007E6891"/>
    <w:rsid w:val="007E6DAC"/>
    <w:rsid w:val="007F04E6"/>
    <w:rsid w:val="007F2B23"/>
    <w:rsid w:val="007F2BE5"/>
    <w:rsid w:val="007F44D9"/>
    <w:rsid w:val="007F4500"/>
    <w:rsid w:val="007F4BB4"/>
    <w:rsid w:val="007F4E86"/>
    <w:rsid w:val="007F4EDF"/>
    <w:rsid w:val="007F5E39"/>
    <w:rsid w:val="007F6781"/>
    <w:rsid w:val="007F6B4B"/>
    <w:rsid w:val="007F704A"/>
    <w:rsid w:val="007F7DE2"/>
    <w:rsid w:val="008004DA"/>
    <w:rsid w:val="00801947"/>
    <w:rsid w:val="0080197D"/>
    <w:rsid w:val="00802539"/>
    <w:rsid w:val="008039A4"/>
    <w:rsid w:val="00803E47"/>
    <w:rsid w:val="0080480C"/>
    <w:rsid w:val="00805198"/>
    <w:rsid w:val="008054D0"/>
    <w:rsid w:val="00805797"/>
    <w:rsid w:val="008058DB"/>
    <w:rsid w:val="00806645"/>
    <w:rsid w:val="00806B83"/>
    <w:rsid w:val="00807094"/>
    <w:rsid w:val="00807155"/>
    <w:rsid w:val="00807410"/>
    <w:rsid w:val="008075D7"/>
    <w:rsid w:val="008077EC"/>
    <w:rsid w:val="00807E34"/>
    <w:rsid w:val="00812B4B"/>
    <w:rsid w:val="00813052"/>
    <w:rsid w:val="00813B0D"/>
    <w:rsid w:val="00813D9E"/>
    <w:rsid w:val="0081462E"/>
    <w:rsid w:val="00814AB4"/>
    <w:rsid w:val="008153DB"/>
    <w:rsid w:val="008155D8"/>
    <w:rsid w:val="00815AA3"/>
    <w:rsid w:val="00815AF8"/>
    <w:rsid w:val="008170B3"/>
    <w:rsid w:val="00817602"/>
    <w:rsid w:val="008176E2"/>
    <w:rsid w:val="0082034D"/>
    <w:rsid w:val="008210AE"/>
    <w:rsid w:val="00821F61"/>
    <w:rsid w:val="00823144"/>
    <w:rsid w:val="0082334E"/>
    <w:rsid w:val="008243CC"/>
    <w:rsid w:val="00824A5B"/>
    <w:rsid w:val="00825498"/>
    <w:rsid w:val="00825C7D"/>
    <w:rsid w:val="00827304"/>
    <w:rsid w:val="0082734F"/>
    <w:rsid w:val="00830414"/>
    <w:rsid w:val="008318EB"/>
    <w:rsid w:val="0083532D"/>
    <w:rsid w:val="00835BC4"/>
    <w:rsid w:val="00836AAE"/>
    <w:rsid w:val="00836E95"/>
    <w:rsid w:val="0083790C"/>
    <w:rsid w:val="00837949"/>
    <w:rsid w:val="00837FE2"/>
    <w:rsid w:val="00837FE3"/>
    <w:rsid w:val="00840109"/>
    <w:rsid w:val="00840978"/>
    <w:rsid w:val="00842688"/>
    <w:rsid w:val="00842ADC"/>
    <w:rsid w:val="00842CE2"/>
    <w:rsid w:val="00843460"/>
    <w:rsid w:val="00844C2D"/>
    <w:rsid w:val="00844E1B"/>
    <w:rsid w:val="0084625A"/>
    <w:rsid w:val="00846531"/>
    <w:rsid w:val="00846624"/>
    <w:rsid w:val="00846C2C"/>
    <w:rsid w:val="00847D73"/>
    <w:rsid w:val="00847D7D"/>
    <w:rsid w:val="0085009C"/>
    <w:rsid w:val="0085053A"/>
    <w:rsid w:val="0085053F"/>
    <w:rsid w:val="00850AA5"/>
    <w:rsid w:val="00850AB9"/>
    <w:rsid w:val="00850BCC"/>
    <w:rsid w:val="00850CCE"/>
    <w:rsid w:val="00850EC3"/>
    <w:rsid w:val="0085281B"/>
    <w:rsid w:val="00853045"/>
    <w:rsid w:val="0085365F"/>
    <w:rsid w:val="00854320"/>
    <w:rsid w:val="00854522"/>
    <w:rsid w:val="00854795"/>
    <w:rsid w:val="00854ABD"/>
    <w:rsid w:val="00854B9C"/>
    <w:rsid w:val="008551E0"/>
    <w:rsid w:val="00855370"/>
    <w:rsid w:val="008553B4"/>
    <w:rsid w:val="0085557D"/>
    <w:rsid w:val="008555B9"/>
    <w:rsid w:val="00855B68"/>
    <w:rsid w:val="00855C6D"/>
    <w:rsid w:val="00856DAE"/>
    <w:rsid w:val="00856FC8"/>
    <w:rsid w:val="008572CE"/>
    <w:rsid w:val="00860D15"/>
    <w:rsid w:val="008616F9"/>
    <w:rsid w:val="008617E2"/>
    <w:rsid w:val="00862310"/>
    <w:rsid w:val="00862785"/>
    <w:rsid w:val="00862D8F"/>
    <w:rsid w:val="00863424"/>
    <w:rsid w:val="008637D7"/>
    <w:rsid w:val="00863977"/>
    <w:rsid w:val="0086423D"/>
    <w:rsid w:val="008646FD"/>
    <w:rsid w:val="00864733"/>
    <w:rsid w:val="0086522C"/>
    <w:rsid w:val="00865410"/>
    <w:rsid w:val="008654CA"/>
    <w:rsid w:val="00865EB2"/>
    <w:rsid w:val="00866A7F"/>
    <w:rsid w:val="00866EE9"/>
    <w:rsid w:val="00867268"/>
    <w:rsid w:val="00870964"/>
    <w:rsid w:val="00871703"/>
    <w:rsid w:val="00872BF2"/>
    <w:rsid w:val="00872C2A"/>
    <w:rsid w:val="00872E6C"/>
    <w:rsid w:val="00873354"/>
    <w:rsid w:val="00873413"/>
    <w:rsid w:val="00873525"/>
    <w:rsid w:val="00873D85"/>
    <w:rsid w:val="008745E3"/>
    <w:rsid w:val="00875033"/>
    <w:rsid w:val="00875E5E"/>
    <w:rsid w:val="0087728B"/>
    <w:rsid w:val="0087753D"/>
    <w:rsid w:val="008814E3"/>
    <w:rsid w:val="00881698"/>
    <w:rsid w:val="00881C97"/>
    <w:rsid w:val="00881F58"/>
    <w:rsid w:val="0088278B"/>
    <w:rsid w:val="00882F67"/>
    <w:rsid w:val="00883446"/>
    <w:rsid w:val="00884665"/>
    <w:rsid w:val="00884A64"/>
    <w:rsid w:val="00884E49"/>
    <w:rsid w:val="008853B4"/>
    <w:rsid w:val="00885B10"/>
    <w:rsid w:val="00885D36"/>
    <w:rsid w:val="0088636B"/>
    <w:rsid w:val="00886B0A"/>
    <w:rsid w:val="00886DF8"/>
    <w:rsid w:val="00887894"/>
    <w:rsid w:val="00887F90"/>
    <w:rsid w:val="008902DC"/>
    <w:rsid w:val="00890E80"/>
    <w:rsid w:val="00890F35"/>
    <w:rsid w:val="00891165"/>
    <w:rsid w:val="008927DB"/>
    <w:rsid w:val="008928CD"/>
    <w:rsid w:val="00893F48"/>
    <w:rsid w:val="00894F5E"/>
    <w:rsid w:val="008956FC"/>
    <w:rsid w:val="008959A8"/>
    <w:rsid w:val="00895E69"/>
    <w:rsid w:val="00895EB3"/>
    <w:rsid w:val="00896351"/>
    <w:rsid w:val="00896409"/>
    <w:rsid w:val="00896595"/>
    <w:rsid w:val="00896E9E"/>
    <w:rsid w:val="00896FB5"/>
    <w:rsid w:val="00897086"/>
    <w:rsid w:val="00897309"/>
    <w:rsid w:val="008976EC"/>
    <w:rsid w:val="008977A1"/>
    <w:rsid w:val="008A251F"/>
    <w:rsid w:val="008A34D1"/>
    <w:rsid w:val="008A4D36"/>
    <w:rsid w:val="008A5DB0"/>
    <w:rsid w:val="008A71D2"/>
    <w:rsid w:val="008B0387"/>
    <w:rsid w:val="008B1BEE"/>
    <w:rsid w:val="008B2569"/>
    <w:rsid w:val="008B2F58"/>
    <w:rsid w:val="008B30C3"/>
    <w:rsid w:val="008B3794"/>
    <w:rsid w:val="008B397A"/>
    <w:rsid w:val="008B3D12"/>
    <w:rsid w:val="008B3DA1"/>
    <w:rsid w:val="008B45B5"/>
    <w:rsid w:val="008B4858"/>
    <w:rsid w:val="008B5200"/>
    <w:rsid w:val="008B55E8"/>
    <w:rsid w:val="008B5832"/>
    <w:rsid w:val="008B69DB"/>
    <w:rsid w:val="008B6BA3"/>
    <w:rsid w:val="008B7B47"/>
    <w:rsid w:val="008C1336"/>
    <w:rsid w:val="008C1D9C"/>
    <w:rsid w:val="008C1FD8"/>
    <w:rsid w:val="008C2119"/>
    <w:rsid w:val="008C233F"/>
    <w:rsid w:val="008C2DB2"/>
    <w:rsid w:val="008C3013"/>
    <w:rsid w:val="008C31A2"/>
    <w:rsid w:val="008C3C11"/>
    <w:rsid w:val="008C4186"/>
    <w:rsid w:val="008C48E6"/>
    <w:rsid w:val="008C5B52"/>
    <w:rsid w:val="008C7D70"/>
    <w:rsid w:val="008D0E08"/>
    <w:rsid w:val="008D0FBA"/>
    <w:rsid w:val="008D1A02"/>
    <w:rsid w:val="008D1CE3"/>
    <w:rsid w:val="008D1DCF"/>
    <w:rsid w:val="008D20C9"/>
    <w:rsid w:val="008D363F"/>
    <w:rsid w:val="008D4893"/>
    <w:rsid w:val="008D4A5C"/>
    <w:rsid w:val="008D790A"/>
    <w:rsid w:val="008E047A"/>
    <w:rsid w:val="008E066D"/>
    <w:rsid w:val="008E0A64"/>
    <w:rsid w:val="008E0B71"/>
    <w:rsid w:val="008E18EB"/>
    <w:rsid w:val="008E2CAD"/>
    <w:rsid w:val="008E2CBA"/>
    <w:rsid w:val="008E3A02"/>
    <w:rsid w:val="008E47DC"/>
    <w:rsid w:val="008E5588"/>
    <w:rsid w:val="008E591B"/>
    <w:rsid w:val="008E5A41"/>
    <w:rsid w:val="008E5F2D"/>
    <w:rsid w:val="008E6775"/>
    <w:rsid w:val="008E6A95"/>
    <w:rsid w:val="008E7572"/>
    <w:rsid w:val="008E797B"/>
    <w:rsid w:val="008F0038"/>
    <w:rsid w:val="008F19B1"/>
    <w:rsid w:val="008F20EC"/>
    <w:rsid w:val="008F2391"/>
    <w:rsid w:val="008F242E"/>
    <w:rsid w:val="008F2550"/>
    <w:rsid w:val="008F2C1F"/>
    <w:rsid w:val="008F2C5F"/>
    <w:rsid w:val="008F2F08"/>
    <w:rsid w:val="008F30FA"/>
    <w:rsid w:val="008F3F0B"/>
    <w:rsid w:val="008F46FF"/>
    <w:rsid w:val="008F62B7"/>
    <w:rsid w:val="008F64E7"/>
    <w:rsid w:val="00900691"/>
    <w:rsid w:val="009011E3"/>
    <w:rsid w:val="00906346"/>
    <w:rsid w:val="00906504"/>
    <w:rsid w:val="0091041B"/>
    <w:rsid w:val="00911155"/>
    <w:rsid w:val="009119F0"/>
    <w:rsid w:val="00911F2F"/>
    <w:rsid w:val="0091435B"/>
    <w:rsid w:val="00914789"/>
    <w:rsid w:val="00914BBD"/>
    <w:rsid w:val="009159F4"/>
    <w:rsid w:val="009169A5"/>
    <w:rsid w:val="00917501"/>
    <w:rsid w:val="00917718"/>
    <w:rsid w:val="00917DE6"/>
    <w:rsid w:val="009222DD"/>
    <w:rsid w:val="0092247E"/>
    <w:rsid w:val="00922E14"/>
    <w:rsid w:val="0092409D"/>
    <w:rsid w:val="0092418C"/>
    <w:rsid w:val="00924349"/>
    <w:rsid w:val="00925057"/>
    <w:rsid w:val="00925832"/>
    <w:rsid w:val="009260AF"/>
    <w:rsid w:val="009262E1"/>
    <w:rsid w:val="0092716E"/>
    <w:rsid w:val="009308BF"/>
    <w:rsid w:val="009311CA"/>
    <w:rsid w:val="00931531"/>
    <w:rsid w:val="009316A6"/>
    <w:rsid w:val="0093247D"/>
    <w:rsid w:val="00932CCA"/>
    <w:rsid w:val="00933451"/>
    <w:rsid w:val="009337BB"/>
    <w:rsid w:val="00933E37"/>
    <w:rsid w:val="00933E61"/>
    <w:rsid w:val="00934087"/>
    <w:rsid w:val="00935C3C"/>
    <w:rsid w:val="00935EEE"/>
    <w:rsid w:val="0093728D"/>
    <w:rsid w:val="00937425"/>
    <w:rsid w:val="00937885"/>
    <w:rsid w:val="00940B7D"/>
    <w:rsid w:val="00943169"/>
    <w:rsid w:val="00943FFF"/>
    <w:rsid w:val="00944231"/>
    <w:rsid w:val="009462FC"/>
    <w:rsid w:val="0094638E"/>
    <w:rsid w:val="00947798"/>
    <w:rsid w:val="0094793D"/>
    <w:rsid w:val="00951979"/>
    <w:rsid w:val="0095225A"/>
    <w:rsid w:val="00952F38"/>
    <w:rsid w:val="00953314"/>
    <w:rsid w:val="009538AA"/>
    <w:rsid w:val="00953AF7"/>
    <w:rsid w:val="00953B30"/>
    <w:rsid w:val="0095424E"/>
    <w:rsid w:val="0095432C"/>
    <w:rsid w:val="009554A9"/>
    <w:rsid w:val="00955577"/>
    <w:rsid w:val="0095611F"/>
    <w:rsid w:val="009567A9"/>
    <w:rsid w:val="00956DFA"/>
    <w:rsid w:val="0096028B"/>
    <w:rsid w:val="0096037B"/>
    <w:rsid w:val="00960E08"/>
    <w:rsid w:val="009611FB"/>
    <w:rsid w:val="009632DE"/>
    <w:rsid w:val="00963459"/>
    <w:rsid w:val="0096448A"/>
    <w:rsid w:val="00964E7D"/>
    <w:rsid w:val="009658FC"/>
    <w:rsid w:val="00966BDD"/>
    <w:rsid w:val="009670DE"/>
    <w:rsid w:val="00967874"/>
    <w:rsid w:val="00971BDF"/>
    <w:rsid w:val="00971E2C"/>
    <w:rsid w:val="00973E9D"/>
    <w:rsid w:val="0097533B"/>
    <w:rsid w:val="009756AB"/>
    <w:rsid w:val="009760A0"/>
    <w:rsid w:val="00976A8E"/>
    <w:rsid w:val="00977C33"/>
    <w:rsid w:val="00980703"/>
    <w:rsid w:val="009816A7"/>
    <w:rsid w:val="00982394"/>
    <w:rsid w:val="009824F8"/>
    <w:rsid w:val="00982F39"/>
    <w:rsid w:val="0098336D"/>
    <w:rsid w:val="00983E82"/>
    <w:rsid w:val="00985102"/>
    <w:rsid w:val="0098555C"/>
    <w:rsid w:val="00985B30"/>
    <w:rsid w:val="00985CE5"/>
    <w:rsid w:val="00986A3A"/>
    <w:rsid w:val="009903E5"/>
    <w:rsid w:val="00990B56"/>
    <w:rsid w:val="00990B6B"/>
    <w:rsid w:val="009918C1"/>
    <w:rsid w:val="00991F12"/>
    <w:rsid w:val="009924EA"/>
    <w:rsid w:val="0099267B"/>
    <w:rsid w:val="009928E3"/>
    <w:rsid w:val="00992E15"/>
    <w:rsid w:val="009930FE"/>
    <w:rsid w:val="0099336E"/>
    <w:rsid w:val="009934CF"/>
    <w:rsid w:val="009938C7"/>
    <w:rsid w:val="0099456F"/>
    <w:rsid w:val="00994BC0"/>
    <w:rsid w:val="009954F5"/>
    <w:rsid w:val="00996439"/>
    <w:rsid w:val="0099685C"/>
    <w:rsid w:val="00996B56"/>
    <w:rsid w:val="009A0960"/>
    <w:rsid w:val="009A1945"/>
    <w:rsid w:val="009A1C1A"/>
    <w:rsid w:val="009A20F6"/>
    <w:rsid w:val="009A2C8F"/>
    <w:rsid w:val="009A37CA"/>
    <w:rsid w:val="009A40E0"/>
    <w:rsid w:val="009A40FB"/>
    <w:rsid w:val="009A4C7D"/>
    <w:rsid w:val="009A560D"/>
    <w:rsid w:val="009A602B"/>
    <w:rsid w:val="009A6631"/>
    <w:rsid w:val="009A712E"/>
    <w:rsid w:val="009A723D"/>
    <w:rsid w:val="009A7736"/>
    <w:rsid w:val="009B01FA"/>
    <w:rsid w:val="009B0DD9"/>
    <w:rsid w:val="009B1133"/>
    <w:rsid w:val="009B1387"/>
    <w:rsid w:val="009B1764"/>
    <w:rsid w:val="009B1C6A"/>
    <w:rsid w:val="009B304A"/>
    <w:rsid w:val="009B3575"/>
    <w:rsid w:val="009B43D7"/>
    <w:rsid w:val="009B4CB3"/>
    <w:rsid w:val="009B4EE3"/>
    <w:rsid w:val="009B5CF7"/>
    <w:rsid w:val="009B5D44"/>
    <w:rsid w:val="009B6365"/>
    <w:rsid w:val="009B63E6"/>
    <w:rsid w:val="009B6803"/>
    <w:rsid w:val="009B6AA1"/>
    <w:rsid w:val="009C069E"/>
    <w:rsid w:val="009C0A12"/>
    <w:rsid w:val="009C11CA"/>
    <w:rsid w:val="009C17FD"/>
    <w:rsid w:val="009C3C21"/>
    <w:rsid w:val="009C3DA7"/>
    <w:rsid w:val="009C428A"/>
    <w:rsid w:val="009C478E"/>
    <w:rsid w:val="009C4B86"/>
    <w:rsid w:val="009C4EED"/>
    <w:rsid w:val="009C55D6"/>
    <w:rsid w:val="009C5A57"/>
    <w:rsid w:val="009C5B77"/>
    <w:rsid w:val="009C61F9"/>
    <w:rsid w:val="009C6358"/>
    <w:rsid w:val="009D035C"/>
    <w:rsid w:val="009D0FC1"/>
    <w:rsid w:val="009D112A"/>
    <w:rsid w:val="009D138F"/>
    <w:rsid w:val="009D1ACF"/>
    <w:rsid w:val="009D2284"/>
    <w:rsid w:val="009D3142"/>
    <w:rsid w:val="009D48E6"/>
    <w:rsid w:val="009D4A9C"/>
    <w:rsid w:val="009D4CE8"/>
    <w:rsid w:val="009D60E0"/>
    <w:rsid w:val="009D6601"/>
    <w:rsid w:val="009D6E07"/>
    <w:rsid w:val="009D6E61"/>
    <w:rsid w:val="009E0109"/>
    <w:rsid w:val="009E0E91"/>
    <w:rsid w:val="009E18F2"/>
    <w:rsid w:val="009E28B7"/>
    <w:rsid w:val="009E2C76"/>
    <w:rsid w:val="009E305B"/>
    <w:rsid w:val="009E3F82"/>
    <w:rsid w:val="009E414F"/>
    <w:rsid w:val="009E4171"/>
    <w:rsid w:val="009E4A07"/>
    <w:rsid w:val="009E562D"/>
    <w:rsid w:val="009E616A"/>
    <w:rsid w:val="009E7639"/>
    <w:rsid w:val="009E7CFE"/>
    <w:rsid w:val="009F0850"/>
    <w:rsid w:val="009F1397"/>
    <w:rsid w:val="009F1ADE"/>
    <w:rsid w:val="009F1DBF"/>
    <w:rsid w:val="009F2287"/>
    <w:rsid w:val="009F252D"/>
    <w:rsid w:val="009F2FB7"/>
    <w:rsid w:val="009F3060"/>
    <w:rsid w:val="009F3284"/>
    <w:rsid w:val="009F352B"/>
    <w:rsid w:val="009F6BD0"/>
    <w:rsid w:val="009F75BD"/>
    <w:rsid w:val="009F7A05"/>
    <w:rsid w:val="009F7C6B"/>
    <w:rsid w:val="00A00B78"/>
    <w:rsid w:val="00A01E37"/>
    <w:rsid w:val="00A03F1D"/>
    <w:rsid w:val="00A050A2"/>
    <w:rsid w:val="00A0517A"/>
    <w:rsid w:val="00A05812"/>
    <w:rsid w:val="00A05ECB"/>
    <w:rsid w:val="00A06513"/>
    <w:rsid w:val="00A06575"/>
    <w:rsid w:val="00A06DA5"/>
    <w:rsid w:val="00A071A9"/>
    <w:rsid w:val="00A07E01"/>
    <w:rsid w:val="00A1151B"/>
    <w:rsid w:val="00A1195E"/>
    <w:rsid w:val="00A121B3"/>
    <w:rsid w:val="00A125AE"/>
    <w:rsid w:val="00A12986"/>
    <w:rsid w:val="00A12D8A"/>
    <w:rsid w:val="00A152F8"/>
    <w:rsid w:val="00A153D5"/>
    <w:rsid w:val="00A1544A"/>
    <w:rsid w:val="00A15847"/>
    <w:rsid w:val="00A15DD0"/>
    <w:rsid w:val="00A17078"/>
    <w:rsid w:val="00A1786E"/>
    <w:rsid w:val="00A178FA"/>
    <w:rsid w:val="00A21368"/>
    <w:rsid w:val="00A22414"/>
    <w:rsid w:val="00A22A67"/>
    <w:rsid w:val="00A23314"/>
    <w:rsid w:val="00A24639"/>
    <w:rsid w:val="00A2470E"/>
    <w:rsid w:val="00A24EFA"/>
    <w:rsid w:val="00A2533A"/>
    <w:rsid w:val="00A25609"/>
    <w:rsid w:val="00A25714"/>
    <w:rsid w:val="00A25E71"/>
    <w:rsid w:val="00A26A98"/>
    <w:rsid w:val="00A26BC5"/>
    <w:rsid w:val="00A26E9C"/>
    <w:rsid w:val="00A27132"/>
    <w:rsid w:val="00A278D3"/>
    <w:rsid w:val="00A30095"/>
    <w:rsid w:val="00A300E7"/>
    <w:rsid w:val="00A317D1"/>
    <w:rsid w:val="00A325F7"/>
    <w:rsid w:val="00A3369D"/>
    <w:rsid w:val="00A339B7"/>
    <w:rsid w:val="00A33E68"/>
    <w:rsid w:val="00A34A55"/>
    <w:rsid w:val="00A35152"/>
    <w:rsid w:val="00A3588D"/>
    <w:rsid w:val="00A35E11"/>
    <w:rsid w:val="00A365B0"/>
    <w:rsid w:val="00A36886"/>
    <w:rsid w:val="00A37472"/>
    <w:rsid w:val="00A4024B"/>
    <w:rsid w:val="00A405FD"/>
    <w:rsid w:val="00A406E2"/>
    <w:rsid w:val="00A40A4D"/>
    <w:rsid w:val="00A4114E"/>
    <w:rsid w:val="00A42608"/>
    <w:rsid w:val="00A44D2A"/>
    <w:rsid w:val="00A45286"/>
    <w:rsid w:val="00A465CA"/>
    <w:rsid w:val="00A4666D"/>
    <w:rsid w:val="00A47901"/>
    <w:rsid w:val="00A5101D"/>
    <w:rsid w:val="00A51250"/>
    <w:rsid w:val="00A52734"/>
    <w:rsid w:val="00A52E27"/>
    <w:rsid w:val="00A53066"/>
    <w:rsid w:val="00A537C1"/>
    <w:rsid w:val="00A53C44"/>
    <w:rsid w:val="00A53CA1"/>
    <w:rsid w:val="00A5454D"/>
    <w:rsid w:val="00A558EA"/>
    <w:rsid w:val="00A55A2A"/>
    <w:rsid w:val="00A55A32"/>
    <w:rsid w:val="00A56165"/>
    <w:rsid w:val="00A5722B"/>
    <w:rsid w:val="00A601C6"/>
    <w:rsid w:val="00A6045B"/>
    <w:rsid w:val="00A6055C"/>
    <w:rsid w:val="00A6158E"/>
    <w:rsid w:val="00A6195C"/>
    <w:rsid w:val="00A61B6C"/>
    <w:rsid w:val="00A62017"/>
    <w:rsid w:val="00A62C7D"/>
    <w:rsid w:val="00A64521"/>
    <w:rsid w:val="00A64E61"/>
    <w:rsid w:val="00A660C9"/>
    <w:rsid w:val="00A66244"/>
    <w:rsid w:val="00A6652B"/>
    <w:rsid w:val="00A67F7A"/>
    <w:rsid w:val="00A70024"/>
    <w:rsid w:val="00A70069"/>
    <w:rsid w:val="00A71130"/>
    <w:rsid w:val="00A71D7D"/>
    <w:rsid w:val="00A727BD"/>
    <w:rsid w:val="00A729BC"/>
    <w:rsid w:val="00A72E0B"/>
    <w:rsid w:val="00A72F6D"/>
    <w:rsid w:val="00A737B1"/>
    <w:rsid w:val="00A73A9A"/>
    <w:rsid w:val="00A7424C"/>
    <w:rsid w:val="00A7432E"/>
    <w:rsid w:val="00A7529D"/>
    <w:rsid w:val="00A75BAB"/>
    <w:rsid w:val="00A76151"/>
    <w:rsid w:val="00A76BF3"/>
    <w:rsid w:val="00A770AC"/>
    <w:rsid w:val="00A779B4"/>
    <w:rsid w:val="00A77A05"/>
    <w:rsid w:val="00A8016C"/>
    <w:rsid w:val="00A80626"/>
    <w:rsid w:val="00A80D7E"/>
    <w:rsid w:val="00A80DD6"/>
    <w:rsid w:val="00A81981"/>
    <w:rsid w:val="00A81A8F"/>
    <w:rsid w:val="00A81FBC"/>
    <w:rsid w:val="00A82C02"/>
    <w:rsid w:val="00A83AA9"/>
    <w:rsid w:val="00A83B8A"/>
    <w:rsid w:val="00A840CA"/>
    <w:rsid w:val="00A84816"/>
    <w:rsid w:val="00A851E7"/>
    <w:rsid w:val="00A858A5"/>
    <w:rsid w:val="00A85B94"/>
    <w:rsid w:val="00A863F9"/>
    <w:rsid w:val="00A86AD1"/>
    <w:rsid w:val="00A87846"/>
    <w:rsid w:val="00A878D1"/>
    <w:rsid w:val="00A87B99"/>
    <w:rsid w:val="00A87E4F"/>
    <w:rsid w:val="00A902F8"/>
    <w:rsid w:val="00A90A9D"/>
    <w:rsid w:val="00A91493"/>
    <w:rsid w:val="00A91834"/>
    <w:rsid w:val="00A91B19"/>
    <w:rsid w:val="00A91C29"/>
    <w:rsid w:val="00A9234A"/>
    <w:rsid w:val="00A940F8"/>
    <w:rsid w:val="00A94AEF"/>
    <w:rsid w:val="00A94AF9"/>
    <w:rsid w:val="00A95253"/>
    <w:rsid w:val="00A956D5"/>
    <w:rsid w:val="00A95ACB"/>
    <w:rsid w:val="00A962F4"/>
    <w:rsid w:val="00AA02C4"/>
    <w:rsid w:val="00AA056C"/>
    <w:rsid w:val="00AA10F7"/>
    <w:rsid w:val="00AA1189"/>
    <w:rsid w:val="00AA13D6"/>
    <w:rsid w:val="00AA3D4F"/>
    <w:rsid w:val="00AA41D7"/>
    <w:rsid w:val="00AA428C"/>
    <w:rsid w:val="00AA47F4"/>
    <w:rsid w:val="00AA509F"/>
    <w:rsid w:val="00AA6072"/>
    <w:rsid w:val="00AA6B92"/>
    <w:rsid w:val="00AA6CB8"/>
    <w:rsid w:val="00AB076A"/>
    <w:rsid w:val="00AB0817"/>
    <w:rsid w:val="00AB32D2"/>
    <w:rsid w:val="00AB54B0"/>
    <w:rsid w:val="00AB560A"/>
    <w:rsid w:val="00AB5C40"/>
    <w:rsid w:val="00AB5F97"/>
    <w:rsid w:val="00AB6F76"/>
    <w:rsid w:val="00AC026D"/>
    <w:rsid w:val="00AC2288"/>
    <w:rsid w:val="00AC29FB"/>
    <w:rsid w:val="00AC37AD"/>
    <w:rsid w:val="00AC3F7B"/>
    <w:rsid w:val="00AC58E3"/>
    <w:rsid w:val="00AC63FD"/>
    <w:rsid w:val="00AC792C"/>
    <w:rsid w:val="00AD0F46"/>
    <w:rsid w:val="00AD25F2"/>
    <w:rsid w:val="00AD2675"/>
    <w:rsid w:val="00AD280F"/>
    <w:rsid w:val="00AD36D2"/>
    <w:rsid w:val="00AD3F42"/>
    <w:rsid w:val="00AD4270"/>
    <w:rsid w:val="00AD4521"/>
    <w:rsid w:val="00AD48EE"/>
    <w:rsid w:val="00AD4F1E"/>
    <w:rsid w:val="00AD5D95"/>
    <w:rsid w:val="00AD620A"/>
    <w:rsid w:val="00AD6280"/>
    <w:rsid w:val="00AD64A2"/>
    <w:rsid w:val="00AD70A9"/>
    <w:rsid w:val="00AD712B"/>
    <w:rsid w:val="00AD71D0"/>
    <w:rsid w:val="00AD758A"/>
    <w:rsid w:val="00AD76C2"/>
    <w:rsid w:val="00AD7EC2"/>
    <w:rsid w:val="00AE04BE"/>
    <w:rsid w:val="00AE262A"/>
    <w:rsid w:val="00AE263F"/>
    <w:rsid w:val="00AE265F"/>
    <w:rsid w:val="00AE2B61"/>
    <w:rsid w:val="00AE2BEA"/>
    <w:rsid w:val="00AE329F"/>
    <w:rsid w:val="00AE3E23"/>
    <w:rsid w:val="00AE3EBC"/>
    <w:rsid w:val="00AE6E87"/>
    <w:rsid w:val="00AF132B"/>
    <w:rsid w:val="00AF2160"/>
    <w:rsid w:val="00AF239E"/>
    <w:rsid w:val="00AF28E0"/>
    <w:rsid w:val="00AF2ACB"/>
    <w:rsid w:val="00AF2F98"/>
    <w:rsid w:val="00AF301F"/>
    <w:rsid w:val="00AF327B"/>
    <w:rsid w:val="00AF354A"/>
    <w:rsid w:val="00AF3FEA"/>
    <w:rsid w:val="00AF4264"/>
    <w:rsid w:val="00AF4357"/>
    <w:rsid w:val="00AF5418"/>
    <w:rsid w:val="00AF6AD4"/>
    <w:rsid w:val="00AF6BB6"/>
    <w:rsid w:val="00AF6BE1"/>
    <w:rsid w:val="00B00198"/>
    <w:rsid w:val="00B010D8"/>
    <w:rsid w:val="00B01D44"/>
    <w:rsid w:val="00B02990"/>
    <w:rsid w:val="00B02B3B"/>
    <w:rsid w:val="00B02F54"/>
    <w:rsid w:val="00B0323F"/>
    <w:rsid w:val="00B036FE"/>
    <w:rsid w:val="00B0410A"/>
    <w:rsid w:val="00B04F68"/>
    <w:rsid w:val="00B05ED8"/>
    <w:rsid w:val="00B06BE3"/>
    <w:rsid w:val="00B074ED"/>
    <w:rsid w:val="00B07B0F"/>
    <w:rsid w:val="00B104F4"/>
    <w:rsid w:val="00B10E48"/>
    <w:rsid w:val="00B11687"/>
    <w:rsid w:val="00B11A76"/>
    <w:rsid w:val="00B120C6"/>
    <w:rsid w:val="00B1261B"/>
    <w:rsid w:val="00B12EF9"/>
    <w:rsid w:val="00B13702"/>
    <w:rsid w:val="00B14527"/>
    <w:rsid w:val="00B14595"/>
    <w:rsid w:val="00B15DCC"/>
    <w:rsid w:val="00B169CB"/>
    <w:rsid w:val="00B20014"/>
    <w:rsid w:val="00B21560"/>
    <w:rsid w:val="00B21B16"/>
    <w:rsid w:val="00B22C0B"/>
    <w:rsid w:val="00B22F26"/>
    <w:rsid w:val="00B23427"/>
    <w:rsid w:val="00B24B29"/>
    <w:rsid w:val="00B2554B"/>
    <w:rsid w:val="00B266EF"/>
    <w:rsid w:val="00B27E11"/>
    <w:rsid w:val="00B3072E"/>
    <w:rsid w:val="00B324C1"/>
    <w:rsid w:val="00B32CB2"/>
    <w:rsid w:val="00B32DE1"/>
    <w:rsid w:val="00B334A6"/>
    <w:rsid w:val="00B340D5"/>
    <w:rsid w:val="00B34290"/>
    <w:rsid w:val="00B344F1"/>
    <w:rsid w:val="00B34871"/>
    <w:rsid w:val="00B3649A"/>
    <w:rsid w:val="00B37385"/>
    <w:rsid w:val="00B376E5"/>
    <w:rsid w:val="00B37D1F"/>
    <w:rsid w:val="00B406ED"/>
    <w:rsid w:val="00B418D5"/>
    <w:rsid w:val="00B419BC"/>
    <w:rsid w:val="00B41EE7"/>
    <w:rsid w:val="00B41FC9"/>
    <w:rsid w:val="00B4256D"/>
    <w:rsid w:val="00B430F4"/>
    <w:rsid w:val="00B43367"/>
    <w:rsid w:val="00B43E9B"/>
    <w:rsid w:val="00B43FB4"/>
    <w:rsid w:val="00B44637"/>
    <w:rsid w:val="00B44BC8"/>
    <w:rsid w:val="00B4567C"/>
    <w:rsid w:val="00B45E13"/>
    <w:rsid w:val="00B4692B"/>
    <w:rsid w:val="00B47ECB"/>
    <w:rsid w:val="00B51541"/>
    <w:rsid w:val="00B529DC"/>
    <w:rsid w:val="00B53555"/>
    <w:rsid w:val="00B53824"/>
    <w:rsid w:val="00B5457F"/>
    <w:rsid w:val="00B54614"/>
    <w:rsid w:val="00B5499B"/>
    <w:rsid w:val="00B54A9D"/>
    <w:rsid w:val="00B55456"/>
    <w:rsid w:val="00B5558A"/>
    <w:rsid w:val="00B55BEB"/>
    <w:rsid w:val="00B560D6"/>
    <w:rsid w:val="00B5636A"/>
    <w:rsid w:val="00B56ED5"/>
    <w:rsid w:val="00B5737E"/>
    <w:rsid w:val="00B60D09"/>
    <w:rsid w:val="00B61D9E"/>
    <w:rsid w:val="00B63AEB"/>
    <w:rsid w:val="00B65227"/>
    <w:rsid w:val="00B652BB"/>
    <w:rsid w:val="00B65C6F"/>
    <w:rsid w:val="00B6729B"/>
    <w:rsid w:val="00B676A9"/>
    <w:rsid w:val="00B677A9"/>
    <w:rsid w:val="00B67B88"/>
    <w:rsid w:val="00B71190"/>
    <w:rsid w:val="00B713E2"/>
    <w:rsid w:val="00B71763"/>
    <w:rsid w:val="00B71C64"/>
    <w:rsid w:val="00B722FB"/>
    <w:rsid w:val="00B72742"/>
    <w:rsid w:val="00B72A0C"/>
    <w:rsid w:val="00B73033"/>
    <w:rsid w:val="00B73202"/>
    <w:rsid w:val="00B73211"/>
    <w:rsid w:val="00B73DAA"/>
    <w:rsid w:val="00B74AB4"/>
    <w:rsid w:val="00B774CA"/>
    <w:rsid w:val="00B77E84"/>
    <w:rsid w:val="00B77EF8"/>
    <w:rsid w:val="00B809F7"/>
    <w:rsid w:val="00B81316"/>
    <w:rsid w:val="00B8133B"/>
    <w:rsid w:val="00B81402"/>
    <w:rsid w:val="00B81D66"/>
    <w:rsid w:val="00B8208C"/>
    <w:rsid w:val="00B836B8"/>
    <w:rsid w:val="00B84EF5"/>
    <w:rsid w:val="00B85ED7"/>
    <w:rsid w:val="00B86941"/>
    <w:rsid w:val="00B86E7A"/>
    <w:rsid w:val="00B87985"/>
    <w:rsid w:val="00B87B04"/>
    <w:rsid w:val="00B87C0A"/>
    <w:rsid w:val="00B87DFE"/>
    <w:rsid w:val="00B900D7"/>
    <w:rsid w:val="00B900D9"/>
    <w:rsid w:val="00B9062B"/>
    <w:rsid w:val="00B91032"/>
    <w:rsid w:val="00B913C6"/>
    <w:rsid w:val="00B9159C"/>
    <w:rsid w:val="00B91CC4"/>
    <w:rsid w:val="00B920BC"/>
    <w:rsid w:val="00B9213E"/>
    <w:rsid w:val="00B922E6"/>
    <w:rsid w:val="00B95250"/>
    <w:rsid w:val="00B959CD"/>
    <w:rsid w:val="00B970C1"/>
    <w:rsid w:val="00B975DD"/>
    <w:rsid w:val="00B97AE8"/>
    <w:rsid w:val="00B97BD6"/>
    <w:rsid w:val="00BA0117"/>
    <w:rsid w:val="00BA05DB"/>
    <w:rsid w:val="00BA1130"/>
    <w:rsid w:val="00BA1571"/>
    <w:rsid w:val="00BA16AB"/>
    <w:rsid w:val="00BA18EE"/>
    <w:rsid w:val="00BA1D98"/>
    <w:rsid w:val="00BA4340"/>
    <w:rsid w:val="00BA4548"/>
    <w:rsid w:val="00BA49D2"/>
    <w:rsid w:val="00BA4F0B"/>
    <w:rsid w:val="00BA60E8"/>
    <w:rsid w:val="00BA628B"/>
    <w:rsid w:val="00BA6A07"/>
    <w:rsid w:val="00BA7436"/>
    <w:rsid w:val="00BB0BDE"/>
    <w:rsid w:val="00BB12AB"/>
    <w:rsid w:val="00BB1E57"/>
    <w:rsid w:val="00BB1F35"/>
    <w:rsid w:val="00BB2DA6"/>
    <w:rsid w:val="00BB2F0C"/>
    <w:rsid w:val="00BB5778"/>
    <w:rsid w:val="00BB5CEE"/>
    <w:rsid w:val="00BB5D34"/>
    <w:rsid w:val="00BB7786"/>
    <w:rsid w:val="00BB7F43"/>
    <w:rsid w:val="00BC0B41"/>
    <w:rsid w:val="00BC0FE5"/>
    <w:rsid w:val="00BC10E5"/>
    <w:rsid w:val="00BC16EE"/>
    <w:rsid w:val="00BC17FA"/>
    <w:rsid w:val="00BC22AF"/>
    <w:rsid w:val="00BC2B74"/>
    <w:rsid w:val="00BC2E70"/>
    <w:rsid w:val="00BC3E4A"/>
    <w:rsid w:val="00BC52C3"/>
    <w:rsid w:val="00BC6E51"/>
    <w:rsid w:val="00BD091B"/>
    <w:rsid w:val="00BD0AD2"/>
    <w:rsid w:val="00BD1F1B"/>
    <w:rsid w:val="00BD3551"/>
    <w:rsid w:val="00BD40AF"/>
    <w:rsid w:val="00BD43FC"/>
    <w:rsid w:val="00BD4B9B"/>
    <w:rsid w:val="00BD4F31"/>
    <w:rsid w:val="00BD50E0"/>
    <w:rsid w:val="00BD5C2E"/>
    <w:rsid w:val="00BD5F38"/>
    <w:rsid w:val="00BD6293"/>
    <w:rsid w:val="00BD6FE1"/>
    <w:rsid w:val="00BD776F"/>
    <w:rsid w:val="00BD7B58"/>
    <w:rsid w:val="00BD7D21"/>
    <w:rsid w:val="00BD7F9B"/>
    <w:rsid w:val="00BE0F76"/>
    <w:rsid w:val="00BE1AA1"/>
    <w:rsid w:val="00BE2B58"/>
    <w:rsid w:val="00BE324F"/>
    <w:rsid w:val="00BE3AD5"/>
    <w:rsid w:val="00BE4543"/>
    <w:rsid w:val="00BE4D31"/>
    <w:rsid w:val="00BE50D1"/>
    <w:rsid w:val="00BE5D60"/>
    <w:rsid w:val="00BE608E"/>
    <w:rsid w:val="00BE6B01"/>
    <w:rsid w:val="00BF0398"/>
    <w:rsid w:val="00BF050E"/>
    <w:rsid w:val="00BF0C3A"/>
    <w:rsid w:val="00BF17DC"/>
    <w:rsid w:val="00BF1EDE"/>
    <w:rsid w:val="00BF2BFA"/>
    <w:rsid w:val="00BF2D4B"/>
    <w:rsid w:val="00BF3C5C"/>
    <w:rsid w:val="00BF4126"/>
    <w:rsid w:val="00BF4AF9"/>
    <w:rsid w:val="00BF4D15"/>
    <w:rsid w:val="00BF5569"/>
    <w:rsid w:val="00BF5700"/>
    <w:rsid w:val="00BF5AD1"/>
    <w:rsid w:val="00BF5BC6"/>
    <w:rsid w:val="00BF730D"/>
    <w:rsid w:val="00BF7ADA"/>
    <w:rsid w:val="00C001CF"/>
    <w:rsid w:val="00C008A1"/>
    <w:rsid w:val="00C00C02"/>
    <w:rsid w:val="00C0121D"/>
    <w:rsid w:val="00C02641"/>
    <w:rsid w:val="00C0272A"/>
    <w:rsid w:val="00C02A8B"/>
    <w:rsid w:val="00C031C9"/>
    <w:rsid w:val="00C0344C"/>
    <w:rsid w:val="00C03548"/>
    <w:rsid w:val="00C0419B"/>
    <w:rsid w:val="00C0425D"/>
    <w:rsid w:val="00C05001"/>
    <w:rsid w:val="00C0501E"/>
    <w:rsid w:val="00C05AAF"/>
    <w:rsid w:val="00C05DBD"/>
    <w:rsid w:val="00C0612C"/>
    <w:rsid w:val="00C07A0D"/>
    <w:rsid w:val="00C10211"/>
    <w:rsid w:val="00C10A67"/>
    <w:rsid w:val="00C10C18"/>
    <w:rsid w:val="00C10CB7"/>
    <w:rsid w:val="00C10D41"/>
    <w:rsid w:val="00C117AF"/>
    <w:rsid w:val="00C11BC3"/>
    <w:rsid w:val="00C11EAC"/>
    <w:rsid w:val="00C12BB2"/>
    <w:rsid w:val="00C12E3C"/>
    <w:rsid w:val="00C13191"/>
    <w:rsid w:val="00C143BB"/>
    <w:rsid w:val="00C14A60"/>
    <w:rsid w:val="00C14D11"/>
    <w:rsid w:val="00C15D93"/>
    <w:rsid w:val="00C15F05"/>
    <w:rsid w:val="00C1623D"/>
    <w:rsid w:val="00C16DEF"/>
    <w:rsid w:val="00C202A2"/>
    <w:rsid w:val="00C20DC2"/>
    <w:rsid w:val="00C21631"/>
    <w:rsid w:val="00C22D62"/>
    <w:rsid w:val="00C230D9"/>
    <w:rsid w:val="00C247D5"/>
    <w:rsid w:val="00C24863"/>
    <w:rsid w:val="00C24BE7"/>
    <w:rsid w:val="00C25EC4"/>
    <w:rsid w:val="00C261FE"/>
    <w:rsid w:val="00C26AE4"/>
    <w:rsid w:val="00C27096"/>
    <w:rsid w:val="00C30C8B"/>
    <w:rsid w:val="00C30DBE"/>
    <w:rsid w:val="00C31458"/>
    <w:rsid w:val="00C32022"/>
    <w:rsid w:val="00C32D61"/>
    <w:rsid w:val="00C33BD4"/>
    <w:rsid w:val="00C353B0"/>
    <w:rsid w:val="00C35BBF"/>
    <w:rsid w:val="00C361FE"/>
    <w:rsid w:val="00C36BE1"/>
    <w:rsid w:val="00C37888"/>
    <w:rsid w:val="00C40A66"/>
    <w:rsid w:val="00C41148"/>
    <w:rsid w:val="00C42356"/>
    <w:rsid w:val="00C43002"/>
    <w:rsid w:val="00C43087"/>
    <w:rsid w:val="00C432E0"/>
    <w:rsid w:val="00C43EB5"/>
    <w:rsid w:val="00C4441D"/>
    <w:rsid w:val="00C449D8"/>
    <w:rsid w:val="00C4526D"/>
    <w:rsid w:val="00C47F46"/>
    <w:rsid w:val="00C50DD5"/>
    <w:rsid w:val="00C50F2D"/>
    <w:rsid w:val="00C51C4D"/>
    <w:rsid w:val="00C53163"/>
    <w:rsid w:val="00C53F6F"/>
    <w:rsid w:val="00C56565"/>
    <w:rsid w:val="00C57284"/>
    <w:rsid w:val="00C57A48"/>
    <w:rsid w:val="00C57B9A"/>
    <w:rsid w:val="00C57D02"/>
    <w:rsid w:val="00C60151"/>
    <w:rsid w:val="00C65530"/>
    <w:rsid w:val="00C65538"/>
    <w:rsid w:val="00C66373"/>
    <w:rsid w:val="00C66B7E"/>
    <w:rsid w:val="00C6782C"/>
    <w:rsid w:val="00C67FC6"/>
    <w:rsid w:val="00C70093"/>
    <w:rsid w:val="00C70462"/>
    <w:rsid w:val="00C736EA"/>
    <w:rsid w:val="00C74321"/>
    <w:rsid w:val="00C76205"/>
    <w:rsid w:val="00C77539"/>
    <w:rsid w:val="00C779C7"/>
    <w:rsid w:val="00C77D6C"/>
    <w:rsid w:val="00C77F84"/>
    <w:rsid w:val="00C804A9"/>
    <w:rsid w:val="00C828B2"/>
    <w:rsid w:val="00C82B6A"/>
    <w:rsid w:val="00C837AB"/>
    <w:rsid w:val="00C8693F"/>
    <w:rsid w:val="00C86D72"/>
    <w:rsid w:val="00C86F52"/>
    <w:rsid w:val="00C87993"/>
    <w:rsid w:val="00C90A53"/>
    <w:rsid w:val="00C90C94"/>
    <w:rsid w:val="00C91524"/>
    <w:rsid w:val="00C92266"/>
    <w:rsid w:val="00C923BA"/>
    <w:rsid w:val="00C9243A"/>
    <w:rsid w:val="00C928A8"/>
    <w:rsid w:val="00C92DFE"/>
    <w:rsid w:val="00C934BF"/>
    <w:rsid w:val="00C93CAA"/>
    <w:rsid w:val="00C9489B"/>
    <w:rsid w:val="00C959A8"/>
    <w:rsid w:val="00C9637D"/>
    <w:rsid w:val="00C97A5A"/>
    <w:rsid w:val="00CA16CF"/>
    <w:rsid w:val="00CA1F0B"/>
    <w:rsid w:val="00CA2520"/>
    <w:rsid w:val="00CA2924"/>
    <w:rsid w:val="00CA30FA"/>
    <w:rsid w:val="00CA4C17"/>
    <w:rsid w:val="00CA5DC0"/>
    <w:rsid w:val="00CA65F4"/>
    <w:rsid w:val="00CA6EAD"/>
    <w:rsid w:val="00CA7782"/>
    <w:rsid w:val="00CB18E0"/>
    <w:rsid w:val="00CB1F03"/>
    <w:rsid w:val="00CB2194"/>
    <w:rsid w:val="00CB2281"/>
    <w:rsid w:val="00CB36FF"/>
    <w:rsid w:val="00CB3981"/>
    <w:rsid w:val="00CB431A"/>
    <w:rsid w:val="00CB454D"/>
    <w:rsid w:val="00CB50FB"/>
    <w:rsid w:val="00CB5B05"/>
    <w:rsid w:val="00CB6022"/>
    <w:rsid w:val="00CB61C0"/>
    <w:rsid w:val="00CC1812"/>
    <w:rsid w:val="00CC1F65"/>
    <w:rsid w:val="00CC254D"/>
    <w:rsid w:val="00CC2C81"/>
    <w:rsid w:val="00CC34AE"/>
    <w:rsid w:val="00CC39CF"/>
    <w:rsid w:val="00CC50A2"/>
    <w:rsid w:val="00CC533D"/>
    <w:rsid w:val="00CD02B1"/>
    <w:rsid w:val="00CD1391"/>
    <w:rsid w:val="00CD2B16"/>
    <w:rsid w:val="00CD3AC8"/>
    <w:rsid w:val="00CD4BD5"/>
    <w:rsid w:val="00CD4D22"/>
    <w:rsid w:val="00CD4EC2"/>
    <w:rsid w:val="00CD50EE"/>
    <w:rsid w:val="00CD579C"/>
    <w:rsid w:val="00CD5DCF"/>
    <w:rsid w:val="00CD6F5B"/>
    <w:rsid w:val="00CE06C0"/>
    <w:rsid w:val="00CE090D"/>
    <w:rsid w:val="00CE1138"/>
    <w:rsid w:val="00CE11F4"/>
    <w:rsid w:val="00CE166A"/>
    <w:rsid w:val="00CE19CF"/>
    <w:rsid w:val="00CE2DCD"/>
    <w:rsid w:val="00CE3A14"/>
    <w:rsid w:val="00CE431E"/>
    <w:rsid w:val="00CE4403"/>
    <w:rsid w:val="00CE4954"/>
    <w:rsid w:val="00CE505F"/>
    <w:rsid w:val="00CE5F70"/>
    <w:rsid w:val="00CE68A4"/>
    <w:rsid w:val="00CE6DF0"/>
    <w:rsid w:val="00CF207B"/>
    <w:rsid w:val="00CF21EC"/>
    <w:rsid w:val="00CF3790"/>
    <w:rsid w:val="00CF4BBF"/>
    <w:rsid w:val="00CF4DCF"/>
    <w:rsid w:val="00CF4EBB"/>
    <w:rsid w:val="00CF69BE"/>
    <w:rsid w:val="00CF6B52"/>
    <w:rsid w:val="00CF7056"/>
    <w:rsid w:val="00D00F39"/>
    <w:rsid w:val="00D012DA"/>
    <w:rsid w:val="00D01BDB"/>
    <w:rsid w:val="00D02205"/>
    <w:rsid w:val="00D0268E"/>
    <w:rsid w:val="00D02F02"/>
    <w:rsid w:val="00D03590"/>
    <w:rsid w:val="00D03C65"/>
    <w:rsid w:val="00D041F1"/>
    <w:rsid w:val="00D04425"/>
    <w:rsid w:val="00D05E38"/>
    <w:rsid w:val="00D05F87"/>
    <w:rsid w:val="00D06253"/>
    <w:rsid w:val="00D07567"/>
    <w:rsid w:val="00D07849"/>
    <w:rsid w:val="00D100DB"/>
    <w:rsid w:val="00D1125D"/>
    <w:rsid w:val="00D12F76"/>
    <w:rsid w:val="00D1432B"/>
    <w:rsid w:val="00D15130"/>
    <w:rsid w:val="00D16772"/>
    <w:rsid w:val="00D16AF8"/>
    <w:rsid w:val="00D170A9"/>
    <w:rsid w:val="00D17A12"/>
    <w:rsid w:val="00D20583"/>
    <w:rsid w:val="00D207F7"/>
    <w:rsid w:val="00D20834"/>
    <w:rsid w:val="00D20E78"/>
    <w:rsid w:val="00D212CB"/>
    <w:rsid w:val="00D2248D"/>
    <w:rsid w:val="00D22CA8"/>
    <w:rsid w:val="00D2664F"/>
    <w:rsid w:val="00D271DD"/>
    <w:rsid w:val="00D27A89"/>
    <w:rsid w:val="00D27E13"/>
    <w:rsid w:val="00D3134F"/>
    <w:rsid w:val="00D31F84"/>
    <w:rsid w:val="00D32105"/>
    <w:rsid w:val="00D3298C"/>
    <w:rsid w:val="00D32C70"/>
    <w:rsid w:val="00D33353"/>
    <w:rsid w:val="00D35279"/>
    <w:rsid w:val="00D35FF0"/>
    <w:rsid w:val="00D36C1D"/>
    <w:rsid w:val="00D36EBA"/>
    <w:rsid w:val="00D371A1"/>
    <w:rsid w:val="00D37FC7"/>
    <w:rsid w:val="00D407DD"/>
    <w:rsid w:val="00D408A6"/>
    <w:rsid w:val="00D40B52"/>
    <w:rsid w:val="00D40C2F"/>
    <w:rsid w:val="00D40E72"/>
    <w:rsid w:val="00D41135"/>
    <w:rsid w:val="00D41EF6"/>
    <w:rsid w:val="00D41F42"/>
    <w:rsid w:val="00D42290"/>
    <w:rsid w:val="00D43322"/>
    <w:rsid w:val="00D43A55"/>
    <w:rsid w:val="00D43EF5"/>
    <w:rsid w:val="00D4414C"/>
    <w:rsid w:val="00D44ADF"/>
    <w:rsid w:val="00D44EF7"/>
    <w:rsid w:val="00D44F67"/>
    <w:rsid w:val="00D45F31"/>
    <w:rsid w:val="00D472F0"/>
    <w:rsid w:val="00D47B9D"/>
    <w:rsid w:val="00D47DC0"/>
    <w:rsid w:val="00D47F68"/>
    <w:rsid w:val="00D51317"/>
    <w:rsid w:val="00D51BD1"/>
    <w:rsid w:val="00D51FF8"/>
    <w:rsid w:val="00D524E4"/>
    <w:rsid w:val="00D526CD"/>
    <w:rsid w:val="00D53C80"/>
    <w:rsid w:val="00D53F5A"/>
    <w:rsid w:val="00D541F3"/>
    <w:rsid w:val="00D54561"/>
    <w:rsid w:val="00D54CF7"/>
    <w:rsid w:val="00D5551A"/>
    <w:rsid w:val="00D575AC"/>
    <w:rsid w:val="00D576CF"/>
    <w:rsid w:val="00D60418"/>
    <w:rsid w:val="00D60A8C"/>
    <w:rsid w:val="00D61521"/>
    <w:rsid w:val="00D626BD"/>
    <w:rsid w:val="00D62EB9"/>
    <w:rsid w:val="00D63885"/>
    <w:rsid w:val="00D63F81"/>
    <w:rsid w:val="00D6447F"/>
    <w:rsid w:val="00D65135"/>
    <w:rsid w:val="00D65587"/>
    <w:rsid w:val="00D66C0B"/>
    <w:rsid w:val="00D671A3"/>
    <w:rsid w:val="00D704CA"/>
    <w:rsid w:val="00D70963"/>
    <w:rsid w:val="00D719C1"/>
    <w:rsid w:val="00D71C59"/>
    <w:rsid w:val="00D7220D"/>
    <w:rsid w:val="00D7223C"/>
    <w:rsid w:val="00D72530"/>
    <w:rsid w:val="00D72CB7"/>
    <w:rsid w:val="00D72EE5"/>
    <w:rsid w:val="00D73463"/>
    <w:rsid w:val="00D755E3"/>
    <w:rsid w:val="00D768C7"/>
    <w:rsid w:val="00D7794A"/>
    <w:rsid w:val="00D80B17"/>
    <w:rsid w:val="00D80BDA"/>
    <w:rsid w:val="00D81779"/>
    <w:rsid w:val="00D81864"/>
    <w:rsid w:val="00D81D54"/>
    <w:rsid w:val="00D82097"/>
    <w:rsid w:val="00D83D0D"/>
    <w:rsid w:val="00D844ED"/>
    <w:rsid w:val="00D855F1"/>
    <w:rsid w:val="00D859F3"/>
    <w:rsid w:val="00D907AF"/>
    <w:rsid w:val="00D90AA6"/>
    <w:rsid w:val="00D91397"/>
    <w:rsid w:val="00D914CA"/>
    <w:rsid w:val="00D924F0"/>
    <w:rsid w:val="00D940FC"/>
    <w:rsid w:val="00D94B09"/>
    <w:rsid w:val="00D95F61"/>
    <w:rsid w:val="00D97377"/>
    <w:rsid w:val="00D97611"/>
    <w:rsid w:val="00DA04A0"/>
    <w:rsid w:val="00DA297A"/>
    <w:rsid w:val="00DA388C"/>
    <w:rsid w:val="00DA3CF0"/>
    <w:rsid w:val="00DA5C28"/>
    <w:rsid w:val="00DA5F2E"/>
    <w:rsid w:val="00DA6E1B"/>
    <w:rsid w:val="00DA7E84"/>
    <w:rsid w:val="00DB059D"/>
    <w:rsid w:val="00DB11F0"/>
    <w:rsid w:val="00DB246F"/>
    <w:rsid w:val="00DB40DB"/>
    <w:rsid w:val="00DB4A9D"/>
    <w:rsid w:val="00DB51C5"/>
    <w:rsid w:val="00DB53B4"/>
    <w:rsid w:val="00DB55B5"/>
    <w:rsid w:val="00DB55C1"/>
    <w:rsid w:val="00DB58D3"/>
    <w:rsid w:val="00DB6F1B"/>
    <w:rsid w:val="00DB7681"/>
    <w:rsid w:val="00DB78C2"/>
    <w:rsid w:val="00DB7D67"/>
    <w:rsid w:val="00DC13A0"/>
    <w:rsid w:val="00DC1CAA"/>
    <w:rsid w:val="00DC1D53"/>
    <w:rsid w:val="00DC2928"/>
    <w:rsid w:val="00DC294F"/>
    <w:rsid w:val="00DC2DC3"/>
    <w:rsid w:val="00DC2ECA"/>
    <w:rsid w:val="00DC60F5"/>
    <w:rsid w:val="00DC6535"/>
    <w:rsid w:val="00DC6E2A"/>
    <w:rsid w:val="00DC7257"/>
    <w:rsid w:val="00DC7B69"/>
    <w:rsid w:val="00DD02B6"/>
    <w:rsid w:val="00DD0D63"/>
    <w:rsid w:val="00DD10C7"/>
    <w:rsid w:val="00DD1246"/>
    <w:rsid w:val="00DD1EBF"/>
    <w:rsid w:val="00DD3A00"/>
    <w:rsid w:val="00DD4970"/>
    <w:rsid w:val="00DD4977"/>
    <w:rsid w:val="00DD4E78"/>
    <w:rsid w:val="00DD5278"/>
    <w:rsid w:val="00DD69CD"/>
    <w:rsid w:val="00DD6C1D"/>
    <w:rsid w:val="00DD6CB3"/>
    <w:rsid w:val="00DD6FE1"/>
    <w:rsid w:val="00DD71CD"/>
    <w:rsid w:val="00DD754F"/>
    <w:rsid w:val="00DD76C3"/>
    <w:rsid w:val="00DD777F"/>
    <w:rsid w:val="00DD7A03"/>
    <w:rsid w:val="00DD7A99"/>
    <w:rsid w:val="00DD7E65"/>
    <w:rsid w:val="00DD7FB4"/>
    <w:rsid w:val="00DE0803"/>
    <w:rsid w:val="00DE08CD"/>
    <w:rsid w:val="00DE1AE6"/>
    <w:rsid w:val="00DE1AF6"/>
    <w:rsid w:val="00DE24D4"/>
    <w:rsid w:val="00DE36DB"/>
    <w:rsid w:val="00DE417C"/>
    <w:rsid w:val="00DE4AA1"/>
    <w:rsid w:val="00DE586F"/>
    <w:rsid w:val="00DE5CE8"/>
    <w:rsid w:val="00DE659B"/>
    <w:rsid w:val="00DE72F2"/>
    <w:rsid w:val="00DE798F"/>
    <w:rsid w:val="00DF16BF"/>
    <w:rsid w:val="00DF1B09"/>
    <w:rsid w:val="00DF1E77"/>
    <w:rsid w:val="00DF200E"/>
    <w:rsid w:val="00DF33A4"/>
    <w:rsid w:val="00DF3DF6"/>
    <w:rsid w:val="00DF453C"/>
    <w:rsid w:val="00DF468D"/>
    <w:rsid w:val="00DF561D"/>
    <w:rsid w:val="00DF5D21"/>
    <w:rsid w:val="00DF6167"/>
    <w:rsid w:val="00DF73DE"/>
    <w:rsid w:val="00E00CA4"/>
    <w:rsid w:val="00E02362"/>
    <w:rsid w:val="00E0322B"/>
    <w:rsid w:val="00E03C86"/>
    <w:rsid w:val="00E03D54"/>
    <w:rsid w:val="00E045BC"/>
    <w:rsid w:val="00E046B6"/>
    <w:rsid w:val="00E04937"/>
    <w:rsid w:val="00E04BBB"/>
    <w:rsid w:val="00E04D17"/>
    <w:rsid w:val="00E04FC6"/>
    <w:rsid w:val="00E05872"/>
    <w:rsid w:val="00E05C3B"/>
    <w:rsid w:val="00E107C6"/>
    <w:rsid w:val="00E11310"/>
    <w:rsid w:val="00E1189F"/>
    <w:rsid w:val="00E122B3"/>
    <w:rsid w:val="00E122CF"/>
    <w:rsid w:val="00E125F6"/>
    <w:rsid w:val="00E12C28"/>
    <w:rsid w:val="00E1336A"/>
    <w:rsid w:val="00E134BC"/>
    <w:rsid w:val="00E13B14"/>
    <w:rsid w:val="00E13F1E"/>
    <w:rsid w:val="00E1417F"/>
    <w:rsid w:val="00E158E1"/>
    <w:rsid w:val="00E15BF6"/>
    <w:rsid w:val="00E1608F"/>
    <w:rsid w:val="00E16433"/>
    <w:rsid w:val="00E17C35"/>
    <w:rsid w:val="00E17F59"/>
    <w:rsid w:val="00E2092A"/>
    <w:rsid w:val="00E20D07"/>
    <w:rsid w:val="00E20E69"/>
    <w:rsid w:val="00E2164C"/>
    <w:rsid w:val="00E216EF"/>
    <w:rsid w:val="00E21CC3"/>
    <w:rsid w:val="00E22F9D"/>
    <w:rsid w:val="00E2366F"/>
    <w:rsid w:val="00E24AA9"/>
    <w:rsid w:val="00E24C5E"/>
    <w:rsid w:val="00E24E60"/>
    <w:rsid w:val="00E2534C"/>
    <w:rsid w:val="00E2639A"/>
    <w:rsid w:val="00E26B09"/>
    <w:rsid w:val="00E26C38"/>
    <w:rsid w:val="00E26F25"/>
    <w:rsid w:val="00E2710B"/>
    <w:rsid w:val="00E303E6"/>
    <w:rsid w:val="00E308B6"/>
    <w:rsid w:val="00E31688"/>
    <w:rsid w:val="00E31C65"/>
    <w:rsid w:val="00E322C9"/>
    <w:rsid w:val="00E3279E"/>
    <w:rsid w:val="00E32867"/>
    <w:rsid w:val="00E32A8E"/>
    <w:rsid w:val="00E33868"/>
    <w:rsid w:val="00E33D59"/>
    <w:rsid w:val="00E33E57"/>
    <w:rsid w:val="00E33F5A"/>
    <w:rsid w:val="00E343B9"/>
    <w:rsid w:val="00E346F8"/>
    <w:rsid w:val="00E34719"/>
    <w:rsid w:val="00E34758"/>
    <w:rsid w:val="00E350E9"/>
    <w:rsid w:val="00E353B4"/>
    <w:rsid w:val="00E354EE"/>
    <w:rsid w:val="00E36003"/>
    <w:rsid w:val="00E369DB"/>
    <w:rsid w:val="00E36D2E"/>
    <w:rsid w:val="00E412E3"/>
    <w:rsid w:val="00E423BE"/>
    <w:rsid w:val="00E42D80"/>
    <w:rsid w:val="00E448C4"/>
    <w:rsid w:val="00E44E27"/>
    <w:rsid w:val="00E45E40"/>
    <w:rsid w:val="00E45F51"/>
    <w:rsid w:val="00E472F3"/>
    <w:rsid w:val="00E4747D"/>
    <w:rsid w:val="00E504E8"/>
    <w:rsid w:val="00E50AEB"/>
    <w:rsid w:val="00E5109D"/>
    <w:rsid w:val="00E513C8"/>
    <w:rsid w:val="00E5158A"/>
    <w:rsid w:val="00E5183A"/>
    <w:rsid w:val="00E51ED2"/>
    <w:rsid w:val="00E5212C"/>
    <w:rsid w:val="00E52FD7"/>
    <w:rsid w:val="00E53379"/>
    <w:rsid w:val="00E54694"/>
    <w:rsid w:val="00E555FC"/>
    <w:rsid w:val="00E55F10"/>
    <w:rsid w:val="00E561C0"/>
    <w:rsid w:val="00E57251"/>
    <w:rsid w:val="00E573B1"/>
    <w:rsid w:val="00E60558"/>
    <w:rsid w:val="00E60595"/>
    <w:rsid w:val="00E60632"/>
    <w:rsid w:val="00E613A0"/>
    <w:rsid w:val="00E61A28"/>
    <w:rsid w:val="00E626BE"/>
    <w:rsid w:val="00E6272B"/>
    <w:rsid w:val="00E62D4C"/>
    <w:rsid w:val="00E6364C"/>
    <w:rsid w:val="00E64CC1"/>
    <w:rsid w:val="00E65B84"/>
    <w:rsid w:val="00E66527"/>
    <w:rsid w:val="00E66A72"/>
    <w:rsid w:val="00E66F7E"/>
    <w:rsid w:val="00E7094C"/>
    <w:rsid w:val="00E70E26"/>
    <w:rsid w:val="00E70F2D"/>
    <w:rsid w:val="00E71204"/>
    <w:rsid w:val="00E71273"/>
    <w:rsid w:val="00E7138E"/>
    <w:rsid w:val="00E725EE"/>
    <w:rsid w:val="00E72D45"/>
    <w:rsid w:val="00E7310E"/>
    <w:rsid w:val="00E734C9"/>
    <w:rsid w:val="00E73EB9"/>
    <w:rsid w:val="00E7411E"/>
    <w:rsid w:val="00E746E5"/>
    <w:rsid w:val="00E750D6"/>
    <w:rsid w:val="00E751A4"/>
    <w:rsid w:val="00E75D53"/>
    <w:rsid w:val="00E766DF"/>
    <w:rsid w:val="00E7717A"/>
    <w:rsid w:val="00E77595"/>
    <w:rsid w:val="00E7767D"/>
    <w:rsid w:val="00E7798F"/>
    <w:rsid w:val="00E81671"/>
    <w:rsid w:val="00E81D64"/>
    <w:rsid w:val="00E822EB"/>
    <w:rsid w:val="00E82BBF"/>
    <w:rsid w:val="00E83ACD"/>
    <w:rsid w:val="00E85607"/>
    <w:rsid w:val="00E8580C"/>
    <w:rsid w:val="00E862DF"/>
    <w:rsid w:val="00E865DA"/>
    <w:rsid w:val="00E86DFE"/>
    <w:rsid w:val="00E874AF"/>
    <w:rsid w:val="00E87619"/>
    <w:rsid w:val="00E90FC2"/>
    <w:rsid w:val="00E911EC"/>
    <w:rsid w:val="00E916C1"/>
    <w:rsid w:val="00E93DCD"/>
    <w:rsid w:val="00E955DC"/>
    <w:rsid w:val="00E95F4D"/>
    <w:rsid w:val="00E963A0"/>
    <w:rsid w:val="00EA0415"/>
    <w:rsid w:val="00EA10C6"/>
    <w:rsid w:val="00EA15B8"/>
    <w:rsid w:val="00EA1F04"/>
    <w:rsid w:val="00EA28F7"/>
    <w:rsid w:val="00EA2F4A"/>
    <w:rsid w:val="00EA346E"/>
    <w:rsid w:val="00EA37A7"/>
    <w:rsid w:val="00EA37B7"/>
    <w:rsid w:val="00EA451A"/>
    <w:rsid w:val="00EA4948"/>
    <w:rsid w:val="00EA74BA"/>
    <w:rsid w:val="00EB049C"/>
    <w:rsid w:val="00EB0549"/>
    <w:rsid w:val="00EB10D8"/>
    <w:rsid w:val="00EB1C2A"/>
    <w:rsid w:val="00EB2071"/>
    <w:rsid w:val="00EB3408"/>
    <w:rsid w:val="00EB370D"/>
    <w:rsid w:val="00EB3F7B"/>
    <w:rsid w:val="00EB4114"/>
    <w:rsid w:val="00EB49DE"/>
    <w:rsid w:val="00EB4EE6"/>
    <w:rsid w:val="00EB5E8E"/>
    <w:rsid w:val="00EC00F0"/>
    <w:rsid w:val="00EC0C06"/>
    <w:rsid w:val="00EC0C60"/>
    <w:rsid w:val="00EC1E8A"/>
    <w:rsid w:val="00EC219D"/>
    <w:rsid w:val="00EC23F2"/>
    <w:rsid w:val="00EC368E"/>
    <w:rsid w:val="00EC3876"/>
    <w:rsid w:val="00EC398D"/>
    <w:rsid w:val="00EC4458"/>
    <w:rsid w:val="00EC4AD4"/>
    <w:rsid w:val="00EC4AF6"/>
    <w:rsid w:val="00EC5463"/>
    <w:rsid w:val="00EC552C"/>
    <w:rsid w:val="00EC5D19"/>
    <w:rsid w:val="00EC62B4"/>
    <w:rsid w:val="00EC6678"/>
    <w:rsid w:val="00EC6CC1"/>
    <w:rsid w:val="00ED0221"/>
    <w:rsid w:val="00ED0249"/>
    <w:rsid w:val="00ED0D22"/>
    <w:rsid w:val="00ED105F"/>
    <w:rsid w:val="00ED23BD"/>
    <w:rsid w:val="00ED246D"/>
    <w:rsid w:val="00ED2729"/>
    <w:rsid w:val="00ED39C9"/>
    <w:rsid w:val="00ED4A9E"/>
    <w:rsid w:val="00ED4EE3"/>
    <w:rsid w:val="00ED5980"/>
    <w:rsid w:val="00ED7831"/>
    <w:rsid w:val="00EE0530"/>
    <w:rsid w:val="00EE150E"/>
    <w:rsid w:val="00EE2160"/>
    <w:rsid w:val="00EE2C26"/>
    <w:rsid w:val="00EE2D3E"/>
    <w:rsid w:val="00EE3BF6"/>
    <w:rsid w:val="00EE4C78"/>
    <w:rsid w:val="00EE59DE"/>
    <w:rsid w:val="00EE5E04"/>
    <w:rsid w:val="00EE6C69"/>
    <w:rsid w:val="00EE769A"/>
    <w:rsid w:val="00EE7B7E"/>
    <w:rsid w:val="00EE7CBD"/>
    <w:rsid w:val="00EE7CDB"/>
    <w:rsid w:val="00EE7F6D"/>
    <w:rsid w:val="00EF0359"/>
    <w:rsid w:val="00EF07ED"/>
    <w:rsid w:val="00EF08B5"/>
    <w:rsid w:val="00EF1518"/>
    <w:rsid w:val="00EF1635"/>
    <w:rsid w:val="00EF1CBF"/>
    <w:rsid w:val="00EF2BA1"/>
    <w:rsid w:val="00EF38E2"/>
    <w:rsid w:val="00EF3F2C"/>
    <w:rsid w:val="00EF45A3"/>
    <w:rsid w:val="00EF4766"/>
    <w:rsid w:val="00EF6784"/>
    <w:rsid w:val="00EF7705"/>
    <w:rsid w:val="00F0127E"/>
    <w:rsid w:val="00F01BE9"/>
    <w:rsid w:val="00F029B7"/>
    <w:rsid w:val="00F05862"/>
    <w:rsid w:val="00F05F94"/>
    <w:rsid w:val="00F068FB"/>
    <w:rsid w:val="00F06C7F"/>
    <w:rsid w:val="00F07E40"/>
    <w:rsid w:val="00F10E7D"/>
    <w:rsid w:val="00F114BE"/>
    <w:rsid w:val="00F119D3"/>
    <w:rsid w:val="00F14745"/>
    <w:rsid w:val="00F14C82"/>
    <w:rsid w:val="00F15827"/>
    <w:rsid w:val="00F16162"/>
    <w:rsid w:val="00F1689A"/>
    <w:rsid w:val="00F168EE"/>
    <w:rsid w:val="00F16F4A"/>
    <w:rsid w:val="00F17491"/>
    <w:rsid w:val="00F2297E"/>
    <w:rsid w:val="00F22FEF"/>
    <w:rsid w:val="00F245FB"/>
    <w:rsid w:val="00F247D4"/>
    <w:rsid w:val="00F25C3C"/>
    <w:rsid w:val="00F26009"/>
    <w:rsid w:val="00F26076"/>
    <w:rsid w:val="00F26564"/>
    <w:rsid w:val="00F26E06"/>
    <w:rsid w:val="00F27779"/>
    <w:rsid w:val="00F3137C"/>
    <w:rsid w:val="00F31E41"/>
    <w:rsid w:val="00F32127"/>
    <w:rsid w:val="00F33493"/>
    <w:rsid w:val="00F33BD3"/>
    <w:rsid w:val="00F33EC9"/>
    <w:rsid w:val="00F34981"/>
    <w:rsid w:val="00F35618"/>
    <w:rsid w:val="00F356D2"/>
    <w:rsid w:val="00F35B69"/>
    <w:rsid w:val="00F401F9"/>
    <w:rsid w:val="00F405DB"/>
    <w:rsid w:val="00F40728"/>
    <w:rsid w:val="00F4235A"/>
    <w:rsid w:val="00F43017"/>
    <w:rsid w:val="00F43486"/>
    <w:rsid w:val="00F44058"/>
    <w:rsid w:val="00F44064"/>
    <w:rsid w:val="00F4518E"/>
    <w:rsid w:val="00F46753"/>
    <w:rsid w:val="00F46C8C"/>
    <w:rsid w:val="00F5107E"/>
    <w:rsid w:val="00F51212"/>
    <w:rsid w:val="00F516FC"/>
    <w:rsid w:val="00F519C8"/>
    <w:rsid w:val="00F51C93"/>
    <w:rsid w:val="00F52351"/>
    <w:rsid w:val="00F53F03"/>
    <w:rsid w:val="00F53FE5"/>
    <w:rsid w:val="00F5477B"/>
    <w:rsid w:val="00F54B52"/>
    <w:rsid w:val="00F55925"/>
    <w:rsid w:val="00F55AC4"/>
    <w:rsid w:val="00F60163"/>
    <w:rsid w:val="00F61BD1"/>
    <w:rsid w:val="00F61D33"/>
    <w:rsid w:val="00F62B98"/>
    <w:rsid w:val="00F62EDB"/>
    <w:rsid w:val="00F64916"/>
    <w:rsid w:val="00F7046C"/>
    <w:rsid w:val="00F712B2"/>
    <w:rsid w:val="00F721F8"/>
    <w:rsid w:val="00F73221"/>
    <w:rsid w:val="00F74526"/>
    <w:rsid w:val="00F74C67"/>
    <w:rsid w:val="00F75E22"/>
    <w:rsid w:val="00F76541"/>
    <w:rsid w:val="00F76E07"/>
    <w:rsid w:val="00F807E1"/>
    <w:rsid w:val="00F81313"/>
    <w:rsid w:val="00F8354C"/>
    <w:rsid w:val="00F84019"/>
    <w:rsid w:val="00F84137"/>
    <w:rsid w:val="00F841B9"/>
    <w:rsid w:val="00F84B49"/>
    <w:rsid w:val="00F85543"/>
    <w:rsid w:val="00F85BF0"/>
    <w:rsid w:val="00F862E2"/>
    <w:rsid w:val="00F86AE6"/>
    <w:rsid w:val="00F87012"/>
    <w:rsid w:val="00F872F4"/>
    <w:rsid w:val="00F8745E"/>
    <w:rsid w:val="00F8747A"/>
    <w:rsid w:val="00F906FD"/>
    <w:rsid w:val="00F91437"/>
    <w:rsid w:val="00F9147D"/>
    <w:rsid w:val="00F92631"/>
    <w:rsid w:val="00F92CEC"/>
    <w:rsid w:val="00F93A79"/>
    <w:rsid w:val="00F93C6C"/>
    <w:rsid w:val="00F93FF3"/>
    <w:rsid w:val="00F953AA"/>
    <w:rsid w:val="00F9571B"/>
    <w:rsid w:val="00F95F7B"/>
    <w:rsid w:val="00F96333"/>
    <w:rsid w:val="00F9651B"/>
    <w:rsid w:val="00FA0476"/>
    <w:rsid w:val="00FA0959"/>
    <w:rsid w:val="00FA1A3A"/>
    <w:rsid w:val="00FA1AC6"/>
    <w:rsid w:val="00FA3582"/>
    <w:rsid w:val="00FA4BFA"/>
    <w:rsid w:val="00FA5029"/>
    <w:rsid w:val="00FA5722"/>
    <w:rsid w:val="00FA575F"/>
    <w:rsid w:val="00FA6061"/>
    <w:rsid w:val="00FA7427"/>
    <w:rsid w:val="00FA7C61"/>
    <w:rsid w:val="00FA7C8C"/>
    <w:rsid w:val="00FB12D0"/>
    <w:rsid w:val="00FB1C1B"/>
    <w:rsid w:val="00FB1D14"/>
    <w:rsid w:val="00FB3E49"/>
    <w:rsid w:val="00FB5287"/>
    <w:rsid w:val="00FB5404"/>
    <w:rsid w:val="00FB5C1F"/>
    <w:rsid w:val="00FB63F2"/>
    <w:rsid w:val="00FB6655"/>
    <w:rsid w:val="00FB6D67"/>
    <w:rsid w:val="00FB7444"/>
    <w:rsid w:val="00FC0630"/>
    <w:rsid w:val="00FC0F8C"/>
    <w:rsid w:val="00FC11DB"/>
    <w:rsid w:val="00FC2196"/>
    <w:rsid w:val="00FC256B"/>
    <w:rsid w:val="00FC2AB2"/>
    <w:rsid w:val="00FC338B"/>
    <w:rsid w:val="00FC3E1B"/>
    <w:rsid w:val="00FC4232"/>
    <w:rsid w:val="00FC47DA"/>
    <w:rsid w:val="00FC4B9D"/>
    <w:rsid w:val="00FC52C5"/>
    <w:rsid w:val="00FC5672"/>
    <w:rsid w:val="00FC6981"/>
    <w:rsid w:val="00FC73CF"/>
    <w:rsid w:val="00FC75E8"/>
    <w:rsid w:val="00FC7D84"/>
    <w:rsid w:val="00FC7F0D"/>
    <w:rsid w:val="00FD02BF"/>
    <w:rsid w:val="00FD116B"/>
    <w:rsid w:val="00FD1513"/>
    <w:rsid w:val="00FD1F19"/>
    <w:rsid w:val="00FD2D33"/>
    <w:rsid w:val="00FD3733"/>
    <w:rsid w:val="00FD38E9"/>
    <w:rsid w:val="00FD4DC3"/>
    <w:rsid w:val="00FD602B"/>
    <w:rsid w:val="00FD7243"/>
    <w:rsid w:val="00FD73A9"/>
    <w:rsid w:val="00FD74A0"/>
    <w:rsid w:val="00FD7E01"/>
    <w:rsid w:val="00FD7FC6"/>
    <w:rsid w:val="00FD7FCE"/>
    <w:rsid w:val="00FE0085"/>
    <w:rsid w:val="00FE02AB"/>
    <w:rsid w:val="00FE063D"/>
    <w:rsid w:val="00FE0E65"/>
    <w:rsid w:val="00FE2239"/>
    <w:rsid w:val="00FE268A"/>
    <w:rsid w:val="00FE2962"/>
    <w:rsid w:val="00FE3538"/>
    <w:rsid w:val="00FE4032"/>
    <w:rsid w:val="00FE4611"/>
    <w:rsid w:val="00FE5EDF"/>
    <w:rsid w:val="00FE6773"/>
    <w:rsid w:val="00FE692A"/>
    <w:rsid w:val="00FF015C"/>
    <w:rsid w:val="00FF1328"/>
    <w:rsid w:val="00FF13E6"/>
    <w:rsid w:val="00FF3130"/>
    <w:rsid w:val="00FF428D"/>
    <w:rsid w:val="00FF4979"/>
    <w:rsid w:val="00FF512B"/>
    <w:rsid w:val="00FF564E"/>
    <w:rsid w:val="00FF57D3"/>
    <w:rsid w:val="00FF5C77"/>
    <w:rsid w:val="00FF6850"/>
    <w:rsid w:val="00FF79D5"/>
    <w:rsid w:val="00FF7D57"/>
    <w:rsid w:val="040B189C"/>
    <w:rsid w:val="2819E0AE"/>
    <w:rsid w:val="286C5C0D"/>
    <w:rsid w:val="39E2080A"/>
    <w:rsid w:val="4AA0AD3D"/>
    <w:rsid w:val="4B80BB08"/>
    <w:rsid w:val="64DAF1A6"/>
    <w:rsid w:val="732A7050"/>
    <w:rsid w:val="7702D64A"/>
    <w:rsid w:val="79B16F27"/>
    <w:rsid w:val="7C18CB4C"/>
    <w:rsid w:val="7EA6F36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A76AC2"/>
  <w15:chartTrackingRefBased/>
  <w15:docId w15:val="{DB86483E-60C2-49CF-AB19-55FB447C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19"/>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uiPriority="2"/>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5"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rsid w:val="00D2664F"/>
    <w:pPr>
      <w:spacing w:after="113" w:line="260" w:lineRule="atLeast"/>
    </w:pPr>
    <w:rPr>
      <w:rFonts w:ascii="Arial" w:hAnsi="Arial"/>
      <w:sz w:val="20"/>
    </w:rPr>
  </w:style>
  <w:style w:type="paragraph" w:styleId="Heading1">
    <w:name w:val="heading 1"/>
    <w:basedOn w:val="FreshBlue"/>
    <w:next w:val="USBodyText"/>
    <w:link w:val="Heading1Char"/>
    <w:uiPriority w:val="2"/>
    <w:rsid w:val="009B1133"/>
    <w:pPr>
      <w:keepNext/>
      <w:keepLines/>
      <w:pageBreakBefore/>
      <w:spacing w:after="340" w:line="300" w:lineRule="atLeast"/>
      <w:ind w:right="851"/>
      <w:outlineLvl w:val="0"/>
    </w:pPr>
    <w:rPr>
      <w:rFonts w:eastAsiaTheme="majorEastAsia" w:cstheme="majorBidi"/>
      <w:b/>
      <w:caps/>
      <w:color w:val="auto"/>
      <w:sz w:val="48"/>
      <w:szCs w:val="32"/>
    </w:rPr>
  </w:style>
  <w:style w:type="paragraph" w:styleId="Heading2">
    <w:name w:val="heading 2"/>
    <w:basedOn w:val="SureRed"/>
    <w:next w:val="USBodyText"/>
    <w:link w:val="Heading2Char"/>
    <w:uiPriority w:val="2"/>
    <w:rsid w:val="00B5636A"/>
    <w:pPr>
      <w:keepNext/>
      <w:keepLines/>
      <w:spacing w:before="340" w:after="170" w:line="420" w:lineRule="atLeast"/>
      <w:ind w:right="851"/>
      <w:outlineLvl w:val="1"/>
    </w:pPr>
    <w:rPr>
      <w:rFonts w:eastAsiaTheme="majorEastAsia" w:cstheme="majorBidi"/>
      <w:sz w:val="36"/>
      <w:szCs w:val="26"/>
    </w:rPr>
  </w:style>
  <w:style w:type="paragraph" w:styleId="Heading3">
    <w:name w:val="heading 3"/>
    <w:basedOn w:val="FreshBlue"/>
    <w:next w:val="USBodyText"/>
    <w:link w:val="Heading3Char"/>
    <w:uiPriority w:val="2"/>
    <w:rsid w:val="00B5636A"/>
    <w:pPr>
      <w:keepNext/>
      <w:keepLines/>
      <w:spacing w:before="284" w:line="340" w:lineRule="atLeast"/>
      <w:ind w:right="851"/>
      <w:outlineLvl w:val="2"/>
    </w:pPr>
    <w:rPr>
      <w:rFonts w:eastAsiaTheme="majorEastAsia" w:cstheme="majorBidi"/>
      <w:b/>
      <w:sz w:val="28"/>
      <w:szCs w:val="24"/>
    </w:rPr>
  </w:style>
  <w:style w:type="paragraph" w:styleId="Heading4">
    <w:name w:val="heading 4"/>
    <w:basedOn w:val="Normal"/>
    <w:next w:val="USBodyText"/>
    <w:link w:val="Heading4Char"/>
    <w:uiPriority w:val="2"/>
    <w:rsid w:val="00B5636A"/>
    <w:pPr>
      <w:keepNext/>
      <w:keepLines/>
      <w:spacing w:before="227" w:after="57" w:line="300" w:lineRule="atLeast"/>
      <w:ind w:right="851"/>
      <w:outlineLvl w:val="3"/>
    </w:pPr>
    <w:rPr>
      <w:rFonts w:eastAsiaTheme="majorEastAsia" w:cstheme="majorBidi"/>
      <w:b/>
      <w:iCs/>
      <w:sz w:val="24"/>
    </w:rPr>
  </w:style>
  <w:style w:type="paragraph" w:styleId="Heading5">
    <w:name w:val="heading 5"/>
    <w:basedOn w:val="Normal"/>
    <w:next w:val="USBodyText"/>
    <w:link w:val="Heading5Char"/>
    <w:uiPriority w:val="2"/>
    <w:rsid w:val="00B5636A"/>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semiHidden/>
    <w:qFormat/>
    <w:rsid w:val="000A425B"/>
    <w:pPr>
      <w:keepNext/>
      <w:keepLines/>
      <w:numPr>
        <w:ilvl w:val="5"/>
        <w:numId w:val="4"/>
      </w:numPr>
      <w:spacing w:before="40" w:after="0"/>
      <w:outlineLvl w:val="5"/>
    </w:pPr>
    <w:rPr>
      <w:rFonts w:asciiTheme="majorHAnsi" w:eastAsiaTheme="majorEastAsia" w:hAnsiTheme="majorHAnsi" w:cstheme="majorBidi"/>
      <w:color w:val="986A00" w:themeColor="accent1" w:themeShade="7F"/>
    </w:rPr>
  </w:style>
  <w:style w:type="paragraph" w:styleId="Heading7">
    <w:name w:val="heading 7"/>
    <w:basedOn w:val="Normal"/>
    <w:next w:val="Normal"/>
    <w:link w:val="Heading7Char"/>
    <w:uiPriority w:val="9"/>
    <w:semiHidden/>
    <w:qFormat/>
    <w:rsid w:val="000A425B"/>
    <w:pPr>
      <w:keepNext/>
      <w:keepLines/>
      <w:numPr>
        <w:ilvl w:val="6"/>
        <w:numId w:val="4"/>
      </w:numPr>
      <w:spacing w:before="40" w:after="0"/>
      <w:outlineLvl w:val="6"/>
    </w:pPr>
    <w:rPr>
      <w:rFonts w:asciiTheme="majorHAnsi" w:eastAsiaTheme="majorEastAsia" w:hAnsiTheme="majorHAnsi" w:cstheme="majorBidi"/>
      <w:i/>
      <w:iCs/>
      <w:color w:val="986A00" w:themeColor="accent1" w:themeShade="7F"/>
    </w:rPr>
  </w:style>
  <w:style w:type="paragraph" w:styleId="Heading8">
    <w:name w:val="heading 8"/>
    <w:basedOn w:val="Normal"/>
    <w:next w:val="Normal"/>
    <w:link w:val="Heading8Char"/>
    <w:uiPriority w:val="9"/>
    <w:semiHidden/>
    <w:unhideWhenUsed/>
    <w:qFormat/>
    <w:rsid w:val="000A425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25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4C1"/>
    <w:pPr>
      <w:spacing w:after="0" w:line="240" w:lineRule="auto"/>
      <w:jc w:val="right"/>
    </w:pPr>
    <w:rPr>
      <w:color w:val="A6A6A6" w:themeColor="background1" w:themeShade="A6"/>
    </w:rPr>
  </w:style>
  <w:style w:type="character" w:customStyle="1" w:styleId="HeaderChar">
    <w:name w:val="Header Char"/>
    <w:basedOn w:val="DefaultParagraphFont"/>
    <w:link w:val="Header"/>
    <w:uiPriority w:val="99"/>
    <w:rsid w:val="000F4C76"/>
    <w:rPr>
      <w:rFonts w:ascii="Arial" w:hAnsi="Arial"/>
      <w:color w:val="A6A6A6" w:themeColor="background1" w:themeShade="A6"/>
      <w:sz w:val="20"/>
    </w:rPr>
  </w:style>
  <w:style w:type="paragraph" w:styleId="Footer">
    <w:name w:val="footer"/>
    <w:basedOn w:val="Normal"/>
    <w:link w:val="FooterChar"/>
    <w:uiPriority w:val="99"/>
    <w:rsid w:val="00C230D9"/>
    <w:pPr>
      <w:tabs>
        <w:tab w:val="left" w:pos="851"/>
        <w:tab w:val="right" w:pos="9072"/>
      </w:tabs>
      <w:spacing w:after="0" w:line="240" w:lineRule="auto"/>
    </w:pPr>
    <w:rPr>
      <w:sz w:val="16"/>
    </w:rPr>
  </w:style>
  <w:style w:type="character" w:customStyle="1" w:styleId="FooterChar">
    <w:name w:val="Footer Char"/>
    <w:basedOn w:val="DefaultParagraphFont"/>
    <w:link w:val="Footer"/>
    <w:uiPriority w:val="99"/>
    <w:rsid w:val="00D855F1"/>
    <w:rPr>
      <w:rFonts w:ascii="Arial" w:hAnsi="Arial"/>
      <w:sz w:val="16"/>
    </w:rPr>
  </w:style>
  <w:style w:type="table" w:styleId="TableGrid">
    <w:name w:val="Table Grid"/>
    <w:aliases w:val="none"/>
    <w:basedOn w:val="TableNormal"/>
    <w:uiPriority w:val="39"/>
    <w:rsid w:val="00C5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shBlue">
    <w:name w:val="Fresh Blue"/>
    <w:basedOn w:val="Normal"/>
    <w:uiPriority w:val="19"/>
    <w:rsid w:val="006D158B"/>
    <w:rPr>
      <w:color w:val="74C6C7"/>
    </w:rPr>
  </w:style>
  <w:style w:type="character" w:customStyle="1" w:styleId="Heading1Char">
    <w:name w:val="Heading 1 Char"/>
    <w:basedOn w:val="DefaultParagraphFont"/>
    <w:link w:val="Heading1"/>
    <w:uiPriority w:val="2"/>
    <w:rsid w:val="006C06DC"/>
    <w:rPr>
      <w:rFonts w:ascii="Arial" w:eastAsiaTheme="majorEastAsia" w:hAnsi="Arial" w:cstheme="majorBidi"/>
      <w:b/>
      <w:caps/>
      <w:sz w:val="48"/>
      <w:szCs w:val="32"/>
    </w:rPr>
  </w:style>
  <w:style w:type="paragraph" w:customStyle="1" w:styleId="Heading1Letter">
    <w:name w:val="Heading 1 Letter"/>
    <w:basedOn w:val="FreshBlue"/>
    <w:next w:val="USBodyText"/>
    <w:uiPriority w:val="1"/>
    <w:rsid w:val="001512D4"/>
    <w:pPr>
      <w:keepNext/>
      <w:keepLines/>
      <w:spacing w:before="227" w:after="57" w:line="300" w:lineRule="atLeast"/>
    </w:pPr>
    <w:rPr>
      <w:b/>
      <w:sz w:val="24"/>
    </w:rPr>
  </w:style>
  <w:style w:type="paragraph" w:customStyle="1" w:styleId="Heading2Letter">
    <w:name w:val="Heading 2 Letter"/>
    <w:basedOn w:val="Normal"/>
    <w:next w:val="USBodyText"/>
    <w:uiPriority w:val="1"/>
    <w:rsid w:val="001512D4"/>
    <w:pPr>
      <w:keepNext/>
      <w:keepLines/>
      <w:spacing w:before="113" w:after="57"/>
    </w:pPr>
    <w:rPr>
      <w:b/>
    </w:rPr>
  </w:style>
  <w:style w:type="paragraph" w:customStyle="1" w:styleId="SureRed">
    <w:name w:val="Sure Red"/>
    <w:basedOn w:val="Normal"/>
    <w:uiPriority w:val="19"/>
    <w:rsid w:val="003E2405"/>
    <w:rPr>
      <w:color w:val="E5004B"/>
    </w:rPr>
  </w:style>
  <w:style w:type="paragraph" w:customStyle="1" w:styleId="HeadingSubjectLetter">
    <w:name w:val="Heading Subject Letter"/>
    <w:basedOn w:val="SureRed"/>
    <w:next w:val="USBodyText"/>
    <w:uiPriority w:val="1"/>
    <w:rsid w:val="001512D4"/>
    <w:pPr>
      <w:keepNext/>
      <w:keepLines/>
      <w:spacing w:before="227" w:after="227" w:line="300" w:lineRule="atLeast"/>
    </w:pPr>
    <w:rPr>
      <w:sz w:val="24"/>
    </w:rPr>
  </w:style>
  <w:style w:type="paragraph" w:styleId="ListParagraph">
    <w:name w:val="List Paragraph"/>
    <w:aliases w:val="List Paragraph numbered,List Bullet indent"/>
    <w:basedOn w:val="Normal"/>
    <w:link w:val="ListParagraphChar"/>
    <w:uiPriority w:val="34"/>
    <w:qFormat/>
    <w:rsid w:val="006D158B"/>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6D158B"/>
    <w:pPr>
      <w:spacing w:after="0"/>
    </w:pPr>
  </w:style>
  <w:style w:type="paragraph" w:customStyle="1" w:styleId="TAttention">
    <w:name w:val="T_Attention"/>
    <w:basedOn w:val="Normal"/>
    <w:uiPriority w:val="19"/>
    <w:rsid w:val="005F2547"/>
    <w:pPr>
      <w:tabs>
        <w:tab w:val="left" w:pos="992"/>
      </w:tabs>
      <w:spacing w:before="113"/>
      <w:ind w:left="992" w:hanging="992"/>
    </w:pPr>
  </w:style>
  <w:style w:type="paragraph" w:customStyle="1" w:styleId="TAuthorsName">
    <w:name w:val="T_Author's Name"/>
    <w:basedOn w:val="Normal"/>
    <w:uiPriority w:val="19"/>
    <w:rsid w:val="006D158B"/>
    <w:pPr>
      <w:keepNext/>
      <w:spacing w:after="0"/>
    </w:pPr>
  </w:style>
  <w:style w:type="paragraph" w:customStyle="1" w:styleId="TAuthorsTitle">
    <w:name w:val="T_Author's Title"/>
    <w:basedOn w:val="Normal"/>
    <w:uiPriority w:val="19"/>
    <w:rsid w:val="006D158B"/>
    <w:rPr>
      <w:b/>
    </w:rPr>
  </w:style>
  <w:style w:type="paragraph" w:customStyle="1" w:styleId="TCity">
    <w:name w:val="T_City"/>
    <w:basedOn w:val="TAddressLines"/>
    <w:uiPriority w:val="19"/>
    <w:rsid w:val="006D158B"/>
    <w:pPr>
      <w:spacing w:after="113"/>
    </w:pPr>
  </w:style>
  <w:style w:type="paragraph" w:customStyle="1" w:styleId="TDate">
    <w:name w:val="T_Date"/>
    <w:basedOn w:val="Normal"/>
    <w:uiPriority w:val="19"/>
    <w:rsid w:val="006D158B"/>
    <w:pPr>
      <w:spacing w:after="454"/>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6D158B"/>
    <w:pPr>
      <w:spacing w:before="454"/>
    </w:pPr>
  </w:style>
  <w:style w:type="paragraph" w:customStyle="1" w:styleId="TSign-Off">
    <w:name w:val="T_Sign-Off"/>
    <w:basedOn w:val="Normal"/>
    <w:uiPriority w:val="19"/>
    <w:rsid w:val="006D158B"/>
    <w:pPr>
      <w:spacing w:before="454" w:after="0"/>
    </w:pPr>
  </w:style>
  <w:style w:type="paragraph" w:customStyle="1" w:styleId="USBodyText">
    <w:name w:val="US Body Text"/>
    <w:basedOn w:val="Normal"/>
    <w:link w:val="USBodyTextChar"/>
    <w:uiPriority w:val="5"/>
    <w:rsid w:val="00322D00"/>
    <w:pPr>
      <w:spacing w:before="113"/>
    </w:pPr>
  </w:style>
  <w:style w:type="paragraph" w:customStyle="1" w:styleId="USBullet1">
    <w:name w:val="US Bullet 1"/>
    <w:basedOn w:val="Normal"/>
    <w:uiPriority w:val="5"/>
    <w:rsid w:val="00C37888"/>
    <w:pPr>
      <w:numPr>
        <w:numId w:val="13"/>
      </w:numPr>
    </w:pPr>
  </w:style>
  <w:style w:type="paragraph" w:customStyle="1" w:styleId="USBullet2">
    <w:name w:val="US Bullet 2"/>
    <w:basedOn w:val="Normal"/>
    <w:uiPriority w:val="5"/>
    <w:rsid w:val="00C37888"/>
    <w:pPr>
      <w:numPr>
        <w:ilvl w:val="1"/>
        <w:numId w:val="13"/>
      </w:numPr>
    </w:pPr>
  </w:style>
  <w:style w:type="paragraph" w:customStyle="1" w:styleId="USBullet3">
    <w:name w:val="US Bullet 3"/>
    <w:basedOn w:val="Normal"/>
    <w:uiPriority w:val="5"/>
    <w:rsid w:val="00C37888"/>
    <w:pPr>
      <w:numPr>
        <w:ilvl w:val="2"/>
        <w:numId w:val="13"/>
      </w:numPr>
    </w:pPr>
  </w:style>
  <w:style w:type="paragraph" w:customStyle="1" w:styleId="USMixedB2">
    <w:name w:val="US Mixed B2"/>
    <w:basedOn w:val="Normal"/>
    <w:uiPriority w:val="5"/>
    <w:rsid w:val="00C37888"/>
    <w:pPr>
      <w:numPr>
        <w:numId w:val="14"/>
      </w:numPr>
    </w:pPr>
  </w:style>
  <w:style w:type="paragraph" w:customStyle="1" w:styleId="USMixedB3">
    <w:name w:val="US Mixed B3"/>
    <w:basedOn w:val="Normal"/>
    <w:uiPriority w:val="5"/>
    <w:rsid w:val="00C37888"/>
    <w:pPr>
      <w:numPr>
        <w:ilvl w:val="1"/>
        <w:numId w:val="14"/>
      </w:numPr>
    </w:pPr>
  </w:style>
  <w:style w:type="paragraph" w:customStyle="1" w:styleId="USNumber1">
    <w:name w:val="US Number 1"/>
    <w:basedOn w:val="Normal"/>
    <w:uiPriority w:val="5"/>
    <w:rsid w:val="00C37888"/>
    <w:pPr>
      <w:numPr>
        <w:numId w:val="15"/>
      </w:numPr>
    </w:pPr>
  </w:style>
  <w:style w:type="paragraph" w:customStyle="1" w:styleId="USNumbera">
    <w:name w:val="US Number a"/>
    <w:basedOn w:val="Normal"/>
    <w:uiPriority w:val="5"/>
    <w:rsid w:val="00C37888"/>
    <w:pPr>
      <w:numPr>
        <w:ilvl w:val="1"/>
        <w:numId w:val="15"/>
      </w:numPr>
      <w:tabs>
        <w:tab w:val="clear" w:pos="851"/>
        <w:tab w:val="num" w:pos="360"/>
      </w:tabs>
      <w:ind w:left="0" w:firstLine="0"/>
    </w:pPr>
  </w:style>
  <w:style w:type="paragraph" w:customStyle="1" w:styleId="USNumberi">
    <w:name w:val="US Number i"/>
    <w:basedOn w:val="Normal"/>
    <w:uiPriority w:val="5"/>
    <w:rsid w:val="00C37888"/>
    <w:pPr>
      <w:numPr>
        <w:ilvl w:val="2"/>
        <w:numId w:val="15"/>
      </w:numPr>
    </w:pPr>
  </w:style>
  <w:style w:type="paragraph" w:customStyle="1" w:styleId="FooterPortrait">
    <w:name w:val="Footer Portrait"/>
    <w:basedOn w:val="Footer"/>
    <w:uiPriority w:val="11"/>
    <w:rsid w:val="006D158B"/>
  </w:style>
  <w:style w:type="paragraph" w:customStyle="1" w:styleId="FooterLandscapeOdd">
    <w:name w:val="Footer Landscape Odd"/>
    <w:basedOn w:val="Footer"/>
    <w:uiPriority w:val="11"/>
    <w:rsid w:val="006D158B"/>
    <w:pPr>
      <w:tabs>
        <w:tab w:val="clear" w:pos="9072"/>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rsid w:val="00093F4A"/>
    <w:pPr>
      <w:tabs>
        <w:tab w:val="clear" w:pos="9072"/>
        <w:tab w:val="right" w:pos="20979"/>
      </w:tabs>
    </w:pPr>
  </w:style>
  <w:style w:type="paragraph" w:customStyle="1" w:styleId="Quotation">
    <w:name w:val="Quotation"/>
    <w:basedOn w:val="Normal"/>
    <w:uiPriority w:val="5"/>
    <w:rsid w:val="00322D00"/>
    <w:pPr>
      <w:spacing w:before="113" w:line="240" w:lineRule="atLeast"/>
      <w:ind w:right="425"/>
    </w:pPr>
    <w:rPr>
      <w:i/>
      <w:sz w:val="18"/>
    </w:rPr>
  </w:style>
  <w:style w:type="character" w:customStyle="1" w:styleId="Heading2Char">
    <w:name w:val="Heading 2 Char"/>
    <w:basedOn w:val="DefaultParagraphFont"/>
    <w:link w:val="Heading2"/>
    <w:uiPriority w:val="2"/>
    <w:rsid w:val="006C06DC"/>
    <w:rPr>
      <w:rFonts w:ascii="Arial" w:eastAsiaTheme="majorEastAsia" w:hAnsi="Arial" w:cstheme="majorBidi"/>
      <w:color w:val="E5004B"/>
      <w:sz w:val="36"/>
      <w:szCs w:val="26"/>
    </w:rPr>
  </w:style>
  <w:style w:type="paragraph" w:customStyle="1" w:styleId="USSingleSpacedParagraph">
    <w:name w:val="US Single Spaced Paragraph"/>
    <w:basedOn w:val="Normal"/>
    <w:uiPriority w:val="5"/>
    <w:rsid w:val="005C31DE"/>
    <w:pPr>
      <w:spacing w:after="0"/>
    </w:pPr>
  </w:style>
  <w:style w:type="character" w:customStyle="1" w:styleId="Heading3Char">
    <w:name w:val="Heading 3 Char"/>
    <w:basedOn w:val="DefaultParagraphFont"/>
    <w:link w:val="Heading3"/>
    <w:uiPriority w:val="2"/>
    <w:rsid w:val="006C06DC"/>
    <w:rPr>
      <w:rFonts w:ascii="Arial" w:eastAsiaTheme="majorEastAsia" w:hAnsi="Arial" w:cstheme="majorBidi"/>
      <w:b/>
      <w:color w:val="74C6C7"/>
      <w:sz w:val="28"/>
      <w:szCs w:val="24"/>
    </w:rPr>
  </w:style>
  <w:style w:type="character" w:customStyle="1" w:styleId="Heading4Char">
    <w:name w:val="Heading 4 Char"/>
    <w:basedOn w:val="DefaultParagraphFont"/>
    <w:link w:val="Heading4"/>
    <w:uiPriority w:val="2"/>
    <w:rsid w:val="006C06DC"/>
    <w:rPr>
      <w:rFonts w:ascii="Arial" w:eastAsiaTheme="majorEastAsia" w:hAnsi="Arial" w:cstheme="majorBidi"/>
      <w:b/>
      <w:iCs/>
      <w:sz w:val="24"/>
    </w:rPr>
  </w:style>
  <w:style w:type="character" w:customStyle="1" w:styleId="Heading5Char">
    <w:name w:val="Heading 5 Char"/>
    <w:basedOn w:val="DefaultParagraphFont"/>
    <w:link w:val="Heading5"/>
    <w:uiPriority w:val="2"/>
    <w:rsid w:val="006C06DC"/>
    <w:rPr>
      <w:rFonts w:ascii="Arial" w:eastAsiaTheme="majorEastAsia" w:hAnsi="Arial" w:cstheme="majorBidi"/>
      <w:b/>
      <w:sz w:val="20"/>
    </w:rPr>
  </w:style>
  <w:style w:type="paragraph" w:customStyle="1" w:styleId="USIntroduction">
    <w:name w:val="US Introduction"/>
    <w:basedOn w:val="Normal"/>
    <w:next w:val="USBodyText"/>
    <w:uiPriority w:val="5"/>
    <w:rsid w:val="00B5636A"/>
    <w:pPr>
      <w:spacing w:before="340" w:after="227" w:line="340" w:lineRule="atLeast"/>
    </w:pPr>
    <w:rPr>
      <w:rFonts w:ascii="Georgia" w:hAnsi="Georgia"/>
      <w:sz w:val="28"/>
    </w:rPr>
  </w:style>
  <w:style w:type="paragraph" w:customStyle="1" w:styleId="USPullQuote">
    <w:name w:val="US Pull Quote"/>
    <w:basedOn w:val="SureRed"/>
    <w:uiPriority w:val="5"/>
    <w:rsid w:val="00D44ADF"/>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10"/>
    <w:rsid w:val="00B81402"/>
    <w:pPr>
      <w:tabs>
        <w:tab w:val="left" w:pos="425"/>
      </w:tabs>
      <w:spacing w:after="57" w:line="170" w:lineRule="atLeast"/>
      <w:ind w:left="425" w:hanging="425"/>
    </w:pPr>
    <w:rPr>
      <w:sz w:val="14"/>
      <w:szCs w:val="20"/>
    </w:rPr>
  </w:style>
  <w:style w:type="character" w:customStyle="1" w:styleId="FootnoteTextChar">
    <w:name w:val="Footnote Text Char"/>
    <w:basedOn w:val="DefaultParagraphFont"/>
    <w:link w:val="FootnoteText"/>
    <w:uiPriority w:val="10"/>
    <w:rsid w:val="006C06DC"/>
    <w:rPr>
      <w:rFonts w:ascii="Arial" w:hAnsi="Arial"/>
      <w:sz w:val="14"/>
      <w:szCs w:val="20"/>
    </w:rPr>
  </w:style>
  <w:style w:type="character" w:styleId="FootnoteReference">
    <w:name w:val="footnote reference"/>
    <w:basedOn w:val="DefaultParagraphFont"/>
    <w:uiPriority w:val="99"/>
    <w:unhideWhenUsed/>
    <w:rsid w:val="00B87B04"/>
    <w:rPr>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7"/>
    <w:rsid w:val="00322D00"/>
    <w:pPr>
      <w:keepNext/>
      <w:keepLines/>
      <w:tabs>
        <w:tab w:val="left" w:pos="1049"/>
      </w:tabs>
      <w:spacing w:before="397" w:after="57"/>
      <w:ind w:left="1049" w:hanging="1049"/>
    </w:pPr>
    <w:rPr>
      <w:b/>
      <w:iCs/>
      <w:szCs w:val="18"/>
    </w:rPr>
  </w:style>
  <w:style w:type="paragraph" w:customStyle="1" w:styleId="TSTableNormal1">
    <w:name w:val="TS Table Normal1"/>
    <w:basedOn w:val="Normal"/>
    <w:uiPriority w:val="9"/>
    <w:rsid w:val="00A365B0"/>
    <w:pPr>
      <w:spacing w:before="57" w:after="57" w:line="190" w:lineRule="atLeast"/>
      <w:ind w:right="227"/>
    </w:pPr>
    <w:rPr>
      <w:sz w:val="16"/>
    </w:rPr>
  </w:style>
  <w:style w:type="paragraph" w:customStyle="1" w:styleId="TSTableHeading">
    <w:name w:val="TS Table Heading"/>
    <w:basedOn w:val="Normal"/>
    <w:uiPriority w:val="9"/>
    <w:rsid w:val="0051181E"/>
    <w:pPr>
      <w:spacing w:before="57" w:after="57" w:line="190" w:lineRule="atLeast"/>
    </w:pPr>
    <w:rPr>
      <w:b/>
      <w:color w:val="FFFFFF"/>
      <w:sz w:val="16"/>
    </w:rPr>
  </w:style>
  <w:style w:type="paragraph" w:customStyle="1" w:styleId="TSOtherBodyText">
    <w:name w:val="TS Other (Body Text)"/>
    <w:basedOn w:val="TSTableNormal1"/>
    <w:uiPriority w:val="9"/>
    <w:rsid w:val="00A365B0"/>
    <w:pPr>
      <w:ind w:right="0"/>
    </w:pPr>
  </w:style>
  <w:style w:type="paragraph" w:customStyle="1" w:styleId="TSTextBodyText">
    <w:name w:val="TS Text (Body Text)"/>
    <w:basedOn w:val="Normal"/>
    <w:uiPriority w:val="9"/>
    <w:rsid w:val="0051181E"/>
    <w:pPr>
      <w:spacing w:before="57" w:after="57" w:line="190" w:lineRule="atLeast"/>
      <w:ind w:right="227"/>
    </w:pPr>
    <w:rPr>
      <w:sz w:val="16"/>
    </w:rPr>
  </w:style>
  <w:style w:type="paragraph" w:customStyle="1" w:styleId="TSNumber1">
    <w:name w:val="TS Number 1"/>
    <w:basedOn w:val="Normal"/>
    <w:uiPriority w:val="9"/>
    <w:rsid w:val="00C37888"/>
    <w:pPr>
      <w:numPr>
        <w:numId w:val="12"/>
      </w:numPr>
      <w:spacing w:before="57" w:after="57" w:line="190" w:lineRule="atLeast"/>
      <w:ind w:right="227"/>
    </w:pPr>
    <w:rPr>
      <w:sz w:val="16"/>
    </w:rPr>
  </w:style>
  <w:style w:type="paragraph" w:customStyle="1" w:styleId="TSNumbera">
    <w:name w:val="TS Number a"/>
    <w:basedOn w:val="Normal"/>
    <w:uiPriority w:val="9"/>
    <w:rsid w:val="00C37888"/>
    <w:pPr>
      <w:numPr>
        <w:ilvl w:val="1"/>
        <w:numId w:val="12"/>
      </w:numPr>
      <w:tabs>
        <w:tab w:val="left" w:pos="425"/>
      </w:tabs>
      <w:spacing w:before="57" w:after="57" w:line="190" w:lineRule="atLeast"/>
      <w:ind w:right="227"/>
    </w:pPr>
    <w:rPr>
      <w:sz w:val="16"/>
    </w:rPr>
  </w:style>
  <w:style w:type="paragraph" w:customStyle="1" w:styleId="TSNumberi">
    <w:name w:val="TS Number i"/>
    <w:basedOn w:val="Normal"/>
    <w:uiPriority w:val="9"/>
    <w:rsid w:val="00C37888"/>
    <w:pPr>
      <w:numPr>
        <w:ilvl w:val="2"/>
        <w:numId w:val="12"/>
      </w:numPr>
      <w:tabs>
        <w:tab w:val="left" w:pos="641"/>
      </w:tabs>
      <w:spacing w:before="57" w:after="57" w:line="190" w:lineRule="atLeast"/>
      <w:ind w:right="227"/>
    </w:pPr>
    <w:rPr>
      <w:sz w:val="16"/>
    </w:rPr>
  </w:style>
  <w:style w:type="paragraph" w:customStyle="1" w:styleId="TSIndent1">
    <w:name w:val="TS Indent 1"/>
    <w:basedOn w:val="TSTableNormal1"/>
    <w:uiPriority w:val="9"/>
    <w:rsid w:val="00A365B0"/>
    <w:pPr>
      <w:ind w:left="215"/>
    </w:pPr>
  </w:style>
  <w:style w:type="paragraph" w:customStyle="1" w:styleId="TSIndent2">
    <w:name w:val="TS Indent 2"/>
    <w:basedOn w:val="TSTableNormal1"/>
    <w:uiPriority w:val="9"/>
    <w:rsid w:val="00A365B0"/>
    <w:pPr>
      <w:ind w:left="425"/>
    </w:pPr>
  </w:style>
  <w:style w:type="paragraph" w:customStyle="1" w:styleId="TSIndent3">
    <w:name w:val="TS Indent 3"/>
    <w:basedOn w:val="TSTableNormal1"/>
    <w:uiPriority w:val="9"/>
    <w:rsid w:val="00A365B0"/>
    <w:pPr>
      <w:ind w:left="641"/>
    </w:pPr>
  </w:style>
  <w:style w:type="paragraph" w:customStyle="1" w:styleId="TCopiesto">
    <w:name w:val="T_Copies to"/>
    <w:basedOn w:val="Normal"/>
    <w:next w:val="USBodyText"/>
    <w:uiPriority w:val="19"/>
    <w:rsid w:val="00F85BF0"/>
    <w:pPr>
      <w:tabs>
        <w:tab w:val="left" w:pos="1276"/>
      </w:tabs>
      <w:spacing w:before="160"/>
      <w:ind w:left="1276" w:hanging="1276"/>
    </w:pPr>
  </w:style>
  <w:style w:type="paragraph" w:customStyle="1" w:styleId="TEnclosures">
    <w:name w:val="T_Enclosures"/>
    <w:basedOn w:val="Normal"/>
    <w:next w:val="USBodyText"/>
    <w:uiPriority w:val="19"/>
    <w:rsid w:val="001158D4"/>
    <w:pPr>
      <w:tabs>
        <w:tab w:val="left" w:pos="1276"/>
      </w:tabs>
      <w:spacing w:before="160" w:after="0"/>
      <w:ind w:left="1276" w:hanging="1276"/>
    </w:pPr>
  </w:style>
  <w:style w:type="paragraph" w:customStyle="1" w:styleId="Comments">
    <w:name w:val="Comments"/>
    <w:basedOn w:val="Normal"/>
    <w:uiPriority w:val="8"/>
    <w:rsid w:val="0045451D"/>
    <w:pPr>
      <w:shd w:val="clear" w:color="auto" w:fill="FFFF00"/>
    </w:pPr>
  </w:style>
  <w:style w:type="paragraph" w:customStyle="1" w:styleId="USWhiteSpace">
    <w:name w:val="US White Space"/>
    <w:basedOn w:val="Normal"/>
    <w:uiPriority w:val="4"/>
    <w:rsid w:val="00EE7CBD"/>
    <w:pPr>
      <w:spacing w:after="0" w:line="240" w:lineRule="auto"/>
    </w:pPr>
    <w:rPr>
      <w:sz w:val="12"/>
    </w:rPr>
  </w:style>
  <w:style w:type="paragraph" w:customStyle="1" w:styleId="TSBodyHeading">
    <w:name w:val="TS Body Heading"/>
    <w:basedOn w:val="TSOtherBodyText"/>
    <w:next w:val="TSTextBodyText"/>
    <w:uiPriority w:val="9"/>
    <w:rsid w:val="00724DBC"/>
    <w:pPr>
      <w:spacing w:before="80" w:after="20"/>
    </w:pPr>
    <w:rPr>
      <w:b/>
    </w:rPr>
  </w:style>
  <w:style w:type="paragraph" w:customStyle="1" w:styleId="TSMixedB2">
    <w:name w:val="TS Mixed B2"/>
    <w:basedOn w:val="TSTableNormal1"/>
    <w:uiPriority w:val="9"/>
    <w:rsid w:val="00C37888"/>
    <w:pPr>
      <w:numPr>
        <w:numId w:val="11"/>
      </w:numPr>
    </w:pPr>
  </w:style>
  <w:style w:type="paragraph" w:customStyle="1" w:styleId="TSMixedB3">
    <w:name w:val="TS Mixed B3"/>
    <w:basedOn w:val="TSTableNormal1"/>
    <w:uiPriority w:val="9"/>
    <w:rsid w:val="00C37888"/>
    <w:pPr>
      <w:numPr>
        <w:ilvl w:val="1"/>
        <w:numId w:val="11"/>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USNotes">
    <w:name w:val="US Notes"/>
    <w:basedOn w:val="Normal"/>
    <w:uiPriority w:val="5"/>
    <w:rsid w:val="008977A1"/>
    <w:pPr>
      <w:numPr>
        <w:numId w:val="6"/>
      </w:numPr>
      <w:spacing w:before="57" w:after="57" w:line="170" w:lineRule="atLeast"/>
    </w:pPr>
    <w:rPr>
      <w:sz w:val="14"/>
    </w:rPr>
  </w:style>
  <w:style w:type="paragraph" w:customStyle="1" w:styleId="TSTextSingle">
    <w:name w:val="TS Text (Single)"/>
    <w:basedOn w:val="TSOtherBodyText"/>
    <w:uiPriority w:val="9"/>
    <w:rsid w:val="00A365B0"/>
    <w:pPr>
      <w:spacing w:before="0" w:after="0" w:line="240" w:lineRule="auto"/>
    </w:pPr>
  </w:style>
  <w:style w:type="paragraph" w:customStyle="1" w:styleId="TSBullet1">
    <w:name w:val="TS Bullet 1"/>
    <w:basedOn w:val="TSTableNormal1"/>
    <w:uiPriority w:val="9"/>
    <w:rsid w:val="00C37888"/>
    <w:pPr>
      <w:numPr>
        <w:numId w:val="10"/>
      </w:numPr>
    </w:pPr>
  </w:style>
  <w:style w:type="paragraph" w:customStyle="1" w:styleId="TSBullet2">
    <w:name w:val="TS Bullet 2"/>
    <w:basedOn w:val="TSTableNormal1"/>
    <w:uiPriority w:val="9"/>
    <w:rsid w:val="00C37888"/>
    <w:pPr>
      <w:numPr>
        <w:ilvl w:val="1"/>
        <w:numId w:val="10"/>
      </w:numPr>
    </w:pPr>
  </w:style>
  <w:style w:type="paragraph" w:customStyle="1" w:styleId="TSBullet3">
    <w:name w:val="TS Bullet 3"/>
    <w:basedOn w:val="TSTableNormal1"/>
    <w:uiPriority w:val="9"/>
    <w:rsid w:val="00C37888"/>
    <w:pPr>
      <w:numPr>
        <w:ilvl w:val="2"/>
        <w:numId w:val="10"/>
      </w:numPr>
    </w:pPr>
  </w:style>
  <w:style w:type="paragraph" w:customStyle="1" w:styleId="NHHeading1">
    <w:name w:val="NH Heading 1"/>
    <w:basedOn w:val="Heading1"/>
    <w:next w:val="USBodyText"/>
    <w:uiPriority w:val="4"/>
    <w:rsid w:val="007F6B4B"/>
    <w:pPr>
      <w:numPr>
        <w:numId w:val="4"/>
      </w:numPr>
      <w:outlineLvl w:val="6"/>
    </w:pPr>
  </w:style>
  <w:style w:type="character" w:customStyle="1" w:styleId="Heading6Char">
    <w:name w:val="Heading 6 Char"/>
    <w:basedOn w:val="DefaultParagraphFont"/>
    <w:link w:val="Heading6"/>
    <w:uiPriority w:val="9"/>
    <w:semiHidden/>
    <w:rsid w:val="00F4518E"/>
    <w:rPr>
      <w:rFonts w:asciiTheme="majorHAnsi" w:eastAsiaTheme="majorEastAsia" w:hAnsiTheme="majorHAnsi" w:cstheme="majorBidi"/>
      <w:color w:val="986A00" w:themeColor="accent1" w:themeShade="7F"/>
      <w:sz w:val="20"/>
    </w:rPr>
  </w:style>
  <w:style w:type="paragraph" w:customStyle="1" w:styleId="NHHeading2">
    <w:name w:val="NH Heading 2"/>
    <w:basedOn w:val="Heading2"/>
    <w:next w:val="USBodyText"/>
    <w:uiPriority w:val="4"/>
    <w:rsid w:val="007F6B4B"/>
    <w:pPr>
      <w:numPr>
        <w:ilvl w:val="1"/>
        <w:numId w:val="4"/>
      </w:numPr>
      <w:outlineLvl w:val="7"/>
    </w:pPr>
  </w:style>
  <w:style w:type="paragraph" w:customStyle="1" w:styleId="NHHeading3">
    <w:name w:val="NH Heading 3"/>
    <w:basedOn w:val="Heading3"/>
    <w:next w:val="USBodyText"/>
    <w:uiPriority w:val="4"/>
    <w:rsid w:val="007F6B4B"/>
    <w:pPr>
      <w:numPr>
        <w:ilvl w:val="2"/>
        <w:numId w:val="4"/>
      </w:numPr>
      <w:outlineLvl w:val="8"/>
    </w:pPr>
  </w:style>
  <w:style w:type="paragraph" w:customStyle="1" w:styleId="NHHeading4">
    <w:name w:val="NH Heading 4"/>
    <w:basedOn w:val="Heading4"/>
    <w:next w:val="USBodyText"/>
    <w:uiPriority w:val="4"/>
    <w:rsid w:val="007F6B4B"/>
    <w:pPr>
      <w:numPr>
        <w:ilvl w:val="3"/>
        <w:numId w:val="4"/>
      </w:numPr>
    </w:pPr>
  </w:style>
  <w:style w:type="paragraph" w:customStyle="1" w:styleId="NHHeading5">
    <w:name w:val="NH Heading 5"/>
    <w:basedOn w:val="Heading5"/>
    <w:next w:val="USBodyText"/>
    <w:uiPriority w:val="4"/>
    <w:rsid w:val="007F6B4B"/>
    <w:pPr>
      <w:numPr>
        <w:ilvl w:val="4"/>
        <w:numId w:val="4"/>
      </w:numPr>
    </w:pPr>
  </w:style>
  <w:style w:type="paragraph" w:customStyle="1" w:styleId="LNHEADING1">
    <w:name w:val="LN HEADING 1"/>
    <w:basedOn w:val="Heading1"/>
    <w:next w:val="LNPara2"/>
    <w:uiPriority w:val="6"/>
    <w:rsid w:val="00C37888"/>
    <w:pPr>
      <w:numPr>
        <w:numId w:val="7"/>
      </w:numPr>
      <w:outlineLvl w:val="5"/>
    </w:pPr>
  </w:style>
  <w:style w:type="character" w:customStyle="1" w:styleId="Heading7Char">
    <w:name w:val="Heading 7 Char"/>
    <w:basedOn w:val="DefaultParagraphFont"/>
    <w:link w:val="Heading7"/>
    <w:uiPriority w:val="9"/>
    <w:semiHidden/>
    <w:rsid w:val="00F4518E"/>
    <w:rPr>
      <w:rFonts w:asciiTheme="majorHAnsi" w:eastAsiaTheme="majorEastAsia" w:hAnsiTheme="majorHAnsi" w:cstheme="majorBidi"/>
      <w:i/>
      <w:iCs/>
      <w:color w:val="986A00" w:themeColor="accent1" w:themeShade="7F"/>
      <w:sz w:val="20"/>
    </w:rPr>
  </w:style>
  <w:style w:type="character" w:customStyle="1" w:styleId="Heading8Char">
    <w:name w:val="Heading 8 Char"/>
    <w:basedOn w:val="DefaultParagraphFont"/>
    <w:link w:val="Heading8"/>
    <w:uiPriority w:val="9"/>
    <w:semiHidden/>
    <w:rsid w:val="000A4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425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rsid w:val="00C37888"/>
    <w:pPr>
      <w:numPr>
        <w:ilvl w:val="1"/>
        <w:numId w:val="7"/>
      </w:numPr>
    </w:pPr>
  </w:style>
  <w:style w:type="paragraph" w:customStyle="1" w:styleId="LNPara3">
    <w:name w:val="LN Para 3"/>
    <w:basedOn w:val="Normal"/>
    <w:uiPriority w:val="6"/>
    <w:rsid w:val="00C37888"/>
    <w:pPr>
      <w:numPr>
        <w:ilvl w:val="2"/>
        <w:numId w:val="7"/>
      </w:numPr>
    </w:pPr>
  </w:style>
  <w:style w:type="paragraph" w:customStyle="1" w:styleId="LNParaa">
    <w:name w:val="LN Para a"/>
    <w:basedOn w:val="Normal"/>
    <w:uiPriority w:val="6"/>
    <w:rsid w:val="00C37888"/>
    <w:pPr>
      <w:numPr>
        <w:ilvl w:val="3"/>
        <w:numId w:val="7"/>
      </w:numPr>
    </w:pPr>
  </w:style>
  <w:style w:type="paragraph" w:customStyle="1" w:styleId="LNParai">
    <w:name w:val="LN Para i"/>
    <w:basedOn w:val="Normal"/>
    <w:uiPriority w:val="6"/>
    <w:rsid w:val="00C37888"/>
    <w:pPr>
      <w:numPr>
        <w:ilvl w:val="4"/>
        <w:numId w:val="7"/>
      </w:numPr>
    </w:pPr>
  </w:style>
  <w:style w:type="paragraph" w:customStyle="1" w:styleId="LNParaB1">
    <w:name w:val="LN Para B1"/>
    <w:basedOn w:val="Normal"/>
    <w:uiPriority w:val="6"/>
    <w:rsid w:val="00C37888"/>
    <w:pPr>
      <w:numPr>
        <w:ilvl w:val="5"/>
        <w:numId w:val="7"/>
      </w:numPr>
    </w:pPr>
  </w:style>
  <w:style w:type="paragraph" w:customStyle="1" w:styleId="LNParaB2">
    <w:name w:val="LN Para B2"/>
    <w:basedOn w:val="Normal"/>
    <w:uiPriority w:val="6"/>
    <w:rsid w:val="00C37888"/>
    <w:pPr>
      <w:numPr>
        <w:ilvl w:val="6"/>
        <w:numId w:val="7"/>
      </w:numPr>
    </w:pPr>
  </w:style>
  <w:style w:type="paragraph" w:customStyle="1" w:styleId="LNParaB3">
    <w:name w:val="LN Para B3"/>
    <w:basedOn w:val="Normal"/>
    <w:uiPriority w:val="6"/>
    <w:rsid w:val="00C37888"/>
    <w:pPr>
      <w:numPr>
        <w:ilvl w:val="7"/>
        <w:numId w:val="7"/>
      </w:numPr>
    </w:pPr>
  </w:style>
  <w:style w:type="paragraph" w:customStyle="1" w:styleId="LNHeading2">
    <w:name w:val="LN Heading 2"/>
    <w:basedOn w:val="Heading2"/>
    <w:next w:val="LNPara2"/>
    <w:uiPriority w:val="6"/>
    <w:rsid w:val="00C37888"/>
    <w:pPr>
      <w:ind w:left="851"/>
    </w:pPr>
  </w:style>
  <w:style w:type="paragraph" w:customStyle="1" w:styleId="LNHeading3">
    <w:name w:val="LN Heading 3"/>
    <w:basedOn w:val="Heading3"/>
    <w:next w:val="LNPara2"/>
    <w:uiPriority w:val="6"/>
    <w:rsid w:val="00C37888"/>
    <w:pPr>
      <w:ind w:left="851"/>
    </w:pPr>
  </w:style>
  <w:style w:type="paragraph" w:customStyle="1" w:styleId="LNHeading4">
    <w:name w:val="LN Heading 4"/>
    <w:basedOn w:val="Heading4"/>
    <w:next w:val="LNPara2"/>
    <w:uiPriority w:val="6"/>
    <w:rsid w:val="00C37888"/>
    <w:pPr>
      <w:ind w:left="851"/>
    </w:pPr>
  </w:style>
  <w:style w:type="paragraph" w:customStyle="1" w:styleId="LNHeading5">
    <w:name w:val="LN Heading 5"/>
    <w:basedOn w:val="Heading5"/>
    <w:next w:val="LNPara2"/>
    <w:uiPriority w:val="6"/>
    <w:rsid w:val="00C37888"/>
    <w:pPr>
      <w:ind w:left="851"/>
    </w:pPr>
  </w:style>
  <w:style w:type="paragraph" w:customStyle="1" w:styleId="ApxHeading1">
    <w:name w:val="Apx Heading 1"/>
    <w:basedOn w:val="Heading1"/>
    <w:next w:val="USBodyText"/>
    <w:uiPriority w:val="3"/>
    <w:rsid w:val="00D53C80"/>
    <w:pPr>
      <w:numPr>
        <w:numId w:val="5"/>
      </w:numPr>
    </w:pPr>
  </w:style>
  <w:style w:type="paragraph" w:customStyle="1" w:styleId="ApxHeading2">
    <w:name w:val="Apx Heading 2"/>
    <w:basedOn w:val="Heading2"/>
    <w:next w:val="USBodyText"/>
    <w:uiPriority w:val="3"/>
    <w:rsid w:val="00D53C80"/>
  </w:style>
  <w:style w:type="paragraph" w:customStyle="1" w:styleId="ApxHeading3">
    <w:name w:val="Apx Heading 3"/>
    <w:basedOn w:val="Heading3"/>
    <w:next w:val="USBodyText"/>
    <w:uiPriority w:val="3"/>
    <w:rsid w:val="00D53C80"/>
  </w:style>
  <w:style w:type="paragraph" w:customStyle="1" w:styleId="ApxHeading4">
    <w:name w:val="Apx Heading 4"/>
    <w:basedOn w:val="Heading4"/>
    <w:next w:val="USBodyText"/>
    <w:uiPriority w:val="3"/>
    <w:rsid w:val="00D53C80"/>
  </w:style>
  <w:style w:type="paragraph" w:customStyle="1" w:styleId="ApxHeading5">
    <w:name w:val="Apx Heading 5"/>
    <w:basedOn w:val="Heading5"/>
    <w:next w:val="USBodyText"/>
    <w:uiPriority w:val="3"/>
    <w:rsid w:val="00D53C80"/>
  </w:style>
  <w:style w:type="paragraph" w:customStyle="1" w:styleId="LNIndent1">
    <w:name w:val="LN Indent 1"/>
    <w:basedOn w:val="Normal"/>
    <w:uiPriority w:val="6"/>
    <w:rsid w:val="00C37888"/>
    <w:pPr>
      <w:ind w:left="851"/>
    </w:pPr>
  </w:style>
  <w:style w:type="paragraph" w:customStyle="1" w:styleId="LNIndent2">
    <w:name w:val="LN Indent 2"/>
    <w:basedOn w:val="Normal"/>
    <w:uiPriority w:val="6"/>
    <w:rsid w:val="00C37888"/>
    <w:pPr>
      <w:ind w:left="1276"/>
    </w:pPr>
  </w:style>
  <w:style w:type="paragraph" w:customStyle="1" w:styleId="LNIndent3">
    <w:name w:val="LN Indent 3"/>
    <w:basedOn w:val="Normal"/>
    <w:uiPriority w:val="6"/>
    <w:rsid w:val="00C37888"/>
    <w:pPr>
      <w:ind w:left="1701"/>
    </w:pPr>
  </w:style>
  <w:style w:type="paragraph" w:customStyle="1" w:styleId="LNIndent4">
    <w:name w:val="LN Indent 4"/>
    <w:basedOn w:val="Normal"/>
    <w:uiPriority w:val="6"/>
    <w:rsid w:val="00C37888"/>
    <w:pPr>
      <w:ind w:left="2126"/>
    </w:pPr>
  </w:style>
  <w:style w:type="table" w:styleId="TableGridLight">
    <w:name w:val="Grid Table Light"/>
    <w:basedOn w:val="TableNormal"/>
    <w:uiPriority w:val="40"/>
    <w:rsid w:val="00420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B87B04"/>
    <w:pPr>
      <w:keepNext/>
      <w:spacing w:after="0" w:line="240" w:lineRule="auto"/>
      <w:ind w:left="-17"/>
    </w:pPr>
    <w:rPr>
      <w:noProof/>
      <w:sz w:val="2"/>
    </w:rPr>
  </w:style>
  <w:style w:type="paragraph" w:customStyle="1" w:styleId="USNotesHeading">
    <w:name w:val="US Notes (Heading)"/>
    <w:basedOn w:val="Normal"/>
    <w:uiPriority w:val="5"/>
    <w:rsid w:val="00322D00"/>
    <w:pPr>
      <w:spacing w:before="113" w:line="170" w:lineRule="atLeast"/>
    </w:pPr>
    <w:rPr>
      <w:b/>
      <w:sz w:val="14"/>
    </w:rPr>
  </w:style>
  <w:style w:type="paragraph" w:customStyle="1" w:styleId="TClosing">
    <w:name w:val="T_Closing"/>
    <w:basedOn w:val="Normal"/>
    <w:uiPriority w:val="19"/>
    <w:rsid w:val="00C837AB"/>
  </w:style>
  <w:style w:type="paragraph" w:customStyle="1" w:styleId="TSignature">
    <w:name w:val="T_Signature"/>
    <w:basedOn w:val="USBodyText"/>
    <w:uiPriority w:val="19"/>
    <w:rsid w:val="00D041F1"/>
    <w:pPr>
      <w:spacing w:before="480" w:after="480"/>
    </w:pPr>
  </w:style>
  <w:style w:type="paragraph" w:styleId="BalloonText">
    <w:name w:val="Balloon Text"/>
    <w:basedOn w:val="Normal"/>
    <w:link w:val="BalloonTextChar"/>
    <w:uiPriority w:val="99"/>
    <w:semiHidden/>
    <w:unhideWhenUsed/>
    <w:rsid w:val="0063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CoverDocumentType"/>
    <w:uiPriority w:val="19"/>
    <w:rsid w:val="009A0960"/>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rsid w:val="009A0960"/>
    <w:pPr>
      <w:keepNext/>
      <w:spacing w:before="340" w:after="284" w:line="420" w:lineRule="atLeast"/>
    </w:pPr>
    <w:rPr>
      <w:sz w:val="36"/>
    </w:rPr>
  </w:style>
  <w:style w:type="paragraph" w:customStyle="1" w:styleId="CoverSubheading">
    <w:name w:val="Cover Subheading"/>
    <w:basedOn w:val="Normal"/>
    <w:uiPriority w:val="19"/>
    <w:rsid w:val="009A0960"/>
    <w:pPr>
      <w:keepNext/>
      <w:spacing w:before="113" w:after="170"/>
    </w:pPr>
    <w:rPr>
      <w:b/>
    </w:rPr>
  </w:style>
  <w:style w:type="paragraph" w:customStyle="1" w:styleId="CoverDate">
    <w:name w:val="Cover Date"/>
    <w:basedOn w:val="Normal"/>
    <w:uiPriority w:val="19"/>
    <w:rsid w:val="009A0960"/>
    <w:pPr>
      <w:spacing w:before="113"/>
    </w:pPr>
  </w:style>
  <w:style w:type="paragraph" w:customStyle="1" w:styleId="HeadingContents">
    <w:name w:val="Heading Contents"/>
    <w:basedOn w:val="Heading1"/>
    <w:uiPriority w:val="2"/>
    <w:rsid w:val="00390D69"/>
    <w:pPr>
      <w:pageBreakBefore w:val="0"/>
      <w:spacing w:before="680" w:after="220" w:line="480" w:lineRule="atLeast"/>
      <w:outlineLvl w:val="9"/>
    </w:pPr>
  </w:style>
  <w:style w:type="paragraph" w:styleId="TOCHeading">
    <w:name w:val="TOC Heading"/>
    <w:basedOn w:val="Heading1"/>
    <w:next w:val="Normal"/>
    <w:uiPriority w:val="39"/>
    <w:semiHidden/>
    <w:rsid w:val="00380AAF"/>
    <w:pPr>
      <w:pageBreakBefore w:val="0"/>
      <w:spacing w:before="240" w:after="0" w:line="259" w:lineRule="auto"/>
      <w:ind w:right="0"/>
      <w:outlineLvl w:val="9"/>
    </w:pPr>
    <w:rPr>
      <w:rFonts w:asciiTheme="majorHAnsi" w:hAnsiTheme="majorHAnsi"/>
      <w:b w:val="0"/>
      <w:caps w:val="0"/>
      <w:color w:val="E59F00" w:themeColor="accent1" w:themeShade="BF"/>
      <w:sz w:val="32"/>
      <w:lang w:val="en-US"/>
    </w:rPr>
  </w:style>
  <w:style w:type="paragraph" w:styleId="TOC1">
    <w:name w:val="toc 1"/>
    <w:basedOn w:val="Normal"/>
    <w:next w:val="Normal"/>
    <w:uiPriority w:val="39"/>
    <w:unhideWhenUsed/>
    <w:rsid w:val="0092418C"/>
    <w:pPr>
      <w:tabs>
        <w:tab w:val="right" w:pos="9072"/>
      </w:tabs>
      <w:spacing w:before="170" w:after="80" w:line="280" w:lineRule="atLeast"/>
      <w:ind w:right="851"/>
    </w:pPr>
    <w:rPr>
      <w:sz w:val="24"/>
    </w:rPr>
  </w:style>
  <w:style w:type="paragraph" w:styleId="TOC2">
    <w:name w:val="toc 2"/>
    <w:basedOn w:val="Normal"/>
    <w:next w:val="Normal"/>
    <w:uiPriority w:val="39"/>
    <w:unhideWhenUsed/>
    <w:rsid w:val="00853045"/>
    <w:pPr>
      <w:tabs>
        <w:tab w:val="right" w:pos="9072"/>
      </w:tabs>
      <w:spacing w:after="80"/>
      <w:ind w:right="851"/>
    </w:pPr>
  </w:style>
  <w:style w:type="paragraph" w:styleId="TOC3">
    <w:name w:val="toc 3"/>
    <w:basedOn w:val="Normal"/>
    <w:next w:val="Normal"/>
    <w:uiPriority w:val="39"/>
    <w:unhideWhenUsed/>
    <w:rsid w:val="00853045"/>
    <w:pPr>
      <w:tabs>
        <w:tab w:val="right" w:pos="9072"/>
      </w:tabs>
      <w:spacing w:after="80"/>
      <w:ind w:left="425" w:right="851"/>
    </w:pPr>
  </w:style>
  <w:style w:type="character" w:styleId="Hyperlink">
    <w:name w:val="Hyperlink"/>
    <w:basedOn w:val="DefaultParagraphFont"/>
    <w:uiPriority w:val="99"/>
    <w:rsid w:val="00A4666D"/>
    <w:rPr>
      <w:color w:val="03B2C4"/>
      <w:u w:val="single"/>
    </w:rPr>
  </w:style>
  <w:style w:type="paragraph" w:styleId="TOC4">
    <w:name w:val="toc 4"/>
    <w:basedOn w:val="Normal"/>
    <w:next w:val="Normal"/>
    <w:uiPriority w:val="39"/>
    <w:unhideWhenUsed/>
    <w:rsid w:val="00853045"/>
    <w:pPr>
      <w:tabs>
        <w:tab w:val="right" w:pos="9072"/>
      </w:tabs>
      <w:spacing w:after="80"/>
      <w:ind w:left="851" w:right="851"/>
    </w:pPr>
  </w:style>
  <w:style w:type="paragraph" w:styleId="TOC5">
    <w:name w:val="toc 5"/>
    <w:basedOn w:val="Normal"/>
    <w:next w:val="Normal"/>
    <w:uiPriority w:val="39"/>
    <w:unhideWhenUsed/>
    <w:rsid w:val="00853045"/>
    <w:pPr>
      <w:tabs>
        <w:tab w:val="right" w:pos="9072"/>
      </w:tabs>
      <w:spacing w:after="80"/>
      <w:ind w:left="1276" w:right="851"/>
    </w:pPr>
  </w:style>
  <w:style w:type="paragraph" w:styleId="TOC8">
    <w:name w:val="toc 8"/>
    <w:basedOn w:val="TOC2"/>
    <w:next w:val="Normal"/>
    <w:uiPriority w:val="39"/>
    <w:unhideWhenUsed/>
    <w:rsid w:val="00A03F1D"/>
    <w:pPr>
      <w:ind w:left="851" w:hanging="851"/>
    </w:pPr>
  </w:style>
  <w:style w:type="paragraph" w:styleId="TOC9">
    <w:name w:val="toc 9"/>
    <w:basedOn w:val="Normal"/>
    <w:next w:val="Normal"/>
    <w:uiPriority w:val="39"/>
    <w:unhideWhenUsed/>
    <w:rsid w:val="00A03F1D"/>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853045"/>
    <w:pPr>
      <w:tabs>
        <w:tab w:val="left" w:pos="1049"/>
        <w:tab w:val="right" w:pos="9072"/>
      </w:tabs>
      <w:spacing w:after="80"/>
      <w:ind w:left="1049" w:right="851" w:hanging="1049"/>
    </w:pPr>
  </w:style>
  <w:style w:type="paragraph" w:customStyle="1" w:styleId="FooterPortraitOdd">
    <w:name w:val="Footer Portrait Odd"/>
    <w:basedOn w:val="Footer"/>
    <w:uiPriority w:val="11"/>
    <w:rsid w:val="00B20014"/>
    <w:rPr>
      <w:noProof/>
      <w:lang w:eastAsia="en-NZ"/>
    </w:rPr>
  </w:style>
  <w:style w:type="paragraph" w:customStyle="1" w:styleId="FooterPortraitEven">
    <w:name w:val="Footer Portrait Even"/>
    <w:basedOn w:val="Footer"/>
    <w:uiPriority w:val="11"/>
    <w:rsid w:val="00B43FB4"/>
    <w:pPr>
      <w:tabs>
        <w:tab w:val="clear" w:pos="851"/>
        <w:tab w:val="clear" w:pos="9072"/>
        <w:tab w:val="right" w:pos="8222"/>
      </w:tabs>
    </w:pPr>
    <w:rPr>
      <w:lang w:eastAsia="en-NZ"/>
    </w:rPr>
  </w:style>
  <w:style w:type="character" w:customStyle="1" w:styleId="FooterDateTime">
    <w:name w:val="Footer Date Time"/>
    <w:basedOn w:val="DefaultParagraphFont"/>
    <w:uiPriority w:val="11"/>
    <w:rsid w:val="00844C2D"/>
    <w:rPr>
      <w:color w:val="ABA9AD"/>
      <w:sz w:val="16"/>
    </w:rPr>
  </w:style>
  <w:style w:type="paragraph" w:styleId="TOC7">
    <w:name w:val="toc 7"/>
    <w:basedOn w:val="TOC1"/>
    <w:next w:val="Normal"/>
    <w:uiPriority w:val="39"/>
    <w:unhideWhenUsed/>
    <w:rsid w:val="00A03F1D"/>
    <w:pPr>
      <w:tabs>
        <w:tab w:val="left" w:pos="851"/>
      </w:tabs>
      <w:ind w:left="851" w:hanging="851"/>
    </w:pPr>
  </w:style>
  <w:style w:type="paragraph" w:styleId="TOC6">
    <w:name w:val="toc 6"/>
    <w:basedOn w:val="TOC1"/>
    <w:next w:val="Normal"/>
    <w:uiPriority w:val="39"/>
    <w:unhideWhenUsed/>
    <w:rsid w:val="00853045"/>
    <w:pPr>
      <w:tabs>
        <w:tab w:val="clear" w:pos="9072"/>
        <w:tab w:val="left" w:pos="851"/>
        <w:tab w:val="right" w:pos="9060"/>
      </w:tabs>
    </w:pPr>
  </w:style>
  <w:style w:type="table" w:styleId="PlainTable3">
    <w:name w:val="Plain Table 3"/>
    <w:basedOn w:val="TableNormal"/>
    <w:uiPriority w:val="43"/>
    <w:rsid w:val="00924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03F1D"/>
    <w:pPr>
      <w:spacing w:after="0" w:line="240" w:lineRule="auto"/>
    </w:pPr>
    <w:tblPr>
      <w:tblStyleRowBandSize w:val="1"/>
      <w:tblStyleColBandSize w:val="1"/>
    </w:tblPr>
    <w:tblStylePr w:type="firstRow">
      <w:rPr>
        <w:b/>
        <w:bCs/>
      </w:rPr>
      <w:tblPr/>
      <w:tcPr>
        <w:tcBorders>
          <w:bottom w:val="single" w:sz="4" w:space="0" w:color="F9B98A" w:themeColor="accent3" w:themeTint="99"/>
        </w:tcBorders>
      </w:tcPr>
    </w:tblStylePr>
    <w:tblStylePr w:type="lastRow">
      <w:rPr>
        <w:b/>
        <w:bCs/>
      </w:rPr>
      <w:tblPr/>
      <w:tcPr>
        <w:tcBorders>
          <w:top w:val="single" w:sz="4" w:space="0" w:color="F9B98A" w:themeColor="accent3" w:themeTint="99"/>
        </w:tcBorders>
      </w:tcPr>
    </w:tblStylePr>
    <w:tblStylePr w:type="firstCol">
      <w:rPr>
        <w:b/>
        <w:bCs/>
      </w:rPr>
    </w:tblStylePr>
    <w:tblStylePr w:type="lastCol">
      <w:rPr>
        <w:b/>
        <w:bCs/>
      </w:rPr>
    </w:tblStylePr>
    <w:tblStylePr w:type="band1Vert">
      <w:tblPr/>
      <w:tcPr>
        <w:shd w:val="clear" w:color="auto" w:fill="FDE7D8" w:themeFill="accent3" w:themeFillTint="33"/>
      </w:tcPr>
    </w:tblStylePr>
    <w:tblStylePr w:type="band1Horz">
      <w:tblPr/>
      <w:tcPr>
        <w:shd w:val="clear" w:color="auto" w:fill="FDE7D8" w:themeFill="accent3" w:themeFillTint="33"/>
      </w:tcPr>
    </w:tblStylePr>
  </w:style>
  <w:style w:type="paragraph" w:customStyle="1" w:styleId="FooterLandscapeEven">
    <w:name w:val="Footer Landscape Even"/>
    <w:basedOn w:val="Footer"/>
    <w:uiPriority w:val="11"/>
    <w:rsid w:val="006C7FB5"/>
    <w:pPr>
      <w:tabs>
        <w:tab w:val="clear" w:pos="851"/>
        <w:tab w:val="clear" w:pos="9072"/>
        <w:tab w:val="right" w:pos="13154"/>
      </w:tabs>
    </w:pPr>
  </w:style>
  <w:style w:type="paragraph" w:customStyle="1" w:styleId="FooterA3Even">
    <w:name w:val="Footer A3 Even"/>
    <w:basedOn w:val="Footer"/>
    <w:uiPriority w:val="11"/>
    <w:rsid w:val="006C7FB5"/>
    <w:pPr>
      <w:tabs>
        <w:tab w:val="clear" w:pos="851"/>
        <w:tab w:val="clear" w:pos="9072"/>
        <w:tab w:val="right" w:pos="20129"/>
      </w:tabs>
    </w:pPr>
  </w:style>
  <w:style w:type="paragraph" w:customStyle="1" w:styleId="SNHeading1">
    <w:name w:val="SN Heading 1"/>
    <w:basedOn w:val="Heading1"/>
    <w:next w:val="SNNumber1"/>
    <w:uiPriority w:val="7"/>
    <w:rsid w:val="00C37888"/>
    <w:pPr>
      <w:numPr>
        <w:numId w:val="9"/>
      </w:numPr>
    </w:pPr>
  </w:style>
  <w:style w:type="paragraph" w:customStyle="1" w:styleId="SNNumber1">
    <w:name w:val="SN Number 1"/>
    <w:basedOn w:val="Normal"/>
    <w:uiPriority w:val="7"/>
    <w:rsid w:val="005C17C1"/>
    <w:pPr>
      <w:numPr>
        <w:numId w:val="16"/>
      </w:numPr>
      <w:spacing w:before="113"/>
    </w:pPr>
  </w:style>
  <w:style w:type="paragraph" w:customStyle="1" w:styleId="SNPara1">
    <w:name w:val="SN Para 1"/>
    <w:basedOn w:val="Normal"/>
    <w:uiPriority w:val="7"/>
    <w:rsid w:val="005C17C1"/>
    <w:pPr>
      <w:numPr>
        <w:ilvl w:val="3"/>
        <w:numId w:val="16"/>
      </w:numPr>
      <w:spacing w:before="113"/>
    </w:pPr>
  </w:style>
  <w:style w:type="paragraph" w:customStyle="1" w:styleId="SNParaa">
    <w:name w:val="SN Para a"/>
    <w:basedOn w:val="Normal"/>
    <w:uiPriority w:val="7"/>
    <w:rsid w:val="005C17C1"/>
    <w:pPr>
      <w:numPr>
        <w:ilvl w:val="1"/>
        <w:numId w:val="16"/>
      </w:numPr>
      <w:spacing w:before="113"/>
    </w:pPr>
  </w:style>
  <w:style w:type="paragraph" w:customStyle="1" w:styleId="SNParaB1">
    <w:name w:val="SN Para B1"/>
    <w:basedOn w:val="Normal"/>
    <w:uiPriority w:val="7"/>
    <w:rsid w:val="005C17C1"/>
    <w:pPr>
      <w:numPr>
        <w:ilvl w:val="4"/>
        <w:numId w:val="16"/>
      </w:numPr>
      <w:spacing w:before="113"/>
    </w:pPr>
  </w:style>
  <w:style w:type="paragraph" w:customStyle="1" w:styleId="SNParaB2">
    <w:name w:val="SN Para B2"/>
    <w:basedOn w:val="Normal"/>
    <w:uiPriority w:val="7"/>
    <w:rsid w:val="005C17C1"/>
    <w:pPr>
      <w:numPr>
        <w:ilvl w:val="5"/>
        <w:numId w:val="16"/>
      </w:numPr>
      <w:spacing w:before="113"/>
    </w:pPr>
  </w:style>
  <w:style w:type="paragraph" w:customStyle="1" w:styleId="SNParai">
    <w:name w:val="SN Para i"/>
    <w:basedOn w:val="Normal"/>
    <w:uiPriority w:val="7"/>
    <w:rsid w:val="005C17C1"/>
    <w:pPr>
      <w:numPr>
        <w:ilvl w:val="2"/>
        <w:numId w:val="16"/>
      </w:numPr>
      <w:spacing w:before="113"/>
    </w:pPr>
  </w:style>
  <w:style w:type="paragraph" w:customStyle="1" w:styleId="SNBullet1">
    <w:name w:val="SN Bullet 1"/>
    <w:basedOn w:val="USBodyText"/>
    <w:uiPriority w:val="7"/>
    <w:rsid w:val="00C37888"/>
    <w:pPr>
      <w:numPr>
        <w:numId w:val="8"/>
      </w:numPr>
      <w:spacing w:before="0"/>
    </w:pPr>
  </w:style>
  <w:style w:type="paragraph" w:customStyle="1" w:styleId="SNBullet2">
    <w:name w:val="SN Bullet 2"/>
    <w:basedOn w:val="USBodyText"/>
    <w:uiPriority w:val="7"/>
    <w:rsid w:val="00C37888"/>
    <w:pPr>
      <w:numPr>
        <w:ilvl w:val="1"/>
        <w:numId w:val="8"/>
      </w:numPr>
      <w:spacing w:before="0"/>
    </w:pPr>
  </w:style>
  <w:style w:type="paragraph" w:customStyle="1" w:styleId="SNBullet3">
    <w:name w:val="SN Bullet 3"/>
    <w:basedOn w:val="USBodyText"/>
    <w:uiPriority w:val="7"/>
    <w:rsid w:val="00C37888"/>
    <w:pPr>
      <w:numPr>
        <w:ilvl w:val="2"/>
        <w:numId w:val="8"/>
      </w:numPr>
      <w:spacing w:before="0"/>
    </w:pPr>
  </w:style>
  <w:style w:type="paragraph" w:customStyle="1" w:styleId="HeadingSectionDivider">
    <w:name w:val="Heading Section Divider"/>
    <w:basedOn w:val="Heading1"/>
    <w:uiPriority w:val="2"/>
    <w:semiHidden/>
    <w:rsid w:val="00C57284"/>
    <w:rPr>
      <w:b w:val="0"/>
      <w:color w:val="000000" w:themeColor="text1"/>
    </w:rPr>
  </w:style>
  <w:style w:type="paragraph" w:customStyle="1" w:styleId="USNote">
    <w:name w:val="US Note"/>
    <w:basedOn w:val="USNotes"/>
    <w:uiPriority w:val="5"/>
    <w:rsid w:val="00DD7E65"/>
    <w:pPr>
      <w:numPr>
        <w:numId w:val="0"/>
      </w:numPr>
    </w:pPr>
  </w:style>
  <w:style w:type="paragraph" w:customStyle="1" w:styleId="SNHeading2">
    <w:name w:val="SN Heading 2"/>
    <w:basedOn w:val="Heading2"/>
    <w:next w:val="SNNumber1"/>
    <w:uiPriority w:val="7"/>
    <w:rsid w:val="00C37888"/>
  </w:style>
  <w:style w:type="paragraph" w:customStyle="1" w:styleId="SNHeading3">
    <w:name w:val="SN Heading 3"/>
    <w:basedOn w:val="Heading3"/>
    <w:next w:val="SNNumber1"/>
    <w:uiPriority w:val="7"/>
    <w:rsid w:val="00C37888"/>
  </w:style>
  <w:style w:type="paragraph" w:customStyle="1" w:styleId="SNHeading4">
    <w:name w:val="SN Heading 4"/>
    <w:basedOn w:val="Heading4"/>
    <w:next w:val="SNNumber1"/>
    <w:uiPriority w:val="7"/>
    <w:rsid w:val="00C37888"/>
  </w:style>
  <w:style w:type="paragraph" w:customStyle="1" w:styleId="SNHeading5">
    <w:name w:val="SN Heading 5"/>
    <w:basedOn w:val="Heading5"/>
    <w:next w:val="SNNumber1"/>
    <w:uiPriority w:val="7"/>
    <w:rsid w:val="00C37888"/>
  </w:style>
  <w:style w:type="paragraph" w:customStyle="1" w:styleId="HeadingSectionDivider-Black">
    <w:name w:val="Heading Section Divider - Black"/>
    <w:basedOn w:val="Heading1"/>
    <w:uiPriority w:val="2"/>
    <w:rsid w:val="00C57284"/>
    <w:pPr>
      <w:pageBreakBefore w:val="0"/>
    </w:pPr>
    <w:rPr>
      <w:b w:val="0"/>
      <w:color w:val="000000" w:themeColor="text1"/>
    </w:rPr>
  </w:style>
  <w:style w:type="paragraph" w:customStyle="1" w:styleId="HeadingSectionDivider-BlueArrows">
    <w:name w:val="Heading Section Divider - Blue Arrows"/>
    <w:basedOn w:val="Normal"/>
    <w:uiPriority w:val="2"/>
    <w:rsid w:val="00A125AE"/>
    <w:pPr>
      <w:keepNext/>
      <w:keepLines/>
      <w:framePr w:wrap="around" w:vAnchor="page" w:hAnchor="margin" w:xAlign="center" w:y="6805"/>
      <w:spacing w:after="0" w:line="300" w:lineRule="atLeast"/>
      <w:jc w:val="center"/>
      <w:outlineLvl w:val="0"/>
    </w:pPr>
    <w:rPr>
      <w:rFonts w:eastAsiaTheme="majorEastAsia" w:cstheme="majorBidi"/>
      <w:b/>
      <w:caps/>
      <w:color w:val="000000" w:themeColor="text1"/>
      <w:sz w:val="48"/>
      <w:szCs w:val="32"/>
    </w:rPr>
  </w:style>
  <w:style w:type="paragraph" w:customStyle="1" w:styleId="HeadingSectionDivider-White">
    <w:name w:val="Heading Section Divider - White"/>
    <w:basedOn w:val="HeadingSectionDivider-Black"/>
    <w:uiPriority w:val="2"/>
    <w:rsid w:val="00C57284"/>
    <w:pPr>
      <w:outlineLvl w:val="9"/>
    </w:pPr>
    <w:rPr>
      <w:bCs/>
      <w:color w:val="FFFFFF" w:themeColor="background1"/>
    </w:rPr>
  </w:style>
  <w:style w:type="paragraph" w:customStyle="1" w:styleId="USPullQuoteBlack">
    <w:name w:val="US Pull Quote Black"/>
    <w:basedOn w:val="Normal"/>
    <w:uiPriority w:val="5"/>
    <w:rsid w:val="00B87B04"/>
    <w:pPr>
      <w:pBdr>
        <w:top w:val="single" w:sz="4" w:space="14" w:color="auto"/>
        <w:bottom w:val="single" w:sz="4" w:space="14" w:color="auto"/>
      </w:pBdr>
      <w:spacing w:before="284" w:after="454" w:line="340" w:lineRule="atLeast"/>
    </w:pPr>
    <w:rPr>
      <w:b/>
      <w:bCs/>
      <w:sz w:val="28"/>
    </w:rPr>
  </w:style>
  <w:style w:type="paragraph" w:customStyle="1" w:styleId="USPullQuoteWhite">
    <w:name w:val="US Pull Quote White"/>
    <w:basedOn w:val="USPullQuote"/>
    <w:uiPriority w:val="5"/>
    <w:rsid w:val="00C57284"/>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51181E"/>
    <w:pPr>
      <w:spacing w:before="57" w:after="57" w:line="190" w:lineRule="atLeast"/>
    </w:pPr>
    <w:rPr>
      <w:b/>
      <w:sz w:val="16"/>
    </w:rPr>
  </w:style>
  <w:style w:type="character" w:styleId="FollowedHyperlink">
    <w:name w:val="FollowedHyperlink"/>
    <w:basedOn w:val="DefaultParagraphFont"/>
    <w:uiPriority w:val="5"/>
    <w:rsid w:val="005028B1"/>
    <w:rPr>
      <w:color w:val="95D3D4"/>
      <w:u w:val="single"/>
    </w:rPr>
  </w:style>
  <w:style w:type="paragraph" w:customStyle="1" w:styleId="HeadingNonContents">
    <w:name w:val="Heading Non Contents"/>
    <w:basedOn w:val="HeadingContents"/>
    <w:uiPriority w:val="2"/>
    <w:rsid w:val="00D71C59"/>
  </w:style>
  <w:style w:type="paragraph" w:customStyle="1" w:styleId="USWhiteSpaceAfterTable">
    <w:name w:val="US White Space After Table"/>
    <w:basedOn w:val="USWhiteSpace"/>
    <w:next w:val="USBodyText"/>
    <w:uiPriority w:val="4"/>
    <w:rsid w:val="00C77539"/>
    <w:pPr>
      <w:spacing w:after="277"/>
    </w:pPr>
  </w:style>
  <w:style w:type="paragraph" w:customStyle="1" w:styleId="SNIndent1">
    <w:name w:val="SN Indent 1"/>
    <w:basedOn w:val="Normal"/>
    <w:uiPriority w:val="7"/>
    <w:rsid w:val="00C37888"/>
    <w:pPr>
      <w:ind w:left="851"/>
    </w:pPr>
  </w:style>
  <w:style w:type="paragraph" w:customStyle="1" w:styleId="SNIndent2">
    <w:name w:val="SN Indent 2"/>
    <w:basedOn w:val="Normal"/>
    <w:uiPriority w:val="7"/>
    <w:rsid w:val="00C37888"/>
    <w:pPr>
      <w:ind w:left="1276"/>
    </w:pPr>
  </w:style>
  <w:style w:type="paragraph" w:customStyle="1" w:styleId="SNIndent3">
    <w:name w:val="SN Indent 3"/>
    <w:basedOn w:val="Normal"/>
    <w:uiPriority w:val="7"/>
    <w:rsid w:val="00C37888"/>
    <w:pPr>
      <w:ind w:left="1701"/>
    </w:pPr>
  </w:style>
  <w:style w:type="paragraph" w:customStyle="1" w:styleId="SNIndent4">
    <w:name w:val="SN Indent 4"/>
    <w:basedOn w:val="Normal"/>
    <w:uiPriority w:val="7"/>
    <w:rsid w:val="00C37888"/>
    <w:pPr>
      <w:ind w:left="2126"/>
    </w:pPr>
  </w:style>
  <w:style w:type="character" w:customStyle="1" w:styleId="HyperlinkSourceTextReference">
    <w:name w:val="Hyperlink (Source Text Reference)"/>
    <w:basedOn w:val="DefaultParagraphFont"/>
    <w:uiPriority w:val="5"/>
    <w:rsid w:val="00B87B04"/>
    <w:rPr>
      <w:color w:val="74C6C7"/>
      <w:u w:val="single"/>
    </w:rPr>
  </w:style>
  <w:style w:type="paragraph" w:customStyle="1" w:styleId="USPullQuoteBlue">
    <w:name w:val="US Pull Quote Blue"/>
    <w:basedOn w:val="Normal"/>
    <w:uiPriority w:val="5"/>
    <w:rsid w:val="00B87B04"/>
    <w:pPr>
      <w:pBdr>
        <w:top w:val="single" w:sz="4" w:space="14" w:color="74C6C7"/>
        <w:bottom w:val="single" w:sz="4" w:space="14" w:color="74C6C7"/>
      </w:pBdr>
      <w:spacing w:before="284" w:after="454" w:line="340" w:lineRule="atLeast"/>
    </w:pPr>
    <w:rPr>
      <w:color w:val="74C6C7"/>
      <w:sz w:val="28"/>
    </w:rPr>
  </w:style>
  <w:style w:type="paragraph" w:customStyle="1" w:styleId="USWhiteSpaceBeforeTable">
    <w:name w:val="US White Space Before Table"/>
    <w:basedOn w:val="Normal"/>
    <w:uiPriority w:val="4"/>
    <w:rsid w:val="0006047A"/>
    <w:pPr>
      <w:spacing w:after="277" w:line="240" w:lineRule="auto"/>
    </w:pPr>
    <w:rPr>
      <w:sz w:val="12"/>
    </w:rPr>
  </w:style>
  <w:style w:type="paragraph" w:styleId="CommentText">
    <w:name w:val="annotation text"/>
    <w:basedOn w:val="Normal"/>
    <w:link w:val="CommentTextChar"/>
    <w:uiPriority w:val="99"/>
    <w:semiHidden/>
    <w:unhideWhenUsed/>
    <w:rsid w:val="00246BE2"/>
    <w:pPr>
      <w:spacing w:line="240" w:lineRule="auto"/>
    </w:pPr>
    <w:rPr>
      <w:szCs w:val="20"/>
    </w:rPr>
  </w:style>
  <w:style w:type="character" w:customStyle="1" w:styleId="CommentTextChar">
    <w:name w:val="Comment Text Char"/>
    <w:basedOn w:val="DefaultParagraphFont"/>
    <w:link w:val="CommentText"/>
    <w:uiPriority w:val="99"/>
    <w:semiHidden/>
    <w:rsid w:val="0024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46BE2"/>
    <w:rPr>
      <w:rFonts w:ascii="Arial" w:hAnsi="Arial"/>
      <w:b/>
      <w:bCs/>
      <w:sz w:val="20"/>
      <w:szCs w:val="20"/>
    </w:rPr>
  </w:style>
  <w:style w:type="paragraph" w:customStyle="1" w:styleId="Sego">
    <w:name w:val="Sego"/>
    <w:basedOn w:val="USBodyText"/>
    <w:rsid w:val="00246BE2"/>
  </w:style>
  <w:style w:type="paragraph" w:customStyle="1" w:styleId="Number">
    <w:name w:val="Number"/>
    <w:basedOn w:val="USBodyText"/>
    <w:link w:val="NumberChar"/>
    <w:uiPriority w:val="19"/>
    <w:rsid w:val="00183DF7"/>
    <w:pPr>
      <w:numPr>
        <w:numId w:val="17"/>
      </w:numPr>
      <w:spacing w:before="0" w:after="120"/>
      <w:ind w:right="255"/>
    </w:pPr>
    <w:rPr>
      <w:rFonts w:ascii="Calibri" w:hAnsi="Calibri" w:cs="Calibri"/>
      <w:szCs w:val="20"/>
    </w:rPr>
  </w:style>
  <w:style w:type="paragraph" w:customStyle="1" w:styleId="Bodysub-heading">
    <w:name w:val="Body sub-heading"/>
    <w:basedOn w:val="USBodyText"/>
    <w:link w:val="Bodysub-headingChar"/>
    <w:uiPriority w:val="19"/>
    <w:rsid w:val="005D2759"/>
    <w:pPr>
      <w:spacing w:after="120"/>
      <w:ind w:right="255"/>
    </w:pPr>
    <w:rPr>
      <w:rFonts w:ascii="Calibri" w:hAnsi="Calibri" w:cs="Calibri"/>
      <w:b/>
      <w:bCs/>
    </w:rPr>
  </w:style>
  <w:style w:type="character" w:customStyle="1" w:styleId="USBodyTextChar">
    <w:name w:val="US Body Text Char"/>
    <w:basedOn w:val="DefaultParagraphFont"/>
    <w:link w:val="USBodyText"/>
    <w:uiPriority w:val="5"/>
    <w:rsid w:val="005D2759"/>
    <w:rPr>
      <w:rFonts w:ascii="Arial" w:hAnsi="Arial"/>
      <w:sz w:val="20"/>
    </w:rPr>
  </w:style>
  <w:style w:type="character" w:customStyle="1" w:styleId="NumberChar">
    <w:name w:val="Number Char"/>
    <w:basedOn w:val="USBodyTextChar"/>
    <w:link w:val="Number"/>
    <w:uiPriority w:val="19"/>
    <w:rsid w:val="00183DF7"/>
    <w:rPr>
      <w:rFonts w:ascii="Calibri" w:hAnsi="Calibri" w:cs="Calibri"/>
      <w:sz w:val="20"/>
      <w:szCs w:val="20"/>
    </w:rPr>
  </w:style>
  <w:style w:type="paragraph" w:customStyle="1" w:styleId="Sectionheading">
    <w:name w:val="Section heading"/>
    <w:basedOn w:val="USBodyText"/>
    <w:link w:val="SectionheadingChar"/>
    <w:uiPriority w:val="19"/>
    <w:rsid w:val="00107AA8"/>
    <w:pPr>
      <w:spacing w:before="120" w:after="200"/>
    </w:pPr>
    <w:rPr>
      <w:b/>
      <w:bCs/>
      <w:sz w:val="24"/>
      <w:szCs w:val="24"/>
    </w:rPr>
  </w:style>
  <w:style w:type="character" w:customStyle="1" w:styleId="Bodysub-headingChar">
    <w:name w:val="Body sub-heading Char"/>
    <w:basedOn w:val="USBodyTextChar"/>
    <w:link w:val="Bodysub-heading"/>
    <w:uiPriority w:val="19"/>
    <w:rsid w:val="005D2759"/>
    <w:rPr>
      <w:rFonts w:ascii="Calibri" w:hAnsi="Calibri" w:cs="Calibri"/>
      <w:b/>
      <w:bCs/>
      <w:sz w:val="20"/>
    </w:rPr>
  </w:style>
  <w:style w:type="paragraph" w:customStyle="1" w:styleId="Title1">
    <w:name w:val="Title1"/>
    <w:basedOn w:val="USBodyText"/>
    <w:link w:val="Title1Char"/>
    <w:uiPriority w:val="19"/>
    <w:qFormat/>
    <w:rsid w:val="005D2759"/>
    <w:pPr>
      <w:spacing w:before="240" w:after="120" w:line="240" w:lineRule="auto"/>
      <w:ind w:left="1560"/>
    </w:pPr>
    <w:rPr>
      <w:rFonts w:ascii="Segoe UI" w:hAnsi="Segoe UI" w:cs="Segoe UI"/>
      <w:b/>
      <w:bCs/>
      <w:color w:val="03B2C4"/>
      <w:sz w:val="36"/>
      <w:szCs w:val="36"/>
    </w:rPr>
  </w:style>
  <w:style w:type="character" w:customStyle="1" w:styleId="SectionheadingChar">
    <w:name w:val="Section heading Char"/>
    <w:basedOn w:val="USBodyTextChar"/>
    <w:link w:val="Sectionheading"/>
    <w:uiPriority w:val="19"/>
    <w:rsid w:val="00107AA8"/>
    <w:rPr>
      <w:rFonts w:ascii="Arial" w:hAnsi="Arial"/>
      <w:b/>
      <w:bCs/>
      <w:sz w:val="24"/>
      <w:szCs w:val="24"/>
    </w:rPr>
  </w:style>
  <w:style w:type="paragraph" w:customStyle="1" w:styleId="Romannumerals">
    <w:name w:val="Roman numerals"/>
    <w:basedOn w:val="USBodyText"/>
    <w:link w:val="RomannumeralsChar"/>
    <w:uiPriority w:val="19"/>
    <w:rsid w:val="00183DF7"/>
    <w:pPr>
      <w:numPr>
        <w:numId w:val="18"/>
      </w:numPr>
      <w:spacing w:before="0" w:after="120"/>
      <w:ind w:left="765" w:right="255" w:hanging="255"/>
    </w:pPr>
    <w:rPr>
      <w:rFonts w:ascii="Calibri" w:hAnsi="Calibri" w:cs="Calibri"/>
      <w:szCs w:val="20"/>
    </w:rPr>
  </w:style>
  <w:style w:type="character" w:customStyle="1" w:styleId="Title1Char">
    <w:name w:val="Title1 Char"/>
    <w:basedOn w:val="USBodyTextChar"/>
    <w:link w:val="Title1"/>
    <w:uiPriority w:val="19"/>
    <w:rsid w:val="005D2759"/>
    <w:rPr>
      <w:rFonts w:ascii="Segoe UI" w:hAnsi="Segoe UI" w:cs="Segoe UI"/>
      <w:b/>
      <w:bCs/>
      <w:color w:val="03B2C4"/>
      <w:sz w:val="36"/>
      <w:szCs w:val="36"/>
    </w:rPr>
  </w:style>
  <w:style w:type="character" w:styleId="UnresolvedMention">
    <w:name w:val="Unresolved Mention"/>
    <w:basedOn w:val="DefaultParagraphFont"/>
    <w:uiPriority w:val="99"/>
    <w:semiHidden/>
    <w:unhideWhenUsed/>
    <w:rsid w:val="00530243"/>
    <w:rPr>
      <w:color w:val="605E5C"/>
      <w:shd w:val="clear" w:color="auto" w:fill="E1DFDD"/>
    </w:rPr>
  </w:style>
  <w:style w:type="character" w:customStyle="1" w:styleId="RomannumeralsChar">
    <w:name w:val="Roman numerals Char"/>
    <w:basedOn w:val="USBodyTextChar"/>
    <w:link w:val="Romannumerals"/>
    <w:uiPriority w:val="19"/>
    <w:rsid w:val="00183DF7"/>
    <w:rPr>
      <w:rFonts w:ascii="Calibri" w:hAnsi="Calibri" w:cs="Calibri"/>
      <w:sz w:val="20"/>
      <w:szCs w:val="20"/>
    </w:rPr>
  </w:style>
  <w:style w:type="paragraph" w:styleId="NoSpacing">
    <w:name w:val="No Spacing"/>
    <w:link w:val="NoSpacingChar"/>
    <w:uiPriority w:val="1"/>
    <w:qFormat/>
    <w:rsid w:val="00933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451"/>
    <w:rPr>
      <w:rFonts w:eastAsiaTheme="minorEastAsia"/>
      <w:lang w:val="en-US"/>
    </w:rPr>
  </w:style>
  <w:style w:type="paragraph" w:customStyle="1" w:styleId="Sectionsub-heading">
    <w:name w:val="Section sub-heading"/>
    <w:basedOn w:val="USBodyText"/>
    <w:link w:val="Sectionsub-headingChar"/>
    <w:uiPriority w:val="19"/>
    <w:qFormat/>
    <w:rsid w:val="00F96333"/>
    <w:pPr>
      <w:spacing w:before="240" w:after="200"/>
    </w:pPr>
    <w:rPr>
      <w:rFonts w:ascii="Calibri" w:hAnsi="Calibri" w:cs="Calibri"/>
      <w:b/>
      <w:color w:val="182B46"/>
      <w:sz w:val="26"/>
    </w:rPr>
  </w:style>
  <w:style w:type="paragraph" w:customStyle="1" w:styleId="Bodynumbercopy">
    <w:name w:val="Body number copy"/>
    <w:basedOn w:val="Number"/>
    <w:link w:val="BodynumbercopyChar"/>
    <w:uiPriority w:val="19"/>
    <w:qFormat/>
    <w:rsid w:val="001E7C7A"/>
    <w:pPr>
      <w:numPr>
        <w:numId w:val="19"/>
      </w:numPr>
    </w:pPr>
    <w:rPr>
      <w:sz w:val="21"/>
      <w:szCs w:val="21"/>
    </w:rPr>
  </w:style>
  <w:style w:type="character" w:customStyle="1" w:styleId="Sectionsub-headingChar">
    <w:name w:val="Section sub-heading Char"/>
    <w:basedOn w:val="USBodyTextChar"/>
    <w:link w:val="Sectionsub-heading"/>
    <w:uiPriority w:val="19"/>
    <w:rsid w:val="00F96333"/>
    <w:rPr>
      <w:rFonts w:ascii="Calibri" w:hAnsi="Calibri" w:cs="Calibri"/>
      <w:b/>
      <w:color w:val="182B46"/>
      <w:sz w:val="26"/>
    </w:rPr>
  </w:style>
  <w:style w:type="paragraph" w:customStyle="1" w:styleId="Bodysub-heading2">
    <w:name w:val="Body sub-heading2"/>
    <w:basedOn w:val="USBodyText"/>
    <w:link w:val="Bodysub-heading2Char"/>
    <w:uiPriority w:val="19"/>
    <w:qFormat/>
    <w:rsid w:val="00A4666D"/>
    <w:pPr>
      <w:spacing w:after="120"/>
      <w:ind w:right="255"/>
    </w:pPr>
    <w:rPr>
      <w:rFonts w:ascii="Calibri" w:hAnsi="Calibri" w:cs="Calibri"/>
      <w:color w:val="03B2C4"/>
      <w:sz w:val="22"/>
      <w:szCs w:val="21"/>
    </w:rPr>
  </w:style>
  <w:style w:type="character" w:customStyle="1" w:styleId="BodynumbercopyChar">
    <w:name w:val="Body number copy Char"/>
    <w:basedOn w:val="NumberChar"/>
    <w:link w:val="Bodynumbercopy"/>
    <w:uiPriority w:val="19"/>
    <w:rsid w:val="001E7C7A"/>
    <w:rPr>
      <w:rFonts w:ascii="Calibri" w:hAnsi="Calibri" w:cs="Calibri"/>
      <w:sz w:val="21"/>
      <w:szCs w:val="21"/>
    </w:rPr>
  </w:style>
  <w:style w:type="paragraph" w:customStyle="1" w:styleId="Bodyromannumerals">
    <w:name w:val="Body roman numerals"/>
    <w:basedOn w:val="USBodyText"/>
    <w:link w:val="BodyromannumeralsChar"/>
    <w:uiPriority w:val="19"/>
    <w:qFormat/>
    <w:rsid w:val="00A4666D"/>
    <w:pPr>
      <w:spacing w:before="60" w:after="120"/>
      <w:ind w:right="255"/>
    </w:pPr>
    <w:rPr>
      <w:rFonts w:ascii="Calibri" w:hAnsi="Calibri" w:cs="Calibri"/>
      <w:sz w:val="21"/>
      <w:szCs w:val="21"/>
    </w:rPr>
  </w:style>
  <w:style w:type="character" w:customStyle="1" w:styleId="Bodysub-heading2Char">
    <w:name w:val="Body sub-heading2 Char"/>
    <w:basedOn w:val="USBodyTextChar"/>
    <w:link w:val="Bodysub-heading2"/>
    <w:uiPriority w:val="19"/>
    <w:rsid w:val="00A4666D"/>
    <w:rPr>
      <w:rFonts w:ascii="Calibri" w:hAnsi="Calibri" w:cs="Calibri"/>
      <w:color w:val="03B2C4"/>
      <w:sz w:val="20"/>
      <w:szCs w:val="21"/>
    </w:rPr>
  </w:style>
  <w:style w:type="table" w:styleId="GridTable1Light-Accent1">
    <w:name w:val="Grid Table 1 Light Accent 1"/>
    <w:basedOn w:val="TableNormal"/>
    <w:uiPriority w:val="46"/>
    <w:rsid w:val="00A4666D"/>
    <w:pPr>
      <w:spacing w:after="0" w:line="240" w:lineRule="auto"/>
    </w:pPr>
    <w:tblPr>
      <w:tblStyleRowBandSize w:val="1"/>
      <w:tblStyleColBandSize w:val="1"/>
      <w:tblBorders>
        <w:top w:val="single" w:sz="4" w:space="0" w:color="FFE6AD" w:themeColor="accent1" w:themeTint="66"/>
        <w:left w:val="single" w:sz="4" w:space="0" w:color="FFE6AD" w:themeColor="accent1" w:themeTint="66"/>
        <w:bottom w:val="single" w:sz="4" w:space="0" w:color="FFE6AD" w:themeColor="accent1" w:themeTint="66"/>
        <w:right w:val="single" w:sz="4" w:space="0" w:color="FFE6AD" w:themeColor="accent1" w:themeTint="66"/>
        <w:insideH w:val="single" w:sz="4" w:space="0" w:color="FFE6AD" w:themeColor="accent1" w:themeTint="66"/>
        <w:insideV w:val="single" w:sz="4" w:space="0" w:color="FFE6AD" w:themeColor="accent1" w:themeTint="66"/>
      </w:tblBorders>
    </w:tblPr>
    <w:tblStylePr w:type="firstRow">
      <w:rPr>
        <w:b/>
        <w:bCs/>
      </w:rPr>
      <w:tblPr/>
      <w:tcPr>
        <w:tcBorders>
          <w:bottom w:val="single" w:sz="12" w:space="0" w:color="FFD984" w:themeColor="accent1" w:themeTint="99"/>
        </w:tcBorders>
      </w:tcPr>
    </w:tblStylePr>
    <w:tblStylePr w:type="lastRow">
      <w:rPr>
        <w:b/>
        <w:bCs/>
      </w:rPr>
      <w:tblPr/>
      <w:tcPr>
        <w:tcBorders>
          <w:top w:val="double" w:sz="2" w:space="0" w:color="FFD984" w:themeColor="accent1" w:themeTint="99"/>
        </w:tcBorders>
      </w:tcPr>
    </w:tblStylePr>
    <w:tblStylePr w:type="firstCol">
      <w:rPr>
        <w:b/>
        <w:bCs/>
      </w:rPr>
    </w:tblStylePr>
    <w:tblStylePr w:type="lastCol">
      <w:rPr>
        <w:b/>
        <w:bCs/>
      </w:rPr>
    </w:tblStylePr>
  </w:style>
  <w:style w:type="character" w:customStyle="1" w:styleId="BodyromannumeralsChar">
    <w:name w:val="Body roman numerals Char"/>
    <w:basedOn w:val="USBodyTextChar"/>
    <w:link w:val="Bodyromannumerals"/>
    <w:uiPriority w:val="19"/>
    <w:rsid w:val="00A4666D"/>
    <w:rPr>
      <w:rFonts w:ascii="Calibri" w:hAnsi="Calibri" w:cs="Calibri"/>
      <w:sz w:val="21"/>
      <w:szCs w:val="21"/>
    </w:rPr>
  </w:style>
  <w:style w:type="paragraph" w:customStyle="1" w:styleId="Bodybullet1">
    <w:name w:val="Body bullet1"/>
    <w:basedOn w:val="USBodyText"/>
    <w:link w:val="Bodybullet1Char"/>
    <w:uiPriority w:val="19"/>
    <w:rsid w:val="00F96333"/>
    <w:pPr>
      <w:framePr w:hSpace="180" w:wrap="around" w:vAnchor="text" w:hAnchor="margin" w:y="674"/>
      <w:numPr>
        <w:numId w:val="20"/>
      </w:numPr>
      <w:spacing w:before="0" w:after="0" w:line="240" w:lineRule="auto"/>
      <w:ind w:left="567" w:hanging="567"/>
    </w:pPr>
    <w:rPr>
      <w:rFonts w:ascii="Calibri" w:hAnsi="Calibri" w:cs="Calibri"/>
      <w:sz w:val="21"/>
      <w:szCs w:val="21"/>
    </w:rPr>
  </w:style>
  <w:style w:type="paragraph" w:customStyle="1" w:styleId="Bodybullet2">
    <w:name w:val="Body bullet 2"/>
    <w:basedOn w:val="USBodyText"/>
    <w:link w:val="Bodybullet2Char"/>
    <w:uiPriority w:val="19"/>
    <w:qFormat/>
    <w:rsid w:val="00F60163"/>
    <w:pPr>
      <w:framePr w:hSpace="180" w:wrap="around" w:vAnchor="text" w:hAnchor="margin" w:y="674"/>
      <w:numPr>
        <w:ilvl w:val="1"/>
        <w:numId w:val="21"/>
      </w:numPr>
      <w:spacing w:before="0" w:afterLines="25" w:after="25" w:line="240" w:lineRule="auto"/>
      <w:ind w:left="754" w:hanging="357"/>
    </w:pPr>
    <w:rPr>
      <w:rFonts w:ascii="Calibri" w:hAnsi="Calibri" w:cs="Calibri"/>
      <w:sz w:val="21"/>
      <w:szCs w:val="21"/>
    </w:rPr>
  </w:style>
  <w:style w:type="character" w:customStyle="1" w:styleId="Bodybullet1Char">
    <w:name w:val="Body bullet1 Char"/>
    <w:basedOn w:val="USBodyTextChar"/>
    <w:link w:val="Bodybullet1"/>
    <w:uiPriority w:val="19"/>
    <w:rsid w:val="00F96333"/>
    <w:rPr>
      <w:rFonts w:ascii="Calibri" w:hAnsi="Calibri" w:cs="Calibri"/>
      <w:sz w:val="21"/>
      <w:szCs w:val="21"/>
    </w:rPr>
  </w:style>
  <w:style w:type="paragraph" w:customStyle="1" w:styleId="Bodybullet10">
    <w:name w:val="Body bullet 1"/>
    <w:basedOn w:val="Bodybullet1"/>
    <w:link w:val="Bodybullet1Char0"/>
    <w:uiPriority w:val="19"/>
    <w:qFormat/>
    <w:rsid w:val="00F60163"/>
    <w:pPr>
      <w:framePr w:wrap="around"/>
      <w:spacing w:afterLines="25" w:after="25"/>
      <w:ind w:left="397" w:hanging="397"/>
    </w:pPr>
  </w:style>
  <w:style w:type="character" w:customStyle="1" w:styleId="Bodybullet2Char">
    <w:name w:val="Body bullet 2 Char"/>
    <w:basedOn w:val="USBodyTextChar"/>
    <w:link w:val="Bodybullet2"/>
    <w:uiPriority w:val="19"/>
    <w:rsid w:val="00F60163"/>
    <w:rPr>
      <w:rFonts w:ascii="Calibri" w:hAnsi="Calibri" w:cs="Calibri"/>
      <w:sz w:val="21"/>
      <w:szCs w:val="21"/>
    </w:rPr>
  </w:style>
  <w:style w:type="character" w:customStyle="1" w:styleId="Bodybullet1Char0">
    <w:name w:val="Body bullet 1 Char"/>
    <w:basedOn w:val="Bodybullet1Char"/>
    <w:link w:val="Bodybullet10"/>
    <w:uiPriority w:val="19"/>
    <w:rsid w:val="00F60163"/>
    <w:rPr>
      <w:rFonts w:ascii="Calibri" w:hAnsi="Calibri" w:cs="Calibri"/>
      <w:sz w:val="21"/>
      <w:szCs w:val="21"/>
    </w:rPr>
  </w:style>
  <w:style w:type="paragraph" w:customStyle="1" w:styleId="xusbodytext">
    <w:name w:val="x_usbodytext"/>
    <w:basedOn w:val="Normal"/>
    <w:rsid w:val="00CD579C"/>
    <w:pPr>
      <w:spacing w:after="0" w:line="240" w:lineRule="auto"/>
    </w:pPr>
    <w:rPr>
      <w:rFonts w:ascii="Calibri" w:hAnsi="Calibri" w:cs="Calibri"/>
      <w:sz w:val="22"/>
      <w:lang w:eastAsia="en-NZ"/>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 numbered Char,List Bullet indent Char"/>
    <w:basedOn w:val="DefaultParagraphFont"/>
    <w:link w:val="ListParagraph"/>
    <w:uiPriority w:val="34"/>
    <w:rsid w:val="00884A64"/>
    <w:rPr>
      <w:rFonts w:ascii="Arial" w:hAnsi="Arial"/>
      <w:sz w:val="20"/>
    </w:rPr>
  </w:style>
  <w:style w:type="table" w:customStyle="1" w:styleId="TableGrid1">
    <w:name w:val="Table Grid1"/>
    <w:basedOn w:val="TableNormal"/>
    <w:next w:val="TableGrid"/>
    <w:uiPriority w:val="39"/>
    <w:rsid w:val="00922E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D1DCF"/>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semiHidden/>
    <w:rsid w:val="00D4414C"/>
    <w:pPr>
      <w:spacing w:after="0" w:line="240" w:lineRule="auto"/>
    </w:pPr>
    <w:rPr>
      <w:rFonts w:ascii="CG Omega" w:eastAsia="Times New Roman" w:hAnsi="CG Omega" w:cs="Times New Roman"/>
      <w:color w:val="000000"/>
      <w:sz w:val="24"/>
      <w:szCs w:val="20"/>
      <w:lang w:val="en-GB"/>
    </w:rPr>
  </w:style>
  <w:style w:type="character" w:customStyle="1" w:styleId="BodyTextChar">
    <w:name w:val="Body Text Char"/>
    <w:basedOn w:val="DefaultParagraphFont"/>
    <w:link w:val="BodyText"/>
    <w:semiHidden/>
    <w:rsid w:val="00D4414C"/>
    <w:rPr>
      <w:rFonts w:ascii="CG Omega" w:eastAsia="Times New Roman" w:hAnsi="CG Omega"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654">
      <w:bodyDiv w:val="1"/>
      <w:marLeft w:val="0"/>
      <w:marRight w:val="0"/>
      <w:marTop w:val="0"/>
      <w:marBottom w:val="0"/>
      <w:divBdr>
        <w:top w:val="none" w:sz="0" w:space="0" w:color="auto"/>
        <w:left w:val="none" w:sz="0" w:space="0" w:color="auto"/>
        <w:bottom w:val="none" w:sz="0" w:space="0" w:color="auto"/>
        <w:right w:val="none" w:sz="0" w:space="0" w:color="auto"/>
      </w:divBdr>
    </w:div>
    <w:div w:id="286199588">
      <w:bodyDiv w:val="1"/>
      <w:marLeft w:val="0"/>
      <w:marRight w:val="0"/>
      <w:marTop w:val="0"/>
      <w:marBottom w:val="0"/>
      <w:divBdr>
        <w:top w:val="none" w:sz="0" w:space="0" w:color="auto"/>
        <w:left w:val="none" w:sz="0" w:space="0" w:color="auto"/>
        <w:bottom w:val="none" w:sz="0" w:space="0" w:color="auto"/>
        <w:right w:val="none" w:sz="0" w:space="0" w:color="auto"/>
      </w:divBdr>
    </w:div>
    <w:div w:id="666597440">
      <w:bodyDiv w:val="1"/>
      <w:marLeft w:val="0"/>
      <w:marRight w:val="0"/>
      <w:marTop w:val="0"/>
      <w:marBottom w:val="0"/>
      <w:divBdr>
        <w:top w:val="none" w:sz="0" w:space="0" w:color="auto"/>
        <w:left w:val="none" w:sz="0" w:space="0" w:color="auto"/>
        <w:bottom w:val="none" w:sz="0" w:space="0" w:color="auto"/>
        <w:right w:val="none" w:sz="0" w:space="0" w:color="auto"/>
      </w:divBdr>
    </w:div>
    <w:div w:id="1166479519">
      <w:bodyDiv w:val="1"/>
      <w:marLeft w:val="0"/>
      <w:marRight w:val="0"/>
      <w:marTop w:val="0"/>
      <w:marBottom w:val="0"/>
      <w:divBdr>
        <w:top w:val="none" w:sz="0" w:space="0" w:color="auto"/>
        <w:left w:val="none" w:sz="0" w:space="0" w:color="auto"/>
        <w:bottom w:val="none" w:sz="0" w:space="0" w:color="auto"/>
        <w:right w:val="none" w:sz="0" w:space="0" w:color="auto"/>
      </w:divBdr>
    </w:div>
    <w:div w:id="1796561338">
      <w:bodyDiv w:val="1"/>
      <w:marLeft w:val="0"/>
      <w:marRight w:val="0"/>
      <w:marTop w:val="0"/>
      <w:marBottom w:val="0"/>
      <w:divBdr>
        <w:top w:val="none" w:sz="0" w:space="0" w:color="auto"/>
        <w:left w:val="none" w:sz="0" w:space="0" w:color="auto"/>
        <w:bottom w:val="none" w:sz="0" w:space="0" w:color="auto"/>
        <w:right w:val="none" w:sz="0" w:space="0" w:color="auto"/>
      </w:divBdr>
    </w:div>
    <w:div w:id="2001960952">
      <w:bodyDiv w:val="1"/>
      <w:marLeft w:val="0"/>
      <w:marRight w:val="0"/>
      <w:marTop w:val="0"/>
      <w:marBottom w:val="0"/>
      <w:divBdr>
        <w:top w:val="none" w:sz="0" w:space="0" w:color="auto"/>
        <w:left w:val="none" w:sz="0" w:space="0" w:color="auto"/>
        <w:bottom w:val="none" w:sz="0" w:space="0" w:color="auto"/>
        <w:right w:val="none" w:sz="0" w:space="0" w:color="auto"/>
      </w:divBdr>
      <w:divsChild>
        <w:div w:id="862012520">
          <w:marLeft w:val="0"/>
          <w:marRight w:val="0"/>
          <w:marTop w:val="0"/>
          <w:marBottom w:val="0"/>
          <w:divBdr>
            <w:top w:val="none" w:sz="0" w:space="0" w:color="auto"/>
            <w:left w:val="none" w:sz="0" w:space="0" w:color="auto"/>
            <w:bottom w:val="none" w:sz="0" w:space="0" w:color="auto"/>
            <w:right w:val="none" w:sz="0" w:space="0" w:color="auto"/>
          </w:divBdr>
        </w:div>
      </w:divsChild>
    </w:div>
    <w:div w:id="210449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ddeley\AppData\Roaming\Microsoft\Shared%20Templates\2013%20Blank.dotm" TargetMode="External"/></Relationships>
</file>

<file path=word/theme/theme1.xml><?xml version="1.0" encoding="utf-8"?>
<a:theme xmlns:a="http://schemas.openxmlformats.org/drawingml/2006/main" name="MJ 2013 Theme">
  <a:themeElements>
    <a:clrScheme name="MJ Colour Palette">
      <a:dk1>
        <a:srgbClr val="000000"/>
      </a:dk1>
      <a:lt1>
        <a:srgbClr val="FFFFFF"/>
      </a:lt1>
      <a:dk2>
        <a:srgbClr val="000000"/>
      </a:dk2>
      <a:lt2>
        <a:srgbClr val="FFFFFF"/>
      </a:lt2>
      <a:accent1>
        <a:srgbClr val="FFC233"/>
      </a:accent1>
      <a:accent2>
        <a:srgbClr val="394F5A"/>
      </a:accent2>
      <a:accent3>
        <a:srgbClr val="F68C3D"/>
      </a:accent3>
      <a:accent4>
        <a:srgbClr val="5C4870"/>
      </a:accent4>
      <a:accent5>
        <a:srgbClr val="F3797F"/>
      </a:accent5>
      <a:accent6>
        <a:srgbClr val="6BBAD9"/>
      </a:accent6>
      <a:hlink>
        <a:srgbClr val="74C6C7"/>
      </a:hlink>
      <a:folHlink>
        <a:srgbClr val="95D3D4"/>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4" ma:contentTypeDescription="Create a new document." ma:contentTypeScope="" ma:versionID="30c1f6ad40d570e9519b63bb8dafbc95">
  <xsd:schema xmlns:xsd="http://www.w3.org/2001/XMLSchema" xmlns:xs="http://www.w3.org/2001/XMLSchema" xmlns:p="http://schemas.microsoft.com/office/2006/metadata/properties" xmlns:ns2="08a23fc5-e034-477c-ac83-93bc1440f322" targetNamespace="http://schemas.microsoft.com/office/2006/metadata/properties" ma:root="true" ma:fieldsID="830778f39291bb3ca65aa40eac42cee0" ns2:_="">
    <xsd:import namespace="08a23fc5-e034-477c-ac83-93bc1440f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8E30-7D80-44FB-BA93-04D455400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F19CF-2AD3-43A4-B5A5-4A28D268F9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CCDC71-F70A-4DD7-B773-5ED46CFC943B}">
  <ds:schemaRefs>
    <ds:schemaRef ds:uri="http://schemas.microsoft.com/sharepoint/v3/contenttype/forms"/>
  </ds:schemaRefs>
</ds:datastoreItem>
</file>

<file path=customXml/itemProps4.xml><?xml version="1.0" encoding="utf-8"?>
<ds:datastoreItem xmlns:ds="http://schemas.openxmlformats.org/officeDocument/2006/customXml" ds:itemID="{D6F66DD0-967E-4F88-994A-D5A778C9C0B5}">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376405</vt:lpwstr>
  </property>
  <property fmtid="{D5CDD505-2E9C-101B-9397-08002B2CF9AE}" pid="4" name="OptimizationTime">
    <vt:lpwstr>20201110_1233</vt:lpwstr>
  </property>
</Properties>
</file>

<file path=docProps/app.xml><?xml version="1.0" encoding="utf-8"?>
<Properties xmlns="http://schemas.openxmlformats.org/officeDocument/2006/extended-properties" xmlns:vt="http://schemas.openxmlformats.org/officeDocument/2006/docPropsVTypes">
  <Template>2013 Blank.dotm</Template>
  <TotalTime>7</TotalTime>
  <Pages>64</Pages>
  <Words>17086</Words>
  <Characters>98075</Characters>
  <Application>Microsoft Office Word</Application>
  <DocSecurity>0</DocSecurity>
  <Lines>3632</Lines>
  <Paragraphs>2214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Fu</dc:creator>
  <cp:keywords>Rel date: 7 Apr 2020</cp:keywords>
  <dc:description/>
  <cp:lastModifiedBy>Georgia Sweet</cp:lastModifiedBy>
  <cp:revision>4</cp:revision>
  <cp:lastPrinted>2014-04-12T06:03:00Z</cp:lastPrinted>
  <dcterms:created xsi:type="dcterms:W3CDTF">2020-11-08T23:49:00Z</dcterms:created>
  <dcterms:modified xsi:type="dcterms:W3CDTF">2020-11-09T19:57:00Z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y fmtid="{D5CDD505-2E9C-101B-9397-08002B2CF9AE}" pid="3" name="Hydro Nation Area">
    <vt:lpwstr/>
  </property>
</Properties>
</file>